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6.xml" ContentType="application/vnd.openxmlformats-officedocument.wordprocessingml.head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8.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9.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10.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826" w:val="left" w:leader="none"/>
        </w:tabs>
        <w:spacing w:line="240" w:lineRule="auto" w:before="36"/>
        <w:ind w:left="0" w:right="109"/>
        <w:jc w:val="center"/>
      </w:pPr>
      <w:r>
        <w:rPr>
          <w:spacing w:val="-1"/>
        </w:rPr>
        <w:t>公司代码：</w:t>
      </w:r>
      <w:r>
        <w:rPr>
          <w:rFonts w:ascii="Times New Roman" w:hAnsi="Times New Roman" w:cs="Times New Roman" w:eastAsia="Times New Roman" w:hint="default"/>
          <w:spacing w:val="-1"/>
        </w:rPr>
        <w:t>603232</w:t>
        <w:tab/>
      </w:r>
      <w:r>
        <w:rPr>
          <w:spacing w:val="-2"/>
        </w:rPr>
        <w:t>公司简称：格尔软件</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4"/>
          <w:szCs w:val="24"/>
        </w:rPr>
      </w:pPr>
    </w:p>
    <w:p>
      <w:pPr>
        <w:spacing w:line="572" w:lineRule="exact" w:before="0"/>
        <w:ind w:left="2005" w:right="2001" w:firstLine="0"/>
        <w:jc w:val="center"/>
        <w:rPr>
          <w:rFonts w:ascii="黑体" w:hAnsi="黑体" w:cs="黑体" w:eastAsia="黑体" w:hint="default"/>
          <w:sz w:val="44"/>
          <w:szCs w:val="44"/>
        </w:rPr>
      </w:pPr>
      <w:r>
        <w:rPr>
          <w:rFonts w:ascii="黑体" w:hAnsi="黑体" w:cs="黑体" w:eastAsia="黑体" w:hint="default"/>
          <w:b/>
          <w:bCs/>
          <w:color w:val="FF0000"/>
          <w:spacing w:val="2"/>
          <w:w w:val="95"/>
          <w:sz w:val="44"/>
          <w:szCs w:val="44"/>
        </w:rPr>
        <w:t>上海格尔软件股份有限公司</w:t>
      </w:r>
      <w:r>
        <w:rPr>
          <w:rFonts w:ascii="黑体" w:hAnsi="黑体" w:cs="黑体" w:eastAsia="黑体" w:hint="default"/>
          <w:b/>
          <w:bCs/>
          <w:color w:val="FF0000"/>
          <w:spacing w:val="18"/>
          <w:w w:val="95"/>
          <w:sz w:val="44"/>
          <w:szCs w:val="44"/>
        </w:rPr>
        <w:t> </w:t>
      </w:r>
      <w:r>
        <w:rPr>
          <w:rFonts w:ascii="黑体" w:hAnsi="黑体" w:cs="黑体" w:eastAsia="黑体" w:hint="default"/>
          <w:b/>
          <w:bCs/>
          <w:color w:val="FF0000"/>
          <w:sz w:val="44"/>
          <w:szCs w:val="44"/>
        </w:rPr>
        <w:t>2017</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15"/>
          <w:szCs w:val="15"/>
        </w:rPr>
      </w:pPr>
    </w:p>
    <w:p>
      <w:pPr>
        <w:spacing w:line="1064" w:lineRule="exact"/>
        <w:ind w:left="2808" w:right="0" w:firstLine="0"/>
        <w:rPr>
          <w:rFonts w:ascii="黑体" w:hAnsi="黑体" w:cs="黑体" w:eastAsia="黑体" w:hint="default"/>
          <w:sz w:val="20"/>
          <w:szCs w:val="20"/>
        </w:rPr>
      </w:pPr>
      <w:r>
        <w:rPr>
          <w:rFonts w:ascii="黑体" w:hAnsi="黑体" w:cs="黑体" w:eastAsia="黑体" w:hint="default"/>
          <w:position w:val="-20"/>
          <w:sz w:val="20"/>
          <w:szCs w:val="20"/>
        </w:rPr>
        <w:drawing>
          <wp:inline distT="0" distB="0" distL="0" distR="0">
            <wp:extent cx="2211898" cy="67579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211898" cy="675798"/>
                    </a:xfrm>
                    <a:prstGeom prst="rect">
                      <a:avLst/>
                    </a:prstGeom>
                  </pic:spPr>
                </pic:pic>
              </a:graphicData>
            </a:graphic>
          </wp:inline>
        </w:drawing>
      </w:r>
      <w:r>
        <w:rPr>
          <w:rFonts w:ascii="黑体" w:hAnsi="黑体" w:cs="黑体" w:eastAsia="黑体" w:hint="default"/>
          <w:position w:val="-20"/>
          <w:sz w:val="20"/>
          <w:szCs w:val="20"/>
        </w:rPr>
      </w:r>
    </w:p>
    <w:p>
      <w:pPr>
        <w:spacing w:after="0" w:line="1064" w:lineRule="exact"/>
        <w:rPr>
          <w:rFonts w:ascii="黑体" w:hAnsi="黑体" w:cs="黑体" w:eastAsia="黑体" w:hint="default"/>
          <w:sz w:val="20"/>
          <w:szCs w:val="20"/>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7"/>
          <w:szCs w:val="27"/>
        </w:rPr>
      </w:pPr>
    </w:p>
    <w:p>
      <w:pPr>
        <w:spacing w:before="14"/>
        <w:ind w:left="0" w:right="77"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2"/>
        <w:spacing w:line="355" w:lineRule="auto"/>
        <w:ind w:left="505" w:right="10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13"/>
        <w:rPr>
          <w:rFonts w:ascii="宋体" w:hAnsi="宋体" w:cs="宋体" w:eastAsia="宋体" w:hint="default"/>
          <w:b/>
          <w:bCs/>
          <w:sz w:val="20"/>
          <w:szCs w:val="20"/>
        </w:rPr>
      </w:pPr>
    </w:p>
    <w:p>
      <w:pPr>
        <w:pStyle w:val="Heading2"/>
        <w:spacing w:line="240" w:lineRule="auto"/>
        <w:ind w:left="138" w:right="100"/>
        <w:jc w:val="left"/>
        <w:rPr>
          <w:b w:val="0"/>
          <w:bCs w:val="0"/>
        </w:rPr>
      </w:pPr>
      <w:r>
        <w:rPr/>
        <w:t>二、</w:t>
      </w:r>
      <w:r>
        <w:rPr>
          <w:spacing w:val="-80"/>
        </w:rPr>
        <w:t> </w:t>
      </w:r>
      <w:r>
        <w:rPr/>
        <w:t>公司全体董事出席董事会会议。</w:t>
      </w:r>
      <w:r>
        <w:rPr>
          <w:b w:val="0"/>
          <w:bCs w:val="0"/>
        </w:rPr>
      </w:r>
    </w:p>
    <w:p>
      <w:pPr>
        <w:spacing w:line="240" w:lineRule="auto" w:before="9"/>
        <w:rPr>
          <w:rFonts w:ascii="宋体" w:hAnsi="宋体" w:cs="宋体" w:eastAsia="宋体" w:hint="default"/>
          <w:b/>
          <w:bCs/>
          <w:sz w:val="28"/>
          <w:szCs w:val="28"/>
        </w:rPr>
      </w:pPr>
    </w:p>
    <w:p>
      <w:pPr>
        <w:pStyle w:val="Heading2"/>
        <w:spacing w:line="240" w:lineRule="auto"/>
        <w:ind w:left="138" w:right="100"/>
        <w:jc w:val="left"/>
        <w:rPr>
          <w:b w:val="0"/>
          <w:bCs w:val="0"/>
        </w:rPr>
      </w:pPr>
      <w:r>
        <w:rPr/>
        <w:t>三、</w:t>
      </w:r>
      <w:r>
        <w:rPr>
          <w:spacing w:val="-14"/>
        </w:rPr>
        <w:t> </w:t>
      </w:r>
      <w:r>
        <w:rPr/>
        <w:t>上会会计师事务所（特殊普通合伙）为本公司出具了标准无保留意见的审计报告。</w:t>
      </w:r>
      <w:r>
        <w:rPr>
          <w:b w:val="0"/>
          <w:bCs w:val="0"/>
        </w:rPr>
      </w:r>
    </w:p>
    <w:p>
      <w:pPr>
        <w:spacing w:line="240" w:lineRule="auto" w:before="10"/>
        <w:rPr>
          <w:rFonts w:ascii="宋体" w:hAnsi="宋体" w:cs="宋体" w:eastAsia="宋体" w:hint="default"/>
          <w:b/>
          <w:bCs/>
          <w:sz w:val="28"/>
          <w:szCs w:val="28"/>
        </w:rPr>
      </w:pPr>
    </w:p>
    <w:p>
      <w:pPr>
        <w:pStyle w:val="Heading2"/>
        <w:spacing w:line="355" w:lineRule="auto"/>
        <w:ind w:left="505" w:right="100" w:hanging="368"/>
        <w:jc w:val="left"/>
        <w:rPr>
          <w:b w:val="0"/>
          <w:bCs w:val="0"/>
        </w:rPr>
      </w:pPr>
      <w:r>
        <w:rPr>
          <w:spacing w:val="-1"/>
        </w:rPr>
        <w:t>四、公司负责人孔令刚、主管会计工作负责人顾峰及会计机构负责人（会计主管人员）宋炜明声</w:t>
      </w:r>
      <w:r>
        <w:rPr>
          <w:spacing w:val="-87"/>
        </w:rPr>
        <w:t> </w:t>
      </w:r>
      <w:r>
        <w:rPr>
          <w:spacing w:val="-87"/>
        </w:rPr>
      </w:r>
      <w:r>
        <w:rPr/>
        <w:t>明：保证年度报告中财务报告的真实、准确、完整。</w:t>
      </w:r>
      <w:r>
        <w:rPr>
          <w:b w:val="0"/>
          <w:bCs w:val="0"/>
        </w:rPr>
      </w:r>
    </w:p>
    <w:p>
      <w:pPr>
        <w:spacing w:line="240" w:lineRule="auto" w:before="13"/>
        <w:rPr>
          <w:rFonts w:ascii="宋体" w:hAnsi="宋体" w:cs="宋体" w:eastAsia="宋体" w:hint="default"/>
          <w:b/>
          <w:bCs/>
          <w:sz w:val="20"/>
          <w:szCs w:val="20"/>
        </w:rPr>
      </w:pPr>
    </w:p>
    <w:p>
      <w:pPr>
        <w:pStyle w:val="Heading2"/>
        <w:spacing w:line="240" w:lineRule="auto"/>
        <w:ind w:left="138" w:right="100"/>
        <w:jc w:val="left"/>
        <w:rPr>
          <w:b w:val="0"/>
          <w:bCs w:val="0"/>
        </w:rPr>
      </w:pPr>
      <w:r>
        <w:rPr/>
        <w:t>五、</w:t>
      </w:r>
      <w:r>
        <w:rPr>
          <w:spacing w:val="-41"/>
        </w:rPr>
        <w:t> </w:t>
      </w:r>
      <w:r>
        <w:rPr/>
        <w:t>经董事会审议的报告期利润分配预案或公积金转增股本预案</w:t>
      </w:r>
      <w:r>
        <w:rPr>
          <w:b w:val="0"/>
          <w:bCs w:val="0"/>
        </w:rPr>
      </w:r>
    </w:p>
    <w:p>
      <w:pPr>
        <w:spacing w:line="240" w:lineRule="auto" w:before="1"/>
        <w:rPr>
          <w:rFonts w:ascii="宋体" w:hAnsi="宋体" w:cs="宋体" w:eastAsia="宋体" w:hint="default"/>
          <w:b/>
          <w:bCs/>
          <w:sz w:val="16"/>
          <w:szCs w:val="16"/>
        </w:rPr>
      </w:pPr>
    </w:p>
    <w:p>
      <w:pPr>
        <w:pStyle w:val="BodyText"/>
        <w:spacing w:line="307" w:lineRule="auto"/>
        <w:ind w:left="138" w:right="100"/>
        <w:jc w:val="left"/>
      </w:pPr>
      <w:r>
        <w:rPr>
          <w:spacing w:val="-6"/>
          <w:w w:val="100"/>
        </w:rPr>
        <w:t>经公司第六届董事会第九次会议审议通过的《</w:t>
      </w:r>
      <w:r>
        <w:rPr>
          <w:rFonts w:ascii="Times New Roman" w:hAnsi="Times New Roman" w:cs="Times New Roman" w:eastAsia="Times New Roman" w:hint="default"/>
          <w:spacing w:val="-6"/>
          <w:w w:val="100"/>
        </w:rPr>
        <w:t>2017</w:t>
      </w:r>
      <w:r>
        <w:rPr>
          <w:spacing w:val="-6"/>
          <w:w w:val="100"/>
        </w:rPr>
        <w:t>年度利润分配暨资本公积转增股本的预案》，拟</w:t>
      </w:r>
      <w:r>
        <w:rPr>
          <w:spacing w:val="-93"/>
          <w:w w:val="100"/>
        </w:rPr>
        <w:t> </w:t>
      </w:r>
      <w:r>
        <w:rPr>
          <w:spacing w:val="-93"/>
          <w:w w:val="100"/>
        </w:rPr>
      </w:r>
      <w:r>
        <w:rPr>
          <w:spacing w:val="-3"/>
          <w:w w:val="100"/>
        </w:rPr>
        <w:t>以</w:t>
      </w:r>
      <w:r>
        <w:rPr>
          <w:rFonts w:ascii="宋体" w:hAnsi="宋体" w:cs="宋体" w:eastAsia="宋体" w:hint="default"/>
          <w:spacing w:val="-3"/>
          <w:w w:val="100"/>
        </w:rPr>
        <w:t>2017</w:t>
      </w:r>
      <w:r>
        <w:rPr>
          <w:spacing w:val="-3"/>
          <w:w w:val="100"/>
        </w:rPr>
        <w:t>年底公司股本</w:t>
      </w:r>
      <w:r>
        <w:rPr>
          <w:rFonts w:ascii="宋体" w:hAnsi="宋体" w:cs="宋体" w:eastAsia="宋体" w:hint="default"/>
          <w:spacing w:val="-3"/>
          <w:w w:val="100"/>
        </w:rPr>
        <w:t>61,000,000</w:t>
      </w:r>
      <w:r>
        <w:rPr>
          <w:spacing w:val="-3"/>
          <w:w w:val="100"/>
        </w:rPr>
        <w:t>股为基数，向全体股东按每</w:t>
      </w:r>
      <w:r>
        <w:rPr>
          <w:rFonts w:ascii="宋体" w:hAnsi="宋体" w:cs="宋体" w:eastAsia="宋体" w:hint="default"/>
          <w:spacing w:val="-3"/>
          <w:w w:val="100"/>
        </w:rPr>
        <w:t>10</w:t>
      </w:r>
      <w:r>
        <w:rPr>
          <w:spacing w:val="-3"/>
          <w:w w:val="100"/>
        </w:rPr>
        <w:t>股派发现金红利</w:t>
      </w:r>
      <w:r>
        <w:rPr>
          <w:rFonts w:ascii="宋体" w:hAnsi="宋体" w:cs="宋体" w:eastAsia="宋体" w:hint="default"/>
          <w:spacing w:val="-3"/>
          <w:w w:val="100"/>
        </w:rPr>
        <w:t>4</w:t>
      </w:r>
      <w:r>
        <w:rPr>
          <w:spacing w:val="-3"/>
          <w:w w:val="100"/>
        </w:rPr>
        <w:t>元（含税），共计</w:t>
      </w:r>
      <w:r>
        <w:rPr>
          <w:spacing w:val="-101"/>
          <w:w w:val="100"/>
        </w:rPr>
        <w:t> </w:t>
      </w:r>
      <w:r>
        <w:rPr>
          <w:spacing w:val="-101"/>
          <w:w w:val="100"/>
        </w:rPr>
      </w:r>
      <w:r>
        <w:rPr>
          <w:rFonts w:ascii="宋体" w:hAnsi="宋体" w:cs="宋体" w:eastAsia="宋体" w:hint="default"/>
        </w:rPr>
        <w:t>24,400,000</w:t>
      </w:r>
      <w:r>
        <w:rPr/>
        <w:t>元，结余未分配利润结转至以后年度；同时拟以</w:t>
      </w:r>
      <w:r>
        <w:rPr>
          <w:rFonts w:ascii="宋体" w:hAnsi="宋体" w:cs="宋体" w:eastAsia="宋体" w:hint="default"/>
        </w:rPr>
        <w:t>2017</w:t>
      </w:r>
      <w:r>
        <w:rPr/>
        <w:t>年末股本</w:t>
      </w:r>
      <w:r>
        <w:rPr>
          <w:rFonts w:ascii="宋体" w:hAnsi="宋体" w:cs="宋体" w:eastAsia="宋体" w:hint="default"/>
        </w:rPr>
        <w:t>61,000,000</w:t>
      </w:r>
      <w:r>
        <w:rPr/>
        <w:t>股为基数，</w:t>
      </w:r>
      <w:r>
        <w:rPr>
          <w:spacing w:val="-97"/>
        </w:rPr>
        <w:t> </w:t>
      </w:r>
      <w:r>
        <w:rPr>
          <w:spacing w:val="-97"/>
        </w:rPr>
      </w:r>
      <w:r>
        <w:rPr>
          <w:spacing w:val="-2"/>
        </w:rPr>
        <w:t>用资本公积（股本溢价）按每</w:t>
      </w:r>
      <w:r>
        <w:rPr>
          <w:rFonts w:ascii="宋体" w:hAnsi="宋体" w:cs="宋体" w:eastAsia="宋体" w:hint="default"/>
          <w:spacing w:val="-2"/>
        </w:rPr>
        <w:t>10</w:t>
      </w:r>
      <w:r>
        <w:rPr>
          <w:spacing w:val="-2"/>
        </w:rPr>
        <w:t>股转增</w:t>
      </w:r>
      <w:r>
        <w:rPr>
          <w:rFonts w:ascii="宋体" w:hAnsi="宋体" w:cs="宋体" w:eastAsia="宋体" w:hint="default"/>
          <w:spacing w:val="-2"/>
        </w:rPr>
        <w:t>4</w:t>
      </w:r>
      <w:r>
        <w:rPr>
          <w:spacing w:val="-2"/>
        </w:rPr>
        <w:t>股的比例转增股本，共计</w:t>
      </w:r>
      <w:r>
        <w:rPr>
          <w:rFonts w:ascii="宋体" w:hAnsi="宋体" w:cs="宋体" w:eastAsia="宋体" w:hint="default"/>
          <w:spacing w:val="-2"/>
        </w:rPr>
        <w:t>24,400,000</w:t>
      </w:r>
      <w:r>
        <w:rPr>
          <w:spacing w:val="-2"/>
        </w:rPr>
        <w:t>元，经本次转增后，</w:t>
      </w:r>
      <w:r>
        <w:rPr>
          <w:spacing w:val="-17"/>
        </w:rPr>
        <w:t> </w:t>
      </w:r>
      <w:r>
        <w:rPr>
          <w:spacing w:val="-17"/>
        </w:rPr>
      </w:r>
      <w:r>
        <w:rPr/>
        <w:t>结余资本公积结转至以后年度。公司总股本由</w:t>
      </w:r>
      <w:r>
        <w:rPr>
          <w:rFonts w:ascii="宋体" w:hAnsi="宋体" w:cs="宋体" w:eastAsia="宋体" w:hint="default"/>
        </w:rPr>
        <w:t>61,000,000</w:t>
      </w:r>
      <w:r>
        <w:rPr/>
        <w:t>股增加至</w:t>
      </w:r>
      <w:r>
        <w:rPr>
          <w:rFonts w:ascii="宋体" w:hAnsi="宋体" w:cs="宋体" w:eastAsia="宋体" w:hint="default"/>
        </w:rPr>
        <w:t>85,400,000</w:t>
      </w:r>
      <w:r>
        <w:rPr/>
        <w:t>股。公司</w:t>
      </w:r>
      <w:r>
        <w:rPr>
          <w:rFonts w:ascii="Times New Roman" w:hAnsi="Times New Roman" w:cs="Times New Roman" w:eastAsia="Times New Roman" w:hint="default"/>
        </w:rPr>
        <w:t>2017</w:t>
      </w:r>
      <w:r>
        <w:rPr/>
        <w:t>年度</w:t>
      </w:r>
      <w:r>
        <w:rPr>
          <w:spacing w:val="-3"/>
          <w:w w:val="100"/>
        </w:rPr>
        <w:t> </w:t>
      </w:r>
      <w:r>
        <w:rPr/>
        <w:t>利润分配暨公积金转增股方案尚需公司股东大会审议批准。</w:t>
      </w:r>
    </w:p>
    <w:p>
      <w:pPr>
        <w:spacing w:line="240" w:lineRule="auto" w:before="9"/>
        <w:rPr>
          <w:rFonts w:ascii="宋体" w:hAnsi="宋体" w:cs="宋体" w:eastAsia="宋体" w:hint="default"/>
          <w:sz w:val="23"/>
          <w:szCs w:val="23"/>
        </w:rPr>
      </w:pPr>
    </w:p>
    <w:p>
      <w:pPr>
        <w:pStyle w:val="Heading2"/>
        <w:spacing w:line="240" w:lineRule="auto"/>
        <w:ind w:left="138" w:right="100"/>
        <w:jc w:val="left"/>
        <w:rPr>
          <w:b w:val="0"/>
          <w:bCs w:val="0"/>
        </w:rPr>
      </w:pPr>
      <w:r>
        <w:rPr/>
        <w:t>六、</w:t>
      </w:r>
      <w:r>
        <w:rPr>
          <w:spacing w:val="-24"/>
        </w:rPr>
        <w:t> </w:t>
      </w:r>
      <w:r>
        <w:rPr/>
        <w:t>前瞻性陈述的风险声明</w:t>
      </w:r>
      <w:r>
        <w:rPr>
          <w:b w:val="0"/>
          <w:bCs w:val="0"/>
        </w:rPr>
      </w:r>
    </w:p>
    <w:p>
      <w:pPr>
        <w:pStyle w:val="BodyText"/>
        <w:spacing w:line="302" w:lineRule="auto" w:before="133"/>
        <w:ind w:left="138" w:right="10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spacing w:val="-1"/>
        </w:rPr>
        <w:t>本报告涉及未来计划等前瞻性陈述，该陈述不构成公司对投资者的实质承诺，敬请投资者注意投</w:t>
      </w:r>
      <w:r>
        <w:rPr>
          <w:spacing w:val="-55"/>
        </w:rPr>
        <w:t> </w:t>
      </w:r>
      <w:r>
        <w:rPr>
          <w:spacing w:val="-55"/>
        </w:rPr>
      </w:r>
      <w:r>
        <w:rPr>
          <w:spacing w:val="-1"/>
        </w:rPr>
        <w:t>资风险。请投资者及相关人士对此保持足够的风险认识，并且理解计划、预测与承诺之间的差异</w:t>
      </w:r>
    </w:p>
    <w:p>
      <w:pPr>
        <w:pStyle w:val="BodyText"/>
        <w:spacing w:line="240" w:lineRule="auto" w:before="30"/>
        <w:ind w:left="138" w:right="100"/>
        <w:jc w:val="left"/>
      </w:pPr>
      <w:r>
        <w:rPr>
          <w:w w:val="100"/>
        </w:rPr>
        <w:t>。</w:t>
      </w:r>
    </w:p>
    <w:p>
      <w:pPr>
        <w:spacing w:line="240" w:lineRule="auto" w:before="2"/>
        <w:rPr>
          <w:rFonts w:ascii="宋体" w:hAnsi="宋体" w:cs="宋体" w:eastAsia="宋体" w:hint="default"/>
          <w:sz w:val="28"/>
          <w:szCs w:val="28"/>
        </w:rPr>
      </w:pPr>
    </w:p>
    <w:p>
      <w:pPr>
        <w:pStyle w:val="Heading2"/>
        <w:spacing w:line="424" w:lineRule="auto"/>
        <w:ind w:left="138" w:right="354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0"/>
        <w:rPr>
          <w:rFonts w:ascii="宋体" w:hAnsi="宋体" w:cs="宋体" w:eastAsia="宋体" w:hint="default"/>
          <w:sz w:val="15"/>
          <w:szCs w:val="15"/>
        </w:rPr>
      </w:pPr>
    </w:p>
    <w:p>
      <w:pPr>
        <w:pStyle w:val="Heading2"/>
        <w:tabs>
          <w:tab w:pos="781" w:val="left" w:leader="none"/>
        </w:tabs>
        <w:spacing w:line="355" w:lineRule="auto"/>
        <w:ind w:left="138" w:right="376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Heading2"/>
        <w:tabs>
          <w:tab w:pos="781" w:val="left" w:leader="none"/>
        </w:tabs>
        <w:spacing w:line="240" w:lineRule="auto" w:before="138"/>
        <w:ind w:left="138" w:right="100"/>
        <w:jc w:val="left"/>
        <w:rPr>
          <w:b w:val="0"/>
          <w:bCs w:val="0"/>
        </w:rPr>
      </w:pPr>
      <w:r>
        <w:rPr/>
        <w:t>九、</w:t>
        <w:tab/>
        <w:t>重大风险提示</w:t>
      </w:r>
      <w:r>
        <w:rPr>
          <w:b w:val="0"/>
          <w:bCs w:val="0"/>
        </w:rPr>
      </w:r>
    </w:p>
    <w:p>
      <w:pPr>
        <w:pStyle w:val="BodyText"/>
        <w:spacing w:line="240" w:lineRule="auto" w:before="133"/>
        <w:ind w:left="138" w:right="100"/>
        <w:jc w:val="left"/>
      </w:pPr>
      <w:r>
        <w:rPr>
          <w:spacing w:val="-1"/>
        </w:rPr>
        <w:t>公司已在本报告中详细描述可能存在的相关风险，敬请查阅第四节经营情况讨论与分析中可能面</w:t>
      </w:r>
      <w:r>
        <w:rPr>
          <w:spacing w:val="-55"/>
        </w:rPr>
        <w:t> </w:t>
      </w:r>
      <w:r>
        <w:rPr>
          <w:spacing w:val="-55"/>
        </w:rPr>
      </w:r>
      <w:r>
        <w:rPr/>
        <w:t>对风险的内容。</w:t>
      </w:r>
    </w:p>
    <w:p>
      <w:pPr>
        <w:spacing w:line="240" w:lineRule="auto" w:before="10"/>
        <w:rPr>
          <w:rFonts w:ascii="宋体" w:hAnsi="宋体" w:cs="宋体" w:eastAsia="宋体" w:hint="default"/>
          <w:sz w:val="17"/>
          <w:szCs w:val="17"/>
        </w:rPr>
      </w:pPr>
    </w:p>
    <w:p>
      <w:pPr>
        <w:spacing w:before="0"/>
        <w:ind w:left="138" w:right="10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81" w:lineRule="exact" w:before="160"/>
        <w:ind w:left="138" w:right="10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81" w:lineRule="exact"/>
        <w:ind w:left="138" w:right="100"/>
        <w:jc w:val="left"/>
      </w:pPr>
      <w:r>
        <w:rPr>
          <w:spacing w:val="-3"/>
        </w:rPr>
        <w:t>报告期内，根据中国证监会证监许可</w:t>
      </w:r>
      <w:r>
        <w:rPr>
          <w:rFonts w:ascii="Times New Roman" w:hAnsi="Times New Roman" w:cs="Times New Roman" w:eastAsia="Times New Roman" w:hint="default"/>
          <w:spacing w:val="-3"/>
        </w:rPr>
        <w:t>[2017]431 </w:t>
      </w:r>
      <w:r>
        <w:rPr>
          <w:rFonts w:ascii="Times New Roman" w:hAnsi="Times New Roman" w:cs="Times New Roman" w:eastAsia="Times New Roman" w:hint="default"/>
          <w:spacing w:val="7"/>
        </w:rPr>
        <w:t> </w:t>
      </w:r>
      <w:r>
        <w:rPr>
          <w:spacing w:val="-3"/>
        </w:rPr>
        <w:t>号《关于核准上海格尔软件股份有限公司首次公开</w:t>
      </w:r>
    </w:p>
    <w:p>
      <w:pPr>
        <w:spacing w:after="0" w:line="281" w:lineRule="exact"/>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82" w:lineRule="exact" w:before="36"/>
        <w:ind w:left="138" w:right="0"/>
        <w:jc w:val="both"/>
      </w:pPr>
      <w:r>
        <w:rPr/>
        <w:t>发行股票的批复》核准，公司获准在上海证券交易所向社会公开发行人民币普通股 </w:t>
      </w:r>
      <w:r>
        <w:rPr>
          <w:rFonts w:ascii="Times New Roman" w:hAnsi="Times New Roman" w:cs="Times New Roman" w:eastAsia="Times New Roman" w:hint="default"/>
        </w:rPr>
        <w:t>1,525</w:t>
      </w:r>
      <w:r>
        <w:rPr>
          <w:rFonts w:ascii="Times New Roman" w:hAnsi="Times New Roman" w:cs="Times New Roman" w:eastAsia="Times New Roman" w:hint="default"/>
          <w:spacing w:val="12"/>
        </w:rPr>
        <w:t> </w:t>
      </w:r>
      <w:r>
        <w:rPr>
          <w:spacing w:val="-3"/>
        </w:rPr>
        <w:t>万股，</w:t>
      </w:r>
      <w:r>
        <w:rPr/>
      </w:r>
    </w:p>
    <w:p>
      <w:pPr>
        <w:pStyle w:val="BodyText"/>
        <w:spacing w:line="225" w:lineRule="auto" w:before="6"/>
        <w:ind w:left="138" w:right="130"/>
        <w:jc w:val="both"/>
      </w:pPr>
      <w:r>
        <w:rPr/>
        <w:t>每股发行价格为人民币</w:t>
      </w:r>
      <w:r>
        <w:rPr>
          <w:spacing w:val="-38"/>
        </w:rPr>
        <w:t> </w:t>
      </w:r>
      <w:r>
        <w:rPr>
          <w:rFonts w:ascii="Times New Roman" w:hAnsi="Times New Roman" w:cs="Times New Roman" w:eastAsia="Times New Roman" w:hint="default"/>
        </w:rPr>
        <w:t>18.10</w:t>
      </w:r>
      <w:r>
        <w:rPr>
          <w:rFonts w:ascii="Times New Roman" w:hAnsi="Times New Roman" w:cs="Times New Roman" w:eastAsia="Times New Roman" w:hint="default"/>
          <w:spacing w:val="14"/>
        </w:rPr>
        <w:t> </w:t>
      </w:r>
      <w:r>
        <w:rPr/>
        <w:t>元。发行后，公司总股本增加至</w:t>
      </w:r>
      <w:r>
        <w:rPr>
          <w:spacing w:val="-38"/>
        </w:rPr>
        <w:t> </w:t>
      </w:r>
      <w:r>
        <w:rPr>
          <w:rFonts w:ascii="Times New Roman" w:hAnsi="Times New Roman" w:cs="Times New Roman" w:eastAsia="Times New Roman" w:hint="default"/>
        </w:rPr>
        <w:t>6100</w:t>
      </w:r>
      <w:r>
        <w:rPr>
          <w:rFonts w:ascii="Times New Roman" w:hAnsi="Times New Roman" w:cs="Times New Roman" w:eastAsia="Times New Roman" w:hint="default"/>
          <w:spacing w:val="12"/>
        </w:rPr>
        <w:t> </w:t>
      </w:r>
      <w:r>
        <w:rPr/>
        <w:t>万股，公司股票于</w:t>
      </w:r>
      <w:r>
        <w:rPr>
          <w:spacing w:val="-3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40"/>
        </w:rPr>
        <w:t> </w:t>
      </w:r>
      <w:r>
        <w:rPr>
          <w:rFonts w:ascii="Times New Roman" w:hAnsi="Times New Roman" w:cs="Times New Roman" w:eastAsia="Times New Roman" w:hint="default"/>
        </w:rPr>
        <w:t>4</w:t>
      </w:r>
      <w:r>
        <w:rPr>
          <w:rFonts w:ascii="Times New Roman" w:hAnsi="Times New Roman" w:cs="Times New Roman" w:eastAsia="Times New Roman" w:hint="default"/>
          <w:w w:val="100"/>
        </w:rPr>
        <w:t> </w:t>
      </w:r>
      <w:r>
        <w:rPr/>
        <w:t>月</w:t>
      </w:r>
      <w:r>
        <w:rPr>
          <w:spacing w:val="-41"/>
        </w:rPr>
        <w:t> </w:t>
      </w:r>
      <w:r>
        <w:rPr>
          <w:rFonts w:ascii="Times New Roman" w:hAnsi="Times New Roman" w:cs="Times New Roman" w:eastAsia="Times New Roman" w:hint="default"/>
        </w:rPr>
        <w:t>21</w:t>
      </w:r>
      <w:r>
        <w:rPr>
          <w:rFonts w:ascii="Times New Roman" w:hAnsi="Times New Roman" w:cs="Times New Roman" w:eastAsia="Times New Roman" w:hint="default"/>
          <w:spacing w:val="9"/>
        </w:rPr>
        <w:t> </w:t>
      </w:r>
      <w:r>
        <w:rPr/>
        <w:t>日在上海证券交易所挂牌交易。详见公司刊登于上海证券交易所网站</w:t>
      </w:r>
      <w:r>
        <w:rPr>
          <w:spacing w:val="-41"/>
        </w:rPr>
        <w:t> </w:t>
      </w:r>
      <w:hyperlink r:id="rId8">
        <w:r>
          <w:rPr>
            <w:rFonts w:ascii="Times New Roman" w:hAnsi="Times New Roman" w:cs="Times New Roman" w:eastAsia="Times New Roman" w:hint="default"/>
          </w:rPr>
          <w:t>www.sse.com.cn</w:t>
        </w:r>
      </w:hyperlink>
      <w:r>
        <w:rPr>
          <w:rFonts w:ascii="Times New Roman" w:hAnsi="Times New Roman" w:cs="Times New Roman" w:eastAsia="Times New Roman" w:hint="default"/>
          <w:spacing w:val="12"/>
        </w:rPr>
        <w:t> </w:t>
      </w:r>
      <w:r>
        <w:rPr/>
        <w:t>有关</w:t>
      </w:r>
      <w:r>
        <w:rPr>
          <w:w w:val="100"/>
        </w:rPr>
        <w:t> </w:t>
      </w:r>
      <w:r>
        <w:rPr/>
        <w:t>公告。</w:t>
      </w:r>
    </w:p>
    <w:p>
      <w:pPr>
        <w:spacing w:after="0" w:line="225"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111" w:right="109"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397" w:val="left" w:leader="none"/>
              <w:tab w:pos="8949"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2"/>
              </w:rPr>
              <w:t>11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t>16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spacing w:val="-1"/>
              </w:rPr>
              <w:t>第十二节</w:t>
              <w:tab/>
            </w:r>
            <w:r>
              <w:rPr/>
              <w:t>备查文件目录</w:t>
            </w:r>
            <w:r>
              <w:rPr>
                <w:rFonts w:ascii="Times New Roman" w:hAnsi="Times New Roman" w:cs="Times New Roman" w:eastAsia="Times New Roman" w:hint="default"/>
              </w:rPr>
              <w:tab/>
              <w:t>155</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655"/>
        <w:ind w:right="17"/>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right="2465"/>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本公司、公司、格尔软件</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上海格尔软件股份有限公司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格尔国信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北京格尔国信科技有限公司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格尔安全</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上海格尔安全科技有限公司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格尔实业</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上海格尔实业发展有限公司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展荣投资</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上海展荣投资管理有限公司</w:t>
            </w:r>
          </w:p>
        </w:tc>
      </w:tr>
      <w:tr>
        <w:trPr>
          <w:trHeight w:val="555"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圣睿投资</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上海圣睿</w:t>
            </w:r>
            <w:r>
              <w:rPr>
                <w:rFonts w:ascii="宋体" w:hAnsi="宋体" w:cs="宋体" w:eastAsia="宋体" w:hint="default"/>
                <w:spacing w:val="-64"/>
                <w:sz w:val="21"/>
                <w:szCs w:val="21"/>
              </w:rPr>
              <w:t> </w:t>
            </w:r>
            <w:r>
              <w:rPr>
                <w:rFonts w:ascii="宋体" w:hAnsi="宋体" w:cs="宋体" w:eastAsia="宋体" w:hint="default"/>
                <w:spacing w:val="18"/>
                <w:sz w:val="21"/>
                <w:szCs w:val="21"/>
              </w:rPr>
              <w:t>投资管理合伙企</w:t>
            </w:r>
            <w:r>
              <w:rPr>
                <w:rFonts w:ascii="宋体" w:hAnsi="宋体" w:cs="宋体" w:eastAsia="宋体" w:hint="default"/>
                <w:spacing w:val="-64"/>
                <w:sz w:val="21"/>
                <w:szCs w:val="21"/>
              </w:rPr>
              <w:t> </w:t>
            </w:r>
            <w:r>
              <w:rPr>
                <w:rFonts w:ascii="宋体" w:hAnsi="宋体" w:cs="宋体" w:eastAsia="宋体" w:hint="default"/>
                <w:sz w:val="21"/>
                <w:szCs w:val="21"/>
              </w:rPr>
              <w:t>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（有限合伙）</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境内上市人民币普通股</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人民币元，人民币万元</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557"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《上海格尔软件股份有限公司</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章程》</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证券交易所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国家发改委</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中华人民共和国国家发展和改</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革委员会</w:t>
            </w:r>
          </w:p>
        </w:tc>
      </w:tr>
      <w:tr>
        <w:trPr>
          <w:trHeight w:val="555"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工信部</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中华人民共和国工业和信息化</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部</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科技部</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中华人民共和国科学技术部</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公安部</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中华人民共和国公安部</w:t>
            </w:r>
          </w:p>
        </w:tc>
      </w:tr>
      <w:tr>
        <w:trPr>
          <w:trHeight w:val="557"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公安部网监局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公安部公共信息网络安全监管</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局</w:t>
            </w:r>
          </w:p>
        </w:tc>
      </w:tr>
      <w:tr>
        <w:trPr>
          <w:trHeight w:val="137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信息安全</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保护信息系统不受偶然的或者</w:t>
            </w:r>
            <w:r>
              <w:rPr>
                <w:rFonts w:ascii="宋体" w:hAnsi="宋体" w:cs="宋体" w:eastAsia="宋体" w:hint="default"/>
                <w:sz w:val="21"/>
                <w:szCs w:val="21"/>
              </w:rPr>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恶意的破坏、更改、泄露，保</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证系统连续可靠正常地运行，</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信息服务不中断，最终实现业</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务连续性</w:t>
            </w:r>
          </w:p>
        </w:tc>
      </w:tr>
      <w:tr>
        <w:trPr>
          <w:trHeight w:val="3008"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Times New Roman" w:hAnsi="Times New Roman" w:cs="Times New Roman" w:eastAsia="Times New Roman" w:hint="default"/>
                <w:sz w:val="21"/>
                <w:szCs w:val="21"/>
              </w:rPr>
            </w:pPr>
            <w:r>
              <w:rPr>
                <w:rFonts w:ascii="Times New Roman"/>
                <w:sz w:val="21"/>
              </w:rPr>
              <w:t>PKI</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公</w:t>
            </w:r>
            <w:r>
              <w:rPr>
                <w:rFonts w:ascii="宋体" w:hAnsi="宋体" w:cs="宋体" w:eastAsia="宋体" w:hint="default"/>
                <w:spacing w:val="-65"/>
                <w:sz w:val="21"/>
                <w:szCs w:val="21"/>
              </w:rPr>
              <w:t> </w:t>
            </w:r>
            <w:r>
              <w:rPr>
                <w:rFonts w:ascii="宋体" w:hAnsi="宋体" w:cs="宋体" w:eastAsia="宋体" w:hint="default"/>
                <w:sz w:val="21"/>
                <w:szCs w:val="21"/>
              </w:rPr>
              <w:t>钥</w:t>
            </w:r>
            <w:r>
              <w:rPr>
                <w:rFonts w:ascii="宋体" w:hAnsi="宋体" w:cs="宋体" w:eastAsia="宋体" w:hint="default"/>
                <w:spacing w:val="-65"/>
                <w:sz w:val="21"/>
                <w:szCs w:val="21"/>
              </w:rPr>
              <w:t> </w:t>
            </w:r>
            <w:r>
              <w:rPr>
                <w:rFonts w:ascii="宋体" w:hAnsi="宋体" w:cs="宋体" w:eastAsia="宋体" w:hint="default"/>
                <w:sz w:val="21"/>
                <w:szCs w:val="21"/>
              </w:rPr>
              <w:t>基</w:t>
            </w:r>
            <w:r>
              <w:rPr>
                <w:rFonts w:ascii="宋体" w:hAnsi="宋体" w:cs="宋体" w:eastAsia="宋体" w:hint="default"/>
                <w:spacing w:val="-62"/>
                <w:sz w:val="21"/>
                <w:szCs w:val="21"/>
              </w:rPr>
              <w:t> </w:t>
            </w:r>
            <w:r>
              <w:rPr>
                <w:rFonts w:ascii="宋体" w:hAnsi="宋体" w:cs="宋体" w:eastAsia="宋体" w:hint="default"/>
                <w:sz w:val="21"/>
                <w:szCs w:val="21"/>
              </w:rPr>
              <w:t>础</w:t>
            </w:r>
            <w:r>
              <w:rPr>
                <w:rFonts w:ascii="宋体" w:hAnsi="宋体" w:cs="宋体" w:eastAsia="宋体" w:hint="default"/>
                <w:spacing w:val="-65"/>
                <w:sz w:val="21"/>
                <w:szCs w:val="21"/>
              </w:rPr>
              <w:t> </w:t>
            </w:r>
            <w:r>
              <w:rPr>
                <w:rFonts w:ascii="宋体" w:hAnsi="宋体" w:cs="宋体" w:eastAsia="宋体" w:hint="default"/>
                <w:sz w:val="21"/>
                <w:szCs w:val="21"/>
              </w:rPr>
              <w:t>设</w:t>
            </w:r>
            <w:r>
              <w:rPr>
                <w:rFonts w:ascii="宋体" w:hAnsi="宋体" w:cs="宋体" w:eastAsia="宋体" w:hint="default"/>
                <w:spacing w:val="-65"/>
                <w:sz w:val="21"/>
                <w:szCs w:val="21"/>
              </w:rPr>
              <w:t> </w:t>
            </w:r>
            <w:r>
              <w:rPr>
                <w:rFonts w:ascii="宋体" w:hAnsi="宋体" w:cs="宋体" w:eastAsia="宋体" w:hint="default"/>
                <w:sz w:val="21"/>
                <w:szCs w:val="21"/>
              </w:rPr>
              <w:t>施</w:t>
            </w:r>
            <w:r>
              <w:rPr>
                <w:rFonts w:ascii="宋体" w:hAnsi="宋体" w:cs="宋体" w:eastAsia="宋体" w:hint="default"/>
                <w:spacing w:val="-65"/>
                <w:sz w:val="21"/>
                <w:szCs w:val="21"/>
              </w:rPr>
              <w:t> </w:t>
            </w:r>
            <w:r>
              <w:rPr>
                <w:rFonts w:ascii="宋体" w:hAnsi="宋体" w:cs="宋体" w:eastAsia="宋体" w:hint="default"/>
                <w:sz w:val="21"/>
                <w:szCs w:val="21"/>
              </w:rPr>
              <w:t>（</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Public </w:t>
            </w:r>
            <w:r>
              <w:rPr>
                <w:rFonts w:ascii="Times New Roman" w:hAnsi="Times New Roman" w:cs="Times New Roman" w:eastAsia="Times New Roman" w:hint="default"/>
                <w:spacing w:val="43"/>
                <w:sz w:val="21"/>
                <w:szCs w:val="21"/>
              </w:rPr>
              <w:t> </w:t>
            </w:r>
            <w:r>
              <w:rPr>
                <w:rFonts w:ascii="Times New Roman" w:hAnsi="Times New Roman" w:cs="Times New Roman" w:eastAsia="Times New Roman" w:hint="default"/>
                <w:sz w:val="21"/>
                <w:szCs w:val="21"/>
              </w:rPr>
              <w:t>Key</w:t>
            </w:r>
          </w:p>
          <w:p>
            <w:pPr>
              <w:pStyle w:val="TableParagraph"/>
              <w:spacing w:line="235" w:lineRule="auto"/>
              <w:ind w:left="103" w:right="96"/>
              <w:jc w:val="both"/>
              <w:rPr>
                <w:rFonts w:ascii="宋体" w:hAnsi="宋体" w:cs="宋体" w:eastAsia="宋体" w:hint="default"/>
                <w:sz w:val="21"/>
                <w:szCs w:val="21"/>
              </w:rPr>
            </w:pPr>
            <w:r>
              <w:rPr>
                <w:rFonts w:ascii="Times New Roman" w:hAnsi="Times New Roman" w:cs="Times New Roman" w:eastAsia="Times New Roman" w:hint="default"/>
                <w:spacing w:val="-3"/>
                <w:w w:val="100"/>
                <w:sz w:val="21"/>
                <w:szCs w:val="21"/>
              </w:rPr>
              <w:t>Infrastructure</w:t>
            </w:r>
            <w:r>
              <w:rPr>
                <w:rFonts w:ascii="宋体" w:hAnsi="宋体" w:cs="宋体" w:eastAsia="宋体" w:hint="default"/>
                <w:spacing w:val="-3"/>
                <w:w w:val="100"/>
                <w:sz w:val="21"/>
                <w:szCs w:val="21"/>
              </w:rPr>
              <w:t>），即基于公钥密</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2"/>
                <w:sz w:val="21"/>
                <w:szCs w:val="21"/>
              </w:rPr>
              <w:t>码技术所构建的、国际公认的</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16"/>
                <w:sz w:val="21"/>
                <w:szCs w:val="21"/>
              </w:rPr>
              <w:t>能够全面</w:t>
            </w:r>
            <w:r>
              <w:rPr>
                <w:rFonts w:ascii="宋体" w:hAnsi="宋体" w:cs="宋体" w:eastAsia="宋体" w:hint="default"/>
                <w:spacing w:val="-69"/>
                <w:sz w:val="21"/>
                <w:szCs w:val="21"/>
              </w:rPr>
              <w:t> </w:t>
            </w:r>
            <w:r>
              <w:rPr>
                <w:rFonts w:ascii="宋体" w:hAnsi="宋体" w:cs="宋体" w:eastAsia="宋体" w:hint="default"/>
                <w:spacing w:val="18"/>
                <w:sz w:val="21"/>
                <w:szCs w:val="21"/>
              </w:rPr>
              <w:t>解决信息安全问</w:t>
            </w:r>
            <w:r>
              <w:rPr>
                <w:rFonts w:ascii="宋体" w:hAnsi="宋体" w:cs="宋体" w:eastAsia="宋体" w:hint="default"/>
                <w:spacing w:val="-69"/>
                <w:sz w:val="21"/>
                <w:szCs w:val="21"/>
              </w:rPr>
              <w:t> </w:t>
            </w:r>
            <w:r>
              <w:rPr>
                <w:rFonts w:ascii="宋体" w:hAnsi="宋体" w:cs="宋体" w:eastAsia="宋体" w:hint="default"/>
                <w:sz w:val="21"/>
                <w:szCs w:val="21"/>
              </w:rPr>
              <w:t>题</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的、普遍适用的一种信息安全</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基础设施，能够为信息系统提</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供密钥管理和证书管理等基础</w:t>
            </w:r>
            <w:r>
              <w:rPr>
                <w:rFonts w:ascii="宋体" w:hAnsi="宋体" w:cs="宋体" w:eastAsia="宋体" w:hint="default"/>
                <w:sz w:val="21"/>
                <w:szCs w:val="21"/>
              </w:rPr>
            </w:r>
          </w:p>
          <w:p>
            <w:pPr>
              <w:pStyle w:val="TableParagraph"/>
              <w:spacing w:line="272" w:lineRule="exact" w:before="27"/>
              <w:ind w:left="103" w:right="-5"/>
              <w:jc w:val="left"/>
              <w:rPr>
                <w:rFonts w:ascii="宋体" w:hAnsi="宋体" w:cs="宋体" w:eastAsia="宋体" w:hint="default"/>
                <w:sz w:val="21"/>
                <w:szCs w:val="21"/>
              </w:rPr>
            </w:pPr>
            <w:r>
              <w:rPr>
                <w:rFonts w:ascii="宋体" w:hAnsi="宋体" w:cs="宋体" w:eastAsia="宋体" w:hint="default"/>
                <w:spacing w:val="-4"/>
                <w:sz w:val="21"/>
                <w:szCs w:val="21"/>
              </w:rPr>
              <w:t>性安全服务，为应用提供认证、</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加密和数字签名等安全支撑，</w:t>
            </w:r>
            <w:r>
              <w:rPr>
                <w:rFonts w:ascii="宋体" w:hAnsi="宋体" w:cs="宋体" w:eastAsia="宋体" w:hint="default"/>
                <w:sz w:val="21"/>
                <w:szCs w:val="21"/>
              </w:rPr>
            </w:r>
          </w:p>
          <w:p>
            <w:pPr>
              <w:pStyle w:val="TableParagraph"/>
              <w:spacing w:line="272" w:lineRule="exact" w:before="1"/>
              <w:ind w:left="103" w:right="96"/>
              <w:jc w:val="both"/>
              <w:rPr>
                <w:rFonts w:ascii="宋体" w:hAnsi="宋体" w:cs="宋体" w:eastAsia="宋体" w:hint="default"/>
                <w:sz w:val="21"/>
                <w:szCs w:val="21"/>
              </w:rPr>
            </w:pPr>
            <w:r>
              <w:rPr>
                <w:rFonts w:ascii="宋体" w:hAnsi="宋体" w:cs="宋体" w:eastAsia="宋体" w:hint="default"/>
                <w:spacing w:val="2"/>
                <w:sz w:val="21"/>
                <w:szCs w:val="21"/>
              </w:rPr>
              <w:t>以解决信息的机密性、完整性</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和不可抵赖性</w:t>
            </w:r>
          </w:p>
        </w:tc>
      </w:tr>
      <w:tr>
        <w:trPr>
          <w:trHeight w:val="110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Times New Roman" w:hAnsi="Times New Roman" w:cs="Times New Roman" w:eastAsia="Times New Roman" w:hint="default"/>
                <w:sz w:val="21"/>
                <w:szCs w:val="21"/>
              </w:rPr>
            </w:pPr>
            <w:r>
              <w:rPr>
                <w:rFonts w:ascii="Times New Roman"/>
                <w:sz w:val="21"/>
              </w:rPr>
              <w:t>CA</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数字证书认证系统或数字证书</w:t>
            </w:r>
            <w:r>
              <w:rPr>
                <w:rFonts w:ascii="宋体" w:hAnsi="宋体" w:cs="宋体" w:eastAsia="宋体" w:hint="default"/>
                <w:sz w:val="21"/>
                <w:szCs w:val="21"/>
              </w:rPr>
            </w:r>
          </w:p>
          <w:p>
            <w:pPr>
              <w:pStyle w:val="TableParagraph"/>
              <w:spacing w:line="225" w:lineRule="auto" w:before="13"/>
              <w:ind w:left="103" w:right="96"/>
              <w:jc w:val="both"/>
              <w:rPr>
                <w:rFonts w:ascii="宋体" w:hAnsi="宋体" w:cs="宋体" w:eastAsia="宋体" w:hint="default"/>
                <w:sz w:val="21"/>
                <w:szCs w:val="21"/>
              </w:rPr>
            </w:pPr>
            <w:r>
              <w:rPr>
                <w:rFonts w:ascii="宋体" w:hAnsi="宋体" w:cs="宋体" w:eastAsia="宋体" w:hint="default"/>
                <w:sz w:val="21"/>
                <w:szCs w:val="21"/>
              </w:rPr>
              <w:t>认 证 中 心 （</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Certificate</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8"/>
                <w:w w:val="100"/>
                <w:sz w:val="21"/>
                <w:szCs w:val="21"/>
              </w:rPr>
              <w:t>Authority</w:t>
            </w:r>
            <w:r>
              <w:rPr>
                <w:rFonts w:ascii="宋体" w:hAnsi="宋体" w:cs="宋体" w:eastAsia="宋体" w:hint="default"/>
                <w:spacing w:val="-8"/>
                <w:w w:val="100"/>
                <w:sz w:val="21"/>
                <w:szCs w:val="21"/>
              </w:rPr>
              <w:t>），前者是指发放、管</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2"/>
                <w:sz w:val="21"/>
                <w:szCs w:val="21"/>
              </w:rPr>
              <w:t>理、废除数字证书的系统，其</w:t>
            </w:r>
            <w:r>
              <w:rPr>
                <w:rFonts w:ascii="宋体" w:hAnsi="宋体" w:cs="宋体" w:eastAsia="宋体" w:hint="default"/>
                <w:sz w:val="21"/>
                <w:szCs w:val="21"/>
              </w:rPr>
            </w:r>
          </w:p>
        </w:tc>
      </w:tr>
    </w:tbl>
    <w:p>
      <w:pPr>
        <w:spacing w:after="0" w:line="225" w:lineRule="auto"/>
        <w:jc w:val="both"/>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137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作用是检查证书持有者身份的</w:t>
            </w:r>
            <w:r>
              <w:rPr>
                <w:rFonts w:ascii="宋体" w:hAnsi="宋体" w:cs="宋体" w:eastAsia="宋体" w:hint="default"/>
                <w:sz w:val="21"/>
                <w:szCs w:val="21"/>
              </w:rPr>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合法性，并签发证书，以防证</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书被伪造或篡改，以及对证书</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进行管理；后者是指发放、管</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理、废除数字证书的机构</w:t>
            </w:r>
          </w:p>
        </w:tc>
      </w:tr>
      <w:tr>
        <w:trPr>
          <w:trHeight w:val="1915"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RA</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证</w:t>
            </w:r>
            <w:r>
              <w:rPr>
                <w:rFonts w:ascii="宋体" w:hAnsi="宋体" w:cs="宋体" w:eastAsia="宋体" w:hint="default"/>
                <w:spacing w:val="-62"/>
                <w:sz w:val="21"/>
                <w:szCs w:val="21"/>
              </w:rPr>
              <w:t> </w:t>
            </w:r>
            <w:r>
              <w:rPr>
                <w:rFonts w:ascii="宋体" w:hAnsi="宋体" w:cs="宋体" w:eastAsia="宋体" w:hint="default"/>
                <w:sz w:val="21"/>
                <w:szCs w:val="21"/>
              </w:rPr>
              <w:t>书</w:t>
            </w:r>
            <w:r>
              <w:rPr>
                <w:rFonts w:ascii="宋体" w:hAnsi="宋体" w:cs="宋体" w:eastAsia="宋体" w:hint="default"/>
                <w:spacing w:val="-62"/>
                <w:sz w:val="21"/>
                <w:szCs w:val="21"/>
              </w:rPr>
              <w:t> </w:t>
            </w:r>
            <w:r>
              <w:rPr>
                <w:rFonts w:ascii="宋体" w:hAnsi="宋体" w:cs="宋体" w:eastAsia="宋体" w:hint="default"/>
                <w:sz w:val="21"/>
                <w:szCs w:val="21"/>
              </w:rPr>
              <w:t>注</w:t>
            </w:r>
            <w:r>
              <w:rPr>
                <w:rFonts w:ascii="宋体" w:hAnsi="宋体" w:cs="宋体" w:eastAsia="宋体" w:hint="default"/>
                <w:spacing w:val="-65"/>
                <w:sz w:val="21"/>
                <w:szCs w:val="21"/>
              </w:rPr>
              <w:t> </w:t>
            </w:r>
            <w:r>
              <w:rPr>
                <w:rFonts w:ascii="宋体" w:hAnsi="宋体" w:cs="宋体" w:eastAsia="宋体" w:hint="default"/>
                <w:sz w:val="21"/>
                <w:szCs w:val="21"/>
              </w:rPr>
              <w:t>册</w:t>
            </w:r>
            <w:r>
              <w:rPr>
                <w:rFonts w:ascii="宋体" w:hAnsi="宋体" w:cs="宋体" w:eastAsia="宋体" w:hint="default"/>
                <w:spacing w:val="-62"/>
                <w:sz w:val="21"/>
                <w:szCs w:val="21"/>
              </w:rPr>
              <w:t> </w:t>
            </w:r>
            <w:r>
              <w:rPr>
                <w:rFonts w:ascii="宋体" w:hAnsi="宋体" w:cs="宋体" w:eastAsia="宋体" w:hint="default"/>
                <w:sz w:val="21"/>
                <w:szCs w:val="21"/>
              </w:rPr>
              <w:t>系</w:t>
            </w:r>
            <w:r>
              <w:rPr>
                <w:rFonts w:ascii="宋体" w:hAnsi="宋体" w:cs="宋体" w:eastAsia="宋体" w:hint="default"/>
                <w:spacing w:val="-65"/>
                <w:sz w:val="21"/>
                <w:szCs w:val="21"/>
              </w:rPr>
              <w:t> </w:t>
            </w:r>
            <w:r>
              <w:rPr>
                <w:rFonts w:ascii="宋体" w:hAnsi="宋体" w:cs="宋体" w:eastAsia="宋体" w:hint="default"/>
                <w:sz w:val="21"/>
                <w:szCs w:val="21"/>
              </w:rPr>
              <w:t>统</w:t>
            </w:r>
            <w:r>
              <w:rPr>
                <w:rFonts w:ascii="宋体" w:hAnsi="宋体" w:cs="宋体" w:eastAsia="宋体" w:hint="default"/>
                <w:spacing w:val="-62"/>
                <w:sz w:val="21"/>
                <w:szCs w:val="21"/>
              </w:rPr>
              <w:t> </w:t>
            </w:r>
            <w:r>
              <w:rPr>
                <w:rFonts w:ascii="宋体" w:hAnsi="宋体" w:cs="宋体" w:eastAsia="宋体" w:hint="default"/>
                <w:sz w:val="21"/>
                <w:szCs w:val="21"/>
              </w:rPr>
              <w:t>（</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Registration</w:t>
            </w:r>
          </w:p>
          <w:p>
            <w:pPr>
              <w:pStyle w:val="TableParagraph"/>
              <w:spacing w:line="230" w:lineRule="auto" w:before="1"/>
              <w:ind w:left="103" w:right="96"/>
              <w:jc w:val="both"/>
              <w:rPr>
                <w:rFonts w:ascii="宋体" w:hAnsi="宋体" w:cs="宋体" w:eastAsia="宋体" w:hint="default"/>
                <w:sz w:val="21"/>
                <w:szCs w:val="21"/>
              </w:rPr>
            </w:pPr>
            <w:r>
              <w:rPr>
                <w:rFonts w:ascii="Times New Roman" w:hAnsi="Times New Roman" w:cs="Times New Roman" w:eastAsia="Times New Roman" w:hint="default"/>
                <w:spacing w:val="-8"/>
                <w:w w:val="100"/>
                <w:sz w:val="21"/>
                <w:szCs w:val="21"/>
              </w:rPr>
              <w:t>Authority</w:t>
            </w:r>
            <w:r>
              <w:rPr>
                <w:rFonts w:ascii="宋体" w:hAnsi="宋体" w:cs="宋体" w:eastAsia="宋体" w:hint="default"/>
                <w:spacing w:val="-8"/>
                <w:w w:val="100"/>
                <w:sz w:val="21"/>
                <w:szCs w:val="21"/>
              </w:rPr>
              <w:t>），是数字证书认证系</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2"/>
                <w:sz w:val="21"/>
                <w:szCs w:val="21"/>
              </w:rPr>
              <w:t>统的证书发放、管理的延伸，</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主要负责证书申请者的信息录</w:t>
            </w:r>
            <w:r>
              <w:rPr>
                <w:rFonts w:ascii="宋体" w:hAnsi="宋体" w:cs="宋体" w:eastAsia="宋体" w:hint="default"/>
                <w:sz w:val="21"/>
                <w:szCs w:val="21"/>
              </w:rPr>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4"/>
                <w:sz w:val="21"/>
                <w:szCs w:val="21"/>
              </w:rPr>
              <w:t>入、审核以及证书发放等工作，</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同时对发放的证书完成相应的</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管理功能</w:t>
            </w:r>
          </w:p>
        </w:tc>
      </w:tr>
      <w:tr>
        <w:trPr>
          <w:trHeight w:val="1645"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Times New Roman" w:hAnsi="Times New Roman" w:cs="Times New Roman" w:eastAsia="Times New Roman" w:hint="default"/>
                <w:sz w:val="21"/>
                <w:szCs w:val="21"/>
              </w:rPr>
            </w:pPr>
            <w:r>
              <w:rPr>
                <w:rFonts w:ascii="Times New Roman"/>
                <w:sz w:val="21"/>
              </w:rPr>
              <w:t>TQRDC</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供应商考核系统，主要由以下</w:t>
            </w:r>
            <w:r>
              <w:rPr>
                <w:rFonts w:ascii="宋体" w:hAnsi="宋体" w:cs="宋体" w:eastAsia="宋体" w:hint="default"/>
                <w:sz w:val="21"/>
                <w:szCs w:val="21"/>
              </w:rPr>
            </w:r>
          </w:p>
          <w:p>
            <w:pPr>
              <w:pStyle w:val="TableParagraph"/>
              <w:spacing w:line="28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指标组成</w:t>
            </w:r>
            <w:r>
              <w:rPr>
                <w:rFonts w:ascii="宋体" w:hAnsi="宋体" w:cs="宋体" w:eastAsia="宋体" w:hint="default"/>
                <w:spacing w:val="-26"/>
                <w:sz w:val="21"/>
                <w:szCs w:val="21"/>
              </w:rPr>
              <w:t> </w:t>
            </w:r>
            <w:r>
              <w:rPr>
                <w:rFonts w:ascii="Times New Roman" w:hAnsi="Times New Roman" w:cs="Times New Roman" w:eastAsia="Times New Roman" w:hint="default"/>
                <w:spacing w:val="-12"/>
                <w:sz w:val="21"/>
                <w:szCs w:val="21"/>
              </w:rPr>
              <w:t>T:Technology</w:t>
            </w:r>
            <w:r>
              <w:rPr>
                <w:rFonts w:ascii="宋体" w:hAnsi="宋体" w:cs="宋体" w:eastAsia="宋体" w:hint="default"/>
                <w:spacing w:val="-12"/>
                <w:sz w:val="21"/>
                <w:szCs w:val="21"/>
              </w:rPr>
              <w:t>（技术）</w:t>
            </w:r>
            <w:r>
              <w:rPr>
                <w:rFonts w:ascii="Times New Roman" w:hAnsi="Times New Roman" w:cs="Times New Roman" w:eastAsia="Times New Roman" w:hint="default"/>
                <w:spacing w:val="-12"/>
                <w:sz w:val="21"/>
                <w:szCs w:val="21"/>
              </w:rPr>
              <w:t>,</w:t>
            </w:r>
          </w:p>
          <w:p>
            <w:pPr>
              <w:pStyle w:val="TableParagraph"/>
              <w:tabs>
                <w:tab w:pos="1714" w:val="left" w:leader="none"/>
                <w:tab w:pos="2695" w:val="left" w:leader="none"/>
              </w:tabs>
              <w:spacing w:line="27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Q:Quality</w:t>
              <w:tab/>
            </w:r>
            <w:r>
              <w:rPr>
                <w:rFonts w:ascii="宋体" w:hAnsi="宋体" w:cs="宋体" w:eastAsia="宋体" w:hint="default"/>
                <w:sz w:val="21"/>
                <w:szCs w:val="21"/>
              </w:rPr>
              <w:t>（</w:t>
              <w:tab/>
              <w:t>质</w:t>
            </w:r>
          </w:p>
          <w:p>
            <w:pPr>
              <w:pStyle w:val="TableParagraph"/>
              <w:spacing w:line="274" w:lineRule="exact" w:before="16"/>
              <w:ind w:left="103" w:right="65"/>
              <w:jc w:val="left"/>
              <w:rPr>
                <w:rFonts w:ascii="Times New Roman" w:hAnsi="Times New Roman" w:cs="Times New Roman" w:eastAsia="Times New Roman" w:hint="default"/>
                <w:sz w:val="21"/>
                <w:szCs w:val="21"/>
              </w:rPr>
            </w:pPr>
            <w:r>
              <w:rPr>
                <w:rFonts w:ascii="宋体" w:hAnsi="宋体" w:cs="宋体" w:eastAsia="宋体" w:hint="default"/>
                <w:spacing w:val="16"/>
                <w:sz w:val="21"/>
                <w:szCs w:val="21"/>
              </w:rPr>
              <w:t>量）</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,R:Responsiveness</w:t>
            </w:r>
            <w:r>
              <w:rPr>
                <w:rFonts w:ascii="Times New Roman" w:hAnsi="Times New Roman" w:cs="Times New Roman" w:eastAsia="Times New Roman" w:hint="default"/>
                <w:spacing w:val="-18"/>
                <w:sz w:val="21"/>
                <w:szCs w:val="21"/>
              </w:rPr>
              <w:t> </w:t>
            </w:r>
            <w:r>
              <w:rPr>
                <w:rFonts w:ascii="宋体" w:hAnsi="宋体" w:cs="宋体" w:eastAsia="宋体" w:hint="default"/>
                <w:spacing w:val="21"/>
                <w:sz w:val="21"/>
                <w:szCs w:val="21"/>
              </w:rPr>
              <w:t>（可靠</w:t>
            </w:r>
            <w:r>
              <w:rPr>
                <w:rFonts w:ascii="宋体" w:hAnsi="宋体" w:cs="宋体" w:eastAsia="宋体" w:hint="default"/>
                <w:spacing w:val="-72"/>
                <w:sz w:val="21"/>
                <w:szCs w:val="21"/>
              </w:rPr>
              <w:t> </w:t>
            </w:r>
            <w:r>
              <w:rPr>
                <w:rFonts w:ascii="宋体" w:hAnsi="宋体" w:cs="宋体" w:eastAsia="宋体" w:hint="default"/>
                <w:spacing w:val="-5"/>
                <w:sz w:val="21"/>
                <w:szCs w:val="21"/>
              </w:rPr>
              <w:t>度）</w:t>
            </w:r>
            <w:r>
              <w:rPr>
                <w:rFonts w:ascii="Times New Roman" w:hAnsi="Times New Roman" w:cs="Times New Roman" w:eastAsia="Times New Roman" w:hint="default"/>
                <w:spacing w:val="-5"/>
                <w:sz w:val="21"/>
                <w:szCs w:val="21"/>
              </w:rPr>
              <w:t>,D:Delivery</w:t>
            </w:r>
            <w:r>
              <w:rPr>
                <w:rFonts w:ascii="宋体" w:hAnsi="宋体" w:cs="宋体" w:eastAsia="宋体" w:hint="default"/>
                <w:spacing w:val="-5"/>
                <w:sz w:val="21"/>
                <w:szCs w:val="21"/>
              </w:rPr>
              <w:t>（交货）</w:t>
            </w:r>
            <w:r>
              <w:rPr>
                <w:rFonts w:ascii="Times New Roman" w:hAnsi="Times New Roman" w:cs="Times New Roman" w:eastAsia="Times New Roman" w:hint="default"/>
                <w:spacing w:val="-5"/>
                <w:sz w:val="21"/>
                <w:szCs w:val="21"/>
              </w:rPr>
              <w:t>,C:Cost</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w:t>
            </w:r>
          </w:p>
        </w:tc>
      </w:tr>
      <w:tr>
        <w:trPr>
          <w:trHeight w:val="1918"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pacing w:val="-4"/>
                <w:sz w:val="21"/>
              </w:rPr>
              <w:t>KM</w:t>
            </w:r>
            <w:r>
              <w:rPr>
                <w:rFonts w:ascii="Times New Roman"/>
                <w:sz w:val="21"/>
              </w:rPr>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密 钥 管 理 系 统 （  </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Key</w:t>
            </w:r>
          </w:p>
          <w:p>
            <w:pPr>
              <w:pStyle w:val="TableParagraph"/>
              <w:spacing w:line="232" w:lineRule="auto"/>
              <w:ind w:left="103" w:right="-5"/>
              <w:jc w:val="left"/>
              <w:rPr>
                <w:rFonts w:ascii="宋体" w:hAnsi="宋体" w:cs="宋体" w:eastAsia="宋体" w:hint="default"/>
                <w:sz w:val="21"/>
                <w:szCs w:val="21"/>
              </w:rPr>
            </w:pPr>
            <w:r>
              <w:rPr>
                <w:rFonts w:ascii="Times New Roman" w:hAnsi="Times New Roman" w:cs="Times New Roman" w:eastAsia="Times New Roman" w:hint="default"/>
                <w:spacing w:val="-12"/>
                <w:w w:val="100"/>
                <w:sz w:val="21"/>
                <w:szCs w:val="21"/>
              </w:rPr>
              <w:t>Management</w:t>
            </w:r>
            <w:r>
              <w:rPr>
                <w:rFonts w:ascii="宋体" w:hAnsi="宋体" w:cs="宋体" w:eastAsia="宋体" w:hint="default"/>
                <w:spacing w:val="-12"/>
                <w:w w:val="100"/>
                <w:sz w:val="21"/>
                <w:szCs w:val="21"/>
              </w:rPr>
              <w:t>），负责为</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1"/>
                <w:w w:val="100"/>
                <w:sz w:val="21"/>
                <w:szCs w:val="21"/>
              </w:rPr>
              <w:t>CA </w:t>
            </w:r>
            <w:r>
              <w:rPr>
                <w:rFonts w:ascii="宋体" w:hAnsi="宋体" w:cs="宋体" w:eastAsia="宋体" w:hint="default"/>
                <w:w w:val="100"/>
                <w:sz w:val="21"/>
                <w:szCs w:val="21"/>
              </w:rPr>
              <w:t>系统</w:t>
            </w:r>
            <w:r>
              <w:rPr>
                <w:rFonts w:ascii="宋体" w:hAnsi="宋体" w:cs="宋体" w:eastAsia="宋体" w:hint="default"/>
                <w:spacing w:val="-103"/>
                <w:w w:val="100"/>
                <w:sz w:val="21"/>
                <w:szCs w:val="21"/>
              </w:rPr>
              <w:t> </w:t>
            </w:r>
            <w:r>
              <w:rPr>
                <w:rFonts w:ascii="宋体" w:hAnsi="宋体" w:cs="宋体" w:eastAsia="宋体" w:hint="default"/>
                <w:spacing w:val="-4"/>
                <w:sz w:val="21"/>
                <w:szCs w:val="21"/>
              </w:rPr>
              <w:t>提供密钥的生成、保存、备份、</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4"/>
                <w:sz w:val="21"/>
                <w:szCs w:val="21"/>
              </w:rPr>
              <w:t>更新、恢复、查询等密钥服务，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以解决分布式应用环境中大规</w:t>
            </w:r>
            <w:r>
              <w:rPr>
                <w:rFonts w:ascii="宋体" w:hAnsi="宋体" w:cs="宋体" w:eastAsia="宋体" w:hint="default"/>
                <w:sz w:val="21"/>
                <w:szCs w:val="21"/>
              </w:rPr>
            </w:r>
          </w:p>
          <w:p>
            <w:pPr>
              <w:pStyle w:val="TableParagraph"/>
              <w:spacing w:line="274" w:lineRule="exact" w:before="23"/>
              <w:ind w:left="103" w:right="96"/>
              <w:jc w:val="left"/>
              <w:rPr>
                <w:rFonts w:ascii="宋体" w:hAnsi="宋体" w:cs="宋体" w:eastAsia="宋体" w:hint="default"/>
                <w:sz w:val="21"/>
                <w:szCs w:val="21"/>
              </w:rPr>
            </w:pPr>
            <w:r>
              <w:rPr>
                <w:rFonts w:ascii="宋体" w:hAnsi="宋体" w:cs="宋体" w:eastAsia="宋体" w:hint="default"/>
                <w:spacing w:val="2"/>
                <w:sz w:val="21"/>
                <w:szCs w:val="21"/>
              </w:rPr>
              <w:t>模密码技术应用所带来的密钥</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管理问题</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国密算法</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国家密码算法，由国家密码管</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理局组织研究制定</w:t>
            </w:r>
          </w:p>
        </w:tc>
      </w:tr>
      <w:tr>
        <w:trPr>
          <w:trHeight w:val="828"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商用密码</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对不涉及国家秘密内容的信息</w:t>
            </w:r>
            <w:r>
              <w:rPr>
                <w:rFonts w:ascii="宋体" w:hAnsi="宋体" w:cs="宋体" w:eastAsia="宋体" w:hint="default"/>
                <w:sz w:val="21"/>
                <w:szCs w:val="21"/>
              </w:rPr>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2"/>
                <w:sz w:val="21"/>
                <w:szCs w:val="21"/>
              </w:rPr>
              <w:t>进行加密保护或者安全认证所</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使用的密码技术和密码产品</w:t>
            </w:r>
          </w:p>
        </w:tc>
      </w:tr>
      <w:tr>
        <w:trPr>
          <w:trHeight w:val="137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安全服务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根据客户需求提供与信息安全</w:t>
            </w:r>
            <w:r>
              <w:rPr>
                <w:rFonts w:ascii="宋体" w:hAnsi="宋体" w:cs="宋体" w:eastAsia="宋体" w:hint="default"/>
                <w:sz w:val="21"/>
                <w:szCs w:val="21"/>
              </w:rPr>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相关的安全测评、技术支持、</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安全管理咨询、系统维护、运</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营管理、安全培训、安全托管</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等内容</w:t>
            </w:r>
          </w:p>
        </w:tc>
      </w:tr>
      <w:tr>
        <w:trPr>
          <w:trHeight w:val="110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密钥</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一种参数，在明文转换为密文</w:t>
            </w:r>
            <w:r>
              <w:rPr>
                <w:rFonts w:ascii="宋体" w:hAnsi="宋体" w:cs="宋体" w:eastAsia="宋体" w:hint="default"/>
                <w:sz w:val="21"/>
                <w:szCs w:val="21"/>
              </w:rPr>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2"/>
                <w:sz w:val="21"/>
                <w:szCs w:val="21"/>
              </w:rPr>
              <w:t>或将密文转换为明文的算法中</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输入的数据，密钥分为两种：</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对称密钥与非对称密钥</w:t>
            </w:r>
          </w:p>
        </w:tc>
      </w:tr>
      <w:tr>
        <w:trPr>
          <w:trHeight w:val="1918"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ISO9001</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ISO9000 </w:t>
            </w:r>
            <w:r>
              <w:rPr>
                <w:rFonts w:ascii="Times New Roman" w:hAnsi="Times New Roman" w:cs="Times New Roman" w:eastAsia="Times New Roman" w:hint="default"/>
                <w:spacing w:val="24"/>
                <w:sz w:val="21"/>
                <w:szCs w:val="21"/>
              </w:rPr>
              <w:t> </w:t>
            </w:r>
            <w:r>
              <w:rPr>
                <w:rFonts w:ascii="宋体" w:hAnsi="宋体" w:cs="宋体" w:eastAsia="宋体" w:hint="default"/>
                <w:spacing w:val="2"/>
                <w:sz w:val="21"/>
                <w:szCs w:val="21"/>
              </w:rPr>
              <w:t>族标准所包括的质量</w:t>
            </w:r>
          </w:p>
          <w:p>
            <w:pPr>
              <w:pStyle w:val="TableParagraph"/>
              <w:spacing w:line="230" w:lineRule="auto"/>
              <w:ind w:left="103" w:right="53"/>
              <w:jc w:val="both"/>
              <w:rPr>
                <w:rFonts w:ascii="宋体" w:hAnsi="宋体" w:cs="宋体" w:eastAsia="宋体" w:hint="default"/>
                <w:sz w:val="21"/>
                <w:szCs w:val="21"/>
              </w:rPr>
            </w:pPr>
            <w:r>
              <w:rPr>
                <w:rFonts w:ascii="宋体" w:hAnsi="宋体" w:cs="宋体" w:eastAsia="宋体" w:hint="default"/>
                <w:spacing w:val="41"/>
                <w:sz w:val="21"/>
                <w:szCs w:val="21"/>
              </w:rPr>
              <w:t>管理体系核心标准之</w:t>
            </w:r>
            <w:r>
              <w:rPr>
                <w:rFonts w:ascii="宋体" w:hAnsi="宋体" w:cs="宋体" w:eastAsia="宋体" w:hint="default"/>
                <w:spacing w:val="-48"/>
                <w:sz w:val="21"/>
                <w:szCs w:val="21"/>
              </w:rPr>
              <w:t> </w:t>
            </w:r>
            <w:r>
              <w:rPr>
                <w:rFonts w:ascii="宋体" w:hAnsi="宋体" w:cs="宋体" w:eastAsia="宋体" w:hint="default"/>
                <w:spacing w:val="23"/>
                <w:sz w:val="21"/>
                <w:szCs w:val="21"/>
              </w:rPr>
              <w:t>一。</w:t>
            </w:r>
            <w:r>
              <w:rPr>
                <w:rFonts w:ascii="宋体" w:hAnsi="宋体" w:cs="宋体" w:eastAsia="宋体" w:hint="default"/>
                <w:spacing w:val="-88"/>
                <w:sz w:val="21"/>
                <w:szCs w:val="21"/>
              </w:rPr>
              <w:t> </w:t>
            </w:r>
            <w:r>
              <w:rPr>
                <w:rFonts w:ascii="Times New Roman" w:hAnsi="Times New Roman" w:cs="Times New Roman" w:eastAsia="Times New Roman" w:hint="default"/>
                <w:sz w:val="21"/>
                <w:szCs w:val="21"/>
              </w:rPr>
              <w:t>ISO9000</w:t>
            </w:r>
            <w:r>
              <w:rPr>
                <w:rFonts w:ascii="Times New Roman" w:hAnsi="Times New Roman" w:cs="Times New Roman" w:eastAsia="Times New Roman" w:hint="default"/>
                <w:spacing w:val="17"/>
                <w:sz w:val="21"/>
                <w:szCs w:val="21"/>
              </w:rPr>
              <w:t> </w:t>
            </w:r>
            <w:r>
              <w:rPr>
                <w:rFonts w:ascii="宋体" w:hAnsi="宋体" w:cs="宋体" w:eastAsia="宋体" w:hint="default"/>
                <w:spacing w:val="2"/>
                <w:sz w:val="21"/>
                <w:szCs w:val="21"/>
              </w:rPr>
              <w:t>族标准是国际标准化</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组织（</w:t>
            </w:r>
            <w:r>
              <w:rPr>
                <w:rFonts w:ascii="Times New Roman" w:hAnsi="Times New Roman" w:cs="Times New Roman" w:eastAsia="Times New Roman" w:hint="default"/>
                <w:sz w:val="21"/>
                <w:szCs w:val="21"/>
              </w:rPr>
              <w:t>ISO</w:t>
            </w:r>
            <w:r>
              <w:rPr>
                <w:rFonts w:ascii="宋体" w:hAnsi="宋体" w:cs="宋体" w:eastAsia="宋体" w:hint="default"/>
                <w:sz w:val="21"/>
                <w:szCs w:val="21"/>
              </w:rPr>
              <w:t>）在 </w:t>
            </w:r>
            <w:r>
              <w:rPr>
                <w:rFonts w:ascii="Times New Roman" w:hAnsi="Times New Roman" w:cs="Times New Roman" w:eastAsia="Times New Roman" w:hint="default"/>
                <w:sz w:val="21"/>
                <w:szCs w:val="21"/>
              </w:rPr>
              <w:t>1994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年提出的</w:t>
            </w:r>
          </w:p>
          <w:p>
            <w:pPr>
              <w:pStyle w:val="TableParagraph"/>
              <w:spacing w:line="257"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概念，由国际标准化组织质量</w:t>
            </w:r>
            <w:r>
              <w:rPr>
                <w:rFonts w:ascii="宋体" w:hAnsi="宋体" w:cs="宋体" w:eastAsia="宋体" w:hint="default"/>
                <w:sz w:val="21"/>
                <w:szCs w:val="21"/>
              </w:rPr>
            </w:r>
          </w:p>
          <w:p>
            <w:pPr>
              <w:pStyle w:val="TableParagraph"/>
              <w:spacing w:line="272" w:lineRule="exact" w:before="27"/>
              <w:ind w:left="103" w:right="96"/>
              <w:jc w:val="both"/>
              <w:rPr>
                <w:rFonts w:ascii="宋体" w:hAnsi="宋体" w:cs="宋体" w:eastAsia="宋体" w:hint="default"/>
                <w:sz w:val="21"/>
                <w:szCs w:val="21"/>
              </w:rPr>
            </w:pPr>
            <w:r>
              <w:rPr>
                <w:rFonts w:ascii="宋体" w:hAnsi="宋体" w:cs="宋体" w:eastAsia="宋体" w:hint="default"/>
                <w:spacing w:val="2"/>
                <w:sz w:val="21"/>
                <w:szCs w:val="21"/>
              </w:rPr>
              <w:t>管理和质量保证技术委员会制</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定的国际标准</w:t>
            </w:r>
          </w:p>
        </w:tc>
      </w:tr>
      <w:tr>
        <w:trPr>
          <w:trHeight w:val="555"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日至</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after="0" w:line="28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5"/>
        <w:rPr>
          <w:rFonts w:ascii="Times New Roman" w:hAnsi="Times New Roman" w:cs="Times New Roman" w:eastAsia="Times New Roman" w:hint="default"/>
          <w:sz w:val="29"/>
          <w:szCs w:val="29"/>
        </w:rPr>
      </w:pPr>
    </w:p>
    <w:p>
      <w:pPr>
        <w:pStyle w:val="Heading1"/>
        <w:tabs>
          <w:tab w:pos="3717" w:val="left" w:leader="none"/>
        </w:tabs>
        <w:spacing w:line="240" w:lineRule="auto"/>
        <w:ind w:left="2457" w:right="227"/>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2"/>
        <w:spacing w:line="240" w:lineRule="auto" w:before="36"/>
        <w:ind w:right="2465"/>
        <w:jc w:val="left"/>
        <w:rPr>
          <w:b w:val="0"/>
          <w:bCs w:val="0"/>
        </w:rPr>
      </w:pPr>
      <w:r>
        <w:rPr/>
        <w:t>一、</w:t>
      </w:r>
      <w:r>
        <w:rPr>
          <w:spacing w:val="40"/>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上海格尔软件股份有限公司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格尔软件</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4" w:right="0"/>
              <w:jc w:val="left"/>
              <w:rPr>
                <w:rFonts w:ascii="Times New Roman" w:hAnsi="Times New Roman" w:cs="Times New Roman" w:eastAsia="Times New Roman" w:hint="default"/>
                <w:sz w:val="21"/>
                <w:szCs w:val="21"/>
              </w:rPr>
            </w:pPr>
            <w:r>
              <w:rPr>
                <w:rFonts w:ascii="Times New Roman"/>
                <w:sz w:val="21"/>
              </w:rPr>
              <w:t>Shanghai Koal Software</w:t>
            </w:r>
            <w:r>
              <w:rPr>
                <w:rFonts w:ascii="Times New Roman"/>
                <w:spacing w:val="-5"/>
                <w:sz w:val="21"/>
              </w:rPr>
              <w:t> </w:t>
            </w:r>
            <w:r>
              <w:rPr>
                <w:rFonts w:ascii="Times New Roman"/>
                <w:sz w:val="21"/>
              </w:rPr>
              <w:t>Co.,Ltd.</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Koal</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孔令钢</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Heading2"/>
        <w:spacing w:line="240" w:lineRule="auto" w:before="36"/>
        <w:ind w:right="2465"/>
        <w:jc w:val="left"/>
        <w:rPr>
          <w:b w:val="0"/>
          <w:bCs w:val="0"/>
        </w:rPr>
      </w:pPr>
      <w:r>
        <w:rPr/>
        <w:t>二、</w:t>
      </w:r>
      <w:r>
        <w:rPr>
          <w:spacing w:val="41"/>
        </w:rPr>
        <w:t> </w:t>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284"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周海华</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邹岩</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上海市江场西路</w:t>
            </w:r>
            <w:r>
              <w:rPr>
                <w:rFonts w:ascii="Times New Roman" w:hAnsi="Times New Roman" w:cs="Times New Roman" w:eastAsia="Times New Roman" w:hint="default"/>
                <w:sz w:val="21"/>
                <w:szCs w:val="21"/>
              </w:rPr>
              <w:t>299</w:t>
            </w:r>
            <w:r>
              <w:rPr>
                <w:rFonts w:ascii="宋体" w:hAnsi="宋体" w:cs="宋体" w:eastAsia="宋体" w:hint="default"/>
                <w:sz w:val="21"/>
                <w:szCs w:val="21"/>
              </w:rPr>
              <w:t>弄</w:t>
            </w:r>
            <w:r>
              <w:rPr>
                <w:rFonts w:ascii="Times New Roman" w:hAnsi="Times New Roman" w:cs="Times New Roman" w:eastAsia="Times New Roman" w:hint="default"/>
                <w:sz w:val="21"/>
                <w:szCs w:val="21"/>
              </w:rPr>
              <w:t>5</w:t>
            </w:r>
            <w:r>
              <w:rPr>
                <w:rFonts w:ascii="宋体" w:hAnsi="宋体" w:cs="宋体" w:eastAsia="宋体" w:hint="default"/>
                <w:sz w:val="21"/>
                <w:szCs w:val="21"/>
              </w:rPr>
              <w:t>号</w:t>
            </w:r>
            <w:r>
              <w:rPr>
                <w:rFonts w:ascii="Times New Roman" w:hAnsi="Times New Roman" w:cs="Times New Roman" w:eastAsia="Times New Roman" w:hint="default"/>
                <w:sz w:val="21"/>
                <w:szCs w:val="21"/>
              </w:rPr>
              <w:t>601</w:t>
            </w:r>
            <w:r>
              <w:rPr>
                <w:rFonts w:ascii="宋体" w:hAnsi="宋体" w:cs="宋体" w:eastAsia="宋体" w:hint="default"/>
                <w:sz w:val="21"/>
                <w:szCs w:val="21"/>
              </w:rPr>
              <w:t>室</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上海市江场西路</w:t>
            </w:r>
            <w:r>
              <w:rPr>
                <w:rFonts w:ascii="Times New Roman" w:hAnsi="Times New Roman" w:cs="Times New Roman" w:eastAsia="Times New Roman" w:hint="default"/>
                <w:sz w:val="21"/>
                <w:szCs w:val="21"/>
              </w:rPr>
              <w:t>299</w:t>
            </w:r>
            <w:r>
              <w:rPr>
                <w:rFonts w:ascii="宋体" w:hAnsi="宋体" w:cs="宋体" w:eastAsia="宋体" w:hint="default"/>
                <w:sz w:val="21"/>
                <w:szCs w:val="21"/>
              </w:rPr>
              <w:t>弄</w:t>
            </w:r>
            <w:r>
              <w:rPr>
                <w:rFonts w:ascii="Times New Roman" w:hAnsi="Times New Roman" w:cs="Times New Roman" w:eastAsia="Times New Roman" w:hint="default"/>
                <w:sz w:val="21"/>
                <w:szCs w:val="21"/>
              </w:rPr>
              <w:t>5</w:t>
            </w:r>
            <w:r>
              <w:rPr>
                <w:rFonts w:ascii="宋体" w:hAnsi="宋体" w:cs="宋体" w:eastAsia="宋体" w:hint="default"/>
                <w:sz w:val="21"/>
                <w:szCs w:val="21"/>
              </w:rPr>
              <w:t>号</w:t>
            </w:r>
            <w:r>
              <w:rPr>
                <w:rFonts w:ascii="Times New Roman" w:hAnsi="Times New Roman" w:cs="Times New Roman" w:eastAsia="Times New Roman" w:hint="default"/>
                <w:sz w:val="21"/>
                <w:szCs w:val="21"/>
              </w:rPr>
              <w:t>601</w:t>
            </w:r>
            <w:r>
              <w:rPr>
                <w:rFonts w:ascii="宋体" w:hAnsi="宋体" w:cs="宋体" w:eastAsia="宋体" w:hint="default"/>
                <w:sz w:val="21"/>
                <w:szCs w:val="21"/>
              </w:rPr>
              <w:t>室</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021-62327010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021-62327010</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021-62327015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021-62327015</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hyperlink r:id="rId9">
              <w:r>
                <w:rPr>
                  <w:rFonts w:ascii="Times New Roman"/>
                  <w:sz w:val="21"/>
                </w:rPr>
                <w:t>stock@koal.com</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hyperlink r:id="rId9">
              <w:r>
                <w:rPr>
                  <w:rFonts w:ascii="Times New Roman"/>
                  <w:sz w:val="21"/>
                </w:rPr>
                <w:t>stock@koal.com</w:t>
              </w:r>
            </w:hyperlink>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Heading2"/>
        <w:spacing w:line="240" w:lineRule="auto" w:before="36"/>
        <w:ind w:right="2465"/>
        <w:jc w:val="left"/>
        <w:rPr>
          <w:b w:val="0"/>
          <w:bCs w:val="0"/>
        </w:rPr>
      </w:pPr>
      <w:r>
        <w:rPr/>
        <w:t>三、</w:t>
      </w:r>
      <w:r>
        <w:rPr>
          <w:spacing w:val="-29"/>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上海市江场西路</w:t>
            </w:r>
            <w:r>
              <w:rPr>
                <w:rFonts w:ascii="Times New Roman" w:hAnsi="Times New Roman" w:cs="Times New Roman" w:eastAsia="Times New Roman" w:hint="default"/>
                <w:sz w:val="21"/>
                <w:szCs w:val="21"/>
              </w:rPr>
              <w:t>299</w:t>
            </w:r>
            <w:r>
              <w:rPr>
                <w:rFonts w:ascii="宋体" w:hAnsi="宋体" w:cs="宋体" w:eastAsia="宋体" w:hint="default"/>
                <w:sz w:val="21"/>
                <w:szCs w:val="21"/>
              </w:rPr>
              <w:t>弄</w:t>
            </w:r>
            <w:r>
              <w:rPr>
                <w:rFonts w:ascii="Times New Roman" w:hAnsi="Times New Roman" w:cs="Times New Roman" w:eastAsia="Times New Roman" w:hint="default"/>
                <w:sz w:val="21"/>
                <w:szCs w:val="21"/>
              </w:rPr>
              <w:t>5</w:t>
            </w:r>
            <w:r>
              <w:rPr>
                <w:rFonts w:ascii="宋体" w:hAnsi="宋体" w:cs="宋体" w:eastAsia="宋体" w:hint="default"/>
                <w:sz w:val="21"/>
                <w:szCs w:val="21"/>
              </w:rPr>
              <w:t>号</w:t>
            </w:r>
            <w:r>
              <w:rPr>
                <w:rFonts w:ascii="Times New Roman" w:hAnsi="Times New Roman" w:cs="Times New Roman" w:eastAsia="Times New Roman" w:hint="default"/>
                <w:sz w:val="21"/>
                <w:szCs w:val="21"/>
              </w:rPr>
              <w:t>601</w:t>
            </w:r>
            <w:r>
              <w:rPr>
                <w:rFonts w:ascii="宋体" w:hAnsi="宋体" w:cs="宋体" w:eastAsia="宋体" w:hint="default"/>
                <w:sz w:val="21"/>
                <w:szCs w:val="21"/>
              </w:rPr>
              <w:t>室</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200436</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上海市江场西路</w:t>
            </w:r>
            <w:r>
              <w:rPr>
                <w:rFonts w:ascii="Times New Roman" w:hAnsi="Times New Roman" w:cs="Times New Roman" w:eastAsia="Times New Roman" w:hint="default"/>
                <w:sz w:val="21"/>
                <w:szCs w:val="21"/>
              </w:rPr>
              <w:t>299</w:t>
            </w:r>
            <w:r>
              <w:rPr>
                <w:rFonts w:ascii="宋体" w:hAnsi="宋体" w:cs="宋体" w:eastAsia="宋体" w:hint="default"/>
                <w:sz w:val="21"/>
                <w:szCs w:val="21"/>
              </w:rPr>
              <w:t>弄</w:t>
            </w:r>
            <w:r>
              <w:rPr>
                <w:rFonts w:ascii="Times New Roman" w:hAnsi="Times New Roman" w:cs="Times New Roman" w:eastAsia="Times New Roman" w:hint="default"/>
                <w:sz w:val="21"/>
                <w:szCs w:val="21"/>
              </w:rPr>
              <w:t>5</w:t>
            </w:r>
            <w:r>
              <w:rPr>
                <w:rFonts w:ascii="宋体" w:hAnsi="宋体" w:cs="宋体" w:eastAsia="宋体" w:hint="default"/>
                <w:sz w:val="21"/>
                <w:szCs w:val="21"/>
              </w:rPr>
              <w:t>号</w:t>
            </w:r>
            <w:r>
              <w:rPr>
                <w:rFonts w:ascii="Times New Roman" w:hAnsi="Times New Roman" w:cs="Times New Roman" w:eastAsia="Times New Roman" w:hint="default"/>
                <w:sz w:val="21"/>
                <w:szCs w:val="21"/>
              </w:rPr>
              <w:t>601</w:t>
            </w:r>
            <w:r>
              <w:rPr>
                <w:rFonts w:ascii="宋体" w:hAnsi="宋体" w:cs="宋体" w:eastAsia="宋体" w:hint="default"/>
                <w:sz w:val="21"/>
                <w:szCs w:val="21"/>
              </w:rPr>
              <w:t>室</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4" w:right="0"/>
              <w:jc w:val="left"/>
              <w:rPr>
                <w:rFonts w:ascii="Times New Roman" w:hAnsi="Times New Roman" w:cs="Times New Roman" w:eastAsia="Times New Roman" w:hint="default"/>
                <w:sz w:val="21"/>
                <w:szCs w:val="21"/>
              </w:rPr>
            </w:pPr>
            <w:r>
              <w:rPr>
                <w:rFonts w:ascii="Times New Roman"/>
                <w:sz w:val="21"/>
              </w:rPr>
              <w:t>200436</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hyperlink r:id="rId10">
              <w:r>
                <w:rPr>
                  <w:rFonts w:ascii="Times New Roman"/>
                  <w:sz w:val="21"/>
                </w:rPr>
                <w:t>www.koal.com</w:t>
              </w:r>
            </w:hyperlink>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hyperlink r:id="rId9">
              <w:r>
                <w:rPr>
                  <w:rFonts w:ascii="Times New Roman"/>
                  <w:sz w:val="21"/>
                </w:rPr>
                <w:t>stock@koal.com</w:t>
              </w:r>
            </w:hyperlink>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2"/>
        <w:spacing w:line="240" w:lineRule="auto" w:before="36"/>
        <w:ind w:right="2465"/>
        <w:jc w:val="left"/>
        <w:rPr>
          <w:b w:val="0"/>
          <w:bCs w:val="0"/>
        </w:rPr>
      </w:pPr>
      <w:r>
        <w:rPr/>
        <w:t>四、</w:t>
      </w:r>
      <w:r>
        <w:rPr>
          <w:spacing w:val="-28"/>
        </w:rPr>
        <w:t> </w:t>
      </w:r>
      <w:r>
        <w:rPr/>
        <w:t>信息披露及备置地点</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55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2"/>
                <w:w w:val="100"/>
                <w:sz w:val="21"/>
                <w:szCs w:val="21"/>
              </w:rPr>
              <w:t>《上海证券报</w:t>
            </w:r>
            <w:r>
              <w:rPr>
                <w:rFonts w:ascii="宋体" w:hAnsi="宋体" w:cs="宋体" w:eastAsia="宋体" w:hint="default"/>
                <w:spacing w:val="-104"/>
                <w:w w:val="100"/>
                <w:sz w:val="21"/>
                <w:szCs w:val="21"/>
              </w:rPr>
              <w:t>》</w:t>
            </w:r>
            <w:r>
              <w:rPr>
                <w:rFonts w:ascii="宋体" w:hAnsi="宋体" w:cs="宋体" w:eastAsia="宋体" w:hint="default"/>
                <w:spacing w:val="-106"/>
                <w:w w:val="100"/>
                <w:sz w:val="21"/>
                <w:szCs w:val="21"/>
              </w:rPr>
              <w:t>、</w:t>
            </w:r>
            <w:r>
              <w:rPr>
                <w:rFonts w:ascii="宋体" w:hAnsi="宋体" w:cs="宋体" w:eastAsia="宋体" w:hint="default"/>
                <w:spacing w:val="2"/>
                <w:w w:val="100"/>
                <w:sz w:val="21"/>
                <w:szCs w:val="21"/>
              </w:rPr>
              <w:t>《中国</w:t>
            </w:r>
            <w:r>
              <w:rPr>
                <w:rFonts w:ascii="宋体" w:hAnsi="宋体" w:cs="宋体" w:eastAsia="宋体" w:hint="default"/>
                <w:w w:val="100"/>
                <w:sz w:val="21"/>
                <w:szCs w:val="21"/>
              </w:rPr>
              <w:t>证</w:t>
            </w:r>
            <w:r>
              <w:rPr>
                <w:rFonts w:ascii="宋体" w:hAnsi="宋体" w:cs="宋体" w:eastAsia="宋体" w:hint="default"/>
                <w:spacing w:val="2"/>
                <w:w w:val="100"/>
                <w:sz w:val="21"/>
                <w:szCs w:val="21"/>
              </w:rPr>
              <w:t>券报</w:t>
            </w:r>
            <w:r>
              <w:rPr>
                <w:rFonts w:ascii="宋体" w:hAnsi="宋体" w:cs="宋体" w:eastAsia="宋体" w:hint="default"/>
                <w:spacing w:val="-104"/>
                <w:w w:val="100"/>
                <w:sz w:val="21"/>
                <w:szCs w:val="21"/>
              </w:rPr>
              <w:t>》、</w:t>
            </w:r>
            <w:r>
              <w:rPr>
                <w:rFonts w:ascii="宋体" w:hAnsi="宋体" w:cs="宋体" w:eastAsia="宋体" w:hint="default"/>
                <w:spacing w:val="2"/>
                <w:w w:val="100"/>
                <w:sz w:val="21"/>
                <w:szCs w:val="21"/>
              </w:rPr>
              <w:t>《证券</w:t>
            </w:r>
            <w:r>
              <w:rPr>
                <w:rFonts w:ascii="宋体" w:hAnsi="宋体" w:cs="宋体" w:eastAsia="宋体" w:hint="default"/>
                <w:w w:val="100"/>
                <w:sz w:val="21"/>
                <w:szCs w:val="21"/>
              </w:rPr>
              <w:t>时</w:t>
            </w:r>
            <w:r>
              <w:rPr>
                <w:rFonts w:ascii="宋体" w:hAnsi="宋体" w:cs="宋体" w:eastAsia="宋体" w:hint="default"/>
                <w:spacing w:val="2"/>
                <w:w w:val="100"/>
                <w:sz w:val="21"/>
                <w:szCs w:val="21"/>
              </w:rPr>
              <w:t>报</w:t>
            </w:r>
            <w:r>
              <w:rPr>
                <w:rFonts w:ascii="宋体" w:hAnsi="宋体" w:cs="宋体" w:eastAsia="宋体" w:hint="default"/>
                <w:spacing w:val="-104"/>
                <w:w w:val="100"/>
                <w:sz w:val="21"/>
                <w:szCs w:val="21"/>
              </w:rPr>
              <w:t>》、</w:t>
            </w:r>
            <w:r>
              <w:rPr>
                <w:rFonts w:ascii="宋体" w:hAnsi="宋体" w:cs="宋体" w:eastAsia="宋体" w:hint="default"/>
                <w:spacing w:val="2"/>
                <w:w w:val="100"/>
                <w:sz w:val="21"/>
                <w:szCs w:val="21"/>
              </w:rPr>
              <w:t>《</w:t>
            </w:r>
            <w:r>
              <w:rPr>
                <w:rFonts w:ascii="宋体" w:hAnsi="宋体" w:cs="宋体" w:eastAsia="宋体" w:hint="default"/>
                <w:w w:val="100"/>
                <w:sz w:val="21"/>
                <w:szCs w:val="21"/>
              </w:rPr>
              <w:t>证</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券日报》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hyperlink r:id="rId8">
              <w:r>
                <w:rPr>
                  <w:rFonts w:ascii="Times New Roman"/>
                  <w:sz w:val="21"/>
                </w:rPr>
                <w:t>www.sse.com.cn</w:t>
              </w:r>
            </w:hyperlink>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公司证券部</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2"/>
        <w:spacing w:line="240" w:lineRule="auto" w:before="36"/>
        <w:ind w:right="2465"/>
        <w:jc w:val="left"/>
        <w:rPr>
          <w:b w:val="0"/>
          <w:bCs w:val="0"/>
        </w:rPr>
      </w:pPr>
      <w:r>
        <w:rPr/>
        <w:t>五、</w:t>
      </w:r>
      <w:r>
        <w:rPr>
          <w:spacing w:val="41"/>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格尔软件</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603232</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0"/>
        <w:rPr>
          <w:rFonts w:ascii="宋体" w:hAnsi="宋体" w:cs="宋体" w:eastAsia="宋体" w:hint="default"/>
          <w:b/>
          <w:bCs/>
          <w:sz w:val="17"/>
          <w:szCs w:val="17"/>
        </w:rPr>
      </w:pPr>
    </w:p>
    <w:p>
      <w:pPr>
        <w:pStyle w:val="Heading2"/>
        <w:spacing w:line="240" w:lineRule="auto" w:before="36"/>
        <w:ind w:right="2465"/>
        <w:jc w:val="left"/>
        <w:rPr>
          <w:b w:val="0"/>
          <w:bCs w:val="0"/>
        </w:rPr>
      </w:pPr>
      <w:r>
        <w:rPr/>
        <w:t>六、</w:t>
      </w:r>
      <w:r>
        <w:rPr>
          <w:spacing w:val="-29"/>
        </w:rPr>
        <w:t> </w:t>
      </w: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281"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上会会计师事务所（特殊普通合伙）</w:t>
            </w:r>
          </w:p>
        </w:tc>
      </w:tr>
      <w:tr>
        <w:trPr>
          <w:trHeight w:val="554"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上海市静安区威海路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755 </w:t>
            </w:r>
            <w:r>
              <w:rPr>
                <w:rFonts w:ascii="宋体" w:hAnsi="宋体" w:cs="宋体" w:eastAsia="宋体" w:hint="default"/>
                <w:sz w:val="21"/>
                <w:szCs w:val="21"/>
              </w:rPr>
              <w:t>号文新报业大厦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楼</w:t>
            </w:r>
          </w:p>
        </w:tc>
      </w:tr>
      <w:tr>
        <w:trPr>
          <w:trHeight w:val="284"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董毅强、张志云</w:t>
            </w: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国融证券股份有限公司</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557" w:hRule="exact"/>
        </w:trPr>
        <w:tc>
          <w:tcPr>
            <w:tcW w:w="2993" w:type="dxa"/>
            <w:vMerge w:val="restart"/>
            <w:tcBorders>
              <w:top w:val="single" w:sz="4" w:space="0" w:color="000000"/>
              <w:left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保荐机构</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北京市西城区闹市口大街 </w:t>
            </w:r>
            <w:r>
              <w:rPr>
                <w:rFonts w:ascii="Times New Roman" w:hAnsi="Times New Roman" w:cs="Times New Roman" w:eastAsia="Times New Roman" w:hint="default"/>
                <w:sz w:val="21"/>
                <w:szCs w:val="21"/>
              </w:rPr>
              <w:t>1 </w:t>
            </w:r>
            <w:r>
              <w:rPr>
                <w:rFonts w:ascii="宋体" w:hAnsi="宋体" w:cs="宋体" w:eastAsia="宋体" w:hint="default"/>
                <w:sz w:val="21"/>
                <w:szCs w:val="21"/>
              </w:rPr>
              <w:t>号长安兴融中心</w:t>
            </w:r>
          </w:p>
          <w:p>
            <w:pPr>
              <w:pStyle w:val="TableParagraph"/>
              <w:spacing w:line="281" w:lineRule="exact"/>
              <w:ind w:left="100" w:right="0"/>
              <w:jc w:val="left"/>
              <w:rPr>
                <w:rFonts w:ascii="宋体" w:hAnsi="宋体" w:cs="宋体" w:eastAsia="宋体" w:hint="default"/>
                <w:sz w:val="21"/>
                <w:szCs w:val="21"/>
              </w:rPr>
            </w:pPr>
            <w:r>
              <w:rPr>
                <w:rFonts w:ascii="宋体" w:hAnsi="宋体" w:cs="宋体" w:eastAsia="宋体" w:hint="default"/>
                <w:sz w:val="21"/>
                <w:szCs w:val="21"/>
              </w:rPr>
              <w:t>西楼</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层</w:t>
            </w:r>
          </w:p>
        </w:tc>
      </w:tr>
      <w:tr>
        <w:trPr>
          <w:trHeight w:val="554"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签字的保荐代表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刘元高、舒建军</w:t>
            </w:r>
          </w:p>
        </w:tc>
      </w:tr>
      <w:tr>
        <w:trPr>
          <w:trHeight w:val="281"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line="240" w:lineRule="auto" w:before="10"/>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880" w:footer="1195" w:top="1120" w:bottom="1380" w:left="1580" w:right="1040"/>
        </w:sectPr>
      </w:pPr>
    </w:p>
    <w:p>
      <w:pPr>
        <w:pStyle w:val="Heading2"/>
        <w:spacing w:line="240" w:lineRule="auto" w:before="36"/>
        <w:ind w:right="-18"/>
        <w:jc w:val="left"/>
        <w:rPr>
          <w:b w:val="0"/>
          <w:bCs w:val="0"/>
        </w:rPr>
      </w:pPr>
      <w:r>
        <w:rPr/>
        <w:t>七、</w:t>
      </w:r>
      <w:r>
        <w:rPr>
          <w:spacing w:val="-32"/>
        </w:rPr>
        <w:t> </w:t>
      </w:r>
      <w:r>
        <w:rPr/>
        <w:t>近三年主要会计数据和财务指标</w:t>
      </w:r>
      <w:r>
        <w:rPr>
          <w:b w:val="0"/>
          <w:bCs w:val="0"/>
        </w:rPr>
      </w:r>
    </w:p>
    <w:p>
      <w:pPr>
        <w:pStyle w:val="Heading2"/>
        <w:spacing w:line="240" w:lineRule="auto" w:before="58"/>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7"/>
        <w:ind w:right="0"/>
        <w:jc w:val="left"/>
      </w:pPr>
      <w:r>
        <w:rPr/>
        <w:t>单位：元币种：人民币</w:t>
      </w:r>
    </w:p>
    <w:p>
      <w:pPr>
        <w:spacing w:after="0" w:line="240" w:lineRule="auto"/>
        <w:jc w:val="left"/>
        <w:sectPr>
          <w:type w:val="continuous"/>
          <w:pgSz w:w="11910" w:h="16840"/>
          <w:pgMar w:top="1120" w:bottom="1380" w:left="1580" w:right="1040"/>
          <w:cols w:num="2" w:equalWidth="0">
            <w:col w:w="3667" w:space="3065"/>
            <w:col w:w="2558"/>
          </w:cols>
        </w:sectPr>
      </w:pPr>
    </w:p>
    <w:p>
      <w:pPr>
        <w:spacing w:line="240" w:lineRule="auto" w:before="11"/>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149"/>
        <w:gridCol w:w="1529"/>
        <w:gridCol w:w="1529"/>
        <w:gridCol w:w="1313"/>
        <w:gridCol w:w="1529"/>
      </w:tblGrid>
      <w:tr>
        <w:trPr>
          <w:trHeight w:val="797"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938"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75" w:lineRule="exact"/>
              <w:ind w:right="0"/>
              <w:jc w:val="center"/>
              <w:rPr>
                <w:rFonts w:ascii="宋体" w:hAnsi="宋体" w:cs="宋体" w:eastAsia="宋体" w:hint="default"/>
                <w:sz w:val="21"/>
                <w:szCs w:val="21"/>
              </w:rPr>
            </w:pPr>
            <w:r>
              <w:rPr>
                <w:rFonts w:ascii="宋体" w:hAnsi="宋体" w:cs="宋体" w:eastAsia="宋体" w:hint="default"/>
                <w:sz w:val="21"/>
                <w:szCs w:val="21"/>
              </w:rPr>
              <w:t>同期增减</w:t>
            </w:r>
          </w:p>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p>
        </w:tc>
      </w:tr>
      <w:tr>
        <w:trPr>
          <w:trHeight w:val="295"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271,653,609.75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232,062,988.83</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17.06%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185,544,916.42</w:t>
            </w:r>
          </w:p>
        </w:tc>
      </w:tr>
      <w:tr>
        <w:trPr>
          <w:trHeight w:val="295"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2" w:right="0"/>
              <w:jc w:val="center"/>
              <w:rPr>
                <w:rFonts w:ascii="Times New Roman" w:hAnsi="Times New Roman" w:cs="Times New Roman" w:eastAsia="Times New Roman" w:hint="default"/>
                <w:sz w:val="21"/>
                <w:szCs w:val="21"/>
              </w:rPr>
            </w:pPr>
            <w:r>
              <w:rPr>
                <w:rFonts w:ascii="Times New Roman"/>
                <w:sz w:val="21"/>
              </w:rPr>
              <w:t>70,245,557.09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56,377,443.29</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24.60%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8" w:right="0"/>
              <w:jc w:val="center"/>
              <w:rPr>
                <w:rFonts w:ascii="Times New Roman" w:hAnsi="Times New Roman" w:cs="Times New Roman" w:eastAsia="Times New Roman" w:hint="default"/>
                <w:sz w:val="21"/>
                <w:szCs w:val="21"/>
              </w:rPr>
            </w:pPr>
            <w:r>
              <w:rPr>
                <w:rFonts w:ascii="Times New Roman"/>
                <w:sz w:val="21"/>
              </w:rPr>
              <w:t>47,903,891.43</w:t>
            </w:r>
          </w:p>
        </w:tc>
      </w:tr>
      <w:tr>
        <w:trPr>
          <w:trHeight w:val="554"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归属于上市公司股东的扣除非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经常性损益的净利润</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2" w:right="0"/>
              <w:jc w:val="center"/>
              <w:rPr>
                <w:rFonts w:ascii="Times New Roman" w:hAnsi="Times New Roman" w:cs="Times New Roman" w:eastAsia="Times New Roman" w:hint="default"/>
                <w:sz w:val="21"/>
                <w:szCs w:val="21"/>
              </w:rPr>
            </w:pPr>
            <w:r>
              <w:rPr>
                <w:rFonts w:ascii="Times New Roman"/>
                <w:sz w:val="21"/>
              </w:rPr>
              <w:t>62,259,487.92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48,219,103.00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29.12%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8" w:right="0"/>
              <w:jc w:val="center"/>
              <w:rPr>
                <w:rFonts w:ascii="Times New Roman" w:hAnsi="Times New Roman" w:cs="Times New Roman" w:eastAsia="Times New Roman" w:hint="default"/>
                <w:sz w:val="21"/>
                <w:szCs w:val="21"/>
              </w:rPr>
            </w:pPr>
            <w:r>
              <w:rPr>
                <w:rFonts w:ascii="Times New Roman"/>
                <w:sz w:val="21"/>
              </w:rPr>
              <w:t>38,517,844.82</w:t>
            </w:r>
          </w:p>
        </w:tc>
      </w:tr>
      <w:tr>
        <w:trPr>
          <w:trHeight w:val="295"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2" w:right="0"/>
              <w:jc w:val="center"/>
              <w:rPr>
                <w:rFonts w:ascii="Times New Roman" w:hAnsi="Times New Roman" w:cs="Times New Roman" w:eastAsia="Times New Roman" w:hint="default"/>
                <w:sz w:val="21"/>
                <w:szCs w:val="21"/>
              </w:rPr>
            </w:pPr>
            <w:r>
              <w:rPr>
                <w:rFonts w:ascii="Times New Roman"/>
                <w:sz w:val="21"/>
              </w:rPr>
              <w:t>19,186,451.89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41,931,915.74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-54.24%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8" w:right="0"/>
              <w:jc w:val="center"/>
              <w:rPr>
                <w:rFonts w:ascii="Times New Roman" w:hAnsi="Times New Roman" w:cs="Times New Roman" w:eastAsia="Times New Roman" w:hint="default"/>
                <w:sz w:val="21"/>
                <w:szCs w:val="21"/>
              </w:rPr>
            </w:pPr>
            <w:r>
              <w:rPr>
                <w:rFonts w:ascii="Times New Roman"/>
                <w:sz w:val="21"/>
              </w:rPr>
              <w:t>41,464,454.34</w:t>
            </w:r>
          </w:p>
        </w:tc>
      </w:tr>
      <w:tr>
        <w:trPr>
          <w:trHeight w:val="826" w:hRule="exact"/>
        </w:trPr>
        <w:tc>
          <w:tcPr>
            <w:tcW w:w="314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年末</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年末</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本期末比上</w:t>
            </w:r>
          </w:p>
          <w:p>
            <w:pPr>
              <w:pStyle w:val="TableParagraph"/>
              <w:spacing w:line="240" w:lineRule="auto"/>
              <w:ind w:left="249" w:right="123" w:hanging="125"/>
              <w:jc w:val="left"/>
              <w:rPr>
                <w:rFonts w:ascii="宋体" w:hAnsi="宋体" w:cs="宋体" w:eastAsia="宋体" w:hint="default"/>
                <w:sz w:val="21"/>
                <w:szCs w:val="21"/>
              </w:rPr>
            </w:pPr>
            <w:r>
              <w:rPr>
                <w:rFonts w:ascii="宋体" w:hAnsi="宋体" w:cs="宋体" w:eastAsia="宋体" w:hint="default"/>
                <w:sz w:val="21"/>
                <w:szCs w:val="21"/>
              </w:rPr>
              <w:t>年同期末增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年末</w:t>
            </w:r>
          </w:p>
        </w:tc>
      </w:tr>
      <w:tr>
        <w:trPr>
          <w:trHeight w:val="295"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574,379,076.67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296,851,866.54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93.49%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245,049,423.25</w:t>
            </w:r>
          </w:p>
        </w:tc>
      </w:tr>
      <w:tr>
        <w:trPr>
          <w:trHeight w:val="295"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661,135,897.78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352,906,571.26</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87.34%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sz w:val="21"/>
              </w:rPr>
              <w:t>311,839,017.52</w:t>
            </w:r>
          </w:p>
        </w:tc>
      </w:tr>
    </w:tbl>
    <w:p>
      <w:pPr>
        <w:spacing w:line="240" w:lineRule="auto" w:before="10"/>
        <w:rPr>
          <w:rFonts w:ascii="宋体" w:hAnsi="宋体" w:cs="宋体" w:eastAsia="宋体" w:hint="default"/>
          <w:sz w:val="17"/>
          <w:szCs w:val="17"/>
        </w:rPr>
      </w:pPr>
    </w:p>
    <w:p>
      <w:pPr>
        <w:pStyle w:val="Heading2"/>
        <w:tabs>
          <w:tab w:pos="1057" w:val="left" w:leader="none"/>
        </w:tabs>
        <w:spacing w:line="240" w:lineRule="auto" w:before="36"/>
        <w:ind w:right="246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6"/>
        <w:rPr>
          <w:rFonts w:ascii="宋体" w:hAnsi="宋体" w:cs="宋体" w:eastAsia="宋体" w:hint="default"/>
          <w:b/>
          <w:bCs/>
          <w:sz w:val="25"/>
          <w:szCs w:val="25"/>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90"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1.26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1.23</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2.44%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1.05</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1.26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1.23</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2.44%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1.05</w:t>
            </w:r>
          </w:p>
        </w:tc>
      </w:tr>
      <w:tr>
        <w:trPr>
          <w:trHeight w:val="557"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2"/>
                <w:sz w:val="21"/>
              </w:rPr>
              <w:t>1.11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1.05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5.71%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0.84</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z w:val="21"/>
              </w:rPr>
              <w:t>14.83%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z w:val="21"/>
              </w:rPr>
              <w:t>20.63%</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-5.80%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21.23%</w:t>
            </w:r>
          </w:p>
        </w:tc>
      </w:tr>
      <w:tr>
        <w:trPr>
          <w:trHeight w:val="55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z w:val="21"/>
              </w:rPr>
              <w:t>13.14%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z w:val="21"/>
              </w:rPr>
              <w:t>17.65%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-4.51%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17.07%</w:t>
            </w:r>
          </w:p>
        </w:tc>
      </w:tr>
    </w:tbl>
    <w:p>
      <w:pPr>
        <w:spacing w:line="240" w:lineRule="auto" w:before="2"/>
        <w:rPr>
          <w:rFonts w:ascii="宋体" w:hAnsi="宋体" w:cs="宋体" w:eastAsia="宋体" w:hint="default"/>
          <w:b/>
          <w:bCs/>
          <w:sz w:val="13"/>
          <w:szCs w:val="13"/>
        </w:rPr>
      </w:pPr>
    </w:p>
    <w:p>
      <w:pPr>
        <w:pStyle w:val="BodyText"/>
        <w:spacing w:line="274" w:lineRule="exact" w:before="36"/>
        <w:ind w:right="2465"/>
        <w:jc w:val="left"/>
      </w:pPr>
      <w:r>
        <w:rPr/>
        <w:t>报告期末公司前三年主要会计数据和财务指标的说明</w:t>
      </w:r>
    </w:p>
    <w:p>
      <w:pPr>
        <w:pStyle w:val="BodyText"/>
        <w:spacing w:line="274" w:lineRule="exact"/>
        <w:ind w:right="2465"/>
        <w:jc w:val="left"/>
      </w:pPr>
      <w:r>
        <w:rPr/>
        <w:t>□适用√不适用</w:t>
      </w:r>
    </w:p>
    <w:p>
      <w:pPr>
        <w:spacing w:line="240" w:lineRule="auto" w:before="11"/>
        <w:rPr>
          <w:rFonts w:ascii="宋体" w:hAnsi="宋体" w:cs="宋体" w:eastAsia="宋体" w:hint="default"/>
          <w:sz w:val="22"/>
          <w:szCs w:val="22"/>
        </w:rPr>
      </w:pPr>
    </w:p>
    <w:p>
      <w:pPr>
        <w:pStyle w:val="Heading2"/>
        <w:spacing w:line="240" w:lineRule="auto"/>
        <w:ind w:right="2465"/>
        <w:jc w:val="left"/>
        <w:rPr>
          <w:b w:val="0"/>
          <w:bCs w:val="0"/>
        </w:rPr>
      </w:pPr>
      <w:r>
        <w:rPr/>
        <w:t>八、</w:t>
      </w:r>
      <w:r>
        <w:rPr>
          <w:spacing w:val="-32"/>
        </w:rPr>
        <w:t> </w:t>
      </w:r>
      <w:r>
        <w:rPr/>
        <w:t>境内外会计准则下会计数据差异</w:t>
      </w:r>
      <w:r>
        <w:rPr>
          <w:b w:val="0"/>
          <w:bCs w:val="0"/>
        </w:rPr>
      </w:r>
    </w:p>
    <w:p>
      <w:pPr>
        <w:pStyle w:val="Heading2"/>
        <w:spacing w:line="274" w:lineRule="exact" w:before="82"/>
        <w:ind w:left="638" w:right="22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1"/>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2"/>
        <w:spacing w:line="272" w:lineRule="exact" w:before="70"/>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4"/>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2"/>
        <w:spacing w:line="240" w:lineRule="auto" w:before="41"/>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29"/>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2"/>
        <w:spacing w:line="240" w:lineRule="auto" w:before="36"/>
        <w:ind w:right="2465"/>
        <w:jc w:val="left"/>
        <w:rPr>
          <w:b w:val="0"/>
          <w:bCs w:val="0"/>
        </w:rPr>
      </w:pPr>
      <w:r>
        <w:rPr/>
        <w:t>九、 </w:t>
      </w:r>
      <w:r>
        <w:rPr>
          <w:rFonts w:ascii="Arial" w:hAnsi="Arial" w:cs="Arial" w:eastAsia="Arial" w:hint="default"/>
        </w:rPr>
        <w:t>2017</w:t>
      </w:r>
      <w:r>
        <w:rPr>
          <w:rFonts w:ascii="Arial" w:hAnsi="Arial" w:cs="Arial" w:eastAsia="Arial" w:hint="default"/>
          <w:spacing w:val="-39"/>
        </w:rPr>
        <w:t> </w:t>
      </w:r>
      <w:r>
        <w:rPr/>
        <w:t>年分季度主要财务数据</w:t>
      </w:r>
      <w:r>
        <w:rPr>
          <w:b w:val="0"/>
          <w:bCs w:val="0"/>
        </w:rPr>
      </w:r>
    </w:p>
    <w:p>
      <w:pPr>
        <w:pStyle w:val="BodyText"/>
        <w:spacing w:line="240" w:lineRule="auto" w:before="44"/>
        <w:ind w:left="0" w:right="23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89"/>
        <w:gridCol w:w="1495"/>
        <w:gridCol w:w="1424"/>
        <w:gridCol w:w="1496"/>
        <w:gridCol w:w="1646"/>
      </w:tblGrid>
      <w:tr>
        <w:trPr>
          <w:trHeight w:val="554" w:hRule="exact"/>
        </w:trPr>
        <w:tc>
          <w:tcPr>
            <w:tcW w:w="298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90"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90"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90"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10-12 </w:t>
            </w:r>
            <w:r>
              <w:rPr>
                <w:rFonts w:ascii="宋体" w:hAnsi="宋体" w:cs="宋体" w:eastAsia="宋体" w:hint="default"/>
                <w:sz w:val="21"/>
                <w:szCs w:val="21"/>
              </w:rPr>
              <w:t>月份）</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47,833,021.03</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39,313,243.82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3" w:right="0"/>
              <w:jc w:val="center"/>
              <w:rPr>
                <w:rFonts w:ascii="Times New Roman" w:hAnsi="Times New Roman" w:cs="Times New Roman" w:eastAsia="Times New Roman" w:hint="default"/>
                <w:sz w:val="21"/>
                <w:szCs w:val="21"/>
              </w:rPr>
            </w:pPr>
            <w:r>
              <w:rPr>
                <w:rFonts w:ascii="Times New Roman"/>
                <w:sz w:val="21"/>
              </w:rPr>
              <w:t>38,132,066.43</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146,375,278.47</w:t>
            </w:r>
          </w:p>
        </w:tc>
      </w:tr>
      <w:tr>
        <w:trPr>
          <w:trHeight w:val="28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4,388,673.13</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4,591,882.52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9" w:right="0"/>
              <w:jc w:val="center"/>
              <w:rPr>
                <w:rFonts w:ascii="Times New Roman" w:hAnsi="Times New Roman" w:cs="Times New Roman" w:eastAsia="Times New Roman" w:hint="default"/>
                <w:sz w:val="21"/>
                <w:szCs w:val="21"/>
              </w:rPr>
            </w:pPr>
            <w:r>
              <w:rPr>
                <w:rFonts w:ascii="Times New Roman"/>
                <w:sz w:val="21"/>
              </w:rPr>
              <w:t>1,726,799.69</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59,538,201.75</w:t>
            </w:r>
          </w:p>
        </w:tc>
      </w:tr>
      <w:tr>
        <w:trPr>
          <w:trHeight w:val="557"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经常性损益后的净利润</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2,295,809.05</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6,512,277.10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65" w:right="0"/>
              <w:jc w:val="center"/>
              <w:rPr>
                <w:rFonts w:ascii="Times New Roman" w:hAnsi="Times New Roman" w:cs="Times New Roman" w:eastAsia="Times New Roman" w:hint="default"/>
                <w:sz w:val="21"/>
                <w:szCs w:val="21"/>
              </w:rPr>
            </w:pPr>
            <w:r>
              <w:rPr>
                <w:rFonts w:ascii="Times New Roman"/>
                <w:sz w:val="21"/>
              </w:rPr>
              <w:t>-109,795.06</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53,561,196.83</w:t>
            </w:r>
          </w:p>
        </w:tc>
      </w:tr>
      <w:tr>
        <w:trPr>
          <w:trHeight w:val="28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-28,539,994.22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-8,862,782.09</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7" w:right="0"/>
              <w:jc w:val="center"/>
              <w:rPr>
                <w:rFonts w:ascii="Times New Roman" w:hAnsi="Times New Roman" w:cs="Times New Roman" w:eastAsia="Times New Roman" w:hint="default"/>
                <w:sz w:val="21"/>
                <w:szCs w:val="21"/>
              </w:rPr>
            </w:pPr>
            <w:r>
              <w:rPr>
                <w:rFonts w:ascii="Times New Roman"/>
                <w:sz w:val="21"/>
              </w:rPr>
              <w:t>-7,382,401.24</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63,971,629.44</w:t>
            </w:r>
          </w:p>
        </w:tc>
      </w:tr>
    </w:tbl>
    <w:p>
      <w:pPr>
        <w:spacing w:line="240" w:lineRule="auto" w:before="2"/>
        <w:rPr>
          <w:rFonts w:ascii="宋体" w:hAnsi="宋体" w:cs="宋体" w:eastAsia="宋体" w:hint="default"/>
          <w:sz w:val="13"/>
          <w:szCs w:val="13"/>
        </w:rPr>
      </w:pPr>
    </w:p>
    <w:p>
      <w:pPr>
        <w:pStyle w:val="BodyText"/>
        <w:spacing w:line="237" w:lineRule="auto" w:before="38"/>
        <w:ind w:right="228"/>
        <w:jc w:val="both"/>
      </w:pPr>
      <w:r>
        <w:rPr>
          <w:spacing w:val="-1"/>
        </w:rPr>
        <w:t>注：公司的产品销售存在季节性、不均衡的特征。公司研发、销售的信息安全类产品主要面向政</w:t>
      </w:r>
      <w:r>
        <w:rPr>
          <w:spacing w:val="-55"/>
        </w:rPr>
        <w:t> </w:t>
      </w:r>
      <w:r>
        <w:rPr>
          <w:spacing w:val="-55"/>
        </w:rPr>
      </w:r>
      <w:r>
        <w:rPr>
          <w:spacing w:val="-2"/>
        </w:rPr>
        <w:t>府部门、军工、金融机构及其它大中型企事业单位等相关客户。此类客户通常采用预算管理制度</w:t>
      </w:r>
      <w:r>
        <w:rPr>
          <w:spacing w:val="-15"/>
        </w:rPr>
        <w:t> </w:t>
      </w:r>
      <w:r>
        <w:rPr>
          <w:spacing w:val="-15"/>
        </w:rPr>
      </w:r>
      <w:r>
        <w:rPr>
          <w:spacing w:val="-1"/>
        </w:rPr>
        <w:t>和集中采购制度，即一般上半年进行项目预算流程审批、下半年进行招标或设施采购，因而公司</w:t>
      </w:r>
      <w:r>
        <w:rPr>
          <w:spacing w:val="-55"/>
        </w:rPr>
        <w:t> </w:t>
      </w:r>
      <w:r>
        <w:rPr>
          <w:spacing w:val="-55"/>
        </w:rPr>
      </w:r>
      <w:r>
        <w:rPr>
          <w:spacing w:val="-1"/>
        </w:rPr>
        <w:t>产品用户的市场需求高峰通常出现在下半年。公司销售收入的季节性波动及其对公司利润、经营</w:t>
      </w:r>
      <w:r>
        <w:rPr>
          <w:spacing w:val="-55"/>
        </w:rPr>
        <w:t> </w:t>
      </w:r>
      <w:r>
        <w:rPr>
          <w:spacing w:val="-55"/>
        </w:rPr>
      </w:r>
      <w:r>
        <w:rPr/>
        <w:t>性活动现金流在全年实现过程中造成的不均衡性。</w:t>
      </w:r>
    </w:p>
    <w:p>
      <w:pPr>
        <w:spacing w:line="240" w:lineRule="auto" w:before="4"/>
        <w:rPr>
          <w:rFonts w:ascii="宋体" w:hAnsi="宋体" w:cs="宋体" w:eastAsia="宋体" w:hint="default"/>
          <w:sz w:val="18"/>
          <w:szCs w:val="18"/>
        </w:rPr>
      </w:pPr>
    </w:p>
    <w:p>
      <w:pPr>
        <w:pStyle w:val="BodyText"/>
        <w:spacing w:line="273" w:lineRule="exact"/>
        <w:ind w:right="0"/>
        <w:jc w:val="both"/>
      </w:pPr>
      <w:r>
        <w:rPr/>
        <w:t>季度数据与已披露定期报告数据差异说明</w:t>
      </w:r>
    </w:p>
    <w:p>
      <w:pPr>
        <w:pStyle w:val="BodyText"/>
        <w:spacing w:line="273" w:lineRule="exact"/>
        <w:ind w:right="0"/>
        <w:jc w:val="both"/>
      </w:pPr>
      <w:r>
        <w:rPr/>
        <w:t>□适用√不适用</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2"/>
        <w:spacing w:line="240" w:lineRule="auto" w:before="36"/>
        <w:ind w:right="-18"/>
        <w:jc w:val="left"/>
        <w:rPr>
          <w:b w:val="0"/>
          <w:bCs w:val="0"/>
        </w:rPr>
      </w:pPr>
      <w:r>
        <w:rPr/>
        <w:t>十、</w:t>
      </w:r>
      <w:r>
        <w:rPr>
          <w:spacing w:val="-31"/>
        </w:rPr>
        <w:t> </w:t>
      </w:r>
      <w:r>
        <w:rPr/>
        <w:t>非经常性损益项目和金额</w:t>
      </w:r>
      <w:r>
        <w:rPr>
          <w:b w:val="0"/>
          <w:bCs w:val="0"/>
        </w:rPr>
      </w:r>
    </w:p>
    <w:p>
      <w:pPr>
        <w:pStyle w:val="BodyText"/>
        <w:spacing w:line="240" w:lineRule="auto" w:before="56"/>
        <w:ind w:right="-18"/>
        <w:jc w:val="left"/>
      </w:pPr>
      <w:r>
        <w:rPr/>
        <w:t>√适用□不适用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1"/>
        <w:rPr>
          <w:rFonts w:ascii="宋体" w:hAnsi="宋体" w:cs="宋体" w:eastAsia="宋体" w:hint="default"/>
          <w:sz w:val="26"/>
          <w:szCs w:val="26"/>
        </w:rPr>
      </w:pPr>
    </w:p>
    <w:p>
      <w:pPr>
        <w:pStyle w:val="BodyText"/>
        <w:spacing w:line="240" w:lineRule="auto"/>
        <w:ind w:right="0"/>
        <w:jc w:val="left"/>
        <w:rPr>
          <w:rFonts w:ascii="Times New Roman" w:hAnsi="Times New Roman" w:cs="Times New Roman" w:eastAsia="Times New Roman" w:hint="default"/>
        </w:rPr>
      </w:pPr>
      <w:r>
        <w:rPr/>
        <w:t>单位</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币种</w:t>
      </w:r>
      <w:r>
        <w:rPr>
          <w:rFonts w:ascii="Times New Roman" w:hAnsi="Times New Roman" w:cs="Times New Roman" w:eastAsia="Times New Roman" w:hint="default"/>
        </w:rPr>
        <w:t>:CNY</w:t>
      </w:r>
    </w:p>
    <w:p>
      <w:pPr>
        <w:spacing w:after="0" w:line="240" w:lineRule="auto"/>
        <w:jc w:val="left"/>
        <w:rPr>
          <w:rFonts w:ascii="Times New Roman" w:hAnsi="Times New Roman" w:cs="Times New Roman" w:eastAsia="Times New Roman" w:hint="default"/>
        </w:rPr>
        <w:sectPr>
          <w:type w:val="continuous"/>
          <w:pgSz w:w="11910" w:h="16840"/>
          <w:pgMar w:top="1120" w:bottom="1380" w:left="1580" w:right="1040"/>
          <w:cols w:num="2" w:equalWidth="0">
            <w:col w:w="3036" w:space="4240"/>
            <w:col w:w="2014"/>
          </w:cols>
        </w:sectPr>
      </w:pPr>
    </w:p>
    <w:tbl>
      <w:tblPr>
        <w:tblW w:w="0" w:type="auto"/>
        <w:jc w:val="left"/>
        <w:tblInd w:w="105" w:type="dxa"/>
        <w:tblLayout w:type="fixed"/>
        <w:tblCellMar>
          <w:top w:w="0" w:type="dxa"/>
          <w:left w:w="0" w:type="dxa"/>
          <w:bottom w:w="0" w:type="dxa"/>
          <w:right w:w="0" w:type="dxa"/>
        </w:tblCellMar>
        <w:tblLook w:val="01E0"/>
      </w:tblPr>
      <w:tblGrid>
        <w:gridCol w:w="3908"/>
        <w:gridCol w:w="1616"/>
        <w:gridCol w:w="1750"/>
        <w:gridCol w:w="1776"/>
      </w:tblGrid>
      <w:tr>
        <w:trPr>
          <w:trHeight w:val="284"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8"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9"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81"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-365,072.96</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27" w:right="0"/>
              <w:jc w:val="left"/>
              <w:rPr>
                <w:rFonts w:ascii="Times New Roman" w:hAnsi="Times New Roman" w:cs="Times New Roman" w:eastAsia="Times New Roman" w:hint="default"/>
                <w:sz w:val="21"/>
                <w:szCs w:val="21"/>
              </w:rPr>
            </w:pPr>
            <w:r>
              <w:rPr>
                <w:rFonts w:ascii="Times New Roman"/>
                <w:sz w:val="21"/>
              </w:rPr>
              <w:t>-52,831.95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-138,644.06</w:t>
            </w:r>
          </w:p>
        </w:tc>
      </w:tr>
      <w:tr>
        <w:trPr>
          <w:trHeight w:val="554"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越权审批，或无正式批准文件，或偶发性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的税收返还、减免</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计入</w:t>
            </w:r>
            <w:r>
              <w:rPr>
                <w:rFonts w:ascii="宋体" w:hAnsi="宋体" w:cs="宋体" w:eastAsia="宋体" w:hint="default"/>
                <w:spacing w:val="-3"/>
                <w:w w:val="100"/>
                <w:sz w:val="21"/>
                <w:szCs w:val="21"/>
              </w:rPr>
              <w:t>当</w:t>
            </w:r>
            <w:r>
              <w:rPr>
                <w:rFonts w:ascii="宋体" w:hAnsi="宋体" w:cs="宋体" w:eastAsia="宋体" w:hint="default"/>
                <w:w w:val="100"/>
                <w:sz w:val="21"/>
                <w:szCs w:val="21"/>
              </w:rPr>
              <w:t>期</w:t>
            </w:r>
            <w:r>
              <w:rPr>
                <w:rFonts w:ascii="宋体" w:hAnsi="宋体" w:cs="宋体" w:eastAsia="宋体" w:hint="default"/>
                <w:spacing w:val="-3"/>
                <w:w w:val="100"/>
                <w:sz w:val="21"/>
                <w:szCs w:val="21"/>
              </w:rPr>
              <w:t>损</w:t>
            </w:r>
            <w:r>
              <w:rPr>
                <w:rFonts w:ascii="宋体" w:hAnsi="宋体" w:cs="宋体" w:eastAsia="宋体" w:hint="default"/>
                <w:w w:val="100"/>
                <w:sz w:val="21"/>
                <w:szCs w:val="21"/>
              </w:rPr>
              <w:t>益</w:t>
            </w:r>
            <w:r>
              <w:rPr>
                <w:rFonts w:ascii="宋体" w:hAnsi="宋体" w:cs="宋体" w:eastAsia="宋体" w:hint="default"/>
                <w:spacing w:val="-3"/>
                <w:w w:val="100"/>
                <w:sz w:val="21"/>
                <w:szCs w:val="21"/>
              </w:rPr>
              <w:t>的</w:t>
            </w:r>
            <w:r>
              <w:rPr>
                <w:rFonts w:ascii="宋体" w:hAnsi="宋体" w:cs="宋体" w:eastAsia="宋体" w:hint="default"/>
                <w:w w:val="100"/>
                <w:sz w:val="21"/>
                <w:szCs w:val="21"/>
              </w:rPr>
              <w:t>政</w:t>
            </w:r>
            <w:r>
              <w:rPr>
                <w:rFonts w:ascii="宋体" w:hAnsi="宋体" w:cs="宋体" w:eastAsia="宋体" w:hint="default"/>
                <w:spacing w:val="-3"/>
                <w:w w:val="100"/>
                <w:sz w:val="21"/>
                <w:szCs w:val="21"/>
              </w:rPr>
              <w:t>府</w:t>
            </w:r>
            <w:r>
              <w:rPr>
                <w:rFonts w:ascii="宋体" w:hAnsi="宋体" w:cs="宋体" w:eastAsia="宋体" w:hint="default"/>
                <w:w w:val="100"/>
                <w:sz w:val="21"/>
                <w:szCs w:val="21"/>
              </w:rPr>
              <w:t>补助</w:t>
            </w:r>
            <w:r>
              <w:rPr>
                <w:rFonts w:ascii="宋体" w:hAnsi="宋体" w:cs="宋体" w:eastAsia="宋体" w:hint="default"/>
                <w:spacing w:val="-94"/>
                <w:w w:val="100"/>
                <w:sz w:val="21"/>
                <w:szCs w:val="21"/>
              </w:rPr>
              <w:t>，</w:t>
            </w:r>
            <w:r>
              <w:rPr>
                <w:rFonts w:ascii="宋体" w:hAnsi="宋体" w:cs="宋体" w:eastAsia="宋体" w:hint="default"/>
                <w:w w:val="100"/>
                <w:sz w:val="21"/>
                <w:szCs w:val="21"/>
              </w:rPr>
              <w:t>但与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正</w:t>
            </w:r>
            <w:r>
              <w:rPr>
                <w:rFonts w:ascii="宋体" w:hAnsi="宋体" w:cs="宋体" w:eastAsia="宋体" w:hint="default"/>
                <w:w w:val="100"/>
                <w:sz w:val="21"/>
                <w:szCs w:val="21"/>
              </w:rPr>
              <w:t>常</w:t>
            </w:r>
          </w:p>
          <w:p>
            <w:pPr>
              <w:pStyle w:val="TableParagraph"/>
              <w:spacing w:line="237" w:lineRule="auto"/>
              <w:ind w:left="103" w:right="7"/>
              <w:jc w:val="left"/>
              <w:rPr>
                <w:rFonts w:ascii="宋体" w:hAnsi="宋体" w:cs="宋体" w:eastAsia="宋体" w:hint="default"/>
                <w:sz w:val="21"/>
                <w:szCs w:val="21"/>
              </w:rPr>
            </w:pPr>
            <w:r>
              <w:rPr>
                <w:rFonts w:ascii="宋体" w:hAnsi="宋体" w:cs="宋体" w:eastAsia="宋体" w:hint="default"/>
                <w:spacing w:val="-2"/>
                <w:sz w:val="21"/>
                <w:szCs w:val="21"/>
              </w:rPr>
              <w:t>经营业务密切相关，符合国家政策规定、</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按照一定标准定额或定量持续享受的政</w:t>
            </w:r>
            <w:r>
              <w:rPr>
                <w:rFonts w:ascii="宋体" w:hAnsi="宋体" w:cs="宋体" w:eastAsia="宋体" w:hint="default"/>
                <w:w w:val="100"/>
                <w:sz w:val="21"/>
                <w:szCs w:val="21"/>
              </w:rPr>
              <w:t> </w:t>
            </w:r>
            <w:r>
              <w:rPr>
                <w:rFonts w:ascii="宋体" w:hAnsi="宋体" w:cs="宋体" w:eastAsia="宋体" w:hint="default"/>
                <w:sz w:val="21"/>
                <w:szCs w:val="21"/>
              </w:rPr>
              <w:t>府补助除外</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6,191,108.48</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9,456,093.67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11,186,479.72</w:t>
            </w:r>
          </w:p>
        </w:tc>
      </w:tr>
      <w:tr>
        <w:trPr>
          <w:trHeight w:val="557"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金占用费</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企业</w:t>
            </w:r>
            <w:r>
              <w:rPr>
                <w:rFonts w:ascii="宋体" w:hAnsi="宋体" w:cs="宋体" w:eastAsia="宋体" w:hint="default"/>
                <w:spacing w:val="-3"/>
                <w:w w:val="100"/>
                <w:sz w:val="21"/>
                <w:szCs w:val="21"/>
              </w:rPr>
              <w:t>取</w:t>
            </w:r>
            <w:r>
              <w:rPr>
                <w:rFonts w:ascii="宋体" w:hAnsi="宋体" w:cs="宋体" w:eastAsia="宋体" w:hint="default"/>
                <w:w w:val="100"/>
                <w:sz w:val="21"/>
                <w:szCs w:val="21"/>
              </w:rPr>
              <w:t>得</w:t>
            </w:r>
            <w:r>
              <w:rPr>
                <w:rFonts w:ascii="宋体" w:hAnsi="宋体" w:cs="宋体" w:eastAsia="宋体" w:hint="default"/>
                <w:spacing w:val="-3"/>
                <w:w w:val="100"/>
                <w:sz w:val="21"/>
                <w:szCs w:val="21"/>
              </w:rPr>
              <w:t>子</w:t>
            </w:r>
            <w:r>
              <w:rPr>
                <w:rFonts w:ascii="宋体" w:hAnsi="宋体" w:cs="宋体" w:eastAsia="宋体" w:hint="default"/>
                <w:w w:val="100"/>
                <w:sz w:val="21"/>
                <w:szCs w:val="21"/>
              </w:rPr>
              <w:t>公司</w:t>
            </w:r>
            <w:r>
              <w:rPr>
                <w:rFonts w:ascii="宋体" w:hAnsi="宋体" w:cs="宋体" w:eastAsia="宋体" w:hint="default"/>
                <w:spacing w:val="-94"/>
                <w:w w:val="100"/>
                <w:sz w:val="21"/>
                <w:szCs w:val="21"/>
              </w:rPr>
              <w:t>、</w:t>
            </w:r>
            <w:r>
              <w:rPr>
                <w:rFonts w:ascii="宋体" w:hAnsi="宋体" w:cs="宋体" w:eastAsia="宋体" w:hint="default"/>
                <w:w w:val="100"/>
                <w:sz w:val="21"/>
                <w:szCs w:val="21"/>
              </w:rPr>
              <w:t>联</w:t>
            </w:r>
            <w:r>
              <w:rPr>
                <w:rFonts w:ascii="宋体" w:hAnsi="宋体" w:cs="宋体" w:eastAsia="宋体" w:hint="default"/>
                <w:spacing w:val="-3"/>
                <w:w w:val="100"/>
                <w:sz w:val="21"/>
                <w:szCs w:val="21"/>
              </w:rPr>
              <w:t>营</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及合</w:t>
            </w:r>
            <w:r>
              <w:rPr>
                <w:rFonts w:ascii="宋体" w:hAnsi="宋体" w:cs="宋体" w:eastAsia="宋体" w:hint="default"/>
                <w:spacing w:val="-3"/>
                <w:w w:val="100"/>
                <w:sz w:val="21"/>
                <w:szCs w:val="21"/>
              </w:rPr>
              <w:t>营</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的</w:t>
            </w:r>
          </w:p>
          <w:p>
            <w:pPr>
              <w:pStyle w:val="TableParagraph"/>
              <w:spacing w:line="240" w:lineRule="auto"/>
              <w:ind w:left="103" w:right="218"/>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单位可辨认净资产公允价值产生的收益</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3,475,371.84</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因不</w:t>
            </w:r>
            <w:r>
              <w:rPr>
                <w:rFonts w:ascii="宋体" w:hAnsi="宋体" w:cs="宋体" w:eastAsia="宋体" w:hint="default"/>
                <w:spacing w:val="-3"/>
                <w:w w:val="100"/>
                <w:sz w:val="21"/>
                <w:szCs w:val="21"/>
              </w:rPr>
              <w:t>可</w:t>
            </w:r>
            <w:r>
              <w:rPr>
                <w:rFonts w:ascii="宋体" w:hAnsi="宋体" w:cs="宋体" w:eastAsia="宋体" w:hint="default"/>
                <w:w w:val="100"/>
                <w:sz w:val="21"/>
                <w:szCs w:val="21"/>
              </w:rPr>
              <w:t>抗</w:t>
            </w:r>
            <w:r>
              <w:rPr>
                <w:rFonts w:ascii="宋体" w:hAnsi="宋体" w:cs="宋体" w:eastAsia="宋体" w:hint="default"/>
                <w:spacing w:val="-3"/>
                <w:w w:val="100"/>
                <w:sz w:val="21"/>
                <w:szCs w:val="21"/>
              </w:rPr>
              <w:t>力</w:t>
            </w:r>
            <w:r>
              <w:rPr>
                <w:rFonts w:ascii="宋体" w:hAnsi="宋体" w:cs="宋体" w:eastAsia="宋体" w:hint="default"/>
                <w:w w:val="100"/>
                <w:sz w:val="21"/>
                <w:szCs w:val="21"/>
              </w:rPr>
              <w:t>因素</w:t>
            </w:r>
            <w:r>
              <w:rPr>
                <w:rFonts w:ascii="宋体" w:hAnsi="宋体" w:cs="宋体" w:eastAsia="宋体" w:hint="default"/>
                <w:spacing w:val="-94"/>
                <w:w w:val="100"/>
                <w:sz w:val="21"/>
                <w:szCs w:val="21"/>
              </w:rPr>
              <w:t>，</w:t>
            </w:r>
            <w:r>
              <w:rPr>
                <w:rFonts w:ascii="宋体" w:hAnsi="宋体" w:cs="宋体" w:eastAsia="宋体" w:hint="default"/>
                <w:w w:val="100"/>
                <w:sz w:val="21"/>
                <w:szCs w:val="21"/>
              </w:rPr>
              <w:t>如</w:t>
            </w:r>
            <w:r>
              <w:rPr>
                <w:rFonts w:ascii="宋体" w:hAnsi="宋体" w:cs="宋体" w:eastAsia="宋体" w:hint="default"/>
                <w:spacing w:val="-3"/>
                <w:w w:val="100"/>
                <w:sz w:val="21"/>
                <w:szCs w:val="21"/>
              </w:rPr>
              <w:t>遭</w:t>
            </w:r>
            <w:r>
              <w:rPr>
                <w:rFonts w:ascii="宋体" w:hAnsi="宋体" w:cs="宋体" w:eastAsia="宋体" w:hint="default"/>
                <w:w w:val="100"/>
                <w:sz w:val="21"/>
                <w:szCs w:val="21"/>
              </w:rPr>
              <w:t>受</w:t>
            </w:r>
            <w:r>
              <w:rPr>
                <w:rFonts w:ascii="宋体" w:hAnsi="宋体" w:cs="宋体" w:eastAsia="宋体" w:hint="default"/>
                <w:spacing w:val="-3"/>
                <w:w w:val="100"/>
                <w:sz w:val="21"/>
                <w:szCs w:val="21"/>
              </w:rPr>
              <w:t>自</w:t>
            </w:r>
            <w:r>
              <w:rPr>
                <w:rFonts w:ascii="宋体" w:hAnsi="宋体" w:cs="宋体" w:eastAsia="宋体" w:hint="default"/>
                <w:w w:val="100"/>
                <w:sz w:val="21"/>
                <w:szCs w:val="21"/>
              </w:rPr>
              <w:t>然灾</w:t>
            </w:r>
            <w:r>
              <w:rPr>
                <w:rFonts w:ascii="宋体" w:hAnsi="宋体" w:cs="宋体" w:eastAsia="宋体" w:hint="default"/>
                <w:spacing w:val="-3"/>
                <w:w w:val="100"/>
                <w:sz w:val="21"/>
                <w:szCs w:val="21"/>
              </w:rPr>
              <w:t>害</w:t>
            </w:r>
            <w:r>
              <w:rPr>
                <w:rFonts w:ascii="宋体" w:hAnsi="宋体" w:cs="宋体" w:eastAsia="宋体" w:hint="default"/>
                <w:w w:val="100"/>
                <w:sz w:val="21"/>
                <w:szCs w:val="21"/>
              </w:rPr>
              <w:t>而</w:t>
            </w:r>
            <w:r>
              <w:rPr>
                <w:rFonts w:ascii="宋体" w:hAnsi="宋体" w:cs="宋体" w:eastAsia="宋体" w:hint="default"/>
                <w:spacing w:val="-3"/>
                <w:w w:val="100"/>
                <w:sz w:val="21"/>
                <w:szCs w:val="21"/>
              </w:rPr>
              <w:t>计</w:t>
            </w:r>
            <w:r>
              <w:rPr>
                <w:rFonts w:ascii="宋体" w:hAnsi="宋体" w:cs="宋体" w:eastAsia="宋体" w:hint="default"/>
                <w:w w:val="100"/>
                <w:sz w:val="21"/>
                <w:szCs w:val="21"/>
              </w:rPr>
              <w:t>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允价值部分的损益</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至合并日的当期净损益</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生的损益</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908"/>
        <w:gridCol w:w="1616"/>
        <w:gridCol w:w="1750"/>
        <w:gridCol w:w="1776"/>
      </w:tblGrid>
      <w:tr>
        <w:trPr>
          <w:trHeight w:val="1373"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7"/>
                <w:sz w:val="21"/>
                <w:szCs w:val="21"/>
              </w:rPr>
              <w:t>保值业务外，持有交易性金融资产、交易</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7"/>
                <w:w w:val="100"/>
                <w:sz w:val="21"/>
                <w:szCs w:val="21"/>
              </w:rPr>
              <w:t>性金融负债产生的公允价值变动损益，以</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7"/>
                <w:w w:val="100"/>
                <w:sz w:val="21"/>
                <w:szCs w:val="21"/>
              </w:rPr>
              <w:t>及处置交易性金融资产、交易性金融负债</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和可供出售金融资产取得的投资收益</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性房地产公允价值变动产生的损益</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根据税收、会计等法律、法规的要求对当</w:t>
            </w:r>
          </w:p>
          <w:p>
            <w:pPr>
              <w:pStyle w:val="TableParagraph"/>
              <w:spacing w:line="240" w:lineRule="auto"/>
              <w:ind w:left="103" w:right="218"/>
              <w:jc w:val="left"/>
              <w:rPr>
                <w:rFonts w:ascii="宋体" w:hAnsi="宋体" w:cs="宋体" w:eastAsia="宋体" w:hint="default"/>
                <w:sz w:val="21"/>
                <w:szCs w:val="21"/>
              </w:rPr>
            </w:pPr>
            <w:r>
              <w:rPr>
                <w:rFonts w:ascii="宋体" w:hAnsi="宋体" w:cs="宋体" w:eastAsia="宋体" w:hint="default"/>
                <w:spacing w:val="-2"/>
                <w:sz w:val="21"/>
                <w:szCs w:val="21"/>
              </w:rPr>
              <w:t>期损益进行一次性调整对当期损益的影</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响</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出</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-15.79</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198,862.37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-4,999.65</w:t>
            </w:r>
          </w:p>
        </w:tc>
      </w:tr>
      <w:tr>
        <w:trPr>
          <w:trHeight w:val="283"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3"/>
                <w:sz w:val="21"/>
              </w:rPr>
              <w:t>-111,642.00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63" w:right="0"/>
              <w:jc w:val="left"/>
              <w:rPr>
                <w:rFonts w:ascii="Times New Roman" w:hAnsi="Times New Roman" w:cs="Times New Roman" w:eastAsia="Times New Roman" w:hint="default"/>
                <w:sz w:val="21"/>
                <w:szCs w:val="21"/>
              </w:rPr>
            </w:pPr>
            <w:r>
              <w:rPr>
                <w:rFonts w:ascii="Times New Roman"/>
                <w:sz w:val="21"/>
              </w:rPr>
              <w:t>-1,440,318.62</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-1,656,375.40</w:t>
            </w:r>
          </w:p>
        </w:tc>
      </w:tr>
      <w:tr>
        <w:trPr>
          <w:trHeight w:val="283"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-1,203,680.40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-3,465.18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-414.00</w:t>
            </w:r>
          </w:p>
        </w:tc>
      </w:tr>
      <w:tr>
        <w:trPr>
          <w:trHeight w:val="283"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7,986,069.17</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8,158,340.29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9,386,046.61</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1"/>
          <w:szCs w:val="21"/>
        </w:rPr>
      </w:pPr>
    </w:p>
    <w:p>
      <w:pPr>
        <w:pStyle w:val="Heading2"/>
        <w:tabs>
          <w:tab w:pos="1057" w:val="left" w:leader="none"/>
        </w:tabs>
        <w:spacing w:line="240" w:lineRule="auto" w:before="36"/>
        <w:ind w:right="2465"/>
        <w:jc w:val="left"/>
        <w:rPr>
          <w:b w:val="0"/>
          <w:bCs w:val="0"/>
        </w:rPr>
      </w:pPr>
      <w:r>
        <w:rPr/>
        <w:t>十一、</w:t>
        <w:tab/>
        <w:t>采用公允价值计量的项目</w:t>
      </w:r>
      <w:r>
        <w:rPr>
          <w:b w:val="0"/>
          <w:bCs w:val="0"/>
        </w:rPr>
      </w:r>
    </w:p>
    <w:p>
      <w:pPr>
        <w:tabs>
          <w:tab w:pos="1057" w:val="left" w:leader="none"/>
        </w:tabs>
        <w:spacing w:line="290" w:lineRule="auto" w:before="59"/>
        <w:ind w:left="218" w:right="7592" w:firstLine="0"/>
        <w:jc w:val="left"/>
        <w:rPr>
          <w:rFonts w:ascii="宋体" w:hAnsi="宋体" w:cs="宋体" w:eastAsia="宋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sz w:val="21"/>
          <w:szCs w:val="21"/>
        </w:rPr>
        <w:t>十二、</w:t>
        <w:tab/>
        <w:t>其他</w:t>
      </w:r>
      <w:r>
        <w:rPr>
          <w:rFonts w:ascii="宋体" w:hAnsi="宋体" w:cs="宋体" w:eastAsia="宋体" w:hint="default"/>
          <w:sz w:val="21"/>
          <w:szCs w:val="21"/>
        </w:rPr>
      </w:r>
    </w:p>
    <w:p>
      <w:pPr>
        <w:pStyle w:val="BodyText"/>
        <w:spacing w:line="240" w:lineRule="auto" w:before="14"/>
        <w:ind w:right="2465"/>
        <w:jc w:val="left"/>
      </w:pPr>
      <w:r>
        <w:rPr/>
        <w:t>□适用√不适用</w:t>
      </w:r>
    </w:p>
    <w:p>
      <w:pPr>
        <w:spacing w:after="0" w:line="240" w:lineRule="auto"/>
        <w:jc w:val="left"/>
        <w:sectPr>
          <w:footerReference w:type="default" r:id="rId11"/>
          <w:pgSz w:w="11910" w:h="16840"/>
          <w:pgMar w:footer="1195" w:header="880" w:top="1120" w:bottom="1380" w:left="1580" w:right="1040"/>
        </w:sectPr>
      </w:pPr>
    </w:p>
    <w:p>
      <w:pPr>
        <w:spacing w:line="240" w:lineRule="auto" w:before="11"/>
        <w:rPr>
          <w:rFonts w:ascii="宋体" w:hAnsi="宋体" w:cs="宋体" w:eastAsia="宋体" w:hint="default"/>
          <w:sz w:val="25"/>
          <w:szCs w:val="25"/>
        </w:rPr>
      </w:pPr>
    </w:p>
    <w:p>
      <w:pPr>
        <w:pStyle w:val="Heading1"/>
        <w:tabs>
          <w:tab w:pos="1259" w:val="left" w:leader="none"/>
        </w:tabs>
        <w:spacing w:line="240" w:lineRule="auto"/>
        <w:ind w:right="75"/>
        <w:jc w:val="center"/>
        <w:rPr>
          <w:b w:val="0"/>
          <w:bCs w:val="0"/>
        </w:rPr>
      </w:pPr>
      <w:bookmarkStart w:name="_TOC_250009"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pStyle w:val="Heading2"/>
        <w:spacing w:line="240" w:lineRule="auto"/>
        <w:ind w:left="138" w:right="100"/>
        <w:jc w:val="left"/>
        <w:rPr>
          <w:b w:val="0"/>
          <w:bCs w:val="0"/>
        </w:rPr>
      </w:pPr>
      <w:r>
        <w:rPr/>
        <w:t>一、报告期内公司所从事的主要业务、经营模式及行业情况说明</w:t>
      </w:r>
      <w:r>
        <w:rPr>
          <w:b w:val="0"/>
          <w:bCs w:val="0"/>
        </w:rPr>
      </w:r>
    </w:p>
    <w:p>
      <w:pPr>
        <w:pStyle w:val="BodyText"/>
        <w:spacing w:line="237" w:lineRule="auto" w:before="61"/>
        <w:ind w:left="138" w:right="208" w:firstLine="446"/>
        <w:jc w:val="both"/>
      </w:pPr>
      <w:r>
        <w:rPr>
          <w:rFonts w:ascii="宋体" w:hAnsi="宋体" w:cs="宋体" w:eastAsia="宋体" w:hint="default"/>
          <w:w w:val="100"/>
        </w:rPr>
        <w:t>2017</w:t>
      </w:r>
      <w:r>
        <w:rPr>
          <w:rFonts w:ascii="宋体" w:hAnsi="宋体" w:cs="宋体" w:eastAsia="宋体" w:hint="default"/>
          <w:spacing w:val="-64"/>
          <w:w w:val="100"/>
        </w:rPr>
        <w:t> </w:t>
      </w:r>
      <w:r>
        <w:rPr>
          <w:spacing w:val="-12"/>
          <w:w w:val="100"/>
        </w:rPr>
        <w:t>年，公司实现营业收入</w:t>
      </w:r>
      <w:r>
        <w:rPr>
          <w:spacing w:val="-64"/>
          <w:w w:val="100"/>
        </w:rPr>
        <w:t> </w:t>
      </w:r>
      <w:r>
        <w:rPr>
          <w:rFonts w:ascii="宋体" w:hAnsi="宋体" w:cs="宋体" w:eastAsia="宋体" w:hint="default"/>
          <w:spacing w:val="-1"/>
          <w:w w:val="100"/>
        </w:rPr>
        <w:t>27,165.36</w:t>
      </w:r>
      <w:r>
        <w:rPr>
          <w:rFonts w:ascii="宋体" w:hAnsi="宋体" w:cs="宋体" w:eastAsia="宋体" w:hint="default"/>
          <w:spacing w:val="-67"/>
          <w:w w:val="100"/>
        </w:rPr>
        <w:t> </w:t>
      </w:r>
      <w:r>
        <w:rPr>
          <w:spacing w:val="-12"/>
          <w:w w:val="100"/>
        </w:rPr>
        <w:t>万元，较上年同期增长</w:t>
      </w:r>
      <w:r>
        <w:rPr>
          <w:spacing w:val="-64"/>
          <w:w w:val="100"/>
        </w:rPr>
        <w:t> </w:t>
      </w:r>
      <w:r>
        <w:rPr>
          <w:rFonts w:ascii="宋体" w:hAnsi="宋体" w:cs="宋体" w:eastAsia="宋体" w:hint="default"/>
          <w:spacing w:val="-10"/>
          <w:w w:val="100"/>
        </w:rPr>
        <w:t>17.06%</w:t>
      </w:r>
      <w:r>
        <w:rPr>
          <w:spacing w:val="-10"/>
          <w:w w:val="100"/>
        </w:rPr>
        <w:t>；实现利润总额</w:t>
      </w:r>
      <w:r>
        <w:rPr>
          <w:spacing w:val="-64"/>
          <w:w w:val="100"/>
        </w:rPr>
        <w:t> </w:t>
      </w:r>
      <w:r>
        <w:rPr>
          <w:rFonts w:ascii="宋体" w:hAnsi="宋体" w:cs="宋体" w:eastAsia="宋体" w:hint="default"/>
          <w:spacing w:val="-1"/>
          <w:w w:val="100"/>
        </w:rPr>
        <w:t>7,351.41</w:t>
      </w:r>
      <w:r>
        <w:rPr>
          <w:rFonts w:ascii="宋体" w:hAnsi="宋体" w:cs="宋体" w:eastAsia="宋体" w:hint="default"/>
          <w:w w:val="100"/>
        </w:rPr>
        <w:t> </w:t>
      </w:r>
      <w:r>
        <w:rPr/>
        <w:t>万元，较上年同期增长</w:t>
      </w:r>
      <w:r>
        <w:rPr>
          <w:spacing w:val="-32"/>
        </w:rPr>
        <w:t> </w:t>
      </w:r>
      <w:r>
        <w:rPr>
          <w:rFonts w:ascii="宋体" w:hAnsi="宋体" w:cs="宋体" w:eastAsia="宋体" w:hint="default"/>
        </w:rPr>
        <w:t>11.01%</w:t>
      </w:r>
      <w:r>
        <w:rPr/>
        <w:t>；实现归属上市公司股东净利润</w:t>
      </w:r>
      <w:r>
        <w:rPr>
          <w:spacing w:val="-35"/>
        </w:rPr>
        <w:t> </w:t>
      </w:r>
      <w:r>
        <w:rPr>
          <w:rFonts w:ascii="宋体" w:hAnsi="宋体" w:cs="宋体" w:eastAsia="宋体" w:hint="default"/>
        </w:rPr>
        <w:t>7,024.56</w:t>
      </w:r>
      <w:r>
        <w:rPr>
          <w:rFonts w:ascii="宋体" w:hAnsi="宋体" w:cs="宋体" w:eastAsia="宋体" w:hint="default"/>
          <w:spacing w:val="-35"/>
        </w:rPr>
        <w:t> </w:t>
      </w:r>
      <w:r>
        <w:rPr/>
        <w:t>万元，较上年同期增长</w:t>
      </w:r>
      <w:r>
        <w:rPr>
          <w:w w:val="100"/>
        </w:rPr>
        <w:t> </w:t>
      </w:r>
      <w:r>
        <w:rPr>
          <w:rFonts w:ascii="宋体" w:hAnsi="宋体" w:cs="宋体" w:eastAsia="宋体" w:hint="default"/>
        </w:rPr>
        <w:t>24.60%</w:t>
      </w:r>
      <w:r>
        <w:rPr/>
        <w:t>。</w:t>
      </w:r>
    </w:p>
    <w:p>
      <w:pPr>
        <w:pStyle w:val="Heading2"/>
        <w:spacing w:line="271" w:lineRule="exact"/>
        <w:ind w:left="586" w:right="100"/>
        <w:jc w:val="left"/>
        <w:rPr>
          <w:b w:val="0"/>
          <w:bCs w:val="0"/>
        </w:rPr>
      </w:pPr>
      <w:r>
        <w:rPr/>
        <w:t>（一）公司主要业务</w:t>
      </w:r>
      <w:r>
        <w:rPr>
          <w:b w:val="0"/>
          <w:bCs w:val="0"/>
        </w:rPr>
      </w:r>
    </w:p>
    <w:p>
      <w:pPr>
        <w:pStyle w:val="BodyText"/>
        <w:spacing w:line="237" w:lineRule="auto" w:before="2"/>
        <w:ind w:left="138" w:right="210" w:firstLine="446"/>
        <w:jc w:val="both"/>
      </w:pPr>
      <w:r>
        <w:rPr>
          <w:spacing w:val="27"/>
        </w:rPr>
        <w:t>公司专注于信息安全行</w:t>
      </w:r>
      <w:r>
        <w:rPr>
          <w:spacing w:val="-76"/>
        </w:rPr>
        <w:t> </w:t>
      </w:r>
      <w:r>
        <w:rPr/>
        <w:t>业</w:t>
      </w:r>
      <w:r>
        <w:rPr>
          <w:spacing w:val="37"/>
        </w:rPr>
        <w:t> </w:t>
      </w:r>
      <w:r>
        <w:rPr>
          <w:rFonts w:ascii="宋体" w:hAnsi="宋体" w:cs="宋体" w:eastAsia="宋体" w:hint="default"/>
        </w:rPr>
        <w:t>PKI</w:t>
      </w:r>
      <w:r>
        <w:rPr>
          <w:rFonts w:ascii="宋体" w:hAnsi="宋体" w:cs="宋体" w:eastAsia="宋体" w:hint="default"/>
          <w:spacing w:val="36"/>
        </w:rPr>
        <w:t> </w:t>
      </w:r>
      <w:r>
        <w:rPr/>
        <w:t>领</w:t>
      </w:r>
      <w:r>
        <w:rPr>
          <w:spacing w:val="-73"/>
        </w:rPr>
        <w:t> </w:t>
      </w:r>
      <w:r>
        <w:rPr/>
        <w:t>域</w:t>
      </w:r>
      <w:r>
        <w:rPr>
          <w:spacing w:val="-73"/>
        </w:rPr>
        <w:t> </w:t>
      </w:r>
      <w:r>
        <w:rPr/>
        <w:t>，</w:t>
      </w:r>
      <w:r>
        <w:rPr>
          <w:spacing w:val="-73"/>
        </w:rPr>
        <w:t> </w:t>
      </w:r>
      <w:r>
        <w:rPr/>
        <w:t>主</w:t>
      </w:r>
      <w:r>
        <w:rPr>
          <w:spacing w:val="-76"/>
        </w:rPr>
        <w:t> </w:t>
      </w:r>
      <w:r>
        <w:rPr/>
        <w:t>要</w:t>
      </w:r>
      <w:r>
        <w:rPr>
          <w:spacing w:val="-73"/>
        </w:rPr>
        <w:t> </w:t>
      </w:r>
      <w:r>
        <w:rPr/>
        <w:t>从</w:t>
      </w:r>
      <w:r>
        <w:rPr>
          <w:spacing w:val="-76"/>
        </w:rPr>
        <w:t> </w:t>
      </w:r>
      <w:r>
        <w:rPr/>
        <w:t>事</w:t>
      </w:r>
      <w:r>
        <w:rPr>
          <w:spacing w:val="-73"/>
        </w:rPr>
        <w:t> </w:t>
      </w:r>
      <w:r>
        <w:rPr/>
        <w:t>以</w:t>
      </w:r>
      <w:r>
        <w:rPr>
          <w:spacing w:val="-73"/>
        </w:rPr>
        <w:t> </w:t>
      </w:r>
      <w:r>
        <w:rPr/>
        <w:t>公</w:t>
      </w:r>
      <w:r>
        <w:rPr>
          <w:spacing w:val="-73"/>
        </w:rPr>
        <w:t> </w:t>
      </w:r>
      <w:r>
        <w:rPr/>
        <w:t>钥</w:t>
      </w:r>
      <w:r>
        <w:rPr>
          <w:spacing w:val="-73"/>
        </w:rPr>
        <w:t> </w:t>
      </w:r>
      <w:r>
        <w:rPr/>
        <w:t>基</w:t>
      </w:r>
      <w:r>
        <w:rPr>
          <w:spacing w:val="-73"/>
        </w:rPr>
        <w:t> </w:t>
      </w:r>
      <w:r>
        <w:rPr/>
        <w:t>础</w:t>
      </w:r>
      <w:r>
        <w:rPr>
          <w:spacing w:val="-73"/>
        </w:rPr>
        <w:t> </w:t>
      </w:r>
      <w:r>
        <w:rPr/>
        <w:t>设</w:t>
      </w:r>
      <w:r>
        <w:rPr>
          <w:spacing w:val="-73"/>
        </w:rPr>
        <w:t> </w:t>
      </w:r>
      <w:r>
        <w:rPr/>
        <w:t>施</w:t>
      </w:r>
      <w:r>
        <w:rPr>
          <w:spacing w:val="40"/>
        </w:rPr>
        <w:t> </w:t>
      </w:r>
      <w:r>
        <w:rPr>
          <w:rFonts w:ascii="宋体" w:hAnsi="宋体" w:cs="宋体" w:eastAsia="宋体" w:hint="default"/>
        </w:rPr>
        <w:t>PKI</w:t>
      </w:r>
      <w:r>
        <w:rPr>
          <w:rFonts w:ascii="宋体" w:hAnsi="宋体" w:cs="宋体" w:eastAsia="宋体" w:hint="default"/>
          <w:spacing w:val="-76"/>
        </w:rPr>
        <w:t> </w:t>
      </w:r>
      <w:r>
        <w:rPr/>
        <w:t>（</w:t>
      </w:r>
      <w:r>
        <w:rPr>
          <w:spacing w:val="-73"/>
        </w:rPr>
        <w:t> </w:t>
      </w:r>
      <w:r>
        <w:rPr>
          <w:rFonts w:ascii="宋体" w:hAnsi="宋体" w:cs="宋体" w:eastAsia="宋体" w:hint="default"/>
        </w:rPr>
        <w:t>Public</w:t>
      </w:r>
      <w:r>
        <w:rPr>
          <w:rFonts w:ascii="宋体" w:hAnsi="宋体" w:cs="宋体" w:eastAsia="宋体" w:hint="default"/>
          <w:spacing w:val="36"/>
        </w:rPr>
        <w:t> </w:t>
      </w:r>
      <w:r>
        <w:rPr>
          <w:rFonts w:ascii="宋体" w:hAnsi="宋体" w:cs="宋体" w:eastAsia="宋体" w:hint="default"/>
        </w:rPr>
        <w:t>Key</w:t>
      </w:r>
      <w:r>
        <w:rPr>
          <w:rFonts w:ascii="宋体" w:hAnsi="宋体" w:cs="宋体" w:eastAsia="宋体" w:hint="default"/>
          <w:w w:val="100"/>
        </w:rPr>
        <w:t> </w:t>
      </w:r>
      <w:r>
        <w:rPr>
          <w:rFonts w:ascii="宋体" w:hAnsi="宋体" w:cs="宋体" w:eastAsia="宋体" w:hint="default"/>
          <w:spacing w:val="-1"/>
        </w:rPr>
        <w:t>Infrastructure</w:t>
      </w:r>
      <w:r>
        <w:rPr>
          <w:spacing w:val="-1"/>
        </w:rPr>
        <w:t>）为核心的商用密码软件产品的研发、生产和销售及服务业务，为用户提供基于</w:t>
      </w:r>
      <w:r>
        <w:rPr>
          <w:spacing w:val="-51"/>
        </w:rPr>
        <w:t> </w:t>
      </w:r>
      <w:r>
        <w:rPr>
          <w:spacing w:val="-51"/>
        </w:rPr>
      </w:r>
      <w:r>
        <w:rPr>
          <w:rFonts w:ascii="宋体" w:hAnsi="宋体" w:cs="宋体" w:eastAsia="宋体" w:hint="default"/>
        </w:rPr>
        <w:t>PKI</w:t>
      </w:r>
      <w:r>
        <w:rPr>
          <w:rFonts w:ascii="宋体" w:hAnsi="宋体" w:cs="宋体" w:eastAsia="宋体" w:hint="default"/>
          <w:spacing w:val="-4"/>
        </w:rPr>
        <w:t> </w:t>
      </w:r>
      <w:r>
        <w:rPr>
          <w:spacing w:val="-2"/>
        </w:rPr>
        <w:t>的信息安全系列产品、安全服务和信息安全整体解决方案。</w:t>
      </w:r>
    </w:p>
    <w:p>
      <w:pPr>
        <w:pStyle w:val="BodyText"/>
        <w:spacing w:line="237" w:lineRule="auto"/>
        <w:ind w:left="138" w:right="100" w:firstLine="446"/>
        <w:jc w:val="left"/>
      </w:pPr>
      <w:r>
        <w:rPr/>
        <w:t>当前，公司的产品和技术已为政务、金融、军工、企业重要信息系统提供安全支撑与保障，</w:t>
      </w:r>
      <w:r>
        <w:rPr>
          <w:w w:val="100"/>
        </w:rPr>
        <w:t> </w:t>
      </w:r>
      <w:r>
        <w:rPr>
          <w:spacing w:val="-7"/>
        </w:rPr>
        <w:t>参与承建了我国多个第三方数字认证中心系统，并在电子商务、互联网网络实名、金融电子支付、</w:t>
      </w:r>
      <w:r>
        <w:rPr>
          <w:spacing w:val="-12"/>
        </w:rPr>
        <w:t> </w:t>
      </w:r>
      <w:r>
        <w:rPr>
          <w:spacing w:val="-12"/>
        </w:rPr>
      </w:r>
      <w:r>
        <w:rPr/>
        <w:t>云计算平台、虚拟化、移动互联网、智慧城市等领域的业务安全发挥作用。</w:t>
      </w:r>
    </w:p>
    <w:p>
      <w:pPr>
        <w:spacing w:line="240" w:lineRule="auto" w:before="4"/>
        <w:rPr>
          <w:rFonts w:ascii="宋体" w:hAnsi="宋体" w:cs="宋体" w:eastAsia="宋体" w:hint="default"/>
          <w:sz w:val="18"/>
          <w:szCs w:val="18"/>
        </w:rPr>
      </w:pPr>
    </w:p>
    <w:p>
      <w:pPr>
        <w:pStyle w:val="Heading2"/>
        <w:spacing w:line="274" w:lineRule="exact"/>
        <w:ind w:left="138" w:right="100"/>
        <w:jc w:val="left"/>
        <w:rPr>
          <w:b w:val="0"/>
          <w:bCs w:val="0"/>
        </w:rPr>
      </w:pPr>
      <w:r>
        <w:rPr/>
        <w:t>（二）经营模式</w:t>
      </w:r>
      <w:r>
        <w:rPr>
          <w:b w:val="0"/>
          <w:bCs w:val="0"/>
        </w:rPr>
      </w:r>
    </w:p>
    <w:p>
      <w:pPr>
        <w:pStyle w:val="Heading2"/>
        <w:spacing w:line="272" w:lineRule="exact"/>
        <w:ind w:left="586" w:right="100"/>
        <w:jc w:val="left"/>
        <w:rPr>
          <w:b w:val="0"/>
          <w:bCs w:val="0"/>
        </w:rPr>
      </w:pPr>
      <w:r>
        <w:rPr>
          <w:rFonts w:ascii="宋体" w:hAnsi="宋体" w:cs="宋体" w:eastAsia="宋体" w:hint="default"/>
        </w:rPr>
        <w:t>1</w:t>
      </w:r>
      <w:r>
        <w:rPr/>
        <w:t>、公司的产品</w:t>
      </w:r>
      <w:r>
        <w:rPr>
          <w:b w:val="0"/>
          <w:bCs w:val="0"/>
        </w:rPr>
      </w:r>
    </w:p>
    <w:p>
      <w:pPr>
        <w:pStyle w:val="BodyText"/>
        <w:spacing w:line="237" w:lineRule="auto"/>
        <w:ind w:left="138" w:right="207" w:firstLine="446"/>
        <w:jc w:val="both"/>
      </w:pPr>
      <w:r>
        <w:rPr>
          <w:spacing w:val="-2"/>
          <w:w w:val="100"/>
        </w:rPr>
        <w:t>公司研究开发的</w:t>
      </w:r>
      <w:r>
        <w:rPr>
          <w:spacing w:val="-50"/>
          <w:w w:val="100"/>
        </w:rPr>
        <w:t> </w:t>
      </w:r>
      <w:r>
        <w:rPr>
          <w:rFonts w:ascii="宋体" w:hAnsi="宋体" w:cs="宋体" w:eastAsia="宋体" w:hint="default"/>
          <w:w w:val="100"/>
        </w:rPr>
        <w:t>PKI</w:t>
      </w:r>
      <w:r>
        <w:rPr>
          <w:rFonts w:ascii="宋体" w:hAnsi="宋体" w:cs="宋体" w:eastAsia="宋体" w:hint="default"/>
          <w:spacing w:val="-51"/>
          <w:w w:val="100"/>
        </w:rPr>
        <w:t> </w:t>
      </w:r>
      <w:r>
        <w:rPr>
          <w:spacing w:val="-8"/>
          <w:w w:val="100"/>
        </w:rPr>
        <w:t>系统主要由数字证书认证系统（</w:t>
      </w:r>
      <w:r>
        <w:rPr>
          <w:rFonts w:ascii="宋体" w:hAnsi="宋体" w:cs="宋体" w:eastAsia="宋体" w:hint="default"/>
          <w:spacing w:val="-8"/>
          <w:w w:val="100"/>
        </w:rPr>
        <w:t>CA</w:t>
      </w:r>
      <w:r>
        <w:rPr>
          <w:spacing w:val="-8"/>
          <w:w w:val="100"/>
        </w:rPr>
        <w:t>）、证书注册系统（</w:t>
      </w:r>
      <w:r>
        <w:rPr>
          <w:rFonts w:ascii="宋体" w:hAnsi="宋体" w:cs="宋体" w:eastAsia="宋体" w:hint="default"/>
          <w:spacing w:val="-8"/>
          <w:w w:val="100"/>
        </w:rPr>
        <w:t>RA</w:t>
      </w:r>
      <w:r>
        <w:rPr>
          <w:spacing w:val="-8"/>
          <w:w w:val="100"/>
        </w:rPr>
        <w:t>）、密钥管理系</w:t>
      </w:r>
      <w:r>
        <w:rPr>
          <w:w w:val="100"/>
        </w:rPr>
        <w:t> </w:t>
      </w:r>
      <w:r>
        <w:rPr>
          <w:spacing w:val="-6"/>
          <w:w w:val="100"/>
        </w:rPr>
        <w:t>统（</w:t>
      </w:r>
      <w:r>
        <w:rPr>
          <w:rFonts w:ascii="宋体" w:hAnsi="宋体" w:cs="宋体" w:eastAsia="宋体" w:hint="default"/>
          <w:spacing w:val="-6"/>
          <w:w w:val="100"/>
        </w:rPr>
        <w:t>KM</w:t>
      </w:r>
      <w:r>
        <w:rPr>
          <w:spacing w:val="-6"/>
          <w:w w:val="100"/>
        </w:rPr>
        <w:t>）、目录服务系统（</w:t>
      </w:r>
      <w:r>
        <w:rPr>
          <w:rFonts w:ascii="宋体" w:hAnsi="宋体" w:cs="宋体" w:eastAsia="宋体" w:hint="default"/>
          <w:spacing w:val="-6"/>
          <w:w w:val="100"/>
        </w:rPr>
        <w:t>LDAP</w:t>
      </w:r>
      <w:r>
        <w:rPr>
          <w:spacing w:val="-6"/>
          <w:w w:val="100"/>
        </w:rPr>
        <w:t>）及在线证书状态验证系统（</w:t>
      </w:r>
      <w:r>
        <w:rPr>
          <w:rFonts w:ascii="宋体" w:hAnsi="宋体" w:cs="宋体" w:eastAsia="宋体" w:hint="default"/>
          <w:spacing w:val="-6"/>
          <w:w w:val="100"/>
        </w:rPr>
        <w:t>OCSP</w:t>
      </w:r>
      <w:r>
        <w:rPr>
          <w:spacing w:val="-6"/>
          <w:w w:val="100"/>
        </w:rPr>
        <w:t>）等核心部分组成，具体情况如</w:t>
      </w:r>
      <w:r>
        <w:rPr>
          <w:spacing w:val="-77"/>
          <w:w w:val="100"/>
        </w:rPr>
        <w:t> </w:t>
      </w:r>
      <w:r>
        <w:rPr>
          <w:spacing w:val="-77"/>
          <w:w w:val="100"/>
        </w:rPr>
      </w:r>
      <w:r>
        <w:rPr/>
        <w:t>下图所示：</w:t>
      </w:r>
    </w:p>
    <w:p>
      <w:pPr>
        <w:spacing w:line="240" w:lineRule="auto" w:before="0"/>
        <w:rPr>
          <w:rFonts w:ascii="宋体" w:hAnsi="宋体" w:cs="宋体" w:eastAsia="宋体" w:hint="default"/>
          <w:sz w:val="4"/>
          <w:szCs w:val="4"/>
        </w:rPr>
      </w:pPr>
    </w:p>
    <w:p>
      <w:pPr>
        <w:spacing w:line="5440" w:lineRule="exact"/>
        <w:ind w:left="566" w:right="0" w:firstLine="0"/>
        <w:rPr>
          <w:rFonts w:ascii="宋体" w:hAnsi="宋体" w:cs="宋体" w:eastAsia="宋体" w:hint="default"/>
          <w:sz w:val="20"/>
          <w:szCs w:val="20"/>
        </w:rPr>
      </w:pPr>
      <w:r>
        <w:rPr>
          <w:rFonts w:ascii="宋体" w:hAnsi="宋体" w:cs="宋体" w:eastAsia="宋体" w:hint="default"/>
          <w:position w:val="-108"/>
          <w:sz w:val="20"/>
          <w:szCs w:val="20"/>
        </w:rPr>
        <w:pict>
          <v:group style="width:398.8pt;height:272.05pt;mso-position-horizontal-relative:char;mso-position-vertical-relative:line" coordorigin="0,0" coordsize="7976,5441">
            <v:group style="position:absolute;left:1858;top:9;width:6116;height:4242" coordorigin="1858,9" coordsize="6116,4242">
              <v:shape style="position:absolute;left:1858;top:9;width:6116;height:4242" coordorigin="1858,9" coordsize="6116,4242" path="m5320,4235l4512,4235,4578,4250,5253,4250,5320,4235xe" filled="true" fillcolor="#e8edf7" stroked="false">
                <v:path arrowok="t"/>
                <v:fill type="solid"/>
              </v:shape>
              <v:shape style="position:absolute;left:1858;top:9;width:6116;height:4242" coordorigin="1858,9" coordsize="6116,4242" path="m5451,4220l4381,4220,4446,4235,5386,4235,5451,4220xe" filled="true" fillcolor="#e8edf7" stroked="false">
                <v:path arrowok="t"/>
                <v:fill type="solid"/>
              </v:shape>
              <v:shape style="position:absolute;left:1858;top:9;width:6116;height:4242" coordorigin="1858,9" coordsize="6116,4242" path="m5644,4191l4187,4191,4316,4220,5516,4220,5644,4191xe" filled="true" fillcolor="#e8edf7" stroked="false">
                <v:path arrowok="t"/>
                <v:fill type="solid"/>
              </v:shape>
              <v:shape style="position:absolute;left:1858;top:9;width:6116;height:4242" coordorigin="1858,9" coordsize="6116,4242" path="m5894,114l3937,114,3815,144,3755,174,3579,219,3522,249,3409,279,3354,308,3300,323,3193,383,3141,398,3039,458,2989,488,2940,518,2892,548,2845,563,2799,593,2754,638,2709,668,2623,728,2541,788,2502,833,2463,863,2426,893,2389,938,2354,968,2320,1013,2286,1043,2254,1088,2223,1133,2194,1163,2165,1208,2137,1253,2111,1283,2086,1328,2062,1373,2040,1418,2018,1448,1979,1538,1945,1627,1917,1717,1894,1807,1877,1897,1865,1987,1859,2092,1858,2137,1859,2182,1865,2272,1877,2362,1885,2407,1894,2467,1917,2557,1945,2647,1962,2677,1979,2722,2018,2812,2062,2902,2111,2976,2137,3021,2165,3066,2194,3096,2223,3141,2254,3186,2286,3216,2320,3261,2354,3291,2389,3336,2426,3366,2463,3396,2502,3441,2541,3471,2582,3501,2623,3546,2666,3576,2754,3636,2845,3696,2940,3756,3039,3816,3090,3831,3141,3861,3246,3921,3300,3936,3354,3966,3409,3981,3465,4011,3579,4041,3637,4071,3696,4086,4124,4191,5708,4191,6135,4086,6194,4071,6252,4041,6366,4011,6422,3981,6477,3966,6532,3936,6585,3921,6691,3861,6742,3831,6793,3816,6891,3756,6986,3696,7078,3636,7166,3576,7250,3501,7290,3471,7330,3441,7368,3396,7406,3366,7442,3336,7478,3291,7512,3261,7545,3216,7577,3186,7608,3141,7638,3096,7667,3066,7694,3021,7720,2976,7745,2946,7769,2902,7813,2812,7852,2722,7870,2677,7886,2647,7914,2557,7937,2467,7947,2407,7955,2362,7967,2272,7973,2182,7973,2137,7973,2092,7967,1987,7955,1897,7937,1807,7914,1717,7886,1627,7852,1538,7813,1448,7792,1418,7769,1373,7745,1328,7720,1283,7694,1253,7667,1208,7638,1163,7608,1133,7577,1088,7545,1043,7512,1013,7478,968,7442,938,7406,893,7368,863,7330,833,7290,788,7250,758,7208,728,7166,698,7122,668,7078,638,7032,593,6986,563,6939,548,6891,518,6842,488,6793,458,6691,398,6638,383,6532,323,6477,308,6422,279,6310,249,6252,219,6076,174,6016,144,5894,114xe" filled="true" fillcolor="#e8edf7" stroked="false">
                <v:path arrowok="t"/>
                <v:fill type="solid"/>
              </v:shape>
              <v:shape style="position:absolute;left:1858;top:9;width:6116;height:4242" coordorigin="1858,9" coordsize="6116,4242" path="m5580,54l4251,54,3999,114,5833,114,5580,54xe" filled="true" fillcolor="#e8edf7" stroked="false">
                <v:path arrowok="t"/>
                <v:fill type="solid"/>
              </v:shape>
              <v:shape style="position:absolute;left:1858;top:9;width:6116;height:4242" coordorigin="1858,9" coordsize="6116,4242" path="m5451,39l4381,39,4316,54,5516,54,5451,39xe" filled="true" fillcolor="#e8edf7" stroked="false">
                <v:path arrowok="t"/>
                <v:fill type="solid"/>
              </v:shape>
              <v:shape style="position:absolute;left:1858;top:9;width:6116;height:4242" coordorigin="1858,9" coordsize="6116,4242" path="m5320,24l4512,24,4446,39,5386,39,5320,24xe" filled="true" fillcolor="#e8edf7" stroked="false">
                <v:path arrowok="t"/>
                <v:fill type="solid"/>
              </v:shape>
              <v:shape style="position:absolute;left:1858;top:9;width:6116;height:4242" coordorigin="1858,9" coordsize="6116,4242" path="m5119,9l4712,9,4645,24,5187,24,5119,9xe" filled="true" fillcolor="#e8edf7" stroked="false">
                <v:path arrowok="t"/>
                <v:fill type="solid"/>
              </v:shape>
            </v:group>
            <v:group style="position:absolute;left:1858;top:2;width:6116;height:4249" coordorigin="1858,2" coordsize="6116,4249">
              <v:shape style="position:absolute;left:1858;top:2;width:6116;height:4249" coordorigin="1858,2" coordsize="6116,4249" path="m1858,2126l1861,2032,1870,1938,1885,1846,1905,1754,1931,1664,1962,1576,1998,1489,2040,1404,2086,1320,2137,1238,2194,1158,2254,1080,2320,1003,2389,929,2463,857,2541,788,2623,720,2709,655,2799,593,2892,533,2989,476,3090,422,3193,371,3300,322,3409,277,3522,235,3579,215,3637,196,3696,178,3755,160,3815,144,3876,128,3937,113,3999,99,4061,86,4124,74,4187,62,4251,52,4316,43,4381,34,4446,27,4512,20,4578,15,4645,10,4712,6,4780,4,4847,2,4916,2,4984,2,5052,4,5119,6,5187,10,5253,15,5320,20,5386,27,5451,34,5516,43,5580,52,5644,62,5708,74,5770,86,5833,99,5894,113,5956,128,6016,144,6076,160,6135,178,6194,196,6252,215,6310,235,6366,255,6477,299,6585,346,6691,396,6793,449,6891,505,6986,563,7078,624,7166,688,7250,754,7330,822,7406,893,7478,966,7545,1041,7608,1118,7667,1198,7720,1279,7769,1362,7813,1446,7852,1532,7886,1620,7914,1709,7937,1800,7955,1892,7967,1985,7973,2079,7973,2126,7973,2174,7970,2221,7962,2314,7947,2407,7927,2498,7901,2588,7870,2676,7833,2763,7792,2849,7745,2932,7694,3014,7638,3094,7577,3173,7512,3249,7442,3323,7368,3395,7290,3465,7208,3532,7122,3597,7032,3659,6939,3719,6842,3776,6742,3830,6638,3881,6532,3930,6422,3975,6310,4017,6252,4037,6194,4056,6135,4075,6076,4092,6016,4109,5956,4124,5894,4139,5833,4153,5770,4166,5708,4179,5644,4190,5580,4200,5516,4210,5451,4218,5386,4226,5320,4232,5253,4238,5187,4242,5119,4246,5052,4248,4984,4250,4916,4250,4847,4250,4780,4248,4712,4246,4645,4242,4578,4238,4512,4232,4446,4226,4381,4218,4316,4210,4251,4200,4187,4190,4124,4179,4061,4166,3999,4153,3937,4139,3876,4124,3815,4109,3755,4092,3696,4075,3637,4056,3579,4037,3522,4017,3465,3997,3354,3953,3246,3906,3141,3856,3039,3803,2940,3748,2845,3689,2754,3628,2666,3565,2582,3499,2502,3430,2426,3359,2354,3286,2286,3211,2223,3134,2165,3055,2111,2974,2062,2891,2018,2806,1979,2720,1945,2632,1917,2543,1894,2452,1877,2361,1865,2268,1859,2174,1858,2126xe" filled="false" stroked="true" strokeweight=".182379pt" strokecolor="#000000">
                <v:path arrowok="t"/>
              </v:shape>
              <v:shape style="position:absolute;left:4572;top:795;width:938;height:899" type="#_x0000_t75" stroked="false">
                <v:imagedata r:id="rId13" o:title=""/>
              </v:shape>
              <v:shape style="position:absolute;left:4624;top:2841;width:938;height:899" type="#_x0000_t75" stroked="false">
                <v:imagedata r:id="rId14" o:title=""/>
              </v:shape>
              <v:shape style="position:absolute;left:6681;top:844;width:938;height:899" type="#_x0000_t75" stroked="false">
                <v:imagedata r:id="rId15" o:title=""/>
              </v:shape>
              <v:shape style="position:absolute;left:2877;top:1829;width:753;height:680" type="#_x0000_t75" stroked="false">
                <v:imagedata r:id="rId16" o:title=""/>
              </v:shape>
              <v:shape style="position:absolute;left:2863;top:554;width:649;height:687" type="#_x0000_t75" stroked="false">
                <v:imagedata r:id="rId17" o:title=""/>
              </v:shape>
            </v:group>
            <v:group style="position:absolute;left:5667;top:1269;width:828;height:2" coordorigin="5667,1269" coordsize="828,2">
              <v:shape style="position:absolute;left:5667;top:1269;width:828;height:2" coordorigin="5667,1269" coordsize="828,0" path="m5667,1269l6495,1269e" filled="false" stroked="true" strokeweight="1.61876pt" strokecolor="#4677be">
                <v:path arrowok="t"/>
              </v:shape>
            </v:group>
            <v:group style="position:absolute;left:5466;top:1199;width:220;height:141" coordorigin="5466,1199" coordsize="220,141">
              <v:shape style="position:absolute;left:5466;top:1199;width:220;height:141" coordorigin="5466,1199" coordsize="220,141" path="m5686,1199l5466,1269,5686,1339,5686,1199xe" filled="true" fillcolor="#4677be" stroked="false">
                <v:path arrowok="t"/>
                <v:fill type="solid"/>
              </v:shape>
            </v:group>
            <v:group style="position:absolute;left:6476;top:1199;width:220;height:141" coordorigin="6476,1199" coordsize="220,141">
              <v:shape style="position:absolute;left:6476;top:1199;width:220;height:141" coordorigin="6476,1199" coordsize="220,141" path="m6476,1199l6476,1339,6696,1269,6476,1199xe" filled="true" fillcolor="#4677be" stroked="false">
                <v:path arrowok="t"/>
                <v:fill type="solid"/>
              </v:shape>
              <v:shape style="position:absolute;left:4994;top:2176;width:146;height:708" type="#_x0000_t75" stroked="false">
                <v:imagedata r:id="rId18" o:title=""/>
              </v:shape>
            </v:group>
            <v:group style="position:absolute;left:3705;top:1032;width:867;height:238" coordorigin="3705,1032" coordsize="867,238">
              <v:shape style="position:absolute;left:3705;top:1032;width:867;height:238" coordorigin="3705,1032" coordsize="867,238" path="m3705,1032l4572,1269e" filled="false" stroked="true" strokeweight="1.623608pt" strokecolor="#4677be">
                <v:path arrowok="t"/>
              </v:shape>
            </v:group>
            <v:group style="position:absolute;left:3512;top:969;width:232;height:135" coordorigin="3512,969" coordsize="232,135">
              <v:shape style="position:absolute;left:3512;top:969;width:232;height:135" coordorigin="3512,969" coordsize="232,135" path="m3743,969l3512,979,3703,1104,3743,969xe" filled="true" fillcolor="#4677be" stroked="false">
                <v:path arrowok="t"/>
                <v:fill type="solid"/>
              </v:shape>
            </v:group>
            <v:group style="position:absolute;left:3873;top:1606;width:545;height:439" coordorigin="3873,1606" coordsize="545,439">
              <v:shape style="position:absolute;left:3873;top:1606;width:545;height:439" coordorigin="3873,1606" coordsize="545,439" path="m3873,2045l4418,1606e" filled="false" stroked="true" strokeweight="1.646128pt" strokecolor="#4677be">
                <v:path arrowok="t"/>
              </v:shape>
            </v:group>
            <v:group style="position:absolute;left:3719;top:1980;width:216;height:189" coordorigin="3719,1980" coordsize="216,189">
              <v:shape style="position:absolute;left:3719;top:1980;width:216;height:189" coordorigin="3719,1980" coordsize="216,189" path="m3840,1980l3719,2169,3935,2087,3840,1980xe" filled="true" fillcolor="#4677be" stroked="false">
                <v:path arrowok="t"/>
                <v:fill type="solid"/>
              </v:shape>
            </v:group>
            <v:group style="position:absolute;left:4357;top:1482;width:216;height:189" coordorigin="4357,1482" coordsize="216,189">
              <v:shape style="position:absolute;left:4357;top:1482;width:216;height:189" coordorigin="4357,1482" coordsize="216,189" path="m4572,1482l4357,1563,4451,1671,4572,1482xe" filled="true" fillcolor="#4677be" stroked="false">
                <v:path arrowok="t"/>
                <v:fill type="solid"/>
              </v:shape>
              <v:shape style="position:absolute;left:5020;top:4247;width:146;height:733" type="#_x0000_t75" stroked="false">
                <v:imagedata r:id="rId19" o:title=""/>
              </v:shape>
            </v:group>
            <v:group style="position:absolute;left:1678;top:4256;width:2130;height:1093" coordorigin="1678,4256" coordsize="2130,1093">
              <v:shape style="position:absolute;left:1678;top:4256;width:2130;height:1093" coordorigin="1678,4256" coordsize="2130,1093" path="m1678,4256l3808,5349e" filled="false" stroked="true" strokeweight="1.633255pt" strokecolor="#4677be">
                <v:path arrowok="t"/>
              </v:shape>
              <v:shape style="position:absolute;left:0;top:2939;width:1501;height:1439" type="#_x0000_t75" stroked="false">
                <v:imagedata r:id="rId20" o:title=""/>
              </v:shape>
            </v:group>
            <v:group style="position:absolute;left:1501;top:4165;width:228;height:162" coordorigin="1501,4165" coordsize="228,162">
              <v:shape style="position:absolute;left:1501;top:4165;width:228;height:162" coordorigin="1501,4165" coordsize="228,162" path="m1501,4165l1660,4327,1729,4203,1501,4165xe" filled="true" fillcolor="#4677be" stroked="false">
                <v:path arrowok="t"/>
                <v:fill type="solid"/>
              </v:shape>
            </v:group>
            <v:group style="position:absolute;left:3757;top:5279;width:228;height:162" coordorigin="3757,5279" coordsize="228,162">
              <v:shape style="position:absolute;left:3757;top:5279;width:228;height:162" coordorigin="3757,5279" coordsize="228,162" path="m3826,5279l3757,5403,3985,5440,3826,5279xe" filled="true" fillcolor="#4677be" stroked="false">
                <v:path arrowok="t"/>
                <v:fill type="solid"/>
              </v:shape>
            </v:group>
            <v:group style="position:absolute;left:1495;top:2445;width:1215;height:766" coordorigin="1495,2445" coordsize="1215,766">
              <v:shape style="position:absolute;left:1495;top:2445;width:1215;height:766" coordorigin="1495,2445" coordsize="1215,766" path="m1495,3210l2709,2445e" filled="false" stroked="true" strokeweight="1.638529pt" strokecolor="#4677be">
                <v:path arrowok="t"/>
              </v:shape>
            </v:group>
            <v:group style="position:absolute;left:1326;top:3142;width:224;height:175" coordorigin="1326,3142" coordsize="224,175">
              <v:shape style="position:absolute;left:1326;top:3142;width:224;height:175" coordorigin="1326,3142" coordsize="224,175" path="m1470,3142l1326,3316,1550,3259,1470,3142xe" filled="true" fillcolor="#4677be" stroked="false">
                <v:path arrowok="t"/>
                <v:fill type="solid"/>
              </v:shape>
            </v:group>
            <v:group style="position:absolute;left:2654;top:2339;width:224;height:175" coordorigin="2654,2339" coordsize="224,175">
              <v:shape style="position:absolute;left:2654;top:2339;width:224;height:175" coordorigin="2654,2339" coordsize="224,175" path="m2877,2339l2654,2395,2734,2513,2877,2339xe" filled="true" fillcolor="#4677be" stroked="false">
                <v:path arrowok="t"/>
                <v:fill type="solid"/>
              </v:shape>
            </v:group>
            <v:group style="position:absolute;left:1432;top:1271;width:1208;height:1881" coordorigin="1432,1271" coordsize="1208,1881">
              <v:shape style="position:absolute;left:1432;top:1271;width:1208;height:1881" coordorigin="1432,1271" coordsize="1208,1881" path="m1432,3152l2639,1271e" filled="false" stroked="true" strokeweight="1.66803pt" strokecolor="#4677be">
                <v:path arrowok="t"/>
              </v:shape>
            </v:group>
            <v:group style="position:absolute;left:1326;top:3100;width:178;height:216" coordorigin="1326,3100" coordsize="178,216">
              <v:shape style="position:absolute;left:1326;top:3100;width:178;height:216" coordorigin="1326,3100" coordsize="178,216" path="m1379,3100l1326,3316,1504,3173,1379,3100xe" filled="true" fillcolor="#4677be" stroked="false">
                <v:path arrowok="t"/>
                <v:fill type="solid"/>
              </v:shape>
            </v:group>
            <v:group style="position:absolute;left:2567;top:1106;width:178;height:216" coordorigin="2567,1106" coordsize="178,216">
              <v:shape style="position:absolute;left:2567;top:1106;width:178;height:216" coordorigin="2567,1106" coordsize="178,216" path="m2744,1106l2567,1249,2692,1322,2744,1106xe" filled="true" fillcolor="#4677be" stroked="false">
                <v:path arrowok="t"/>
                <v:fill type="solid"/>
              </v:shape>
              <v:shape style="position:absolute;left:4418;top:354;width:997;height:270" type="#_x0000_t202" filled="false" stroked="false">
                <v:textbox inset="0,0,0,0">
                  <w:txbxContent>
                    <w:p>
                      <w:pPr>
                        <w:spacing w:line="270" w:lineRule="exact" w:before="0"/>
                        <w:ind w:left="0" w:right="0" w:firstLine="0"/>
                        <w:jc w:val="left"/>
                        <w:rPr>
                          <w:rFonts w:ascii="微软雅黑" w:hAnsi="微软雅黑" w:cs="微软雅黑" w:eastAsia="微软雅黑" w:hint="default"/>
                          <w:sz w:val="27"/>
                          <w:szCs w:val="27"/>
                        </w:rPr>
                      </w:pPr>
                      <w:r>
                        <w:rPr>
                          <w:rFonts w:ascii="微软雅黑" w:hAnsi="微软雅黑" w:cs="微软雅黑" w:eastAsia="微软雅黑" w:hint="default"/>
                          <w:sz w:val="27"/>
                          <w:szCs w:val="27"/>
                        </w:rPr>
                        <w:t>PKI</w:t>
                      </w:r>
                      <w:r>
                        <w:rPr>
                          <w:rFonts w:ascii="微软雅黑" w:hAnsi="微软雅黑" w:cs="微软雅黑" w:eastAsia="微软雅黑" w:hint="default"/>
                          <w:sz w:val="27"/>
                          <w:szCs w:val="27"/>
                        </w:rPr>
                        <w:t>系统</w:t>
                      </w:r>
                    </w:p>
                  </w:txbxContent>
                </v:textbox>
                <w10:wrap type="none"/>
              </v:shape>
              <v:shape style="position:absolute;left:2953;top:1316;width:469;height:330" type="#_x0000_t202" filled="false" stroked="false">
                <v:textbox inset="0,0,0,0">
                  <w:txbxContent>
                    <w:p>
                      <w:pPr>
                        <w:spacing w:line="120" w:lineRule="exact" w:before="0"/>
                        <w:ind w:left="0" w:right="0" w:firstLine="0"/>
                        <w:jc w:val="left"/>
                        <w:rPr>
                          <w:rFonts w:ascii="微软雅黑" w:hAnsi="微软雅黑" w:cs="微软雅黑" w:eastAsia="微软雅黑" w:hint="default"/>
                          <w:sz w:val="15"/>
                          <w:szCs w:val="15"/>
                        </w:rPr>
                      </w:pPr>
                      <w:r>
                        <w:rPr>
                          <w:rFonts w:ascii="微软雅黑" w:hAnsi="微软雅黑" w:cs="微软雅黑" w:eastAsia="微软雅黑" w:hint="default"/>
                          <w:w w:val="104"/>
                          <w:sz w:val="15"/>
                          <w:szCs w:val="15"/>
                        </w:rPr>
                        <w:t>目录服</w:t>
                      </w:r>
                      <w:r>
                        <w:rPr>
                          <w:rFonts w:ascii="微软雅黑" w:hAnsi="微软雅黑" w:cs="微软雅黑" w:eastAsia="微软雅黑" w:hint="default"/>
                          <w:sz w:val="15"/>
                          <w:szCs w:val="15"/>
                        </w:rPr>
                      </w:r>
                    </w:p>
                    <w:p>
                      <w:pPr>
                        <w:spacing w:line="210" w:lineRule="exact" w:before="0"/>
                        <w:ind w:left="0" w:right="0" w:firstLine="0"/>
                        <w:jc w:val="left"/>
                        <w:rPr>
                          <w:rFonts w:ascii="微软雅黑" w:hAnsi="微软雅黑" w:cs="微软雅黑" w:eastAsia="微软雅黑" w:hint="default"/>
                          <w:sz w:val="15"/>
                          <w:szCs w:val="15"/>
                        </w:rPr>
                      </w:pPr>
                      <w:r>
                        <w:rPr>
                          <w:rFonts w:ascii="微软雅黑" w:hAnsi="微软雅黑" w:cs="微软雅黑" w:eastAsia="微软雅黑" w:hint="default"/>
                          <w:w w:val="104"/>
                          <w:sz w:val="15"/>
                          <w:szCs w:val="15"/>
                        </w:rPr>
                        <w:t>务系统</w:t>
                      </w:r>
                      <w:r>
                        <w:rPr>
                          <w:rFonts w:ascii="微软雅黑" w:hAnsi="微软雅黑" w:cs="微软雅黑" w:eastAsia="微软雅黑" w:hint="default"/>
                          <w:sz w:val="15"/>
                          <w:szCs w:val="15"/>
                        </w:rPr>
                      </w:r>
                    </w:p>
                  </w:txbxContent>
                </v:textbox>
                <w10:wrap type="none"/>
              </v:shape>
              <v:shape style="position:absolute;left:4729;top:1769;width:626;height:357" type="#_x0000_t202" filled="false" stroked="false">
                <v:textbox inset="0,0,0,0">
                  <w:txbxContent>
                    <w:p>
                      <w:pPr>
                        <w:spacing w:line="133" w:lineRule="exact" w:before="0"/>
                        <w:ind w:left="0" w:right="0" w:firstLine="0"/>
                        <w:jc w:val="left"/>
                        <w:rPr>
                          <w:rFonts w:ascii="微软雅黑" w:hAnsi="微软雅黑" w:cs="微软雅黑" w:eastAsia="微软雅黑" w:hint="default"/>
                          <w:sz w:val="15"/>
                          <w:szCs w:val="15"/>
                        </w:rPr>
                      </w:pPr>
                      <w:r>
                        <w:rPr>
                          <w:rFonts w:ascii="微软雅黑" w:hAnsi="微软雅黑" w:cs="微软雅黑" w:eastAsia="微软雅黑" w:hint="default"/>
                          <w:sz w:val="15"/>
                          <w:szCs w:val="15"/>
                        </w:rPr>
                        <w:t>数字证书</w:t>
                      </w:r>
                    </w:p>
                    <w:p>
                      <w:pPr>
                        <w:spacing w:line="223" w:lineRule="exact" w:before="0"/>
                        <w:ind w:left="0" w:right="0" w:firstLine="0"/>
                        <w:jc w:val="left"/>
                        <w:rPr>
                          <w:rFonts w:ascii="微软雅黑" w:hAnsi="微软雅黑" w:cs="微软雅黑" w:eastAsia="微软雅黑" w:hint="default"/>
                          <w:sz w:val="15"/>
                          <w:szCs w:val="15"/>
                        </w:rPr>
                      </w:pPr>
                      <w:r>
                        <w:rPr>
                          <w:rFonts w:ascii="微软雅黑" w:hAnsi="微软雅黑" w:cs="微软雅黑" w:eastAsia="微软雅黑" w:hint="default"/>
                          <w:sz w:val="15"/>
                          <w:szCs w:val="15"/>
                        </w:rPr>
                        <w:t>认证系统</w:t>
                      </w:r>
                    </w:p>
                  </w:txbxContent>
                </v:textbox>
                <w10:wrap type="none"/>
              </v:shape>
              <v:shape style="position:absolute;left:6837;top:1818;width:626;height:357" type="#_x0000_t202" filled="false" stroked="false">
                <v:textbox inset="0,0,0,0">
                  <w:txbxContent>
                    <w:p>
                      <w:pPr>
                        <w:spacing w:line="133" w:lineRule="exact" w:before="0"/>
                        <w:ind w:left="-1" w:right="0" w:firstLine="0"/>
                        <w:jc w:val="center"/>
                        <w:rPr>
                          <w:rFonts w:ascii="微软雅黑" w:hAnsi="微软雅黑" w:cs="微软雅黑" w:eastAsia="微软雅黑" w:hint="default"/>
                          <w:sz w:val="15"/>
                          <w:szCs w:val="15"/>
                        </w:rPr>
                      </w:pPr>
                      <w:r>
                        <w:rPr>
                          <w:rFonts w:ascii="微软雅黑" w:hAnsi="微软雅黑" w:cs="微软雅黑" w:eastAsia="微软雅黑" w:hint="default"/>
                          <w:sz w:val="15"/>
                          <w:szCs w:val="15"/>
                        </w:rPr>
                        <w:t>密钥管理</w:t>
                      </w:r>
                    </w:p>
                    <w:p>
                      <w:pPr>
                        <w:spacing w:line="223" w:lineRule="exact" w:before="0"/>
                        <w:ind w:left="0" w:right="0" w:firstLine="0"/>
                        <w:jc w:val="center"/>
                        <w:rPr>
                          <w:rFonts w:ascii="微软雅黑" w:hAnsi="微软雅黑" w:cs="微软雅黑" w:eastAsia="微软雅黑" w:hint="default"/>
                          <w:sz w:val="15"/>
                          <w:szCs w:val="15"/>
                        </w:rPr>
                      </w:pPr>
                      <w:r>
                        <w:rPr>
                          <w:rFonts w:ascii="微软雅黑" w:hAnsi="微软雅黑" w:cs="微软雅黑" w:eastAsia="微软雅黑" w:hint="default"/>
                          <w:w w:val="105"/>
                          <w:sz w:val="15"/>
                          <w:szCs w:val="15"/>
                        </w:rPr>
                        <w:t>系统</w:t>
                      </w:r>
                      <w:r>
                        <w:rPr>
                          <w:rFonts w:ascii="微软雅黑" w:hAnsi="微软雅黑" w:cs="微软雅黑" w:eastAsia="微软雅黑" w:hint="default"/>
                          <w:sz w:val="15"/>
                          <w:szCs w:val="15"/>
                        </w:rPr>
                      </w:r>
                    </w:p>
                  </w:txbxContent>
                </v:textbox>
                <w10:wrap type="none"/>
              </v:shape>
              <v:shape style="position:absolute;left:2941;top:2583;width:626;height:510" type="#_x0000_t202" filled="false" stroked="false">
                <v:textbox inset="0,0,0,0">
                  <w:txbxContent>
                    <w:p>
                      <w:pPr>
                        <w:spacing w:line="120" w:lineRule="exact" w:before="0"/>
                        <w:ind w:left="0" w:right="0" w:firstLine="0"/>
                        <w:jc w:val="left"/>
                        <w:rPr>
                          <w:rFonts w:ascii="微软雅黑" w:hAnsi="微软雅黑" w:cs="微软雅黑" w:eastAsia="微软雅黑" w:hint="default"/>
                          <w:sz w:val="15"/>
                          <w:szCs w:val="15"/>
                        </w:rPr>
                      </w:pPr>
                      <w:r>
                        <w:rPr>
                          <w:rFonts w:ascii="微软雅黑" w:hAnsi="微软雅黑" w:cs="微软雅黑" w:eastAsia="微软雅黑" w:hint="default"/>
                          <w:sz w:val="15"/>
                          <w:szCs w:val="15"/>
                        </w:rPr>
                        <w:t>在线证书</w:t>
                      </w:r>
                    </w:p>
                    <w:p>
                      <w:pPr>
                        <w:spacing w:line="165" w:lineRule="auto" w:before="28"/>
                        <w:ind w:left="156" w:right="0" w:hanging="157"/>
                        <w:jc w:val="left"/>
                        <w:rPr>
                          <w:rFonts w:ascii="微软雅黑" w:hAnsi="微软雅黑" w:cs="微软雅黑" w:eastAsia="微软雅黑" w:hint="default"/>
                          <w:sz w:val="15"/>
                          <w:szCs w:val="15"/>
                        </w:rPr>
                      </w:pPr>
                      <w:r>
                        <w:rPr>
                          <w:rFonts w:ascii="微软雅黑" w:hAnsi="微软雅黑" w:cs="微软雅黑" w:eastAsia="微软雅黑" w:hint="default"/>
                          <w:sz w:val="15"/>
                          <w:szCs w:val="15"/>
                        </w:rPr>
                        <w:t>状态验证</w:t>
                      </w:r>
                      <w:r>
                        <w:rPr>
                          <w:rFonts w:ascii="微软雅黑" w:hAnsi="微软雅黑" w:cs="微软雅黑" w:eastAsia="微软雅黑" w:hint="default"/>
                          <w:spacing w:val="-19"/>
                          <w:sz w:val="15"/>
                          <w:szCs w:val="15"/>
                        </w:rPr>
                        <w:t> </w:t>
                      </w:r>
                      <w:r>
                        <w:rPr>
                          <w:rFonts w:ascii="微软雅黑" w:hAnsi="微软雅黑" w:cs="微软雅黑" w:eastAsia="微软雅黑" w:hint="default"/>
                          <w:w w:val="105"/>
                          <w:sz w:val="15"/>
                          <w:szCs w:val="15"/>
                        </w:rPr>
                        <w:t>系统</w:t>
                      </w:r>
                      <w:r>
                        <w:rPr>
                          <w:rFonts w:ascii="微软雅黑" w:hAnsi="微软雅黑" w:cs="微软雅黑" w:eastAsia="微软雅黑" w:hint="default"/>
                          <w:sz w:val="15"/>
                          <w:szCs w:val="15"/>
                        </w:rPr>
                      </w:r>
                    </w:p>
                  </w:txbxContent>
                </v:textbox>
                <w10:wrap type="none"/>
              </v:shape>
              <v:shape style="position:absolute;left:4780;top:3815;width:626;height:357" type="#_x0000_t202" filled="false" stroked="false">
                <v:textbox inset="0,0,0,0">
                  <w:txbxContent>
                    <w:p>
                      <w:pPr>
                        <w:spacing w:line="133" w:lineRule="exact" w:before="0"/>
                        <w:ind w:left="0" w:right="0" w:firstLine="0"/>
                        <w:jc w:val="center"/>
                        <w:rPr>
                          <w:rFonts w:ascii="微软雅黑" w:hAnsi="微软雅黑" w:cs="微软雅黑" w:eastAsia="微软雅黑" w:hint="default"/>
                          <w:sz w:val="15"/>
                          <w:szCs w:val="15"/>
                        </w:rPr>
                      </w:pPr>
                      <w:r>
                        <w:rPr>
                          <w:rFonts w:ascii="微软雅黑" w:hAnsi="微软雅黑" w:cs="微软雅黑" w:eastAsia="微软雅黑" w:hint="default"/>
                          <w:sz w:val="15"/>
                          <w:szCs w:val="15"/>
                        </w:rPr>
                        <w:t>证书注册</w:t>
                      </w:r>
                    </w:p>
                    <w:p>
                      <w:pPr>
                        <w:spacing w:line="223" w:lineRule="exact" w:before="0"/>
                        <w:ind w:left="0" w:right="0" w:firstLine="0"/>
                        <w:jc w:val="center"/>
                        <w:rPr>
                          <w:rFonts w:ascii="微软雅黑" w:hAnsi="微软雅黑" w:cs="微软雅黑" w:eastAsia="微软雅黑" w:hint="default"/>
                          <w:sz w:val="15"/>
                          <w:szCs w:val="15"/>
                        </w:rPr>
                      </w:pPr>
                      <w:r>
                        <w:rPr>
                          <w:rFonts w:ascii="微软雅黑" w:hAnsi="微软雅黑" w:cs="微软雅黑" w:eastAsia="微软雅黑" w:hint="default"/>
                          <w:w w:val="105"/>
                          <w:sz w:val="15"/>
                          <w:szCs w:val="15"/>
                        </w:rPr>
                        <w:t>系统</w:t>
                      </w:r>
                      <w:r>
                        <w:rPr>
                          <w:rFonts w:ascii="微软雅黑" w:hAnsi="微软雅黑" w:cs="微软雅黑" w:eastAsia="微软雅黑" w:hint="default"/>
                          <w:sz w:val="15"/>
                          <w:szCs w:val="15"/>
                        </w:rPr>
                      </w:r>
                    </w:p>
                  </w:txbxContent>
                </v:textbox>
                <w10:wrap type="none"/>
              </v:shape>
              <v:shape style="position:absolute;left:375;top:4456;width:751;height:180" type="#_x0000_t202" filled="false" stroked="false">
                <v:textbox inset="0,0,0,0">
                  <w:txbxContent>
                    <w:p>
                      <w:pPr>
                        <w:spacing w:line="180" w:lineRule="exact" w:before="0"/>
                        <w:ind w:left="0" w:right="0" w:firstLine="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安全应用</w:t>
                      </w:r>
                    </w:p>
                  </w:txbxContent>
                </v:textbox>
                <w10:wrap type="none"/>
              </v:shape>
            </v:group>
          </v:group>
        </w:pict>
      </w:r>
      <w:r>
        <w:rPr>
          <w:rFonts w:ascii="宋体" w:hAnsi="宋体" w:cs="宋体" w:eastAsia="宋体" w:hint="default"/>
          <w:position w:val="-108"/>
          <w:sz w:val="20"/>
          <w:szCs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165" w:lineRule="auto" w:before="0"/>
        <w:ind w:left="4703" w:right="3855" w:firstLine="0"/>
        <w:jc w:val="center"/>
        <w:rPr>
          <w:rFonts w:ascii="微软雅黑" w:hAnsi="微软雅黑" w:cs="微软雅黑" w:eastAsia="微软雅黑" w:hint="default"/>
          <w:sz w:val="15"/>
          <w:szCs w:val="15"/>
        </w:rPr>
      </w:pPr>
      <w:r>
        <w:rPr/>
        <w:pict>
          <v:group style="position:absolute;margin-left:317.211456pt;margin-top:-42.521713pt;width:79.650pt;height:57.25pt;mso-position-horizontal-relative:page;mso-position-vertical-relative:paragraph;z-index:-715264" coordorigin="6344,-850" coordsize="1593,1145">
            <v:shape style="position:absolute;left:6344;top:-638;width:620;height:595" type="#_x0000_t75" stroked="false">
              <v:imagedata r:id="rId21" o:title=""/>
            </v:shape>
            <v:shape style="position:absolute;left:6743;top:-850;width:1193;height:1144" type="#_x0000_t75" stroked="false">
              <v:imagedata r:id="rId22" o:title=""/>
            </v:shape>
            <w10:wrap type="none"/>
          </v:group>
        </w:pict>
      </w:r>
      <w:r>
        <w:rPr>
          <w:rFonts w:ascii="微软雅黑" w:hAnsi="微软雅黑" w:cs="微软雅黑" w:eastAsia="微软雅黑" w:hint="default"/>
          <w:sz w:val="15"/>
          <w:szCs w:val="15"/>
        </w:rPr>
        <w:t>数字证书</w:t>
      </w:r>
      <w:r>
        <w:rPr>
          <w:rFonts w:ascii="微软雅黑" w:hAnsi="微软雅黑" w:cs="微软雅黑" w:eastAsia="微软雅黑" w:hint="default"/>
          <w:spacing w:val="-22"/>
          <w:sz w:val="15"/>
          <w:szCs w:val="15"/>
        </w:rPr>
        <w:t> </w:t>
      </w:r>
      <w:r>
        <w:rPr>
          <w:rFonts w:ascii="微软雅黑" w:hAnsi="微软雅黑" w:cs="微软雅黑" w:eastAsia="微软雅黑" w:hint="default"/>
          <w:w w:val="105"/>
          <w:sz w:val="15"/>
          <w:szCs w:val="15"/>
        </w:rPr>
        <w:t>与私钥</w:t>
      </w:r>
      <w:r>
        <w:rPr>
          <w:rFonts w:ascii="微软雅黑" w:hAnsi="微软雅黑" w:cs="微软雅黑" w:eastAsia="微软雅黑" w:hint="default"/>
          <w:sz w:val="15"/>
          <w:szCs w:val="15"/>
        </w:rPr>
      </w:r>
    </w:p>
    <w:p>
      <w:pPr>
        <w:spacing w:line="169" w:lineRule="exact" w:before="0"/>
        <w:ind w:left="2248" w:right="75" w:firstLine="0"/>
        <w:jc w:val="center"/>
        <w:rPr>
          <w:rFonts w:ascii="微软雅黑" w:hAnsi="微软雅黑" w:cs="微软雅黑" w:eastAsia="微软雅黑" w:hint="default"/>
          <w:sz w:val="15"/>
          <w:szCs w:val="15"/>
        </w:rPr>
      </w:pPr>
      <w:r>
        <w:rPr>
          <w:rFonts w:ascii="微软雅黑" w:hAnsi="微软雅黑" w:cs="微软雅黑" w:eastAsia="微软雅黑" w:hint="default"/>
          <w:w w:val="105"/>
          <w:sz w:val="15"/>
          <w:szCs w:val="15"/>
        </w:rPr>
        <w:t>用户</w:t>
      </w:r>
      <w:r>
        <w:rPr>
          <w:rFonts w:ascii="微软雅黑" w:hAnsi="微软雅黑" w:cs="微软雅黑" w:eastAsia="微软雅黑" w:hint="default"/>
          <w:sz w:val="15"/>
          <w:szCs w:val="15"/>
        </w:rPr>
      </w:r>
    </w:p>
    <w:p>
      <w:pPr>
        <w:spacing w:line="240" w:lineRule="auto" w:before="15"/>
        <w:rPr>
          <w:rFonts w:ascii="微软雅黑" w:hAnsi="微软雅黑" w:cs="微软雅黑" w:eastAsia="微软雅黑" w:hint="default"/>
          <w:sz w:val="5"/>
          <w:szCs w:val="5"/>
        </w:rPr>
      </w:pPr>
    </w:p>
    <w:p>
      <w:pPr>
        <w:pStyle w:val="BodyText"/>
        <w:spacing w:line="240" w:lineRule="auto" w:before="36"/>
        <w:ind w:left="138" w:right="208" w:firstLine="446"/>
        <w:jc w:val="both"/>
      </w:pPr>
      <w:r>
        <w:rPr/>
        <w:t>公司主要产品包括</w:t>
      </w:r>
      <w:r>
        <w:rPr>
          <w:spacing w:val="-40"/>
        </w:rPr>
        <w:t> </w:t>
      </w:r>
      <w:r>
        <w:rPr>
          <w:rFonts w:ascii="宋体" w:hAnsi="宋体" w:cs="宋体" w:eastAsia="宋体" w:hint="default"/>
        </w:rPr>
        <w:t>PKI</w:t>
      </w:r>
      <w:r>
        <w:rPr>
          <w:rFonts w:ascii="宋体" w:hAnsi="宋体" w:cs="宋体" w:eastAsia="宋体" w:hint="default"/>
          <w:spacing w:val="-43"/>
        </w:rPr>
        <w:t> </w:t>
      </w:r>
      <w:r>
        <w:rPr/>
        <w:t>基础设施产品、</w:t>
      </w:r>
      <w:r>
        <w:rPr>
          <w:rFonts w:ascii="宋体" w:hAnsi="宋体" w:cs="宋体" w:eastAsia="宋体" w:hint="default"/>
        </w:rPr>
        <w:t>PKI</w:t>
      </w:r>
      <w:r>
        <w:rPr>
          <w:rFonts w:ascii="宋体" w:hAnsi="宋体" w:cs="宋体" w:eastAsia="宋体" w:hint="default"/>
          <w:spacing w:val="-43"/>
        </w:rPr>
        <w:t> </w:t>
      </w:r>
      <w:r>
        <w:rPr/>
        <w:t>安全应用产品和通用安全产品三类。公司主要产</w:t>
      </w:r>
      <w:r>
        <w:rPr>
          <w:w w:val="100"/>
        </w:rPr>
        <w:t> </w:t>
      </w:r>
      <w:r>
        <w:rPr/>
        <w:t>品具体情况如下：</w:t>
      </w:r>
    </w:p>
    <w:p>
      <w:pPr>
        <w:pStyle w:val="Heading2"/>
        <w:spacing w:line="271" w:lineRule="exact"/>
        <w:ind w:left="586" w:right="100"/>
        <w:jc w:val="left"/>
        <w:rPr>
          <w:b w:val="0"/>
          <w:bCs w:val="0"/>
        </w:rPr>
      </w:pPr>
      <w:r>
        <w:rPr/>
        <w:t>①</w:t>
      </w:r>
      <w:r>
        <w:rPr>
          <w:rFonts w:ascii="宋体" w:hAnsi="宋体" w:cs="宋体" w:eastAsia="宋体" w:hint="default"/>
        </w:rPr>
        <w:t>PKI</w:t>
      </w:r>
      <w:r>
        <w:rPr>
          <w:rFonts w:ascii="宋体" w:hAnsi="宋体" w:cs="宋体" w:eastAsia="宋体" w:hint="default"/>
          <w:spacing w:val="-52"/>
        </w:rPr>
        <w:t> </w:t>
      </w:r>
      <w:r>
        <w:rPr/>
        <w:t>基础设施产品</w:t>
      </w:r>
      <w:r>
        <w:rPr>
          <w:b w:val="0"/>
          <w:bCs w:val="0"/>
        </w:rPr>
      </w:r>
    </w:p>
    <w:p>
      <w:pPr>
        <w:pStyle w:val="BodyText"/>
        <w:spacing w:line="237" w:lineRule="auto" w:before="2"/>
        <w:ind w:left="138" w:right="208" w:firstLine="446"/>
        <w:jc w:val="both"/>
      </w:pPr>
      <w:r>
        <w:rPr>
          <w:rFonts w:ascii="宋体" w:hAnsi="宋体" w:cs="宋体" w:eastAsia="宋体" w:hint="default"/>
        </w:rPr>
        <w:t>PKI</w:t>
      </w:r>
      <w:r>
        <w:rPr>
          <w:rFonts w:ascii="宋体" w:hAnsi="宋体" w:cs="宋体" w:eastAsia="宋体" w:hint="default"/>
          <w:spacing w:val="-20"/>
        </w:rPr>
        <w:t> </w:t>
      </w:r>
      <w:r>
        <w:rPr/>
        <w:t>基础设施产品是由数字证书认证系统、证书注册系统、密钥管理系统等组合而成的信息</w:t>
      </w:r>
      <w:r>
        <w:rPr>
          <w:w w:val="100"/>
        </w:rPr>
        <w:t> </w:t>
      </w:r>
      <w:r>
        <w:rPr>
          <w:spacing w:val="-1"/>
        </w:rPr>
        <w:t>安全基础设施，为信息安全提供密钥管理、数字证书生命周期管理及发布服务，是构建网络信任</w:t>
      </w:r>
      <w:r>
        <w:rPr>
          <w:spacing w:val="-55"/>
        </w:rPr>
        <w:t> </w:t>
      </w:r>
      <w:r>
        <w:rPr>
          <w:spacing w:val="-55"/>
        </w:rPr>
      </w:r>
      <w:r>
        <w:rPr>
          <w:spacing w:val="-1"/>
        </w:rPr>
        <w:t>体系的基础。它是保障信息在网络传输过程中的保密性、完整性、真实性和不可抵赖性的重要基</w:t>
      </w:r>
      <w:r>
        <w:rPr>
          <w:spacing w:val="-55"/>
        </w:rPr>
        <w:t> </w:t>
      </w:r>
      <w:r>
        <w:rPr>
          <w:spacing w:val="-55"/>
        </w:rPr>
      </w:r>
      <w:r>
        <w:rPr/>
        <w:t>础。</w:t>
      </w:r>
    </w:p>
    <w:p>
      <w:pPr>
        <w:spacing w:after="0" w:line="237" w:lineRule="auto"/>
        <w:jc w:val="both"/>
        <w:sectPr>
          <w:footerReference w:type="default" r:id="rId12"/>
          <w:pgSz w:w="11910" w:h="16840"/>
          <w:pgMar w:footer="1195" w:header="880" w:top="1120" w:bottom="1380" w:left="1660" w:right="1060"/>
          <w:pgNumType w:start="11"/>
        </w:sectPr>
      </w:pPr>
    </w:p>
    <w:p>
      <w:pPr>
        <w:spacing w:line="240" w:lineRule="auto" w:before="4"/>
        <w:rPr>
          <w:rFonts w:ascii="宋体" w:hAnsi="宋体" w:cs="宋体" w:eastAsia="宋体" w:hint="default"/>
          <w:sz w:val="25"/>
          <w:szCs w:val="25"/>
        </w:rPr>
      </w:pPr>
    </w:p>
    <w:p>
      <w:pPr>
        <w:pStyle w:val="Heading2"/>
        <w:spacing w:line="274" w:lineRule="exact" w:before="36"/>
        <w:ind w:left="586" w:right="100"/>
        <w:jc w:val="left"/>
        <w:rPr>
          <w:b w:val="0"/>
          <w:bCs w:val="0"/>
        </w:rPr>
      </w:pPr>
      <w:r>
        <w:rPr/>
        <w:t>②</w:t>
      </w:r>
      <w:r>
        <w:rPr>
          <w:rFonts w:ascii="宋体" w:hAnsi="宋体" w:cs="宋体" w:eastAsia="宋体" w:hint="default"/>
        </w:rPr>
        <w:t>PKI</w:t>
      </w:r>
      <w:r>
        <w:rPr>
          <w:rFonts w:ascii="宋体" w:hAnsi="宋体" w:cs="宋体" w:eastAsia="宋体" w:hint="default"/>
          <w:spacing w:val="-52"/>
        </w:rPr>
        <w:t> </w:t>
      </w:r>
      <w:r>
        <w:rPr/>
        <w:t>安全应用产品</w:t>
      </w:r>
      <w:r>
        <w:rPr>
          <w:b w:val="0"/>
          <w:bCs w:val="0"/>
        </w:rPr>
      </w:r>
    </w:p>
    <w:p>
      <w:pPr>
        <w:pStyle w:val="BodyText"/>
        <w:spacing w:line="237" w:lineRule="auto" w:before="2"/>
        <w:ind w:left="138" w:right="208" w:firstLine="446"/>
        <w:jc w:val="both"/>
      </w:pPr>
      <w:r>
        <w:rPr>
          <w:rFonts w:ascii="宋体" w:hAnsi="宋体" w:cs="宋体" w:eastAsia="宋体" w:hint="default"/>
        </w:rPr>
        <w:t>PKI</w:t>
      </w:r>
      <w:r>
        <w:rPr>
          <w:rFonts w:ascii="宋体" w:hAnsi="宋体" w:cs="宋体" w:eastAsia="宋体" w:hint="default"/>
          <w:spacing w:val="-45"/>
        </w:rPr>
        <w:t> </w:t>
      </w:r>
      <w:r>
        <w:rPr/>
        <w:t>安全应用产品是建立在</w:t>
      </w:r>
      <w:r>
        <w:rPr>
          <w:spacing w:val="-45"/>
        </w:rPr>
        <w:t> </w:t>
      </w:r>
      <w:r>
        <w:rPr>
          <w:rFonts w:ascii="宋体" w:hAnsi="宋体" w:cs="宋体" w:eastAsia="宋体" w:hint="default"/>
        </w:rPr>
        <w:t>PKI</w:t>
      </w:r>
      <w:r>
        <w:rPr>
          <w:rFonts w:ascii="宋体" w:hAnsi="宋体" w:cs="宋体" w:eastAsia="宋体" w:hint="default"/>
          <w:spacing w:val="-48"/>
        </w:rPr>
        <w:t> </w:t>
      </w:r>
      <w:r>
        <w:rPr/>
        <w:t>基础设施产品发放的数字证书以及</w:t>
      </w:r>
      <w:r>
        <w:rPr>
          <w:spacing w:val="-48"/>
        </w:rPr>
        <w:t> </w:t>
      </w:r>
      <w:r>
        <w:rPr>
          <w:rFonts w:ascii="宋体" w:hAnsi="宋体" w:cs="宋体" w:eastAsia="宋体" w:hint="default"/>
        </w:rPr>
        <w:t>PKI</w:t>
      </w:r>
      <w:r>
        <w:rPr>
          <w:rFonts w:ascii="宋体" w:hAnsi="宋体" w:cs="宋体" w:eastAsia="宋体" w:hint="default"/>
          <w:spacing w:val="-48"/>
        </w:rPr>
        <w:t> </w:t>
      </w:r>
      <w:r>
        <w:rPr/>
        <w:t>密码技术之上，为用</w:t>
      </w:r>
      <w:r>
        <w:rPr>
          <w:w w:val="100"/>
        </w:rPr>
        <w:t> </w:t>
      </w:r>
      <w:r>
        <w:rPr>
          <w:spacing w:val="-1"/>
        </w:rPr>
        <w:t>户提供多元化的安全服务及应用的信息系统，可以满足各种网络应用可信身份认证、数据加密、</w:t>
      </w:r>
      <w:r>
        <w:rPr>
          <w:spacing w:val="-55"/>
        </w:rPr>
        <w:t> </w:t>
      </w:r>
      <w:r>
        <w:rPr>
          <w:spacing w:val="-55"/>
        </w:rPr>
      </w:r>
      <w:r>
        <w:rPr>
          <w:spacing w:val="-1"/>
        </w:rPr>
        <w:t>操作不可抵赖及数据的完整性等一系列信息安全需求。它实现了数据的保密性、完整性、真实性</w:t>
      </w:r>
      <w:r>
        <w:rPr>
          <w:spacing w:val="-55"/>
        </w:rPr>
        <w:t> </w:t>
      </w:r>
      <w:r>
        <w:rPr>
          <w:spacing w:val="-55"/>
        </w:rPr>
      </w:r>
      <w:r>
        <w:rPr/>
        <w:t>和不可抵赖性。</w:t>
      </w:r>
    </w:p>
    <w:p>
      <w:pPr>
        <w:pStyle w:val="Heading2"/>
        <w:spacing w:line="272" w:lineRule="exact"/>
        <w:ind w:left="586" w:right="100"/>
        <w:jc w:val="left"/>
        <w:rPr>
          <w:b w:val="0"/>
          <w:bCs w:val="0"/>
        </w:rPr>
      </w:pPr>
      <w:r>
        <w:rPr/>
        <w:t>③通用安全产品</w:t>
      </w:r>
      <w:r>
        <w:rPr>
          <w:b w:val="0"/>
          <w:bCs w:val="0"/>
        </w:rPr>
      </w:r>
    </w:p>
    <w:p>
      <w:pPr>
        <w:pStyle w:val="BodyText"/>
        <w:spacing w:line="237" w:lineRule="auto"/>
        <w:ind w:left="138" w:right="208" w:firstLine="446"/>
        <w:jc w:val="both"/>
      </w:pPr>
      <w:r>
        <w:rPr/>
        <w:t>通用安全产品是除</w:t>
      </w:r>
      <w:r>
        <w:rPr>
          <w:spacing w:val="-43"/>
        </w:rPr>
        <w:t> </w:t>
      </w:r>
      <w:r>
        <w:rPr>
          <w:rFonts w:ascii="宋体" w:hAnsi="宋体" w:cs="宋体" w:eastAsia="宋体" w:hint="default"/>
        </w:rPr>
        <w:t>PKI</w:t>
      </w:r>
      <w:r>
        <w:rPr>
          <w:rFonts w:ascii="宋体" w:hAnsi="宋体" w:cs="宋体" w:eastAsia="宋体" w:hint="default"/>
          <w:spacing w:val="-44"/>
        </w:rPr>
        <w:t> </w:t>
      </w:r>
      <w:r>
        <w:rPr/>
        <w:t>基础设施产品与</w:t>
      </w:r>
      <w:r>
        <w:rPr>
          <w:spacing w:val="-44"/>
        </w:rPr>
        <w:t> </w:t>
      </w:r>
      <w:r>
        <w:rPr>
          <w:rFonts w:ascii="宋体" w:hAnsi="宋体" w:cs="宋体" w:eastAsia="宋体" w:hint="default"/>
        </w:rPr>
        <w:t>PKI</w:t>
      </w:r>
      <w:r>
        <w:rPr>
          <w:rFonts w:ascii="宋体" w:hAnsi="宋体" w:cs="宋体" w:eastAsia="宋体" w:hint="default"/>
          <w:spacing w:val="-44"/>
        </w:rPr>
        <w:t> </w:t>
      </w:r>
      <w:r>
        <w:rPr>
          <w:spacing w:val="-3"/>
        </w:rPr>
        <w:t>安全应用产品之外的、基于非密码技术的信息安</w:t>
      </w:r>
      <w:r>
        <w:rPr>
          <w:w w:val="100"/>
        </w:rPr>
        <w:t> </w:t>
      </w:r>
      <w:r>
        <w:rPr>
          <w:spacing w:val="-1"/>
        </w:rPr>
        <w:t>全产品，主要包括网络审计系统以及其他系统集成涉及的相关产品。如防火墙、防病毒、入侵检</w:t>
      </w:r>
      <w:r>
        <w:rPr>
          <w:spacing w:val="-56"/>
        </w:rPr>
        <w:t> </w:t>
      </w:r>
      <w:r>
        <w:rPr>
          <w:spacing w:val="-56"/>
        </w:rPr>
      </w:r>
      <w:r>
        <w:rPr/>
        <w:t>测、网络审计系统等相关软硬件设施设备。通用安全产品是对</w:t>
      </w:r>
      <w:r>
        <w:rPr>
          <w:spacing w:val="-49"/>
        </w:rPr>
        <w:t> </w:t>
      </w:r>
      <w:r>
        <w:rPr>
          <w:rFonts w:ascii="宋体" w:hAnsi="宋体" w:cs="宋体" w:eastAsia="宋体" w:hint="default"/>
        </w:rPr>
        <w:t>PKI</w:t>
      </w:r>
      <w:r>
        <w:rPr>
          <w:rFonts w:ascii="宋体" w:hAnsi="宋体" w:cs="宋体" w:eastAsia="宋体" w:hint="default"/>
          <w:spacing w:val="-51"/>
        </w:rPr>
        <w:t> </w:t>
      </w:r>
      <w:r>
        <w:rPr/>
        <w:t>相关安全产品的补充，为用户</w:t>
      </w:r>
      <w:r>
        <w:rPr>
          <w:w w:val="100"/>
        </w:rPr>
        <w:t> </w:t>
      </w:r>
      <w:r>
        <w:rPr/>
        <w:t>提供更加完整的安全解决方案。</w:t>
      </w:r>
    </w:p>
    <w:p>
      <w:pPr>
        <w:spacing w:line="240" w:lineRule="auto" w:before="9"/>
        <w:rPr>
          <w:rFonts w:ascii="宋体" w:hAnsi="宋体" w:cs="宋体" w:eastAsia="宋体" w:hint="default"/>
          <w:sz w:val="20"/>
          <w:szCs w:val="20"/>
        </w:rPr>
      </w:pPr>
    </w:p>
    <w:p>
      <w:pPr>
        <w:pStyle w:val="Heading2"/>
        <w:spacing w:line="273" w:lineRule="exact"/>
        <w:ind w:left="586" w:right="100"/>
        <w:jc w:val="left"/>
        <w:rPr>
          <w:b w:val="0"/>
          <w:bCs w:val="0"/>
        </w:rPr>
      </w:pPr>
      <w:r>
        <w:rPr>
          <w:rFonts w:ascii="宋体" w:hAnsi="宋体" w:cs="宋体" w:eastAsia="宋体" w:hint="default"/>
        </w:rPr>
        <w:t>2</w:t>
      </w:r>
      <w:r>
        <w:rPr/>
        <w:t>、公司主要经营模式</w:t>
      </w:r>
      <w:r>
        <w:rPr>
          <w:b w:val="0"/>
          <w:bCs w:val="0"/>
        </w:rPr>
      </w:r>
    </w:p>
    <w:p>
      <w:pPr>
        <w:pStyle w:val="BodyText"/>
        <w:spacing w:line="237" w:lineRule="auto" w:before="1"/>
        <w:ind w:left="138" w:right="208" w:firstLine="446"/>
        <w:jc w:val="both"/>
      </w:pPr>
      <w:r>
        <w:rPr/>
        <w:t>公司主要从事以</w:t>
      </w:r>
      <w:r>
        <w:rPr>
          <w:spacing w:val="-61"/>
        </w:rPr>
        <w:t> </w:t>
      </w:r>
      <w:r>
        <w:rPr>
          <w:rFonts w:ascii="宋体" w:hAnsi="宋体" w:cs="宋体" w:eastAsia="宋体" w:hint="default"/>
        </w:rPr>
        <w:t>PKI</w:t>
      </w:r>
      <w:r>
        <w:rPr>
          <w:rFonts w:ascii="宋体" w:hAnsi="宋体" w:cs="宋体" w:eastAsia="宋体" w:hint="default"/>
          <w:spacing w:val="-62"/>
        </w:rPr>
        <w:t> </w:t>
      </w:r>
      <w:r>
        <w:rPr/>
        <w:t>公钥基础设施为核心的商用密码软件产品的研发、生产和销售及服务业</w:t>
      </w:r>
      <w:r>
        <w:rPr>
          <w:w w:val="100"/>
        </w:rPr>
        <w:t> </w:t>
      </w:r>
      <w:r>
        <w:rPr/>
        <w:t>务，并形成了完备的以</w:t>
      </w:r>
      <w:r>
        <w:rPr>
          <w:spacing w:val="-40"/>
        </w:rPr>
        <w:t> </w:t>
      </w:r>
      <w:r>
        <w:rPr>
          <w:rFonts w:ascii="宋体" w:hAnsi="宋体" w:cs="宋体" w:eastAsia="宋体" w:hint="default"/>
        </w:rPr>
        <w:t>PKI</w:t>
      </w:r>
      <w:r>
        <w:rPr>
          <w:rFonts w:ascii="宋体" w:hAnsi="宋体" w:cs="宋体" w:eastAsia="宋体" w:hint="default"/>
          <w:spacing w:val="-41"/>
        </w:rPr>
        <w:t> </w:t>
      </w:r>
      <w:r>
        <w:rPr/>
        <w:t>为核心的信息安全产品和服务体系。公司</w:t>
      </w:r>
      <w:r>
        <w:rPr>
          <w:spacing w:val="-41"/>
        </w:rPr>
        <w:t> </w:t>
      </w:r>
      <w:r>
        <w:rPr>
          <w:rFonts w:ascii="宋体" w:hAnsi="宋体" w:cs="宋体" w:eastAsia="宋体" w:hint="default"/>
        </w:rPr>
        <w:t>PKI</w:t>
      </w:r>
      <w:r>
        <w:rPr>
          <w:rFonts w:ascii="宋体" w:hAnsi="宋体" w:cs="宋体" w:eastAsia="宋体" w:hint="default"/>
          <w:spacing w:val="-43"/>
        </w:rPr>
        <w:t> </w:t>
      </w:r>
      <w:r>
        <w:rPr/>
        <w:t>基础设施产品、</w:t>
      </w:r>
      <w:r>
        <w:rPr>
          <w:rFonts w:ascii="宋体" w:hAnsi="宋体" w:cs="宋体" w:eastAsia="宋体" w:hint="default"/>
        </w:rPr>
        <w:t>PKI</w:t>
      </w:r>
      <w:r>
        <w:rPr>
          <w:rFonts w:ascii="宋体" w:hAnsi="宋体" w:cs="宋体" w:eastAsia="宋体" w:hint="default"/>
          <w:spacing w:val="-43"/>
        </w:rPr>
        <w:t> </w:t>
      </w:r>
      <w:r>
        <w:rPr/>
        <w:t>安</w:t>
      </w:r>
      <w:r>
        <w:rPr>
          <w:w w:val="100"/>
        </w:rPr>
        <w:t> </w:t>
      </w:r>
      <w:r>
        <w:rPr>
          <w:spacing w:val="-6"/>
          <w:w w:val="100"/>
        </w:rPr>
        <w:t>全应用产品以及通用安全产品三大类产品的采购模式、生产模式、销售模式和服务模式基本相同，</w:t>
      </w:r>
      <w:r>
        <w:rPr>
          <w:w w:val="100"/>
        </w:rPr>
        <w:t> </w:t>
      </w:r>
      <w:r>
        <w:rPr/>
        <w:t>具体情况如下：</w:t>
      </w:r>
    </w:p>
    <w:p>
      <w:pPr>
        <w:pStyle w:val="BodyText"/>
        <w:spacing w:line="274" w:lineRule="exact" w:before="22"/>
        <w:ind w:left="584" w:right="100" w:firstLine="2"/>
        <w:jc w:val="left"/>
      </w:pPr>
      <w:r>
        <w:rPr>
          <w:rFonts w:ascii="宋体" w:hAnsi="宋体" w:cs="宋体" w:eastAsia="宋体" w:hint="default"/>
          <w:b/>
          <w:bCs/>
        </w:rPr>
        <w:t>①采购模式</w:t>
      </w:r>
      <w:r>
        <w:rPr>
          <w:rFonts w:ascii="宋体" w:hAnsi="宋体" w:cs="宋体" w:eastAsia="宋体" w:hint="default"/>
          <w:b/>
          <w:bCs/>
          <w:w w:val="100"/>
        </w:rPr>
        <w:t> </w:t>
      </w:r>
      <w:r>
        <w:rPr>
          <w:spacing w:val="-2"/>
        </w:rPr>
        <w:t>公司根据客户需求和市场情况制定采购计划。采购计划报公司审核批准后，由采购部门实施</w:t>
      </w:r>
    </w:p>
    <w:p>
      <w:pPr>
        <w:pStyle w:val="BodyText"/>
        <w:spacing w:line="244" w:lineRule="exact"/>
        <w:ind w:left="138" w:right="100"/>
        <w:jc w:val="left"/>
      </w:pPr>
      <w:r>
        <w:rPr/>
        <w:t>采购；同时，采购部门根据综合评定结果选择优质供应商进行原材料等物品的采购。</w:t>
      </w:r>
    </w:p>
    <w:p>
      <w:pPr>
        <w:pStyle w:val="BodyText"/>
        <w:spacing w:line="237" w:lineRule="auto"/>
        <w:ind w:left="138" w:right="207" w:firstLine="446"/>
        <w:jc w:val="both"/>
      </w:pPr>
      <w:r>
        <w:rPr>
          <w:spacing w:val="-2"/>
        </w:rPr>
        <w:t>对于涉及新产品开发、产品重大升级以及重要信息安全解决方案类项目中第三方软硬件产品</w:t>
      </w:r>
      <w:r>
        <w:rPr>
          <w:w w:val="100"/>
        </w:rPr>
        <w:t> </w:t>
      </w:r>
      <w:r>
        <w:rPr/>
        <w:t>及服务等方面的采购，公司组织品质管理、技术、采购等相关职能部门依照“TQRDC</w:t>
      </w:r>
      <w:r>
        <w:rPr>
          <w:spacing w:val="2"/>
        </w:rPr>
        <w:t> </w:t>
      </w:r>
      <w:r>
        <w:rPr/>
        <w:t>评估”标准</w:t>
      </w:r>
      <w:r>
        <w:rPr>
          <w:spacing w:val="-3"/>
          <w:w w:val="100"/>
        </w:rPr>
        <w:t> </w:t>
      </w:r>
      <w:r>
        <w:rPr>
          <w:spacing w:val="-1"/>
        </w:rPr>
        <w:t>开展合格供方评价工作，以选择符合相关条件的合格供应商。公司对于合格供方评价工作通常结</w:t>
      </w:r>
      <w:r>
        <w:rPr>
          <w:spacing w:val="-55"/>
        </w:rPr>
        <w:t> </w:t>
      </w:r>
      <w:r>
        <w:rPr>
          <w:spacing w:val="-55"/>
        </w:rPr>
      </w:r>
      <w:r>
        <w:rPr/>
        <w:t>合询价和招投标等市场化方式予以实施。</w:t>
      </w:r>
    </w:p>
    <w:p>
      <w:pPr>
        <w:pStyle w:val="BodyText"/>
        <w:spacing w:line="237" w:lineRule="auto"/>
        <w:ind w:left="138" w:right="208" w:firstLine="446"/>
        <w:jc w:val="both"/>
      </w:pPr>
      <w:r>
        <w:rPr>
          <w:spacing w:val="-2"/>
        </w:rPr>
        <w:t>采购工作完成后，公司依据分类技术要求和验证规定对到货物资进行验收入库；若供方出现</w:t>
      </w:r>
      <w:r>
        <w:rPr>
          <w:w w:val="100"/>
        </w:rPr>
        <w:t> </w:t>
      </w:r>
      <w:r>
        <w:rPr>
          <w:spacing w:val="-1"/>
        </w:rPr>
        <w:t>的供应产品不合格或到货时间延误等情形，公司将相关信息列入供方供货记录，用于后续供方综</w:t>
      </w:r>
      <w:r>
        <w:rPr>
          <w:spacing w:val="-55"/>
        </w:rPr>
        <w:t> </w:t>
      </w:r>
      <w:r>
        <w:rPr>
          <w:spacing w:val="-55"/>
        </w:rPr>
      </w:r>
      <w:r>
        <w:rPr/>
        <w:t>合评定工作。</w:t>
      </w:r>
    </w:p>
    <w:p>
      <w:pPr>
        <w:pStyle w:val="Heading2"/>
        <w:spacing w:line="272" w:lineRule="exact"/>
        <w:ind w:left="586" w:right="100"/>
        <w:jc w:val="left"/>
        <w:rPr>
          <w:b w:val="0"/>
          <w:bCs w:val="0"/>
        </w:rPr>
      </w:pPr>
      <w:r>
        <w:rPr/>
        <w:t>②生产模式</w:t>
      </w:r>
      <w:r>
        <w:rPr>
          <w:b w:val="0"/>
          <w:bCs w:val="0"/>
        </w:rPr>
      </w:r>
    </w:p>
    <w:p>
      <w:pPr>
        <w:pStyle w:val="BodyText"/>
        <w:spacing w:line="237" w:lineRule="auto"/>
        <w:ind w:left="138" w:right="100" w:firstLine="446"/>
        <w:jc w:val="left"/>
      </w:pPr>
      <w:r>
        <w:rPr/>
        <w:t>公司生产模式采用</w:t>
      </w:r>
      <w:r>
        <w:rPr>
          <w:spacing w:val="-53"/>
        </w:rPr>
        <w:t> </w:t>
      </w:r>
      <w:r>
        <w:rPr>
          <w:rFonts w:ascii="宋体" w:hAnsi="宋体" w:cs="宋体" w:eastAsia="宋体" w:hint="default"/>
        </w:rPr>
        <w:t>MTS</w:t>
      </w:r>
      <w:r>
        <w:rPr/>
        <w:t>（</w:t>
      </w:r>
      <w:r>
        <w:rPr>
          <w:rFonts w:ascii="宋体" w:hAnsi="宋体" w:cs="宋体" w:eastAsia="宋体" w:hint="default"/>
        </w:rPr>
        <w:t>Make</w:t>
      </w:r>
      <w:r>
        <w:rPr>
          <w:rFonts w:ascii="宋体" w:hAnsi="宋体" w:cs="宋体" w:eastAsia="宋体" w:hint="default"/>
          <w:spacing w:val="-6"/>
        </w:rPr>
        <w:t> </w:t>
      </w:r>
      <w:r>
        <w:rPr>
          <w:rFonts w:ascii="宋体" w:hAnsi="宋体" w:cs="宋体" w:eastAsia="宋体" w:hint="default"/>
        </w:rPr>
        <w:t>To</w:t>
      </w:r>
      <w:r>
        <w:rPr>
          <w:rFonts w:ascii="宋体" w:hAnsi="宋体" w:cs="宋体" w:eastAsia="宋体" w:hint="default"/>
          <w:spacing w:val="-6"/>
        </w:rPr>
        <w:t> </w:t>
      </w:r>
      <w:r>
        <w:rPr>
          <w:rFonts w:ascii="宋体" w:hAnsi="宋体" w:cs="宋体" w:eastAsia="宋体" w:hint="default"/>
        </w:rPr>
        <w:t>Stock</w:t>
      </w:r>
      <w:r>
        <w:rPr/>
        <w:t>）与</w:t>
      </w:r>
      <w:r>
        <w:rPr>
          <w:spacing w:val="-54"/>
        </w:rPr>
        <w:t> </w:t>
      </w:r>
      <w:r>
        <w:rPr>
          <w:rFonts w:ascii="宋体" w:hAnsi="宋体" w:cs="宋体" w:eastAsia="宋体" w:hint="default"/>
        </w:rPr>
        <w:t>ATO</w:t>
      </w:r>
      <w:r>
        <w:rPr/>
        <w:t>（</w:t>
      </w:r>
      <w:r>
        <w:rPr>
          <w:rFonts w:ascii="宋体" w:hAnsi="宋体" w:cs="宋体" w:eastAsia="宋体" w:hint="default"/>
        </w:rPr>
        <w:t>Assemble</w:t>
      </w:r>
      <w:r>
        <w:rPr>
          <w:rFonts w:ascii="宋体" w:hAnsi="宋体" w:cs="宋体" w:eastAsia="宋体" w:hint="default"/>
          <w:spacing w:val="-6"/>
        </w:rPr>
        <w:t> </w:t>
      </w:r>
      <w:r>
        <w:rPr>
          <w:rFonts w:ascii="宋体" w:hAnsi="宋体" w:cs="宋体" w:eastAsia="宋体" w:hint="default"/>
        </w:rPr>
        <w:t>To</w:t>
      </w:r>
      <w:r>
        <w:rPr>
          <w:rFonts w:ascii="宋体" w:hAnsi="宋体" w:cs="宋体" w:eastAsia="宋体" w:hint="default"/>
          <w:spacing w:val="-6"/>
        </w:rPr>
        <w:t> </w:t>
      </w:r>
      <w:r>
        <w:rPr>
          <w:rFonts w:ascii="宋体" w:hAnsi="宋体" w:cs="宋体" w:eastAsia="宋体" w:hint="default"/>
        </w:rPr>
        <w:t>Order</w:t>
      </w:r>
      <w:r>
        <w:rPr/>
        <w:t>）两种具体方式。</w:t>
      </w:r>
      <w:r>
        <w:rPr>
          <w:rFonts w:ascii="宋体" w:hAnsi="宋体" w:cs="宋体" w:eastAsia="宋体" w:hint="default"/>
        </w:rPr>
        <w:t>MTS</w:t>
      </w:r>
      <w:r>
        <w:rPr>
          <w:rFonts w:ascii="宋体" w:hAnsi="宋体" w:cs="宋体" w:eastAsia="宋体" w:hint="default"/>
          <w:w w:val="100"/>
        </w:rPr>
        <w:t> </w:t>
      </w:r>
      <w:r>
        <w:rPr/>
        <w:t>生产模式指公司根据市场需求情况，按照公司质量控制规范，生产一定数量的标准化产品并进行</w:t>
      </w:r>
      <w:r>
        <w:rPr>
          <w:spacing w:val="-97"/>
        </w:rPr>
        <w:t> </w:t>
      </w:r>
      <w:r>
        <w:rPr>
          <w:spacing w:val="-97"/>
        </w:rPr>
      </w:r>
      <w:r>
        <w:rPr/>
        <w:t>库存储备，后续结合各营销中心的市场需求反馈结果及产品库存数量情况，确定下一批次产品的</w:t>
      </w:r>
      <w:r>
        <w:rPr>
          <w:spacing w:val="-97"/>
        </w:rPr>
        <w:t> </w:t>
      </w:r>
      <w:r>
        <w:rPr>
          <w:spacing w:val="-97"/>
        </w:rPr>
      </w:r>
      <w:r>
        <w:rPr>
          <w:spacing w:val="-5"/>
        </w:rPr>
        <w:t>生产时间与数量。</w:t>
      </w:r>
      <w:r>
        <w:rPr>
          <w:rFonts w:ascii="宋体" w:hAnsi="宋体" w:cs="宋体" w:eastAsia="宋体" w:hint="default"/>
          <w:spacing w:val="-5"/>
        </w:rPr>
        <w:t>ATO</w:t>
      </w:r>
      <w:r>
        <w:rPr>
          <w:rFonts w:ascii="宋体" w:hAnsi="宋体" w:cs="宋体" w:eastAsia="宋体" w:hint="default"/>
          <w:spacing w:val="-47"/>
        </w:rPr>
        <w:t> </w:t>
      </w:r>
      <w:r>
        <w:rPr/>
        <w:t>生产模式指针对客户对部分参数或产品的某些功能项提出的具体定制要求，</w:t>
      </w:r>
      <w:r>
        <w:rPr>
          <w:spacing w:val="-103"/>
        </w:rPr>
        <w:t> </w:t>
      </w:r>
      <w:r>
        <w:rPr>
          <w:spacing w:val="-103"/>
        </w:rPr>
      </w:r>
      <w:r>
        <w:rPr/>
        <w:t>公司技术研发中心先行确定技术可行性后，再与负责客户管理的相应营销中心明确研发周期及供</w:t>
      </w:r>
      <w:r>
        <w:rPr>
          <w:spacing w:val="-97"/>
        </w:rPr>
        <w:t> </w:t>
      </w:r>
      <w:r>
        <w:rPr>
          <w:spacing w:val="-97"/>
        </w:rPr>
      </w:r>
      <w:r>
        <w:rPr/>
        <w:t>货时间，然后在标准化产品的基础上进行定制化生产以满足客户需求。对于此类产品，公司通常</w:t>
      </w:r>
      <w:r>
        <w:rPr>
          <w:spacing w:val="-97"/>
        </w:rPr>
        <w:t> </w:t>
      </w:r>
      <w:r>
        <w:rPr>
          <w:spacing w:val="-97"/>
        </w:rPr>
      </w:r>
      <w:r>
        <w:rPr/>
        <w:t>不进行库存储备。</w:t>
      </w:r>
    </w:p>
    <w:p>
      <w:pPr>
        <w:pStyle w:val="BodyText"/>
        <w:spacing w:line="272" w:lineRule="exact" w:before="26"/>
        <w:ind w:left="584" w:right="100" w:firstLine="2"/>
        <w:jc w:val="left"/>
      </w:pPr>
      <w:r>
        <w:rPr>
          <w:rFonts w:ascii="宋体" w:hAnsi="宋体" w:cs="宋体" w:eastAsia="宋体" w:hint="default"/>
          <w:b/>
          <w:bCs/>
        </w:rPr>
        <w:t>③销售模式</w:t>
      </w:r>
      <w:r>
        <w:rPr>
          <w:rFonts w:ascii="宋体" w:hAnsi="宋体" w:cs="宋体" w:eastAsia="宋体" w:hint="default"/>
          <w:b/>
          <w:bCs/>
          <w:w w:val="100"/>
        </w:rPr>
        <w:t> </w:t>
      </w:r>
      <w:r>
        <w:rPr>
          <w:spacing w:val="-2"/>
        </w:rPr>
        <w:t>公司信息安全类产品的销售对象包括国家部委、地方政府部门、金融机构、军工、大中型企</w:t>
      </w:r>
    </w:p>
    <w:p>
      <w:pPr>
        <w:pStyle w:val="BodyText"/>
        <w:spacing w:line="272" w:lineRule="exact" w:before="2"/>
        <w:ind w:left="138" w:right="100"/>
        <w:jc w:val="left"/>
      </w:pPr>
      <w:r>
        <w:rPr>
          <w:spacing w:val="-1"/>
        </w:rPr>
        <w:t>事业单位，以及其它各类信息安全用户。同时，公司销售的信息安全类产品具有如下主要特点：</w:t>
      </w:r>
      <w:r>
        <w:rPr>
          <w:spacing w:val="-55"/>
        </w:rPr>
        <w:t> </w:t>
      </w:r>
      <w:r>
        <w:rPr>
          <w:spacing w:val="-55"/>
        </w:rPr>
      </w:r>
      <w:r>
        <w:rPr>
          <w:spacing w:val="-1"/>
        </w:rPr>
        <w:t>产品技术升级换代快，用户需求差异较大，系统安装调试、使用维护等方面的操作专业性较强，</w:t>
      </w:r>
    </w:p>
    <w:p>
      <w:pPr>
        <w:pStyle w:val="BodyText"/>
        <w:spacing w:line="272" w:lineRule="exact" w:before="1"/>
        <w:ind w:left="138" w:right="100"/>
        <w:jc w:val="left"/>
      </w:pPr>
      <w:r>
        <w:rPr/>
        <w:t>技术支持和服务要求较高。因此，针对前述用户和产品特点，为了更好地满足客户需求，公司在</w:t>
      </w:r>
      <w:r>
        <w:rPr>
          <w:spacing w:val="-97"/>
        </w:rPr>
        <w:t> </w:t>
      </w:r>
      <w:r>
        <w:rPr>
          <w:spacing w:val="-97"/>
        </w:rPr>
      </w:r>
      <w:r>
        <w:rPr>
          <w:spacing w:val="-4"/>
          <w:w w:val="100"/>
        </w:rPr>
        <w:t>销售模式上采取不同的策略：对于最终用户或具有定制化需求的用户的安全产品与安全服务业务，</w:t>
      </w:r>
      <w:r>
        <w:rPr>
          <w:spacing w:val="-85"/>
          <w:w w:val="100"/>
        </w:rPr>
        <w:t> </w:t>
      </w:r>
      <w:r>
        <w:rPr>
          <w:spacing w:val="-85"/>
          <w:w w:val="100"/>
        </w:rPr>
      </w:r>
      <w:r>
        <w:rPr/>
        <w:t>公司通常直接面向客户开展业务，此亦为公司产品的主要销售模式；对于部分安全产品，则由系</w:t>
      </w:r>
    </w:p>
    <w:p>
      <w:pPr>
        <w:pStyle w:val="BodyText"/>
        <w:spacing w:line="247" w:lineRule="exact"/>
        <w:ind w:left="138" w:right="100"/>
        <w:jc w:val="left"/>
      </w:pPr>
      <w:r>
        <w:rPr/>
        <w:t>统集成商类客户向公司进行采购后，用于其系统集成项目或再行销售给其他客户。</w:t>
      </w:r>
    </w:p>
    <w:p>
      <w:pPr>
        <w:pStyle w:val="Heading2"/>
        <w:spacing w:line="272" w:lineRule="exact"/>
        <w:ind w:left="586" w:right="100"/>
        <w:jc w:val="left"/>
        <w:rPr>
          <w:b w:val="0"/>
          <w:bCs w:val="0"/>
        </w:rPr>
      </w:pPr>
      <w:r>
        <w:rPr/>
        <w:t>④服务模式</w:t>
      </w:r>
      <w:r>
        <w:rPr>
          <w:b w:val="0"/>
          <w:bCs w:val="0"/>
        </w:rPr>
      </w:r>
    </w:p>
    <w:p>
      <w:pPr>
        <w:pStyle w:val="BodyText"/>
        <w:tabs>
          <w:tab w:pos="1006" w:val="left" w:leader="none"/>
        </w:tabs>
        <w:spacing w:line="272" w:lineRule="exact" w:before="27"/>
        <w:ind w:left="584" w:right="208" w:firstLine="2"/>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b/>
          <w:bCs/>
        </w:rPr>
        <w:t>安装与调试服务</w:t>
      </w:r>
      <w:r>
        <w:rPr>
          <w:rFonts w:ascii="宋体" w:hAnsi="宋体" w:cs="宋体" w:eastAsia="宋体" w:hint="default"/>
          <w:b/>
          <w:bCs/>
          <w:w w:val="100"/>
        </w:rPr>
        <w:t> </w:t>
      </w:r>
      <w:r>
        <w:rPr>
          <w:spacing w:val="-2"/>
        </w:rPr>
        <w:t>公司销售部门与相关客户完成合同签订工作后，交给具体实施项目组。项目组在客户现场开</w:t>
      </w:r>
    </w:p>
    <w:p>
      <w:pPr>
        <w:pStyle w:val="BodyText"/>
        <w:spacing w:line="272" w:lineRule="exact" w:before="1"/>
        <w:ind w:left="138" w:right="100"/>
        <w:jc w:val="left"/>
      </w:pPr>
      <w:r>
        <w:rPr>
          <w:spacing w:val="-1"/>
        </w:rPr>
        <w:t>展安装与调试服务工作时，实施项目组与客户先共同对到货设备、设施进行开箱验货，完成签收</w:t>
      </w:r>
      <w:r>
        <w:rPr>
          <w:spacing w:val="-55"/>
        </w:rPr>
        <w:t> </w:t>
      </w:r>
      <w:r>
        <w:rPr>
          <w:spacing w:val="-55"/>
        </w:rPr>
      </w:r>
      <w:r>
        <w:rPr>
          <w:spacing w:val="-1"/>
        </w:rPr>
        <w:t>工作；随后，实施项目组进行产品安装与调试工作，并对用户展开相关培训；工作完成后，进入</w:t>
      </w:r>
    </w:p>
    <w:p>
      <w:pPr>
        <w:pStyle w:val="BodyText"/>
        <w:spacing w:line="247" w:lineRule="exact"/>
        <w:ind w:left="138" w:right="100"/>
        <w:jc w:val="left"/>
      </w:pPr>
      <w:r>
        <w:rPr/>
        <w:t>用户验收流程。验收合格后，实施项目组向用户移交系统或产品的相关文件资料。</w:t>
      </w:r>
    </w:p>
    <w:p>
      <w:pPr>
        <w:pStyle w:val="BodyText"/>
        <w:tabs>
          <w:tab w:pos="1006" w:val="left" w:leader="none"/>
        </w:tabs>
        <w:spacing w:line="274" w:lineRule="exact" w:before="24"/>
        <w:ind w:left="584" w:right="208" w:firstLine="2"/>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b/>
          <w:bCs/>
        </w:rPr>
        <w:t>售后服务</w:t>
      </w:r>
      <w:r>
        <w:rPr>
          <w:rFonts w:ascii="宋体" w:hAnsi="宋体" w:cs="宋体" w:eastAsia="宋体" w:hint="default"/>
          <w:b/>
          <w:bCs/>
          <w:w w:val="100"/>
        </w:rPr>
        <w:t> </w:t>
      </w:r>
      <w:r>
        <w:rPr>
          <w:spacing w:val="-2"/>
        </w:rPr>
        <w:t>公司客服人员通过电话、传真、邮件等多种方式受理客户请求，客服人员收到服务请求后在</w:t>
      </w:r>
    </w:p>
    <w:p>
      <w:pPr>
        <w:spacing w:after="0" w:line="274" w:lineRule="exact"/>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37" w:lineRule="auto" w:before="38"/>
        <w:ind w:right="228"/>
        <w:jc w:val="both"/>
      </w:pPr>
      <w:r>
        <w:rPr>
          <w:spacing w:val="-1"/>
        </w:rPr>
        <w:t>公司信息系统中创建服务档案，详细记录客户请求、客户单位、联系人、联系电话等相关内容。</w:t>
      </w:r>
      <w:r>
        <w:rPr>
          <w:spacing w:val="-55"/>
        </w:rPr>
        <w:t> </w:t>
      </w:r>
      <w:r>
        <w:rPr>
          <w:spacing w:val="-55"/>
        </w:rPr>
      </w:r>
      <w:r>
        <w:rPr>
          <w:spacing w:val="-1"/>
        </w:rPr>
        <w:t>客服人员根据客户反映的问题进行判别，一般分为三类问题：使用问题、产品问题和客户投诉。</w:t>
      </w:r>
      <w:r>
        <w:rPr>
          <w:spacing w:val="-55"/>
        </w:rPr>
        <w:t> </w:t>
      </w:r>
      <w:r>
        <w:rPr>
          <w:spacing w:val="-55"/>
        </w:rPr>
      </w:r>
      <w:r>
        <w:rPr/>
        <w:t>根据不同服务请求执行不同的处理流程。</w:t>
      </w:r>
    </w:p>
    <w:p>
      <w:pPr>
        <w:pStyle w:val="BodyText"/>
        <w:spacing w:line="272" w:lineRule="exact" w:before="26"/>
        <w:ind w:right="65" w:firstLine="446"/>
        <w:jc w:val="left"/>
      </w:pPr>
      <w:r>
        <w:rPr/>
        <w:t>此外，公司安排专职人员对售后服务情况进行满意度调查，定期进行客户满意度统计分析，</w:t>
      </w:r>
      <w:r>
        <w:rPr>
          <w:w w:val="100"/>
        </w:rPr>
        <w:t> </w:t>
      </w:r>
      <w:r>
        <w:rPr/>
        <w:t>以不断改进客户服务流程和质量。</w:t>
      </w:r>
    </w:p>
    <w:p>
      <w:pPr>
        <w:spacing w:line="240" w:lineRule="auto" w:before="10"/>
        <w:rPr>
          <w:rFonts w:ascii="宋体" w:hAnsi="宋体" w:cs="宋体" w:eastAsia="宋体" w:hint="default"/>
          <w:sz w:val="18"/>
          <w:szCs w:val="18"/>
        </w:rPr>
      </w:pPr>
    </w:p>
    <w:p>
      <w:pPr>
        <w:spacing w:before="0"/>
        <w:ind w:left="638" w:right="227" w:firstLine="28"/>
        <w:jc w:val="left"/>
        <w:rPr>
          <w:rFonts w:ascii="宋体" w:hAnsi="宋体" w:cs="宋体" w:eastAsia="宋体" w:hint="default"/>
          <w:sz w:val="21"/>
          <w:szCs w:val="21"/>
        </w:rPr>
      </w:pPr>
      <w:r>
        <w:rPr>
          <w:rFonts w:ascii="宋体" w:hAnsi="宋体" w:cs="宋体" w:eastAsia="宋体" w:hint="default"/>
          <w:b/>
          <w:bCs/>
          <w:sz w:val="21"/>
          <w:szCs w:val="21"/>
        </w:rPr>
        <w:t>（三）公司所处行业情况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公司所处的行业为软件和信息技术服务业中的信息安全行业。信息安全行业因其特殊性，受</w:t>
      </w:r>
    </w:p>
    <w:p>
      <w:pPr>
        <w:pStyle w:val="BodyText"/>
        <w:spacing w:line="237" w:lineRule="auto"/>
        <w:ind w:right="228"/>
        <w:jc w:val="both"/>
      </w:pPr>
      <w:r>
        <w:rPr>
          <w:spacing w:val="-6"/>
        </w:rPr>
        <w:t>多个安全主管部门、信息产业部门的监管，以及受到相关行业协会的自律管理，如：国家发改委、</w:t>
      </w:r>
      <w:r>
        <w:rPr>
          <w:spacing w:val="-52"/>
        </w:rPr>
        <w:t> </w:t>
      </w:r>
      <w:r>
        <w:rPr>
          <w:spacing w:val="-52"/>
        </w:rPr>
      </w:r>
      <w:r>
        <w:rPr>
          <w:spacing w:val="-1"/>
        </w:rPr>
        <w:t>工信部、公安部、国家保密局、国家密码管理局、商用密码管理办公室等。信息安全行业是我国</w:t>
      </w:r>
      <w:r>
        <w:rPr>
          <w:spacing w:val="-55"/>
        </w:rPr>
        <w:t> </w:t>
      </w:r>
      <w:r>
        <w:rPr>
          <w:spacing w:val="-55"/>
        </w:rPr>
      </w:r>
      <w:r>
        <w:rPr>
          <w:spacing w:val="-1"/>
        </w:rPr>
        <w:t>鼓励发展的行业，国家有关部门制订了多项相关法律法规及相关产业政策，以大力扶持信息安全</w:t>
      </w:r>
      <w:r>
        <w:rPr>
          <w:spacing w:val="-55"/>
        </w:rPr>
        <w:t> </w:t>
      </w:r>
      <w:r>
        <w:rPr>
          <w:spacing w:val="-55"/>
        </w:rPr>
      </w:r>
      <w:r>
        <w:rPr/>
        <w:t>行业快速、健康发展。</w:t>
      </w:r>
    </w:p>
    <w:p>
      <w:pPr>
        <w:pStyle w:val="BodyText"/>
        <w:spacing w:line="274" w:lineRule="exact" w:before="23"/>
        <w:ind w:right="226" w:firstLine="419"/>
        <w:jc w:val="left"/>
      </w:pPr>
      <w:r>
        <w:rPr>
          <w:spacing w:val="-2"/>
        </w:rPr>
        <w:t>近年来，随着信息安全事件不断发生，国家对信息安全的重视程度也在不断上升，我国政府</w:t>
      </w:r>
      <w:r>
        <w:rPr>
          <w:w w:val="100"/>
        </w:rPr>
        <w:t> </w:t>
      </w:r>
      <w:r>
        <w:rPr/>
        <w:t>颁发了多项政策法规推动国家信息安全领域建设。</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4"/>
        </w:rPr>
        <w:t>日，全国人大通过了新的《国家</w:t>
      </w:r>
    </w:p>
    <w:p>
      <w:pPr>
        <w:pStyle w:val="BodyText"/>
        <w:spacing w:line="253" w:lineRule="exact"/>
        <w:ind w:right="0"/>
        <w:jc w:val="both"/>
      </w:pPr>
      <w:r>
        <w:rPr>
          <w:w w:val="100"/>
        </w:rPr>
        <w:t>安全</w:t>
      </w:r>
      <w:r>
        <w:rPr>
          <w:spacing w:val="-3"/>
          <w:w w:val="100"/>
        </w:rPr>
        <w:t>法</w:t>
      </w:r>
      <w:r>
        <w:rPr>
          <w:spacing w:val="-106"/>
          <w:w w:val="100"/>
        </w:rPr>
        <w:t>》</w:t>
      </w:r>
      <w:r>
        <w:rPr>
          <w:spacing w:val="-1"/>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017</w:t>
      </w:r>
      <w:r>
        <w:rPr>
          <w:rFonts w:ascii="Times New Roman" w:hAnsi="Times New Roman" w:cs="Times New Roman" w:eastAsia="Times New Roman" w:hint="default"/>
        </w:rPr>
        <w:t> </w:t>
      </w:r>
      <w:r>
        <w:rPr>
          <w:w w:val="100"/>
        </w:rPr>
        <w:t>年</w:t>
      </w:r>
      <w:r>
        <w:rPr>
          <w:spacing w:val="-50"/>
        </w:rPr>
        <w:t> </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w w:val="100"/>
        </w:rPr>
        <w:t>月</w:t>
      </w:r>
      <w:r>
        <w:rPr>
          <w:spacing w:val="-50"/>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日，</w:t>
      </w:r>
      <w:r>
        <w:rPr>
          <w:spacing w:val="-3"/>
          <w:w w:val="100"/>
        </w:rPr>
        <w:t>我</w:t>
      </w:r>
      <w:r>
        <w:rPr>
          <w:w w:val="100"/>
        </w:rPr>
        <w:t>国</w:t>
      </w:r>
      <w:r>
        <w:rPr>
          <w:spacing w:val="-3"/>
          <w:w w:val="100"/>
        </w:rPr>
        <w:t>全</w:t>
      </w:r>
      <w:r>
        <w:rPr>
          <w:w w:val="100"/>
        </w:rPr>
        <w:t>面</w:t>
      </w:r>
      <w:r>
        <w:rPr>
          <w:spacing w:val="-3"/>
          <w:w w:val="100"/>
        </w:rPr>
        <w:t>实</w:t>
      </w:r>
      <w:r>
        <w:rPr>
          <w:w w:val="100"/>
        </w:rPr>
        <w:t>施</w:t>
      </w:r>
      <w:r>
        <w:rPr>
          <w:spacing w:val="-3"/>
          <w:w w:val="100"/>
        </w:rPr>
        <w:t>《</w:t>
      </w:r>
      <w:r>
        <w:rPr>
          <w:w w:val="100"/>
        </w:rPr>
        <w:t>网</w:t>
      </w:r>
      <w:r>
        <w:rPr>
          <w:spacing w:val="-3"/>
          <w:w w:val="100"/>
        </w:rPr>
        <w:t>络</w:t>
      </w:r>
      <w:r>
        <w:rPr>
          <w:w w:val="100"/>
        </w:rPr>
        <w:t>安全</w:t>
      </w:r>
      <w:r>
        <w:rPr>
          <w:spacing w:val="-3"/>
          <w:w w:val="100"/>
        </w:rPr>
        <w:t>法</w:t>
      </w:r>
      <w:r>
        <w:rPr>
          <w:spacing w:val="-106"/>
          <w:w w:val="100"/>
        </w:rPr>
        <w:t>》</w:t>
      </w:r>
      <w:r>
        <w:rPr>
          <w:spacing w:val="-1"/>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017</w:t>
      </w:r>
      <w:r>
        <w:rPr>
          <w:rFonts w:ascii="Times New Roman" w:hAnsi="Times New Roman" w:cs="Times New Roman" w:eastAsia="Times New Roman" w:hint="default"/>
        </w:rPr>
        <w:t> </w:t>
      </w:r>
      <w:r>
        <w:rPr>
          <w:w w:val="100"/>
        </w:rPr>
        <w:t>年</w:t>
      </w:r>
      <w:r>
        <w:rPr>
          <w:spacing w:val="-50"/>
        </w:rPr>
        <w:t> </w:t>
      </w:r>
      <w:r>
        <w:rPr>
          <w:rFonts w:ascii="Times New Roman" w:hAnsi="Times New Roman" w:cs="Times New Roman" w:eastAsia="Times New Roman" w:hint="default"/>
          <w:spacing w:val="-10"/>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rPr>
        <w:t> </w:t>
      </w:r>
      <w:r>
        <w:rPr>
          <w:spacing w:val="-3"/>
          <w:w w:val="100"/>
        </w:rPr>
        <w:t>月《</w:t>
      </w:r>
      <w:r>
        <w:rPr>
          <w:w w:val="100"/>
        </w:rPr>
        <w:t>公共</w:t>
      </w:r>
      <w:r>
        <w:rPr>
          <w:spacing w:val="-3"/>
          <w:w w:val="100"/>
        </w:rPr>
        <w:t>互</w:t>
      </w:r>
      <w:r>
        <w:rPr>
          <w:w w:val="100"/>
        </w:rPr>
        <w:t>联</w:t>
      </w:r>
      <w:r>
        <w:rPr>
          <w:spacing w:val="-3"/>
          <w:w w:val="100"/>
        </w:rPr>
        <w:t>网</w:t>
      </w:r>
      <w:r>
        <w:rPr>
          <w:w w:val="100"/>
        </w:rPr>
        <w:t>网</w:t>
      </w:r>
      <w:r>
        <w:rPr>
          <w:spacing w:val="-3"/>
          <w:w w:val="100"/>
        </w:rPr>
        <w:t>络</w:t>
      </w:r>
      <w:r>
        <w:rPr>
          <w:w w:val="100"/>
        </w:rPr>
        <w:t>安全</w:t>
      </w:r>
    </w:p>
    <w:p>
      <w:pPr>
        <w:pStyle w:val="BodyText"/>
        <w:spacing w:line="235" w:lineRule="auto"/>
        <w:ind w:right="228"/>
        <w:jc w:val="both"/>
      </w:pPr>
      <w:r>
        <w:rPr>
          <w:spacing w:val="-1"/>
        </w:rPr>
        <w:t>突发事件应急预案》发布。信息安全方面的法律法规推行，将有效规范和推进全国性的信息安全</w:t>
      </w:r>
      <w:r>
        <w:rPr>
          <w:spacing w:val="-55"/>
        </w:rPr>
        <w:t> </w:t>
      </w:r>
      <w:r>
        <w:rPr>
          <w:spacing w:val="-55"/>
        </w:rPr>
      </w:r>
      <w:r>
        <w:rPr>
          <w:spacing w:val="-1"/>
        </w:rPr>
        <w:t>建设，促进和推动我国在信息安全领域的发展。在我国相关产业政策驱动下，伴随电子政务、电</w:t>
      </w:r>
      <w:r>
        <w:rPr>
          <w:spacing w:val="-55"/>
        </w:rPr>
        <w:t> </w:t>
      </w:r>
      <w:r>
        <w:rPr>
          <w:spacing w:val="-55"/>
        </w:rPr>
      </w:r>
      <w:r>
        <w:rPr>
          <w:spacing w:val="-6"/>
        </w:rPr>
        <w:t>子商务、移动互联网、云计算技术的快速发展，国内信息安全市场发展迅速，市场规模稳步增长。</w:t>
      </w:r>
      <w:r>
        <w:rPr>
          <w:spacing w:val="-52"/>
        </w:rPr>
        <w:t> </w:t>
      </w:r>
      <w:r>
        <w:rPr>
          <w:spacing w:val="-52"/>
        </w:rPr>
      </w:r>
      <w:r>
        <w:rPr/>
        <w:t>根据赛迪顾问预测，</w:t>
      </w:r>
      <w:r>
        <w:rPr>
          <w:rFonts w:ascii="Times New Roman" w:hAnsi="Times New Roman" w:cs="Times New Roman" w:eastAsia="Times New Roman" w:hint="default"/>
        </w:rPr>
        <w:t>2016 </w:t>
      </w:r>
      <w:r>
        <w:rPr/>
        <w:t>年～</w:t>
      </w:r>
      <w:r>
        <w:rPr>
          <w:rFonts w:ascii="Times New Roman" w:hAnsi="Times New Roman" w:cs="Times New Roman" w:eastAsia="Times New Roman" w:hint="default"/>
        </w:rPr>
        <w:t>2020 </w:t>
      </w:r>
      <w:r>
        <w:rPr/>
        <w:t>年中国信息安全产品市场规模将保持</w:t>
      </w:r>
      <w:r>
        <w:rPr>
          <w:spacing w:val="-15"/>
        </w:rPr>
        <w:t> </w:t>
      </w:r>
      <w:r>
        <w:rPr>
          <w:rFonts w:ascii="Times New Roman" w:hAnsi="Times New Roman" w:cs="Times New Roman" w:eastAsia="Times New Roman" w:hint="default"/>
        </w:rPr>
        <w:t>18.00%</w:t>
      </w:r>
      <w:r>
        <w:rPr/>
        <w:t>以上的增长率，</w:t>
      </w:r>
      <w:r>
        <w:rPr>
          <w:w w:val="100"/>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年市场规模预计达到</w:t>
      </w:r>
      <w:r>
        <w:rPr>
          <w:spacing w:val="-54"/>
        </w:rPr>
        <w:t> </w:t>
      </w:r>
      <w:r>
        <w:rPr>
          <w:rFonts w:ascii="Times New Roman" w:hAnsi="Times New Roman" w:cs="Times New Roman" w:eastAsia="Times New Roman" w:hint="default"/>
        </w:rPr>
        <w:t>761.95</w:t>
      </w:r>
      <w:r>
        <w:rPr>
          <w:rFonts w:ascii="Times New Roman" w:hAnsi="Times New Roman" w:cs="Times New Roman" w:eastAsia="Times New Roman" w:hint="default"/>
          <w:spacing w:val="-2"/>
        </w:rPr>
        <w:t> </w:t>
      </w:r>
      <w:r>
        <w:rPr/>
        <w:t>亿元。</w:t>
      </w:r>
    </w:p>
    <w:p>
      <w:pPr>
        <w:pStyle w:val="BodyText"/>
        <w:spacing w:line="232" w:lineRule="auto"/>
        <w:ind w:right="227"/>
        <w:jc w:val="both"/>
      </w:pPr>
      <w:r>
        <w:rPr>
          <w:rFonts w:ascii="Times New Roman" w:hAnsi="Times New Roman" w:cs="Times New Roman" w:eastAsia="Times New Roman" w:hint="default"/>
        </w:rPr>
        <w:t>PKI</w:t>
      </w:r>
      <w:r>
        <w:rPr>
          <w:rFonts w:ascii="Times New Roman" w:hAnsi="Times New Roman" w:cs="Times New Roman" w:eastAsia="Times New Roman" w:hint="default"/>
          <w:spacing w:val="35"/>
        </w:rPr>
        <w:t> </w:t>
      </w:r>
      <w:r>
        <w:rPr/>
        <w:t>技术是信息安全行业的核心技术之一，亦是电子政务与电子商务等安全应用领域的关键和基</w:t>
      </w:r>
      <w:r>
        <w:rPr>
          <w:w w:val="100"/>
        </w:rPr>
        <w:t> </w:t>
      </w:r>
      <w:r>
        <w:rPr/>
        <w:t>础技术。因此，</w:t>
      </w:r>
      <w:r>
        <w:rPr>
          <w:rFonts w:ascii="Times New Roman" w:hAnsi="Times New Roman" w:cs="Times New Roman" w:eastAsia="Times New Roman" w:hint="default"/>
        </w:rPr>
        <w:t>PKI</w:t>
      </w:r>
      <w:r>
        <w:rPr>
          <w:rFonts w:ascii="Times New Roman" w:hAnsi="Times New Roman" w:cs="Times New Roman" w:eastAsia="Times New Roman" w:hint="default"/>
          <w:spacing w:val="3"/>
        </w:rPr>
        <w:t> </w:t>
      </w:r>
      <w:r>
        <w:rPr/>
        <w:t>产品市场是我国信息安全产品市场的重要组成部分。目前，我国</w:t>
      </w:r>
      <w:r>
        <w:rPr>
          <w:spacing w:val="-48"/>
        </w:rPr>
        <w:t> </w:t>
      </w:r>
      <w:r>
        <w:rPr>
          <w:rFonts w:ascii="Times New Roman" w:hAnsi="Times New Roman" w:cs="Times New Roman" w:eastAsia="Times New Roman" w:hint="default"/>
        </w:rPr>
        <w:t>PKI</w:t>
      </w:r>
      <w:r>
        <w:rPr>
          <w:rFonts w:ascii="Times New Roman" w:hAnsi="Times New Roman" w:cs="Times New Roman" w:eastAsia="Times New Roman" w:hint="default"/>
          <w:spacing w:val="3"/>
        </w:rPr>
        <w:t> </w:t>
      </w:r>
      <w:r>
        <w:rPr/>
        <w:t>产品被</w:t>
      </w:r>
      <w:r>
        <w:rPr>
          <w:w w:val="100"/>
        </w:rPr>
        <w:t> </w:t>
      </w:r>
      <w:r>
        <w:rPr>
          <w:spacing w:val="-1"/>
        </w:rPr>
        <w:t>广泛应用于电子政务、电子商务、电子银行等相关领域，通过实现身份认证与访问控制等功能，</w:t>
      </w:r>
      <w:r>
        <w:rPr>
          <w:spacing w:val="-55"/>
        </w:rPr>
        <w:t> </w:t>
      </w:r>
      <w:r>
        <w:rPr>
          <w:spacing w:val="-55"/>
        </w:rPr>
      </w:r>
      <w:r>
        <w:rPr>
          <w:spacing w:val="-1"/>
        </w:rPr>
        <w:t>以保障访问安全站点、发送电子邮件、网上证券交易、网上招投标、网上签约、网上办公、网上</w:t>
      </w:r>
      <w:r>
        <w:rPr>
          <w:spacing w:val="-55"/>
        </w:rPr>
        <w:t> </w:t>
      </w:r>
      <w:r>
        <w:rPr>
          <w:spacing w:val="-55"/>
        </w:rPr>
      </w:r>
      <w:r>
        <w:rPr>
          <w:spacing w:val="-6"/>
        </w:rPr>
        <w:t>缴费、网上税务、网上银行等网络信息传输与相关应用的安全。未来较长时期内，我国政府部门、</w:t>
      </w:r>
      <w:r>
        <w:rPr>
          <w:spacing w:val="-54"/>
        </w:rPr>
        <w:t> </w:t>
      </w:r>
      <w:r>
        <w:rPr>
          <w:spacing w:val="-54"/>
        </w:rPr>
      </w:r>
      <w:r>
        <w:rPr/>
        <w:t>军队和军工、金融机构、大中型企事业单位仍将继续保持对信息安全产品尤其是</w:t>
      </w:r>
      <w:r>
        <w:rPr>
          <w:spacing w:val="-61"/>
        </w:rPr>
        <w:t> </w:t>
      </w:r>
      <w:r>
        <w:rPr>
          <w:rFonts w:ascii="Times New Roman" w:hAnsi="Times New Roman" w:cs="Times New Roman" w:eastAsia="Times New Roman" w:hint="default"/>
        </w:rPr>
        <w:t>PKI</w:t>
      </w:r>
      <w:r>
        <w:rPr>
          <w:rFonts w:ascii="Times New Roman" w:hAnsi="Times New Roman" w:cs="Times New Roman" w:eastAsia="Times New Roman" w:hint="default"/>
          <w:spacing w:val="-9"/>
        </w:rPr>
        <w:t> </w:t>
      </w:r>
      <w:r>
        <w:rPr/>
        <w:t>产品的旺盛</w:t>
      </w:r>
      <w:r>
        <w:rPr>
          <w:w w:val="100"/>
        </w:rPr>
        <w:t> </w:t>
      </w:r>
      <w:r>
        <w:rPr>
          <w:spacing w:val="-1"/>
        </w:rPr>
        <w:t>需求。同时各类企业亦在信息安全体系建设上不断增加资金投入。因此，加强数据安全与隐私保</w:t>
      </w:r>
      <w:r>
        <w:rPr>
          <w:spacing w:val="-55"/>
        </w:rPr>
        <w:t> </w:t>
      </w:r>
      <w:r>
        <w:rPr>
          <w:spacing w:val="-55"/>
        </w:rPr>
      </w:r>
      <w:r>
        <w:rPr/>
        <w:t>护并提升</w:t>
      </w:r>
      <w:r>
        <w:rPr>
          <w:spacing w:val="-57"/>
        </w:rPr>
        <w:t> </w:t>
      </w:r>
      <w:r>
        <w:rPr>
          <w:rFonts w:ascii="Times New Roman" w:hAnsi="Times New Roman" w:cs="Times New Roman" w:eastAsia="Times New Roman" w:hint="default"/>
        </w:rPr>
        <w:t>IT</w:t>
      </w:r>
      <w:r>
        <w:rPr>
          <w:rFonts w:ascii="Times New Roman" w:hAnsi="Times New Roman" w:cs="Times New Roman" w:eastAsia="Times New Roman" w:hint="default"/>
          <w:spacing w:val="-4"/>
        </w:rPr>
        <w:t> </w:t>
      </w:r>
      <w:r>
        <w:rPr/>
        <w:t>基础设施防御能力，已经成为信息安全产品市场发展的主要推动力。</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8"/>
          <w:szCs w:val="18"/>
        </w:rPr>
      </w:pPr>
    </w:p>
    <w:p>
      <w:pPr>
        <w:pStyle w:val="Heading2"/>
        <w:spacing w:line="240" w:lineRule="auto"/>
        <w:ind w:right="0"/>
        <w:jc w:val="both"/>
        <w:rPr>
          <w:b w:val="0"/>
          <w:bCs w:val="0"/>
        </w:rPr>
      </w:pPr>
      <w:r>
        <w:rPr/>
        <w:t>二、报告期内公司主要资产发生重大变化情况的说明</w:t>
      </w:r>
      <w:r>
        <w:rPr>
          <w:b w:val="0"/>
          <w:bCs w:val="0"/>
        </w:rPr>
      </w:r>
    </w:p>
    <w:p>
      <w:pPr>
        <w:pStyle w:val="BodyText"/>
        <w:spacing w:line="240" w:lineRule="auto" w:before="56"/>
        <w:ind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1810"/>
        <w:gridCol w:w="1810"/>
        <w:gridCol w:w="1810"/>
        <w:gridCol w:w="1810"/>
        <w:gridCol w:w="1810"/>
      </w:tblGrid>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82"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1,360,000.00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2,977,480.00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-54.32%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商业承兑汇票正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常结算</w:t>
            </w:r>
          </w:p>
        </w:tc>
      </w:tr>
      <w:tr>
        <w:trPr>
          <w:trHeight w:val="829"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1"/>
                <w:szCs w:val="21"/>
              </w:rPr>
            </w:pPr>
            <w:r>
              <w:rPr>
                <w:rFonts w:ascii="Times New Roman"/>
                <w:sz w:val="21"/>
              </w:rPr>
              <w:t>159,896,943.45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1"/>
                <w:szCs w:val="21"/>
              </w:rPr>
            </w:pPr>
            <w:r>
              <w:rPr>
                <w:rFonts w:ascii="Times New Roman"/>
                <w:sz w:val="21"/>
              </w:rPr>
              <w:t>75,137,711.76</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1"/>
                <w:szCs w:val="21"/>
              </w:rPr>
            </w:pPr>
            <w:r>
              <w:rPr>
                <w:rFonts w:ascii="Times New Roman"/>
                <w:sz w:val="21"/>
              </w:rPr>
              <w:t>112.81%</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本期客户数量增</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12"/>
                <w:w w:val="100"/>
                <w:sz w:val="21"/>
                <w:szCs w:val="21"/>
              </w:rPr>
              <w:t>加，主要系一年内</w:t>
            </w:r>
            <w:r>
              <w:rPr>
                <w:rFonts w:ascii="宋体" w:hAnsi="宋体" w:cs="宋体" w:eastAsia="宋体" w:hint="default"/>
                <w:w w:val="100"/>
                <w:sz w:val="21"/>
                <w:szCs w:val="21"/>
              </w:rPr>
              <w:t> </w:t>
            </w:r>
            <w:r>
              <w:rPr>
                <w:rFonts w:ascii="宋体" w:hAnsi="宋体" w:cs="宋体" w:eastAsia="宋体" w:hint="default"/>
                <w:sz w:val="21"/>
                <w:szCs w:val="21"/>
              </w:rPr>
              <w:t>应收账款增加</w:t>
            </w:r>
          </w:p>
        </w:tc>
      </w:tr>
      <w:tr>
        <w:trPr>
          <w:trHeight w:val="82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244,246,419.02</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报告期末银行理</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15"/>
                <w:sz w:val="21"/>
                <w:szCs w:val="21"/>
              </w:rPr>
              <w:t>财产品和结构性</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存款增加所致</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21,881,364.98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11,321,728.55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93.27%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报告期内外购软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件增加所致</w:t>
            </w:r>
          </w:p>
        </w:tc>
      </w:tr>
      <w:tr>
        <w:trPr>
          <w:trHeight w:val="82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1,410,708.48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2,277,225.03</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-38.05%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主要系新租办公</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5"/>
                <w:sz w:val="21"/>
                <w:szCs w:val="21"/>
              </w:rPr>
              <w:t>场地正常摊销装</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修费所致</w:t>
            </w:r>
          </w:p>
        </w:tc>
      </w:tr>
      <w:tr>
        <w:trPr>
          <w:trHeight w:val="55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1,769,779.68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1,203,975.83</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46.99%</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主要系坏账准备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计提增加所致</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40,597,604.20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8,799,138.10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361.38%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center"/>
              <w:rPr>
                <w:rFonts w:ascii="宋体" w:hAnsi="宋体" w:cs="宋体" w:eastAsia="宋体" w:hint="default"/>
                <w:sz w:val="21"/>
                <w:szCs w:val="21"/>
              </w:rPr>
            </w:pPr>
            <w:r>
              <w:rPr>
                <w:rFonts w:ascii="宋体" w:hAnsi="宋体" w:cs="宋体" w:eastAsia="宋体" w:hint="default"/>
                <w:spacing w:val="15"/>
                <w:sz w:val="21"/>
                <w:szCs w:val="21"/>
              </w:rPr>
              <w:t>系报告期末未结</w:t>
            </w:r>
            <w:r>
              <w:rPr>
                <w:rFonts w:ascii="宋体" w:hAnsi="宋体" w:cs="宋体" w:eastAsia="宋体" w:hint="default"/>
                <w:spacing w:val="-86"/>
                <w:sz w:val="21"/>
                <w:szCs w:val="21"/>
              </w:rPr>
              <w:t> </w:t>
            </w:r>
            <w:r>
              <w:rPr>
                <w:rFonts w:ascii="宋体" w:hAnsi="宋体" w:cs="宋体" w:eastAsia="宋体" w:hint="default"/>
                <w:sz w:val="21"/>
                <w:szCs w:val="21"/>
              </w:rPr>
            </w:r>
          </w:p>
        </w:tc>
      </w:tr>
    </w:tbl>
    <w:p>
      <w:pPr>
        <w:spacing w:after="0" w:line="243" w:lineRule="exact"/>
        <w:jc w:val="center"/>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10"/>
        <w:gridCol w:w="1810"/>
        <w:gridCol w:w="1810"/>
        <w:gridCol w:w="1810"/>
        <w:gridCol w:w="1810"/>
      </w:tblGrid>
      <w:tr>
        <w:trPr>
          <w:trHeight w:val="557" w:hRule="exact"/>
        </w:trPr>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算应付账款增加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所致</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21,025.29</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-100.00%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系本期支付上期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余额所致</w:t>
            </w:r>
          </w:p>
        </w:tc>
      </w:tr>
      <w:tr>
        <w:trPr>
          <w:trHeight w:val="82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6,335,503.33</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4,470,834.63</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41.71%</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系报告期末员工</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5"/>
                <w:sz w:val="21"/>
                <w:szCs w:val="21"/>
              </w:rPr>
              <w:t>报销款余额增加</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所致</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一年内到期的非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3,380,000.00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-100.00%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报告期内偿还剩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余房贷</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2,535,000.00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-100.00%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报告期内偿还剩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余房贷</w:t>
            </w:r>
          </w:p>
        </w:tc>
      </w:tr>
      <w:tr>
        <w:trPr>
          <w:trHeight w:val="829"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507,849.26</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846,345.74</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-40.00%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以前年度补助正</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5"/>
                <w:sz w:val="21"/>
                <w:szCs w:val="21"/>
              </w:rPr>
              <w:t>常结转营业外收</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入</w:t>
            </w:r>
          </w:p>
        </w:tc>
      </w:tr>
    </w:tbl>
    <w:p>
      <w:pPr>
        <w:spacing w:line="240" w:lineRule="auto" w:before="2"/>
        <w:rPr>
          <w:rFonts w:ascii="宋体" w:hAnsi="宋体" w:cs="宋体" w:eastAsia="宋体" w:hint="default"/>
          <w:sz w:val="13"/>
          <w:szCs w:val="13"/>
        </w:rPr>
      </w:pPr>
    </w:p>
    <w:p>
      <w:pPr>
        <w:pStyle w:val="BodyText"/>
        <w:spacing w:line="230" w:lineRule="auto" w:before="46"/>
        <w:ind w:right="228"/>
        <w:jc w:val="both"/>
      </w:pPr>
      <w:r>
        <w:rPr>
          <w:spacing w:val="-1"/>
        </w:rPr>
        <w:t>归属于上市公司股东的净资产、总资产变动原因说明：公司本报告期内在上海证券交易所向社会</w:t>
      </w:r>
      <w:r>
        <w:rPr>
          <w:spacing w:val="-55"/>
        </w:rPr>
        <w:t> </w:t>
      </w:r>
      <w:r>
        <w:rPr>
          <w:spacing w:val="-55"/>
        </w:rPr>
      </w:r>
      <w:r>
        <w:rPr/>
        <w:t>公众发行人民币普通股（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4"/>
        </w:rPr>
        <w:t> </w:t>
      </w:r>
      <w:r>
        <w:rPr/>
        <w:t>股）</w:t>
      </w:r>
      <w:r>
        <w:rPr>
          <w:rFonts w:ascii="Times New Roman" w:hAnsi="Times New Roman" w:cs="Times New Roman" w:eastAsia="Times New Roman" w:hint="default"/>
        </w:rPr>
        <w:t>1,525 </w:t>
      </w:r>
      <w:r>
        <w:rPr/>
        <w:t>万股，募集资金净额为</w:t>
      </w:r>
      <w:r>
        <w:rPr>
          <w:spacing w:val="-50"/>
        </w:rPr>
        <w:t> </w:t>
      </w:r>
      <w:r>
        <w:rPr>
          <w:rFonts w:ascii="Times New Roman" w:hAnsi="Times New Roman" w:cs="Times New Roman" w:eastAsia="Times New Roman" w:hint="default"/>
        </w:rPr>
        <w:t>21,277.17 </w:t>
      </w:r>
      <w:r>
        <w:rPr/>
        <w:t>万元，导致该两项指标大</w:t>
      </w:r>
      <w:r>
        <w:rPr>
          <w:w w:val="100"/>
        </w:rPr>
        <w:t> </w:t>
      </w:r>
      <w:r>
        <w:rPr/>
        <w:t>幅增加。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2"/>
        <w:spacing w:line="240" w:lineRule="auto"/>
        <w:ind w:right="0"/>
        <w:jc w:val="both"/>
        <w:rPr>
          <w:b w:val="0"/>
          <w:bCs w:val="0"/>
        </w:rPr>
      </w:pPr>
      <w:r>
        <w:rPr/>
        <w:t>三、报告期内核心竞争力分析</w:t>
      </w:r>
      <w:r>
        <w:rPr>
          <w:b w:val="0"/>
          <w:bCs w:val="0"/>
        </w:rPr>
      </w:r>
    </w:p>
    <w:p>
      <w:pPr>
        <w:pStyle w:val="BodyText"/>
        <w:spacing w:line="281" w:lineRule="exact" w:before="58"/>
        <w:ind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74" w:lineRule="exact" w:before="16"/>
        <w:ind w:right="228"/>
        <w:jc w:val="both"/>
      </w:pPr>
      <w:r>
        <w:rPr/>
        <w:t>公司是中国首批研制和推出</w:t>
      </w:r>
      <w:r>
        <w:rPr>
          <w:spacing w:val="-49"/>
        </w:rPr>
        <w:t> </w:t>
      </w:r>
      <w:r>
        <w:rPr>
          <w:rFonts w:ascii="宋体" w:hAnsi="宋体" w:cs="宋体" w:eastAsia="宋体" w:hint="default"/>
        </w:rPr>
        <w:t>PKI</w:t>
      </w:r>
      <w:r>
        <w:rPr>
          <w:rFonts w:ascii="宋体" w:hAnsi="宋体" w:cs="宋体" w:eastAsia="宋体" w:hint="default"/>
          <w:spacing w:val="-51"/>
        </w:rPr>
        <w:t> </w:t>
      </w:r>
      <w:r>
        <w:rPr/>
        <w:t>公钥基础设施产品的厂商。经过十余年的发展，公司在以下几方</w:t>
      </w:r>
      <w:r>
        <w:rPr>
          <w:w w:val="100"/>
        </w:rPr>
        <w:t> </w:t>
      </w:r>
      <w:r>
        <w:rPr/>
        <w:t>面具有一定的核心竞争优势：</w:t>
      </w:r>
    </w:p>
    <w:p>
      <w:pPr>
        <w:pStyle w:val="Heading2"/>
        <w:spacing w:line="245" w:lineRule="exact"/>
        <w:ind w:left="640" w:right="2465"/>
        <w:jc w:val="left"/>
        <w:rPr>
          <w:b w:val="0"/>
          <w:bCs w:val="0"/>
        </w:rPr>
      </w:pPr>
      <w:r>
        <w:rPr>
          <w:rFonts w:ascii="宋体" w:hAnsi="宋体" w:cs="宋体" w:eastAsia="宋体" w:hint="default"/>
        </w:rPr>
        <w:t>1</w:t>
      </w:r>
      <w:r>
        <w:rPr/>
        <w:t>、行业内领先优势</w:t>
      </w:r>
      <w:r>
        <w:rPr>
          <w:b w:val="0"/>
          <w:bCs w:val="0"/>
        </w:rPr>
      </w:r>
    </w:p>
    <w:p>
      <w:pPr>
        <w:pStyle w:val="BodyText"/>
        <w:spacing w:line="237" w:lineRule="auto" w:before="2"/>
        <w:ind w:right="228" w:firstLine="419"/>
        <w:jc w:val="both"/>
      </w:pPr>
      <w:r>
        <w:rPr>
          <w:spacing w:val="-2"/>
        </w:rPr>
        <w:t>公司是国内首批商用密码产品定点生产与销售单位，是国家保密局批准认定的涉及国家秘密</w:t>
      </w:r>
      <w:r>
        <w:rPr>
          <w:w w:val="100"/>
        </w:rPr>
        <w:t> </w:t>
      </w:r>
      <w:r>
        <w:rPr>
          <w:spacing w:val="-8"/>
          <w:w w:val="100"/>
        </w:rPr>
        <w:t>的计算机信息系统集成甲级资质单位，是全国信息安全标准化技术委员会成员单位，是国家“</w:t>
      </w:r>
      <w:r>
        <w:rPr>
          <w:rFonts w:ascii="宋体" w:hAnsi="宋体" w:cs="宋体" w:eastAsia="宋体" w:hint="default"/>
          <w:spacing w:val="-8"/>
          <w:w w:val="100"/>
        </w:rPr>
        <w:t>863</w:t>
      </w:r>
      <w:r>
        <w:rPr>
          <w:spacing w:val="-8"/>
          <w:w w:val="100"/>
        </w:rPr>
        <w:t>”</w:t>
      </w:r>
      <w:r>
        <w:rPr>
          <w:w w:val="100"/>
        </w:rPr>
        <w:t> </w:t>
      </w:r>
      <w:r>
        <w:rPr>
          <w:spacing w:val="-1"/>
        </w:rPr>
        <w:t>计划信息安全示范工程金融子项目的责任承担单位，是国家科技支撑计划商用密码基础设施项目</w:t>
      </w:r>
      <w:r>
        <w:rPr>
          <w:spacing w:val="-55"/>
        </w:rPr>
        <w:t> </w:t>
      </w:r>
      <w:r>
        <w:rPr>
          <w:spacing w:val="-55"/>
        </w:rPr>
      </w:r>
      <w:r>
        <w:rPr/>
        <w:t>的牵头单位。公司是国家火炬计划重点高新技术企业、国家高新技术企业。</w:t>
      </w:r>
    </w:p>
    <w:p>
      <w:pPr>
        <w:pStyle w:val="Heading2"/>
        <w:spacing w:line="279" w:lineRule="exact"/>
        <w:ind w:left="640" w:right="2465"/>
        <w:jc w:val="left"/>
        <w:rPr>
          <w:b w:val="0"/>
          <w:bCs w:val="0"/>
        </w:rPr>
      </w:pPr>
      <w:r>
        <w:rPr>
          <w:rFonts w:ascii="Times New Roman" w:hAnsi="Times New Roman" w:cs="Times New Roman" w:eastAsia="Times New Roman" w:hint="default"/>
        </w:rPr>
        <w:t>2</w:t>
      </w:r>
      <w:r>
        <w:rPr/>
        <w:t>、技术创新和研发优势</w:t>
      </w:r>
      <w:r>
        <w:rPr>
          <w:b w:val="0"/>
          <w:bCs w:val="0"/>
        </w:rPr>
      </w:r>
    </w:p>
    <w:p>
      <w:pPr>
        <w:pStyle w:val="BodyText"/>
        <w:spacing w:line="230" w:lineRule="auto" w:before="1"/>
        <w:ind w:right="65" w:firstLine="419"/>
        <w:jc w:val="left"/>
      </w:pPr>
      <w:r>
        <w:rPr>
          <w:spacing w:val="-6"/>
          <w:w w:val="100"/>
        </w:rPr>
        <w:t>公司坚持自主创新，对网络安全及数据安全等领域尤其是</w:t>
      </w:r>
      <w:r>
        <w:rPr>
          <w:spacing w:val="-50"/>
          <w:w w:val="100"/>
        </w:rPr>
        <w:t> </w:t>
      </w:r>
      <w:r>
        <w:rPr>
          <w:rFonts w:ascii="Times New Roman" w:hAnsi="Times New Roman" w:cs="Times New Roman" w:eastAsia="Times New Roman" w:hint="default"/>
          <w:spacing w:val="-1"/>
          <w:w w:val="100"/>
        </w:rPr>
        <w:t>PKI</w:t>
      </w:r>
      <w:r>
        <w:rPr>
          <w:rFonts w:ascii="Times New Roman" w:hAnsi="Times New Roman" w:cs="Times New Roman" w:eastAsia="Times New Roman" w:hint="default"/>
          <w:spacing w:val="2"/>
          <w:w w:val="100"/>
        </w:rPr>
        <w:t> </w:t>
      </w:r>
      <w:r>
        <w:rPr>
          <w:spacing w:val="-2"/>
          <w:w w:val="100"/>
        </w:rPr>
        <w:t>领域的技术理论进行长期研究。</w:t>
      </w:r>
      <w:r>
        <w:rPr>
          <w:w w:val="100"/>
        </w:rPr>
        <w:t> </w:t>
      </w:r>
      <w:r>
        <w:rPr/>
        <w:t>同时，公司在国产密码算法方面进行了长期的研究和开发工作，并成为国内首批通过国家密码管</w:t>
      </w:r>
      <w:r>
        <w:rPr>
          <w:spacing w:val="-97"/>
        </w:rPr>
        <w:t> </w:t>
      </w:r>
      <w:r>
        <w:rPr>
          <w:spacing w:val="-97"/>
        </w:rPr>
      </w:r>
      <w:r>
        <w:rPr/>
        <w:t>理局审查、支持</w:t>
      </w:r>
      <w:r>
        <w:rPr>
          <w:spacing w:val="-53"/>
        </w:rPr>
        <w:t> </w:t>
      </w:r>
      <w:r>
        <w:rPr>
          <w:rFonts w:ascii="Times New Roman" w:hAnsi="Times New Roman" w:cs="Times New Roman" w:eastAsia="Times New Roman" w:hint="default"/>
        </w:rPr>
        <w:t>SM2</w:t>
      </w:r>
      <w:r>
        <w:rPr>
          <w:rFonts w:ascii="Times New Roman" w:hAnsi="Times New Roman" w:cs="Times New Roman" w:eastAsia="Times New Roman" w:hint="default"/>
          <w:spacing w:val="-3"/>
        </w:rPr>
        <w:t> </w:t>
      </w:r>
      <w:r>
        <w:rPr/>
        <w:t>算法的、省级电子认证服务机构的建设单位。</w:t>
      </w:r>
    </w:p>
    <w:p>
      <w:pPr>
        <w:pStyle w:val="BodyText"/>
        <w:spacing w:line="257" w:lineRule="exact"/>
        <w:ind w:left="664" w:right="227"/>
        <w:jc w:val="left"/>
      </w:pPr>
      <w:r>
        <w:rPr/>
        <w:t>公司拥有以</w:t>
      </w:r>
      <w:r>
        <w:rPr>
          <w:rFonts w:ascii="宋体" w:hAnsi="宋体" w:cs="宋体" w:eastAsia="宋体" w:hint="default"/>
        </w:rPr>
        <w:t>PKI</w:t>
      </w:r>
      <w:r>
        <w:rPr/>
        <w:t>为核心的身份认证、访问控制、加解密等技术。报告期内，公司继续致力于</w:t>
      </w:r>
    </w:p>
    <w:p>
      <w:pPr>
        <w:pStyle w:val="BodyText"/>
        <w:spacing w:line="272" w:lineRule="exact" w:before="27"/>
        <w:ind w:right="227"/>
        <w:jc w:val="both"/>
      </w:pPr>
      <w:r>
        <w:rPr>
          <w:spacing w:val="-4"/>
        </w:rPr>
        <w:t>研究开发，获得了</w:t>
      </w:r>
      <w:r>
        <w:rPr>
          <w:rFonts w:ascii="宋体" w:hAnsi="宋体" w:cs="宋体" w:eastAsia="宋体" w:hint="default"/>
          <w:spacing w:val="-4"/>
        </w:rPr>
        <w:t>6</w:t>
      </w:r>
      <w:r>
        <w:rPr>
          <w:spacing w:val="-4"/>
        </w:rPr>
        <w:t>项发明专利、</w:t>
      </w:r>
      <w:r>
        <w:rPr>
          <w:rFonts w:ascii="宋体" w:hAnsi="宋体" w:cs="宋体" w:eastAsia="宋体" w:hint="default"/>
          <w:spacing w:val="-4"/>
        </w:rPr>
        <w:t>10</w:t>
      </w:r>
      <w:r>
        <w:rPr>
          <w:spacing w:val="-4"/>
        </w:rPr>
        <w:t>项软件著作权。截至报告期末，公司持有拥有</w:t>
      </w:r>
      <w:r>
        <w:rPr>
          <w:rFonts w:ascii="宋体" w:hAnsi="宋体" w:cs="宋体" w:eastAsia="宋体" w:hint="default"/>
          <w:spacing w:val="-4"/>
        </w:rPr>
        <w:t>31</w:t>
      </w:r>
      <w:r>
        <w:rPr>
          <w:spacing w:val="-4"/>
        </w:rPr>
        <w:t>项相关发明专</w:t>
      </w:r>
      <w:r>
        <w:rPr>
          <w:spacing w:val="-25"/>
        </w:rPr>
        <w:t> </w:t>
      </w:r>
      <w:r>
        <w:rPr>
          <w:spacing w:val="-25"/>
        </w:rPr>
      </w:r>
      <w:r>
        <w:rPr/>
        <w:t>利与</w:t>
      </w:r>
      <w:r>
        <w:rPr>
          <w:rFonts w:ascii="宋体" w:hAnsi="宋体" w:cs="宋体" w:eastAsia="宋体" w:hint="default"/>
        </w:rPr>
        <w:t>61</w:t>
      </w:r>
      <w:r>
        <w:rPr/>
        <w:t>项相关软件著作权。</w:t>
      </w:r>
    </w:p>
    <w:p>
      <w:pPr>
        <w:pStyle w:val="BodyText"/>
        <w:spacing w:line="272" w:lineRule="exact" w:before="1"/>
        <w:ind w:right="227" w:firstLine="419"/>
        <w:jc w:val="left"/>
      </w:pPr>
      <w:r>
        <w:rPr>
          <w:spacing w:val="-1"/>
        </w:rPr>
        <w:t>近年来，公司作为主要参与单位完成的</w:t>
      </w:r>
      <w:r>
        <w:rPr>
          <w:rFonts w:ascii="Times New Roman" w:hAnsi="Times New Roman" w:cs="Times New Roman" w:eastAsia="Times New Roman" w:hint="default"/>
          <w:spacing w:val="-1"/>
        </w:rPr>
        <w:t>“</w:t>
      </w:r>
      <w:r>
        <w:rPr>
          <w:spacing w:val="-1"/>
        </w:rPr>
        <w:t>面向重要专网的边界安全防御关键技术及应用</w:t>
      </w:r>
      <w:r>
        <w:rPr>
          <w:rFonts w:ascii="Times New Roman" w:hAnsi="Times New Roman" w:cs="Times New Roman" w:eastAsia="Times New Roman" w:hint="default"/>
          <w:spacing w:val="-1"/>
        </w:rPr>
        <w:t>”</w:t>
      </w:r>
      <w:r>
        <w:rPr>
          <w:spacing w:val="-1"/>
        </w:rPr>
        <w:t>项目</w:t>
      </w:r>
      <w:r>
        <w:rPr>
          <w:w w:val="100"/>
        </w:rPr>
        <w:t> </w:t>
      </w:r>
      <w:r>
        <w:rPr/>
        <w:t>和</w:t>
      </w:r>
      <w:r>
        <w:rPr>
          <w:rFonts w:ascii="Times New Roman" w:hAnsi="Times New Roman" w:cs="Times New Roman" w:eastAsia="Times New Roman" w:hint="default"/>
        </w:rPr>
        <w:t>“</w:t>
      </w:r>
      <w:r>
        <w:rPr/>
        <w:t>国家信息安全应用示范关键技术研究与应用（</w:t>
      </w:r>
      <w:r>
        <w:rPr>
          <w:rFonts w:ascii="Times New Roman" w:hAnsi="Times New Roman" w:cs="Times New Roman" w:eastAsia="Times New Roman" w:hint="default"/>
        </w:rPr>
        <w:t>S219</w:t>
      </w:r>
      <w:r>
        <w:rPr>
          <w:rFonts w:ascii="Times New Roman" w:hAnsi="Times New Roman" w:cs="Times New Roman" w:eastAsia="Times New Roman" w:hint="default"/>
          <w:spacing w:val="15"/>
        </w:rPr>
        <w:t> </w:t>
      </w:r>
      <w:r>
        <w:rPr>
          <w:spacing w:val="-3"/>
        </w:rPr>
        <w:t>工程）</w:t>
      </w:r>
      <w:r>
        <w:rPr>
          <w:rFonts w:ascii="Times New Roman" w:hAnsi="Times New Roman" w:cs="Times New Roman" w:eastAsia="Times New Roman" w:hint="default"/>
          <w:spacing w:val="-3"/>
        </w:rPr>
        <w:t>”</w:t>
      </w:r>
      <w:r>
        <w:rPr>
          <w:spacing w:val="-3"/>
        </w:rPr>
        <w:t>项目分别荣获国家科学技术进步奖</w:t>
      </w:r>
    </w:p>
    <w:p>
      <w:pPr>
        <w:pStyle w:val="BodyText"/>
        <w:spacing w:line="272" w:lineRule="exact" w:before="1"/>
        <w:ind w:right="228"/>
        <w:jc w:val="both"/>
      </w:pPr>
      <w:r>
        <w:rPr>
          <w:spacing w:val="-1"/>
        </w:rPr>
        <w:t>二等奖。另外，公司还荣获上海市科学技术进步奖一等奖、党政密码科技进步一等奖（省部级）</w:t>
      </w:r>
      <w:r>
        <w:rPr>
          <w:spacing w:val="-56"/>
        </w:rPr>
        <w:t> </w:t>
      </w:r>
      <w:r>
        <w:rPr>
          <w:spacing w:val="-56"/>
        </w:rPr>
      </w:r>
      <w:r>
        <w:rPr/>
        <w:t>等奖项。</w:t>
      </w:r>
    </w:p>
    <w:p>
      <w:pPr>
        <w:pStyle w:val="BodyText"/>
        <w:spacing w:line="272" w:lineRule="exact" w:before="1"/>
        <w:ind w:left="638" w:right="227" w:firstLine="2"/>
        <w:jc w:val="left"/>
      </w:pPr>
      <w:r>
        <w:rPr>
          <w:rFonts w:ascii="Times New Roman" w:hAnsi="Times New Roman" w:cs="Times New Roman" w:eastAsia="Times New Roman" w:hint="default"/>
          <w:b/>
          <w:bCs/>
        </w:rPr>
        <w:t>3</w:t>
      </w:r>
      <w:r>
        <w:rPr>
          <w:rFonts w:ascii="宋体" w:hAnsi="宋体" w:cs="宋体" w:eastAsia="宋体" w:hint="default"/>
          <w:b/>
          <w:bCs/>
        </w:rPr>
        <w:t>、人才优势</w:t>
      </w:r>
      <w:r>
        <w:rPr>
          <w:rFonts w:ascii="宋体" w:hAnsi="宋体" w:cs="宋体" w:eastAsia="宋体" w:hint="default"/>
          <w:b/>
          <w:bCs/>
          <w:w w:val="100"/>
        </w:rPr>
        <w:t> </w:t>
      </w:r>
      <w:r>
        <w:rPr>
          <w:spacing w:val="-2"/>
        </w:rPr>
        <w:t>公司现已建立了研发团队，团队内集中了信息安全技术领域的资深技术专家、博士、高级工</w:t>
      </w:r>
    </w:p>
    <w:p>
      <w:pPr>
        <w:pStyle w:val="BodyText"/>
        <w:spacing w:line="255" w:lineRule="exact"/>
        <w:ind w:right="0"/>
        <w:jc w:val="both"/>
        <w:rPr>
          <w:rFonts w:ascii="Times New Roman" w:hAnsi="Times New Roman" w:cs="Times New Roman" w:eastAsia="Times New Roman" w:hint="default"/>
        </w:rPr>
      </w:pPr>
      <w:r>
        <w:rPr/>
        <w:t>程师。同时，公司是国内信息安全领域国家级重点科研项目的主要承担者之一，先后承担了 </w:t>
      </w:r>
      <w:r>
        <w:rPr>
          <w:spacing w:val="12"/>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rPr>
      </w:r>
    </w:p>
    <w:p>
      <w:pPr>
        <w:pStyle w:val="BodyText"/>
        <w:spacing w:line="264" w:lineRule="exact"/>
        <w:ind w:right="0"/>
        <w:jc w:val="both"/>
      </w:pPr>
      <w:r>
        <w:rPr/>
        <w:t>项国家级、省部级的重点信息安全科研项目的研究与开发工作。</w:t>
      </w:r>
    </w:p>
    <w:p>
      <w:pPr>
        <w:pStyle w:val="BodyText"/>
        <w:spacing w:line="235" w:lineRule="auto" w:before="4"/>
        <w:ind w:right="224" w:firstLine="422"/>
        <w:jc w:val="left"/>
      </w:pPr>
      <w:r>
        <w:rPr>
          <w:rFonts w:ascii="Times New Roman" w:hAnsi="Times New Roman" w:cs="Times New Roman" w:eastAsia="Times New Roman" w:hint="default"/>
          <w:b/>
          <w:bCs/>
        </w:rPr>
        <w:t>4</w:t>
      </w:r>
      <w:r>
        <w:rPr>
          <w:rFonts w:ascii="宋体" w:hAnsi="宋体" w:cs="宋体" w:eastAsia="宋体" w:hint="default"/>
          <w:b/>
          <w:bCs/>
        </w:rPr>
        <w:t>、专业资质优势</w:t>
      </w:r>
      <w:r>
        <w:rPr>
          <w:rFonts w:ascii="宋体" w:hAnsi="宋体" w:cs="宋体" w:eastAsia="宋体" w:hint="default"/>
          <w:b/>
          <w:bCs/>
          <w:w w:val="100"/>
        </w:rPr>
        <w:t> </w:t>
      </w:r>
      <w:r>
        <w:rPr>
          <w:spacing w:val="-2"/>
        </w:rPr>
        <w:t>在信息安全行业，企业获取经营资质或许可的多少成为衡量信息安全厂商竞争力的重要因素。公</w:t>
      </w:r>
      <w:r>
        <w:rPr>
          <w:spacing w:val="-15"/>
        </w:rPr>
        <w:t> </w:t>
      </w:r>
      <w:r>
        <w:rPr>
          <w:spacing w:val="-15"/>
        </w:rPr>
      </w:r>
      <w:r>
        <w:rPr>
          <w:spacing w:val="-1"/>
        </w:rPr>
        <w:t>司是目前国内同行业中拥有各类经营资质或许可较全的企业之一。公司先后取得了涉及国家秘密</w:t>
      </w:r>
      <w:r>
        <w:rPr>
          <w:spacing w:val="-56"/>
        </w:rPr>
        <w:t> </w:t>
      </w:r>
      <w:r>
        <w:rPr>
          <w:spacing w:val="-56"/>
        </w:rPr>
      </w:r>
      <w:r>
        <w:rPr>
          <w:spacing w:val="-6"/>
          <w:w w:val="100"/>
        </w:rPr>
        <w:t>的计算机信息系统集成资质证书（甲级）、计算机信息系统安全专用产品销售许可证，以及各类涉</w:t>
      </w:r>
      <w:r>
        <w:rPr>
          <w:w w:val="100"/>
        </w:rPr>
        <w:t> </w:t>
      </w:r>
      <w:r>
        <w:rPr>
          <w:spacing w:val="-1"/>
        </w:rPr>
        <w:t>密信息系统产品检测证书、商用密码产品技术鉴定证书、信息技术产品安全测评证书等多项经营</w:t>
      </w:r>
    </w:p>
    <w:p>
      <w:pPr>
        <w:spacing w:after="0" w:line="235" w:lineRule="auto"/>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240" w:lineRule="auto" w:before="36"/>
        <w:ind w:left="138" w:right="0"/>
        <w:jc w:val="left"/>
      </w:pPr>
      <w:r>
        <w:rPr>
          <w:spacing w:val="-1"/>
        </w:rPr>
        <w:t>资质或许可。子公司格尔安全获得上海市武器装备科研生产叁级保密资格单位认定，以及上海市</w:t>
      </w:r>
      <w:r>
        <w:rPr>
          <w:spacing w:val="-56"/>
        </w:rPr>
        <w:t> </w:t>
      </w:r>
      <w:r>
        <w:rPr>
          <w:spacing w:val="-56"/>
        </w:rPr>
      </w:r>
      <w:r>
        <w:rPr>
          <w:spacing w:val="-7"/>
          <w:w w:val="100"/>
        </w:rPr>
        <w:t>软件行业协会颁发的《软件企业证书》。</w:t>
      </w:r>
    </w:p>
    <w:p>
      <w:pPr>
        <w:pStyle w:val="BodyText"/>
        <w:spacing w:line="274" w:lineRule="exact" w:before="22"/>
        <w:ind w:left="558" w:right="0" w:firstLine="2"/>
        <w:jc w:val="left"/>
      </w:pPr>
      <w:r>
        <w:rPr>
          <w:rFonts w:ascii="Times New Roman" w:hAnsi="Times New Roman" w:cs="Times New Roman" w:eastAsia="Times New Roman" w:hint="default"/>
          <w:b/>
          <w:bCs/>
        </w:rPr>
        <w:t>5</w:t>
      </w:r>
      <w:r>
        <w:rPr>
          <w:rFonts w:ascii="宋体" w:hAnsi="宋体" w:cs="宋体" w:eastAsia="宋体" w:hint="default"/>
          <w:b/>
          <w:bCs/>
        </w:rPr>
        <w:t>、客户资源优势</w:t>
      </w:r>
      <w:r>
        <w:rPr>
          <w:rFonts w:ascii="宋体" w:hAnsi="宋体" w:cs="宋体" w:eastAsia="宋体" w:hint="default"/>
          <w:b/>
          <w:bCs/>
          <w:w w:val="100"/>
        </w:rPr>
        <w:t> </w:t>
      </w:r>
      <w:r>
        <w:rPr>
          <w:spacing w:val="-2"/>
        </w:rPr>
        <w:t>公司客户主要为国家部委、地方政府部门、军工企业、金融机构、大中型企事业单位，客户</w:t>
      </w:r>
    </w:p>
    <w:p>
      <w:pPr>
        <w:pStyle w:val="BodyText"/>
        <w:spacing w:line="245" w:lineRule="exact"/>
        <w:ind w:left="138" w:right="0"/>
        <w:jc w:val="left"/>
      </w:pPr>
      <w:r>
        <w:rPr/>
        <w:t>资源稳定。由于信息安全行业的特性，稳定优质的客户资源有利于公司进一步开拓新市场、开发</w:t>
      </w:r>
    </w:p>
    <w:p>
      <w:pPr>
        <w:pStyle w:val="BodyText"/>
        <w:spacing w:line="272" w:lineRule="exact"/>
        <w:ind w:left="138" w:right="0"/>
        <w:jc w:val="left"/>
      </w:pPr>
      <w:r>
        <w:rPr/>
        <w:t>新客户，促进公司的持续快速发展。</w:t>
      </w:r>
    </w:p>
    <w:p>
      <w:pPr>
        <w:pStyle w:val="Heading2"/>
        <w:spacing w:line="280" w:lineRule="exact"/>
        <w:ind w:left="560" w:right="0"/>
        <w:jc w:val="left"/>
        <w:rPr>
          <w:b w:val="0"/>
          <w:bCs w:val="0"/>
        </w:rPr>
      </w:pPr>
      <w:r>
        <w:rPr>
          <w:rFonts w:ascii="Times New Roman" w:hAnsi="Times New Roman" w:cs="Times New Roman" w:eastAsia="Times New Roman" w:hint="default"/>
        </w:rPr>
        <w:t>6</w:t>
      </w:r>
      <w:r>
        <w:rPr/>
        <w:t>、品牌价值优势</w:t>
      </w:r>
      <w:r>
        <w:rPr>
          <w:b w:val="0"/>
          <w:bCs w:val="0"/>
        </w:rPr>
      </w:r>
    </w:p>
    <w:p>
      <w:pPr>
        <w:pStyle w:val="BodyText"/>
        <w:spacing w:line="230" w:lineRule="auto" w:before="1"/>
        <w:ind w:left="138" w:right="127" w:firstLine="419"/>
        <w:jc w:val="both"/>
      </w:pPr>
      <w:r>
        <w:rPr/>
        <w:t>经过十余年发展，公司已成为国内信息安全行业 </w:t>
      </w:r>
      <w:r>
        <w:rPr>
          <w:rFonts w:ascii="Times New Roman" w:hAnsi="Times New Roman" w:cs="Times New Roman" w:eastAsia="Times New Roman" w:hint="default"/>
        </w:rPr>
        <w:t>PKI </w:t>
      </w:r>
      <w:r>
        <w:rPr/>
        <w:t>领域的优势企业之一，通过了</w:t>
      </w:r>
      <w:r>
        <w:rPr>
          <w:spacing w:val="-27"/>
        </w:rPr>
        <w:t> </w:t>
      </w:r>
      <w:r>
        <w:rPr>
          <w:rFonts w:ascii="Times New Roman" w:hAnsi="Times New Roman" w:cs="Times New Roman" w:eastAsia="Times New Roman" w:hint="default"/>
        </w:rPr>
        <w:t>CMMI3</w:t>
      </w:r>
      <w:r>
        <w:rPr>
          <w:rFonts w:ascii="Times New Roman" w:hAnsi="Times New Roman" w:cs="Times New Roman" w:eastAsia="Times New Roman" w:hint="default"/>
          <w:w w:val="100"/>
        </w:rPr>
        <w:t> </w:t>
      </w:r>
      <w:r>
        <w:rPr/>
        <w:t>认证和</w:t>
      </w:r>
      <w:r>
        <w:rPr>
          <w:spacing w:val="-48"/>
        </w:rPr>
        <w:t> </w:t>
      </w:r>
      <w:r>
        <w:rPr>
          <w:rFonts w:ascii="Times New Roman" w:hAnsi="Times New Roman" w:cs="Times New Roman" w:eastAsia="Times New Roman" w:hint="default"/>
        </w:rPr>
        <w:t>ISO9001</w:t>
      </w:r>
      <w:r>
        <w:rPr>
          <w:rFonts w:ascii="Times New Roman" w:hAnsi="Times New Roman" w:cs="Times New Roman" w:eastAsia="Times New Roman" w:hint="default"/>
          <w:spacing w:val="5"/>
        </w:rPr>
        <w:t> </w:t>
      </w:r>
      <w:r>
        <w:rPr>
          <w:spacing w:val="-3"/>
        </w:rPr>
        <w:t>质量认证，为用户提供功能完善、质量可靠的</w:t>
      </w:r>
      <w:r>
        <w:rPr>
          <w:spacing w:val="-50"/>
        </w:rPr>
        <w:t> </w:t>
      </w:r>
      <w:r>
        <w:rPr>
          <w:rFonts w:ascii="Times New Roman" w:hAnsi="Times New Roman" w:cs="Times New Roman" w:eastAsia="Times New Roman" w:hint="default"/>
        </w:rPr>
        <w:t>PKI</w:t>
      </w:r>
      <w:r>
        <w:rPr>
          <w:rFonts w:ascii="Times New Roman" w:hAnsi="Times New Roman" w:cs="Times New Roman" w:eastAsia="Times New Roman" w:hint="default"/>
          <w:spacing w:val="2"/>
        </w:rPr>
        <w:t> </w:t>
      </w:r>
      <w:r>
        <w:rPr/>
        <w:t>产品。公司是全国信息安全标</w:t>
      </w:r>
      <w:r>
        <w:rPr>
          <w:spacing w:val="-103"/>
        </w:rPr>
        <w:t> </w:t>
      </w:r>
      <w:r>
        <w:rPr>
          <w:spacing w:val="-103"/>
        </w:rPr>
      </w:r>
      <w:r>
        <w:rPr>
          <w:spacing w:val="-1"/>
        </w:rPr>
        <w:t>准化技术委员会网站可信国家标准项目组成员单位、中国密码学会第二届理事会理事单位，同时</w:t>
      </w:r>
      <w:r>
        <w:rPr>
          <w:spacing w:val="-55"/>
        </w:rPr>
        <w:t> </w:t>
      </w:r>
      <w:r>
        <w:rPr>
          <w:spacing w:val="-55"/>
        </w:rPr>
      </w:r>
      <w:r>
        <w:rPr>
          <w:spacing w:val="-1"/>
        </w:rPr>
        <w:t>亦是国家科技支撑计划商用密码基础设施项目的牵头单位。截至报告期末，公司共发起、参与研</w:t>
      </w:r>
      <w:r>
        <w:rPr>
          <w:spacing w:val="-56"/>
        </w:rPr>
        <w:t> </w:t>
      </w:r>
      <w:r>
        <w:rPr>
          <w:spacing w:val="-56"/>
        </w:rPr>
      </w:r>
      <w:r>
        <w:rPr/>
        <w:t>制行业标准规范</w:t>
      </w:r>
      <w:r>
        <w:rPr>
          <w:spacing w:val="-41"/>
        </w:rPr>
        <w:t> </w:t>
      </w:r>
      <w:r>
        <w:rPr>
          <w:rFonts w:ascii="Times New Roman" w:hAnsi="Times New Roman" w:cs="Times New Roman" w:eastAsia="Times New Roman" w:hint="default"/>
        </w:rPr>
        <w:t>26</w:t>
      </w:r>
      <w:r>
        <w:rPr>
          <w:rFonts w:ascii="Times New Roman" w:hAnsi="Times New Roman" w:cs="Times New Roman" w:eastAsia="Times New Roman" w:hint="default"/>
          <w:spacing w:val="9"/>
        </w:rPr>
        <w:t> </w:t>
      </w:r>
      <w:r>
        <w:rPr>
          <w:spacing w:val="-5"/>
        </w:rPr>
        <w:t>项；其中，作为发起单位研制的相关标准为</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spacing w:val="-4"/>
        </w:rPr>
        <w:t>项，作为主要参与单位研制的相</w:t>
      </w:r>
    </w:p>
    <w:p>
      <w:pPr>
        <w:pStyle w:val="BodyText"/>
        <w:spacing w:line="265" w:lineRule="exact"/>
        <w:ind w:left="138" w:right="0"/>
        <w:jc w:val="left"/>
      </w:pPr>
      <w:r>
        <w:rPr/>
        <w:t>关标准达</w:t>
      </w:r>
      <w:r>
        <w:rPr>
          <w:spacing w:val="-54"/>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项。</w:t>
      </w:r>
    </w:p>
    <w:p>
      <w:pPr>
        <w:spacing w:line="272" w:lineRule="exact" w:before="19"/>
        <w:ind w:left="558"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、营销服务体系优势</w:t>
      </w:r>
      <w:r>
        <w:rPr>
          <w:rFonts w:ascii="宋体" w:hAnsi="宋体" w:cs="宋体" w:eastAsia="宋体" w:hint="default"/>
          <w:b/>
          <w:bCs/>
          <w:w w:val="100"/>
          <w:sz w:val="21"/>
          <w:szCs w:val="21"/>
        </w:rPr>
        <w:t> </w:t>
      </w:r>
      <w:r>
        <w:rPr>
          <w:rFonts w:ascii="宋体" w:hAnsi="宋体" w:cs="宋体" w:eastAsia="宋体" w:hint="default"/>
          <w:spacing w:val="-2"/>
          <w:sz w:val="21"/>
          <w:szCs w:val="21"/>
        </w:rPr>
        <w:t>目前，公司的主要客户包括国家部委、地方政府部门、军工、金融机构、大中型企事业单位</w:t>
      </w:r>
    </w:p>
    <w:p>
      <w:pPr>
        <w:pStyle w:val="BodyText"/>
        <w:spacing w:line="272" w:lineRule="exact" w:before="1"/>
        <w:ind w:left="138" w:right="0"/>
        <w:jc w:val="left"/>
      </w:pPr>
      <w:r>
        <w:rPr>
          <w:spacing w:val="-1"/>
        </w:rPr>
        <w:t>等。公司推进以“行业服务专业化”和“区域服务本地化”相结合的客户服务体系建设。即对于</w:t>
      </w:r>
      <w:r>
        <w:rPr>
          <w:spacing w:val="-55"/>
        </w:rPr>
        <w:t> </w:t>
      </w:r>
      <w:r>
        <w:rPr>
          <w:spacing w:val="-55"/>
        </w:rPr>
      </w:r>
      <w:r>
        <w:rPr>
          <w:spacing w:val="-1"/>
        </w:rPr>
        <w:t>行业客户，由格尔国信、安全等子公司和公司的电子政务、军工、公安等事业部，分别提供专业</w:t>
      </w:r>
    </w:p>
    <w:p>
      <w:pPr>
        <w:pStyle w:val="BodyText"/>
        <w:spacing w:line="272" w:lineRule="exact" w:before="1"/>
        <w:ind w:left="138" w:right="0"/>
        <w:jc w:val="left"/>
      </w:pPr>
      <w:r>
        <w:rPr>
          <w:spacing w:val="-1"/>
        </w:rPr>
        <w:t>的行业服务指导与支撑；对于区域客户，形成以上海、北京、广州、西安、乌鲁木齐、郑州为区</w:t>
      </w:r>
      <w:r>
        <w:rPr>
          <w:spacing w:val="-55"/>
        </w:rPr>
        <w:t> </w:t>
      </w:r>
      <w:r>
        <w:rPr>
          <w:spacing w:val="-55"/>
        </w:rPr>
      </w:r>
      <w:r>
        <w:rPr/>
        <w:t>域中心，辐射其他区域的二级联动管理的营销服务网络。</w:t>
      </w:r>
    </w:p>
    <w:p>
      <w:pPr>
        <w:pStyle w:val="BodyText"/>
        <w:spacing w:line="246" w:lineRule="exact"/>
        <w:ind w:left="558" w:right="0"/>
        <w:jc w:val="left"/>
      </w:pPr>
      <w:r>
        <w:rPr/>
        <w:t>公司的“行业与区域协同发展”营销战略，有利于提高公司对用户需求响应的及时性，拓宽</w:t>
      </w:r>
    </w:p>
    <w:p>
      <w:pPr>
        <w:pStyle w:val="BodyText"/>
        <w:spacing w:line="274" w:lineRule="exact"/>
        <w:ind w:left="138" w:right="0"/>
        <w:jc w:val="left"/>
      </w:pPr>
      <w:r>
        <w:rPr/>
        <w:t>公司产品的市场占有率和客户深度开发能力，增强公司的综合竞争力。</w:t>
      </w:r>
    </w:p>
    <w:p>
      <w:pPr>
        <w:spacing w:after="0" w:line="274" w:lineRule="exact"/>
        <w:jc w:val="left"/>
        <w:sectPr>
          <w:pgSz w:w="11910" w:h="16840"/>
          <w:pgMar w:header="880" w:footer="1195" w:top="1120" w:bottom="1380" w:left="1660" w:right="1140"/>
        </w:sectPr>
      </w:pPr>
    </w:p>
    <w:p>
      <w:pPr>
        <w:spacing w:line="240" w:lineRule="auto" w:before="11"/>
        <w:rPr>
          <w:rFonts w:ascii="宋体" w:hAnsi="宋体" w:cs="宋体" w:eastAsia="宋体" w:hint="default"/>
          <w:sz w:val="25"/>
          <w:szCs w:val="25"/>
        </w:rPr>
      </w:pPr>
    </w:p>
    <w:p>
      <w:pPr>
        <w:pStyle w:val="Heading1"/>
        <w:tabs>
          <w:tab w:pos="1259" w:val="left" w:leader="none"/>
        </w:tabs>
        <w:spacing w:line="240" w:lineRule="auto"/>
        <w:ind w:right="177"/>
        <w:jc w:val="center"/>
        <w:rPr>
          <w:b w:val="0"/>
          <w:bCs w:val="0"/>
        </w:rPr>
      </w:pPr>
      <w:bookmarkStart w:name="_TOC_250008" w:id="4"/>
      <w:r>
        <w:rPr>
          <w:w w:val="95"/>
        </w:rPr>
        <w:t>第四节</w:t>
        <w:tab/>
      </w:r>
      <w:r>
        <w:rPr/>
        <w:t>经营情况讨论与分析</w:t>
      </w:r>
      <w:bookmarkEnd w:id="4"/>
      <w:r>
        <w:rPr>
          <w:b w:val="0"/>
          <w:bCs w:val="0"/>
        </w:rPr>
      </w:r>
    </w:p>
    <w:p>
      <w:pPr>
        <w:spacing w:line="240" w:lineRule="auto" w:before="4"/>
        <w:rPr>
          <w:rFonts w:ascii="黑体" w:hAnsi="黑体" w:cs="黑体" w:eastAsia="黑体" w:hint="default"/>
          <w:b/>
          <w:bCs/>
          <w:sz w:val="19"/>
          <w:szCs w:val="19"/>
        </w:rPr>
      </w:pPr>
    </w:p>
    <w:p>
      <w:pPr>
        <w:pStyle w:val="Heading2"/>
        <w:spacing w:line="240" w:lineRule="auto"/>
        <w:ind w:left="138" w:right="2465"/>
        <w:jc w:val="left"/>
        <w:rPr>
          <w:b w:val="0"/>
          <w:bCs w:val="0"/>
        </w:rPr>
      </w:pPr>
      <w:r>
        <w:rPr/>
        <w:t>一、经营情况讨论与分析</w:t>
      </w:r>
      <w:r>
        <w:rPr>
          <w:b w:val="0"/>
          <w:bCs w:val="0"/>
        </w:rPr>
      </w:r>
    </w:p>
    <w:p>
      <w:pPr>
        <w:pStyle w:val="BodyText"/>
        <w:spacing w:line="237" w:lineRule="auto" w:before="61"/>
        <w:ind w:left="138" w:right="196" w:firstLine="419"/>
        <w:jc w:val="left"/>
      </w:pPr>
      <w:r>
        <w:rPr/>
        <w:t>信息安全已成为维护国家安全的重点。</w:t>
      </w:r>
      <w:r>
        <w:rPr>
          <w:rFonts w:ascii="宋体" w:hAnsi="宋体" w:cs="宋体" w:eastAsia="宋体" w:hint="default"/>
        </w:rPr>
        <w:t>2017</w:t>
      </w:r>
      <w:r>
        <w:rPr>
          <w:rFonts w:ascii="宋体" w:hAnsi="宋体" w:cs="宋体" w:eastAsia="宋体" w:hint="default"/>
          <w:spacing w:val="8"/>
        </w:rPr>
        <w:t> </w:t>
      </w:r>
      <w:r>
        <w:rPr/>
        <w:t>年，公司经营层和全体员工在董事会的领导下，</w:t>
      </w:r>
      <w:r>
        <w:rPr>
          <w:w w:val="100"/>
        </w:rPr>
        <w:t> </w:t>
      </w:r>
      <w:r>
        <w:rPr>
          <w:spacing w:val="-6"/>
        </w:rPr>
        <w:t>继续坚持持续、健康、稳健的经营方针，坚守行业服务的理念，专注于信息安全业务的开拓发展。</w:t>
      </w:r>
      <w:r>
        <w:rPr>
          <w:spacing w:val="-53"/>
        </w:rPr>
        <w:t> </w:t>
      </w:r>
      <w:r>
        <w:rPr>
          <w:spacing w:val="-53"/>
        </w:rPr>
      </w:r>
      <w:r>
        <w:rPr/>
        <w:t>公司在风险相对可控的前提下继续推进改革和创新，有条不紊地开展各项业务。本报告期内，公</w:t>
      </w:r>
      <w:r>
        <w:rPr>
          <w:spacing w:val="-98"/>
        </w:rPr>
        <w:t> </w:t>
      </w:r>
      <w:r>
        <w:rPr>
          <w:spacing w:val="-98"/>
        </w:rPr>
      </w:r>
      <w:r>
        <w:rPr/>
        <w:t>司实现营业收入</w:t>
      </w:r>
      <w:r>
        <w:rPr>
          <w:spacing w:val="-41"/>
        </w:rPr>
        <w:t> </w:t>
      </w:r>
      <w:r>
        <w:rPr>
          <w:rFonts w:ascii="宋体" w:hAnsi="宋体" w:cs="宋体" w:eastAsia="宋体" w:hint="default"/>
        </w:rPr>
        <w:t>27,165.36</w:t>
      </w:r>
      <w:r>
        <w:rPr>
          <w:rFonts w:ascii="宋体" w:hAnsi="宋体" w:cs="宋体" w:eastAsia="宋体" w:hint="default"/>
          <w:spacing w:val="-40"/>
        </w:rPr>
        <w:t> </w:t>
      </w:r>
      <w:r>
        <w:rPr/>
        <w:t>万元，较上年同期增长</w:t>
      </w:r>
      <w:r>
        <w:rPr>
          <w:spacing w:val="-41"/>
        </w:rPr>
        <w:t> </w:t>
      </w:r>
      <w:r>
        <w:rPr>
          <w:rFonts w:ascii="宋体" w:hAnsi="宋体" w:cs="宋体" w:eastAsia="宋体" w:hint="default"/>
        </w:rPr>
        <w:t>17.06%</w:t>
      </w:r>
      <w:r>
        <w:rPr/>
        <w:t>；实现利润总额</w:t>
      </w:r>
      <w:r>
        <w:rPr>
          <w:spacing w:val="-43"/>
        </w:rPr>
        <w:t> </w:t>
      </w:r>
      <w:r>
        <w:rPr>
          <w:rFonts w:ascii="宋体" w:hAnsi="宋体" w:cs="宋体" w:eastAsia="宋体" w:hint="default"/>
        </w:rPr>
        <w:t>7,351.41</w:t>
      </w:r>
      <w:r>
        <w:rPr>
          <w:rFonts w:ascii="宋体" w:hAnsi="宋体" w:cs="宋体" w:eastAsia="宋体" w:hint="default"/>
          <w:spacing w:val="-40"/>
        </w:rPr>
        <w:t> </w:t>
      </w:r>
      <w:r>
        <w:rPr/>
        <w:t>万元，较上</w:t>
      </w:r>
      <w:r>
        <w:rPr>
          <w:w w:val="100"/>
        </w:rPr>
        <w:t> </w:t>
      </w:r>
      <w:r>
        <w:rPr/>
        <w:t>年同期增长</w:t>
      </w:r>
      <w:r>
        <w:rPr>
          <w:spacing w:val="-44"/>
        </w:rPr>
        <w:t> </w:t>
      </w:r>
      <w:r>
        <w:rPr>
          <w:rFonts w:ascii="宋体" w:hAnsi="宋体" w:cs="宋体" w:eastAsia="宋体" w:hint="default"/>
          <w:spacing w:val="-3"/>
        </w:rPr>
        <w:t>11.01%</w:t>
      </w:r>
      <w:r>
        <w:rPr>
          <w:spacing w:val="-3"/>
        </w:rPr>
        <w:t>；实现归属上市公司股东净利润</w:t>
      </w:r>
      <w:r>
        <w:rPr>
          <w:spacing w:val="-47"/>
        </w:rPr>
        <w:t> </w:t>
      </w:r>
      <w:r>
        <w:rPr>
          <w:rFonts w:ascii="宋体" w:hAnsi="宋体" w:cs="宋体" w:eastAsia="宋体" w:hint="default"/>
        </w:rPr>
        <w:t>7,024.56</w:t>
      </w:r>
      <w:r>
        <w:rPr>
          <w:rFonts w:ascii="宋体" w:hAnsi="宋体" w:cs="宋体" w:eastAsia="宋体" w:hint="default"/>
          <w:spacing w:val="-47"/>
        </w:rPr>
        <w:t> </w:t>
      </w:r>
      <w:r>
        <w:rPr>
          <w:spacing w:val="-5"/>
        </w:rPr>
        <w:t>万元，较上年同期增长</w:t>
      </w:r>
      <w:r>
        <w:rPr>
          <w:spacing w:val="-43"/>
        </w:rPr>
        <w:t> </w:t>
      </w:r>
      <w:r>
        <w:rPr>
          <w:rFonts w:ascii="宋体" w:hAnsi="宋体" w:cs="宋体" w:eastAsia="宋体" w:hint="default"/>
          <w:spacing w:val="-5"/>
        </w:rPr>
        <w:t>24.60%%</w:t>
      </w:r>
      <w:r>
        <w:rPr>
          <w:spacing w:val="-5"/>
        </w:rPr>
        <w:t>。报</w:t>
      </w:r>
      <w:r>
        <w:rPr>
          <w:spacing w:val="-83"/>
        </w:rPr>
        <w:t> </w:t>
      </w:r>
      <w:r>
        <w:rPr>
          <w:spacing w:val="-83"/>
        </w:rPr>
      </w:r>
      <w:r>
        <w:rPr/>
        <w:t>告期内公司主要做了以下几方面的工作：</w:t>
      </w:r>
    </w:p>
    <w:p>
      <w:pPr>
        <w:spacing w:line="272" w:lineRule="exact" w:before="26"/>
        <w:ind w:left="570" w:right="227" w:hanging="43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）销售和市场拓展方面：</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报告期内，公司的销售收入较去年同期有所增长，一方面是受益于国家有关网络安全方面的</w:t>
      </w:r>
    </w:p>
    <w:p>
      <w:pPr>
        <w:pStyle w:val="BodyText"/>
        <w:spacing w:line="272" w:lineRule="exact" w:before="1"/>
        <w:ind w:left="138" w:right="227"/>
        <w:jc w:val="left"/>
      </w:pPr>
      <w:r>
        <w:rPr>
          <w:spacing w:val="-1"/>
        </w:rPr>
        <w:t>政策颁布与实施，促进了安全行业的发展和需求的增加；另一方面，公司积极推进“行业与区域</w:t>
      </w:r>
      <w:r>
        <w:rPr>
          <w:spacing w:val="-55"/>
        </w:rPr>
        <w:t> </w:t>
      </w:r>
      <w:r>
        <w:rPr>
          <w:spacing w:val="-55"/>
        </w:rPr>
      </w:r>
      <w:r>
        <w:rPr>
          <w:spacing w:val="-1"/>
        </w:rPr>
        <w:t>协同发展”的营销战略，以国家信息安全等级保护和分级保护政策为导向，深入开展面向国家部</w:t>
      </w:r>
    </w:p>
    <w:p>
      <w:pPr>
        <w:pStyle w:val="BodyText"/>
        <w:spacing w:line="272" w:lineRule="exact" w:before="1"/>
        <w:ind w:left="138" w:right="227"/>
        <w:jc w:val="left"/>
      </w:pPr>
      <w:r>
        <w:rPr>
          <w:spacing w:val="-1"/>
        </w:rPr>
        <w:t>委和行业总部机关的总部营销战略，持续推进覆盖全国的区域营销体系建设；进一步推进以“行</w:t>
      </w:r>
      <w:r>
        <w:rPr>
          <w:spacing w:val="-55"/>
        </w:rPr>
        <w:t> </w:t>
      </w:r>
      <w:r>
        <w:rPr>
          <w:spacing w:val="-55"/>
        </w:rPr>
      </w:r>
      <w:r>
        <w:rPr>
          <w:spacing w:val="-1"/>
        </w:rPr>
        <w:t>业服务专业化”和“区域服务本地化”相结合的客户服务体系建设。上述原因促进了本报告期的</w:t>
      </w:r>
    </w:p>
    <w:p>
      <w:pPr>
        <w:pStyle w:val="BodyText"/>
        <w:spacing w:line="247" w:lineRule="exact"/>
        <w:ind w:left="138" w:right="2465"/>
        <w:jc w:val="left"/>
      </w:pPr>
      <w:r>
        <w:rPr/>
        <w:t>营业收入增长。</w:t>
      </w:r>
    </w:p>
    <w:p>
      <w:pPr>
        <w:pStyle w:val="BodyText"/>
        <w:spacing w:line="237" w:lineRule="auto"/>
        <w:ind w:left="138" w:right="307" w:firstLine="431"/>
        <w:jc w:val="both"/>
      </w:pP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月《网络安全法》颁布，</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2"/>
        </w:rPr>
        <w:t> </w:t>
      </w:r>
      <w:r>
        <w:rPr/>
        <w:t>月《网络安全法》正式实施，期间相关安全方</w:t>
      </w:r>
      <w:r>
        <w:rPr>
          <w:w w:val="100"/>
        </w:rPr>
        <w:t> </w:t>
      </w:r>
      <w:r>
        <w:rPr>
          <w:spacing w:val="-1"/>
        </w:rPr>
        <w:t>面工作的持续推进对我国网络安全的各个方面产生积极而深远的影响，促进了我国在云安全、大</w:t>
      </w:r>
      <w:r>
        <w:rPr>
          <w:spacing w:val="-54"/>
        </w:rPr>
        <w:t> </w:t>
      </w:r>
      <w:r>
        <w:rPr>
          <w:spacing w:val="-54"/>
        </w:rPr>
      </w:r>
      <w:r>
        <w:rPr>
          <w:spacing w:val="-1"/>
        </w:rPr>
        <w:t>数据安全、物联网安全以及移动互联网安全等方面的需求扩大。公司受益于网络安全行业方面的</w:t>
      </w:r>
      <w:r>
        <w:rPr>
          <w:spacing w:val="-55"/>
        </w:rPr>
        <w:t> </w:t>
      </w:r>
      <w:r>
        <w:rPr>
          <w:spacing w:val="-55"/>
        </w:rPr>
      </w:r>
      <w:r>
        <w:rPr/>
        <w:t>政策利好，销售规模有所扩大。</w:t>
      </w:r>
    </w:p>
    <w:p>
      <w:pPr>
        <w:pStyle w:val="BodyText"/>
        <w:spacing w:line="230" w:lineRule="auto" w:before="9"/>
        <w:ind w:left="138" w:right="310" w:firstLine="431"/>
        <w:jc w:val="both"/>
      </w:pPr>
      <w:r>
        <w:rPr>
          <w:spacing w:val="-7"/>
          <w:w w:val="100"/>
        </w:rPr>
        <w:t>此外，在安全行业业务发展呈现高增长态势下，公司在报告期内除了继续深耕传统市场之外，</w:t>
      </w:r>
      <w:r>
        <w:rPr>
          <w:w w:val="100"/>
        </w:rPr>
        <w:t> </w:t>
      </w:r>
      <w:r>
        <w:rPr/>
        <w:t>结合互联网</w:t>
      </w:r>
      <w:r>
        <w:rPr>
          <w:rFonts w:ascii="Times New Roman" w:hAnsi="Times New Roman" w:cs="Times New Roman" w:eastAsia="Times New Roman" w:hint="default"/>
        </w:rPr>
        <w:t>+</w:t>
      </w:r>
      <w:r>
        <w:rPr/>
        <w:t>电子政务的业务推广，推进政务、军工等领域的安全项目，进一步深化行业纵深与</w:t>
      </w:r>
      <w:r>
        <w:rPr>
          <w:spacing w:val="-6"/>
        </w:rPr>
        <w:t> </w:t>
      </w:r>
      <w:r>
        <w:rPr>
          <w:spacing w:val="-6"/>
        </w:rPr>
      </w:r>
      <w:r>
        <w:rPr/>
        <w:t>区域结合，拓展业务范围。</w:t>
      </w:r>
    </w:p>
    <w:p>
      <w:pPr>
        <w:spacing w:line="240" w:lineRule="auto" w:before="12"/>
        <w:rPr>
          <w:rFonts w:ascii="宋体" w:hAnsi="宋体" w:cs="宋体" w:eastAsia="宋体" w:hint="default"/>
          <w:sz w:val="18"/>
          <w:szCs w:val="18"/>
        </w:rPr>
      </w:pPr>
    </w:p>
    <w:p>
      <w:pPr>
        <w:pStyle w:val="BodyText"/>
        <w:spacing w:line="232" w:lineRule="auto"/>
        <w:ind w:left="138" w:right="227"/>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）产品和技术研发方面</w:t>
      </w:r>
      <w:r>
        <w:rPr>
          <w:rFonts w:ascii="Times New Roman" w:hAnsi="Times New Roman" w:cs="Times New Roman" w:eastAsia="Times New Roman" w:hint="default"/>
          <w:b/>
          <w:bCs/>
        </w:rPr>
        <w:t>:</w:t>
      </w:r>
      <w:r>
        <w:rPr>
          <w:rFonts w:ascii="Times New Roman" w:hAnsi="Times New Roman" w:cs="Times New Roman" w:eastAsia="Times New Roman" w:hint="default"/>
          <w:b/>
          <w:bCs/>
          <w:w w:val="100"/>
        </w:rPr>
        <w:t> </w:t>
      </w:r>
      <w:r>
        <w:rPr>
          <w:spacing w:val="-1"/>
        </w:rPr>
        <w:t>公司所处的信息安全行业属于技术与知识密集型行业，产品升级换代周期较短，对研发能力和自</w:t>
      </w:r>
      <w:r>
        <w:rPr>
          <w:spacing w:val="-55"/>
        </w:rPr>
        <w:t> </w:t>
      </w:r>
      <w:r>
        <w:rPr>
          <w:spacing w:val="-55"/>
        </w:rPr>
      </w:r>
      <w:r>
        <w:rPr>
          <w:spacing w:val="-1"/>
        </w:rPr>
        <w:t>主创新能力要求较高。为维持公司的技术领先优势，提升产品竞争力，公司在报告期内持续加大</w:t>
      </w:r>
      <w:r>
        <w:rPr>
          <w:spacing w:val="-55"/>
        </w:rPr>
        <w:t> </w:t>
      </w:r>
      <w:r>
        <w:rPr>
          <w:spacing w:val="-55"/>
        </w:rPr>
      </w:r>
      <w:r>
        <w:rPr>
          <w:spacing w:val="-2"/>
        </w:rPr>
        <w:t>研发投入，用于新技术与新产品开发，增强公司的核心竞争力，不断提升公司的科技创新能力。</w:t>
      </w:r>
    </w:p>
    <w:p>
      <w:pPr>
        <w:pStyle w:val="BodyText"/>
        <w:spacing w:line="237" w:lineRule="auto" w:before="2"/>
        <w:ind w:left="138" w:right="65" w:firstLine="475"/>
        <w:jc w:val="left"/>
      </w:pPr>
      <w:r>
        <w:rPr>
          <w:spacing w:val="-2"/>
        </w:rPr>
        <w:t>报告期内</w:t>
      </w:r>
      <w:r>
        <w:rPr>
          <w:rFonts w:ascii="宋体" w:hAnsi="宋体" w:cs="宋体" w:eastAsia="宋体" w:hint="default"/>
          <w:spacing w:val="-2"/>
        </w:rPr>
        <w:t>,</w:t>
      </w:r>
      <w:r>
        <w:rPr>
          <w:spacing w:val="-2"/>
        </w:rPr>
        <w:t>陆续投入约</w:t>
      </w:r>
      <w:r>
        <w:rPr>
          <w:spacing w:val="-47"/>
        </w:rPr>
        <w:t> </w:t>
      </w:r>
      <w:r>
        <w:rPr>
          <w:rFonts w:ascii="宋体" w:hAnsi="宋体" w:cs="宋体" w:eastAsia="宋体" w:hint="default"/>
          <w:spacing w:val="-1"/>
        </w:rPr>
        <w:t>4057.15</w:t>
      </w:r>
      <w:r>
        <w:rPr>
          <w:rFonts w:ascii="宋体" w:hAnsi="宋体" w:cs="宋体" w:eastAsia="宋体" w:hint="default"/>
          <w:spacing w:val="-47"/>
        </w:rPr>
        <w:t> </w:t>
      </w:r>
      <w:r>
        <w:rPr>
          <w:spacing w:val="-2"/>
        </w:rPr>
        <w:t>万元的研发费用</w:t>
      </w:r>
      <w:r>
        <w:rPr>
          <w:rFonts w:ascii="宋体" w:hAnsi="宋体" w:cs="宋体" w:eastAsia="宋体" w:hint="default"/>
          <w:spacing w:val="-2"/>
        </w:rPr>
        <w:t>,</w:t>
      </w:r>
      <w:r>
        <w:rPr>
          <w:spacing w:val="-2"/>
        </w:rPr>
        <w:t>用于研发和进一步优化现有产品的技术架构，</w:t>
      </w:r>
      <w:r>
        <w:rPr>
          <w:w w:val="100"/>
        </w:rPr>
        <w:t> </w:t>
      </w:r>
      <w:r>
        <w:rPr/>
        <w:t>拓宽产品用途，同时研究和创新网络信息技术和信息安全发展的前沿技术，定位公司的技术研究</w:t>
      </w:r>
      <w:r>
        <w:rPr>
          <w:spacing w:val="-97"/>
        </w:rPr>
        <w:t> </w:t>
      </w:r>
      <w:r>
        <w:rPr>
          <w:spacing w:val="-97"/>
        </w:rPr>
      </w:r>
      <w:r>
        <w:rPr/>
        <w:t>发展方向。主要研究了以下技术：开展了</w:t>
      </w:r>
      <w:r>
        <w:rPr>
          <w:spacing w:val="-48"/>
        </w:rPr>
        <w:t> </w:t>
      </w:r>
      <w:r>
        <w:rPr>
          <w:rFonts w:ascii="宋体" w:hAnsi="宋体" w:cs="宋体" w:eastAsia="宋体" w:hint="default"/>
        </w:rPr>
        <w:t>PKI</w:t>
      </w:r>
      <w:r>
        <w:rPr>
          <w:rFonts w:ascii="宋体" w:hAnsi="宋体" w:cs="宋体" w:eastAsia="宋体" w:hint="default"/>
          <w:spacing w:val="-50"/>
        </w:rPr>
        <w:t> </w:t>
      </w:r>
      <w:r>
        <w:rPr/>
        <w:t>系统基于分布式技术的架构扩容，升级为可支撑亿</w:t>
      </w:r>
      <w:r>
        <w:rPr>
          <w:w w:val="100"/>
        </w:rPr>
        <w:t> </w:t>
      </w:r>
      <w:r>
        <w:rPr>
          <w:spacing w:val="-11"/>
          <w:w w:val="100"/>
        </w:rPr>
        <w:t>级海量整数的高并发、高容量系统，为面向开展物联网应用奠定基础；证书综合服务系统（</w:t>
      </w:r>
      <w:r>
        <w:rPr>
          <w:rFonts w:ascii="宋体" w:hAnsi="宋体" w:cs="宋体" w:eastAsia="宋体" w:hint="default"/>
          <w:spacing w:val="-11"/>
          <w:w w:val="100"/>
        </w:rPr>
        <w:t>CDS</w:t>
      </w:r>
      <w:r>
        <w:rPr>
          <w:spacing w:val="-11"/>
          <w:w w:val="100"/>
        </w:rPr>
        <w:t>），</w:t>
      </w:r>
      <w:r>
        <w:rPr>
          <w:spacing w:val="-81"/>
          <w:w w:val="100"/>
        </w:rPr>
        <w:t> </w:t>
      </w:r>
      <w:r>
        <w:rPr/>
        <w:t>解决相关行业在移动互联网等领域的身份安全及空中发证问题；通用级 </w:t>
      </w:r>
      <w:r>
        <w:rPr>
          <w:rFonts w:ascii="宋体" w:hAnsi="宋体" w:cs="宋体" w:eastAsia="宋体" w:hint="default"/>
        </w:rPr>
        <w:t>CBB</w:t>
      </w:r>
      <w:r>
        <w:rPr/>
        <w:t>（安全密码中间件基</w:t>
      </w:r>
      <w:r>
        <w:rPr>
          <w:spacing w:val="-97"/>
        </w:rPr>
        <w:t> </w:t>
      </w:r>
      <w:r>
        <w:rPr>
          <w:spacing w:val="-97"/>
        </w:rPr>
      </w:r>
      <w:r>
        <w:rPr/>
        <w:t>础组件）研发；视频安全网关开发；产品云化研究与尝试；身份管控系统；智能网联汽车的安全</w:t>
      </w:r>
      <w:r>
        <w:rPr>
          <w:spacing w:val="-97"/>
        </w:rPr>
        <w:t> </w:t>
      </w:r>
      <w:r>
        <w:rPr>
          <w:spacing w:val="-97"/>
        </w:rPr>
      </w:r>
      <w:r>
        <w:rPr/>
        <w:t>研究；应用产品升级；在</w:t>
      </w:r>
      <w:r>
        <w:rPr>
          <w:spacing w:val="-55"/>
        </w:rPr>
        <w:t> </w:t>
      </w:r>
      <w:r>
        <w:rPr>
          <w:rFonts w:ascii="宋体" w:hAnsi="宋体" w:cs="宋体" w:eastAsia="宋体" w:hint="default"/>
        </w:rPr>
        <w:t>SM9</w:t>
      </w:r>
      <w:r>
        <w:rPr>
          <w:rFonts w:ascii="宋体" w:hAnsi="宋体" w:cs="宋体" w:eastAsia="宋体" w:hint="default"/>
          <w:spacing w:val="-53"/>
        </w:rPr>
        <w:t> </w:t>
      </w:r>
      <w:r>
        <w:rPr/>
        <w:t>算法、</w:t>
      </w:r>
      <w:r>
        <w:rPr>
          <w:rFonts w:ascii="宋体" w:hAnsi="宋体" w:cs="宋体" w:eastAsia="宋体" w:hint="default"/>
        </w:rPr>
        <w:t>FIDO</w:t>
      </w:r>
      <w:r>
        <w:rPr>
          <w:rFonts w:ascii="宋体" w:hAnsi="宋体" w:cs="宋体" w:eastAsia="宋体" w:hint="default"/>
          <w:spacing w:val="-55"/>
        </w:rPr>
        <w:t> </w:t>
      </w:r>
      <w:r>
        <w:rPr/>
        <w:t>技术等方面进行了研究和探索等。</w:t>
      </w:r>
    </w:p>
    <w:p>
      <w:pPr>
        <w:pStyle w:val="BodyText"/>
        <w:spacing w:line="274" w:lineRule="exact" w:before="22"/>
        <w:ind w:left="138" w:right="308" w:firstLine="475"/>
        <w:jc w:val="both"/>
      </w:pPr>
      <w:r>
        <w:rPr>
          <w:spacing w:val="-3"/>
        </w:rPr>
        <w:t>上述重要研发项目的开展，有利于不断提升公司的技术水平，进一步丰富公司产品体系，对</w:t>
      </w:r>
      <w:r>
        <w:rPr>
          <w:w w:val="100"/>
        </w:rPr>
        <w:t> </w:t>
      </w:r>
      <w:r>
        <w:rPr/>
        <w:t>公司核心产品的规划、研发起到推动作用，能更好满足客户的需求，提升公司的核心竞争力。</w:t>
      </w:r>
    </w:p>
    <w:p>
      <w:pPr>
        <w:spacing w:line="240" w:lineRule="auto" w:before="9"/>
        <w:rPr>
          <w:rFonts w:ascii="宋体" w:hAnsi="宋体" w:cs="宋体" w:eastAsia="宋体" w:hint="default"/>
          <w:sz w:val="18"/>
          <w:szCs w:val="18"/>
        </w:rPr>
      </w:pPr>
    </w:p>
    <w:p>
      <w:pPr>
        <w:pStyle w:val="Heading2"/>
        <w:spacing w:line="281" w:lineRule="exact"/>
        <w:ind w:left="138" w:right="2465"/>
        <w:jc w:val="left"/>
        <w:rPr>
          <w:b w:val="0"/>
          <w:bCs w:val="0"/>
        </w:rPr>
      </w:pPr>
      <w:r>
        <w:rPr/>
        <w:t>（</w:t>
      </w:r>
      <w:r>
        <w:rPr>
          <w:rFonts w:ascii="Times New Roman" w:hAnsi="Times New Roman" w:cs="Times New Roman" w:eastAsia="Times New Roman" w:hint="default"/>
        </w:rPr>
        <w:t>3</w:t>
      </w:r>
      <w:r>
        <w:rPr/>
        <w:t>）服务拓展与质量提升：</w:t>
      </w:r>
      <w:r>
        <w:rPr>
          <w:b w:val="0"/>
          <w:bCs w:val="0"/>
        </w:rPr>
      </w:r>
    </w:p>
    <w:p>
      <w:pPr>
        <w:pStyle w:val="BodyText"/>
        <w:spacing w:line="237" w:lineRule="auto"/>
        <w:ind w:left="138" w:right="307" w:firstLine="424"/>
        <w:jc w:val="both"/>
      </w:pPr>
      <w:r>
        <w:rPr/>
        <w:t>优质的服务是公司长期发展的根本，公司为用户提供基于</w:t>
      </w:r>
      <w:r>
        <w:rPr>
          <w:spacing w:val="-52"/>
        </w:rPr>
        <w:t> </w:t>
      </w:r>
      <w:r>
        <w:rPr>
          <w:rFonts w:ascii="宋体" w:hAnsi="宋体" w:cs="宋体" w:eastAsia="宋体" w:hint="default"/>
        </w:rPr>
        <w:t>PKI</w:t>
      </w:r>
      <w:r>
        <w:rPr>
          <w:rFonts w:ascii="宋体" w:hAnsi="宋体" w:cs="宋体" w:eastAsia="宋体" w:hint="default"/>
          <w:spacing w:val="-52"/>
        </w:rPr>
        <w:t> </w:t>
      </w:r>
      <w:r>
        <w:rPr/>
        <w:t>的信息安全系列产品、安全服</w:t>
      </w:r>
      <w:r>
        <w:rPr>
          <w:w w:val="100"/>
        </w:rPr>
        <w:t> </w:t>
      </w:r>
      <w:r>
        <w:rPr>
          <w:spacing w:val="-1"/>
        </w:rPr>
        <w:t>务和信息安全整体解决方案，产品的质量和服务的品质是保证客户粘度的重中之重，也是公司成</w:t>
      </w:r>
      <w:r>
        <w:rPr>
          <w:spacing w:val="-55"/>
        </w:rPr>
        <w:t> </w:t>
      </w:r>
      <w:r>
        <w:rPr>
          <w:spacing w:val="-55"/>
        </w:rPr>
      </w:r>
      <w:r>
        <w:rPr>
          <w:spacing w:val="-3"/>
        </w:rPr>
        <w:t>立以来一直关注的重点。</w:t>
      </w:r>
      <w:r>
        <w:rPr>
          <w:rFonts w:ascii="宋体" w:hAnsi="宋体" w:cs="宋体" w:eastAsia="宋体" w:hint="default"/>
          <w:spacing w:val="-3"/>
        </w:rPr>
        <w:t>2017 </w:t>
      </w:r>
      <w:r>
        <w:rPr>
          <w:spacing w:val="-3"/>
        </w:rPr>
        <w:t>年公司继续加强对产品质量管理的建设，报告期内未发生重大质量</w:t>
      </w:r>
      <w:r>
        <w:rPr>
          <w:spacing w:val="-73"/>
        </w:rPr>
        <w:t> </w:t>
      </w:r>
      <w:r>
        <w:rPr>
          <w:spacing w:val="-73"/>
        </w:rPr>
      </w:r>
      <w:r>
        <w:rPr>
          <w:spacing w:val="-1"/>
        </w:rPr>
        <w:t>事故，完成产品的交付任务，达到公司质量管理的目标。同时，公司完善相关制度建设，搭建服</w:t>
      </w:r>
      <w:r>
        <w:rPr>
          <w:spacing w:val="-55"/>
        </w:rPr>
        <w:t> </w:t>
      </w:r>
      <w:r>
        <w:rPr>
          <w:spacing w:val="-55"/>
        </w:rPr>
      </w:r>
      <w:r>
        <w:rPr/>
        <w:t>务平台，努力提高自身服务水平。</w:t>
      </w:r>
    </w:p>
    <w:p>
      <w:pPr>
        <w:spacing w:line="240" w:lineRule="auto" w:before="10"/>
        <w:rPr>
          <w:rFonts w:ascii="宋体" w:hAnsi="宋体" w:cs="宋体" w:eastAsia="宋体" w:hint="default"/>
          <w:sz w:val="22"/>
          <w:szCs w:val="22"/>
        </w:rPr>
      </w:pPr>
    </w:p>
    <w:p>
      <w:pPr>
        <w:spacing w:line="272" w:lineRule="exact" w:before="0"/>
        <w:ind w:left="558" w:right="227"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）人才培养方面：</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报告期内，公司进一步提高人力资源管理手段及水平，通过优化人力资源管理体系，建立更</w:t>
      </w:r>
    </w:p>
    <w:p>
      <w:pPr>
        <w:pStyle w:val="BodyText"/>
        <w:spacing w:line="272" w:lineRule="exact" w:before="1"/>
        <w:ind w:left="138" w:right="227"/>
        <w:jc w:val="left"/>
      </w:pPr>
      <w:r>
        <w:rPr>
          <w:spacing w:val="-1"/>
        </w:rPr>
        <w:t>加科学、有效的人力资源管理模式，规范现行绩效管理体系，优化现行绩效管理方式，以保证公</w:t>
      </w:r>
      <w:r>
        <w:rPr>
          <w:spacing w:val="-55"/>
        </w:rPr>
        <w:t> </w:t>
      </w:r>
      <w:r>
        <w:rPr>
          <w:spacing w:val="-55"/>
        </w:rPr>
      </w:r>
      <w:r>
        <w:rPr>
          <w:spacing w:val="-1"/>
        </w:rPr>
        <w:t>司可持续发展的需要。公司通过外部引进、内部培养，逐步优化人才智力结构专业结构，保持动</w:t>
      </w:r>
    </w:p>
    <w:p>
      <w:pPr>
        <w:pStyle w:val="BodyText"/>
        <w:spacing w:line="249" w:lineRule="exact"/>
        <w:ind w:left="138" w:right="227"/>
        <w:jc w:val="left"/>
      </w:pPr>
      <w:r>
        <w:rPr/>
        <w:t>态的稳定。重点加强内部的人才培养，改善员工的知识结构，逐步建立起企业快速发展所需要的</w:t>
      </w:r>
    </w:p>
    <w:p>
      <w:pPr>
        <w:spacing w:after="0" w:line="249" w:lineRule="exact"/>
        <w:jc w:val="left"/>
        <w:sectPr>
          <w:pgSz w:w="11910" w:h="16840"/>
          <w:pgMar w:header="880" w:footer="1195" w:top="1120" w:bottom="1380" w:left="1660" w:right="960"/>
        </w:sectPr>
      </w:pPr>
    </w:p>
    <w:p>
      <w:pPr>
        <w:spacing w:line="240" w:lineRule="auto" w:before="4"/>
        <w:rPr>
          <w:rFonts w:ascii="宋体" w:hAnsi="宋体" w:cs="宋体" w:eastAsia="宋体" w:hint="default"/>
          <w:sz w:val="25"/>
          <w:szCs w:val="25"/>
        </w:rPr>
      </w:pPr>
    </w:p>
    <w:p>
      <w:pPr>
        <w:pStyle w:val="BodyText"/>
        <w:spacing w:line="240" w:lineRule="auto" w:before="36"/>
        <w:ind w:right="0"/>
        <w:jc w:val="both"/>
      </w:pPr>
      <w:r>
        <w:rPr/>
        <w:t>人才梯队。截止报告期末公司总员工人数为</w:t>
      </w:r>
      <w:r>
        <w:rPr>
          <w:spacing w:val="-54"/>
        </w:rPr>
        <w:t> </w:t>
      </w:r>
      <w:r>
        <w:rPr>
          <w:rFonts w:ascii="Times New Roman" w:hAnsi="Times New Roman" w:cs="Times New Roman" w:eastAsia="Times New Roman" w:hint="default"/>
        </w:rPr>
        <w:t>370</w:t>
      </w:r>
      <w:r>
        <w:rPr>
          <w:rFonts w:ascii="Times New Roman" w:hAnsi="Times New Roman" w:cs="Times New Roman" w:eastAsia="Times New Roman" w:hint="default"/>
          <w:spacing w:val="-1"/>
        </w:rPr>
        <w:t> </w:t>
      </w:r>
      <w:r>
        <w:rPr/>
        <w:t>人，较上年期末员工人数净增加</w:t>
      </w:r>
      <w:r>
        <w:rPr>
          <w:spacing w:val="-53"/>
        </w:rPr>
        <w:t> </w:t>
      </w:r>
      <w:r>
        <w:rPr>
          <w:rFonts w:ascii="Times New Roman" w:hAnsi="Times New Roman" w:cs="Times New Roman" w:eastAsia="Times New Roman" w:hint="default"/>
        </w:rPr>
        <w:t>63</w:t>
      </w:r>
      <w:r>
        <w:rPr>
          <w:rFonts w:ascii="Times New Roman" w:hAnsi="Times New Roman" w:cs="Times New Roman" w:eastAsia="Times New Roman" w:hint="default"/>
          <w:spacing w:val="-1"/>
        </w:rPr>
        <w:t> </w:t>
      </w:r>
      <w:r>
        <w:rPr>
          <w:spacing w:val="-3"/>
        </w:rPr>
        <w:t>人。</w:t>
      </w:r>
      <w:r>
        <w:rPr/>
      </w:r>
    </w:p>
    <w:p>
      <w:pPr>
        <w:spacing w:line="240" w:lineRule="auto" w:before="4"/>
        <w:rPr>
          <w:rFonts w:ascii="宋体" w:hAnsi="宋体" w:cs="宋体" w:eastAsia="宋体" w:hint="default"/>
          <w:sz w:val="19"/>
          <w:szCs w:val="19"/>
        </w:rPr>
      </w:pPr>
    </w:p>
    <w:p>
      <w:pPr>
        <w:spacing w:line="272" w:lineRule="exact" w:before="0"/>
        <w:ind w:left="638" w:right="22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）企业文化和党建工作方面：</w:t>
      </w:r>
      <w:r>
        <w:rPr>
          <w:rFonts w:ascii="宋体" w:hAnsi="宋体" w:cs="宋体" w:eastAsia="宋体" w:hint="default"/>
          <w:b/>
          <w:bCs/>
          <w:w w:val="100"/>
          <w:sz w:val="21"/>
          <w:szCs w:val="21"/>
        </w:rPr>
        <w:t> </w:t>
      </w:r>
      <w:r>
        <w:rPr>
          <w:rFonts w:ascii="宋体" w:hAnsi="宋体" w:cs="宋体" w:eastAsia="宋体" w:hint="default"/>
          <w:spacing w:val="-3"/>
          <w:sz w:val="21"/>
          <w:szCs w:val="21"/>
        </w:rPr>
        <w:t>公司发挥党支部和工会在企业文化建设、传递正能量中的重要作用。</w:t>
      </w:r>
      <w:r>
        <w:rPr>
          <w:rFonts w:ascii="Times New Roman" w:hAnsi="Times New Roman" w:cs="Times New Roman" w:eastAsia="Times New Roman" w:hint="default"/>
          <w:spacing w:val="-3"/>
          <w:sz w:val="21"/>
          <w:szCs w:val="21"/>
        </w:rPr>
        <w:t>2017 </w:t>
      </w:r>
      <w:r>
        <w:rPr>
          <w:rFonts w:ascii="Times New Roman" w:hAnsi="Times New Roman" w:cs="Times New Roman" w:eastAsia="Times New Roman" w:hint="default"/>
          <w:spacing w:val="34"/>
          <w:sz w:val="21"/>
          <w:szCs w:val="21"/>
        </w:rPr>
        <w:t> </w:t>
      </w:r>
      <w:r>
        <w:rPr>
          <w:rFonts w:ascii="宋体" w:hAnsi="宋体" w:cs="宋体" w:eastAsia="宋体" w:hint="default"/>
          <w:spacing w:val="-4"/>
          <w:sz w:val="21"/>
          <w:szCs w:val="21"/>
        </w:rPr>
        <w:t>年，格尔软件党支</w:t>
      </w:r>
    </w:p>
    <w:p>
      <w:pPr>
        <w:pStyle w:val="BodyText"/>
        <w:spacing w:line="246" w:lineRule="exact"/>
        <w:ind w:right="0"/>
        <w:jc w:val="both"/>
      </w:pPr>
      <w:r>
        <w:rPr/>
        <w:t>部继续加强党员队伍建设，充分发挥党员的先锋模范作用，在工作和生活中积极主动，各党支部</w:t>
      </w:r>
    </w:p>
    <w:p>
      <w:pPr>
        <w:pStyle w:val="BodyText"/>
        <w:spacing w:line="272" w:lineRule="exact" w:before="27"/>
        <w:ind w:right="228"/>
        <w:jc w:val="both"/>
      </w:pPr>
      <w:r>
        <w:rPr>
          <w:spacing w:val="-6"/>
        </w:rPr>
        <w:t>成员以党员的标准严格要求自己，协助公司开展各项经营活动。同时，积极开展多样的文体活动，</w:t>
      </w:r>
      <w:r>
        <w:rPr>
          <w:spacing w:val="-54"/>
        </w:rPr>
        <w:t> </w:t>
      </w:r>
      <w:r>
        <w:rPr>
          <w:spacing w:val="-54"/>
        </w:rPr>
      </w:r>
      <w:r>
        <w:rPr/>
        <w:t>丰富员工业余文化生活，增强企业的凝聚力和战斗力，有效促进企业发展。</w:t>
      </w:r>
    </w:p>
    <w:p>
      <w:pPr>
        <w:spacing w:line="240" w:lineRule="auto" w:before="7"/>
        <w:rPr>
          <w:rFonts w:ascii="宋体" w:hAnsi="宋体" w:cs="宋体" w:eastAsia="宋体" w:hint="default"/>
          <w:sz w:val="16"/>
          <w:szCs w:val="16"/>
        </w:rPr>
      </w:pPr>
    </w:p>
    <w:p>
      <w:pPr>
        <w:pStyle w:val="Heading2"/>
        <w:spacing w:line="281" w:lineRule="exact"/>
        <w:ind w:right="0"/>
        <w:jc w:val="both"/>
        <w:rPr>
          <w:b w:val="0"/>
          <w:bCs w:val="0"/>
        </w:rPr>
      </w:pPr>
      <w:r>
        <w:rPr/>
        <w:t>（</w:t>
      </w:r>
      <w:r>
        <w:rPr>
          <w:rFonts w:ascii="Times New Roman" w:hAnsi="Times New Roman" w:cs="Times New Roman" w:eastAsia="Times New Roman" w:hint="default"/>
        </w:rPr>
        <w:t>6</w:t>
      </w:r>
      <w:r>
        <w:rPr/>
        <w:t>）公司治理方面：</w:t>
      </w:r>
      <w:r>
        <w:rPr>
          <w:b w:val="0"/>
          <w:bCs w:val="0"/>
        </w:rPr>
      </w:r>
    </w:p>
    <w:p>
      <w:pPr>
        <w:pStyle w:val="BodyText"/>
        <w:spacing w:line="230" w:lineRule="auto"/>
        <w:ind w:right="228" w:firstLine="376"/>
        <w:jc w:val="both"/>
        <w:rPr>
          <w:rFonts w:ascii="Times New Roman" w:hAnsi="Times New Roman" w:cs="Times New Roman" w:eastAsia="Times New Roman" w:hint="default"/>
        </w:rPr>
      </w:pPr>
      <w:r>
        <w:rPr/>
        <w:t>报告期内，经证监会核准，公司获准发行股票，并于</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21</w:t>
      </w:r>
      <w:r>
        <w:rPr>
          <w:rFonts w:ascii="Times New Roman" w:hAnsi="Times New Roman" w:cs="Times New Roman" w:eastAsia="Times New Roman" w:hint="default"/>
          <w:spacing w:val="6"/>
        </w:rPr>
        <w:t> </w:t>
      </w:r>
      <w:r>
        <w:rPr/>
        <w:t>日在上海证券交易所上</w:t>
      </w:r>
      <w:r>
        <w:rPr>
          <w:w w:val="100"/>
        </w:rPr>
        <w:t> </w:t>
      </w:r>
      <w:r>
        <w:rPr>
          <w:spacing w:val="-1"/>
        </w:rPr>
        <w:t>市。公司以此为契机，继续开展公司治理工作，不断完善公司法人治理结构。按照《上市公司治</w:t>
      </w:r>
      <w:r>
        <w:rPr>
          <w:spacing w:val="-55"/>
        </w:rPr>
        <w:t> </w:t>
      </w:r>
      <w:r>
        <w:rPr>
          <w:spacing w:val="-55"/>
        </w:rPr>
      </w:r>
      <w:r>
        <w:rPr>
          <w:spacing w:val="-4"/>
        </w:rPr>
        <w:t>理准则》及相关法律、法规的要求，公司在本报告期内累计召开了 </w:t>
      </w:r>
      <w:r>
        <w:rPr>
          <w:rFonts w:ascii="Times New Roman" w:hAnsi="Times New Roman" w:cs="Times New Roman" w:eastAsia="Times New Roman" w:hint="default"/>
        </w:rPr>
        <w:t>5 </w:t>
      </w:r>
      <w:r>
        <w:rPr>
          <w:spacing w:val="-5"/>
        </w:rPr>
        <w:t>次董事会，</w:t>
      </w:r>
      <w:r>
        <w:rPr>
          <w:rFonts w:ascii="Times New Roman" w:hAnsi="Times New Roman" w:cs="Times New Roman" w:eastAsia="Times New Roman" w:hint="default"/>
          <w:spacing w:val="-5"/>
        </w:rPr>
        <w:t>5 </w:t>
      </w:r>
      <w:r>
        <w:rPr/>
        <w:t>次监事会以及</w:t>
      </w:r>
      <w:r>
        <w:rPr>
          <w:spacing w:val="-52"/>
        </w:rPr>
        <w:t> </w:t>
      </w:r>
      <w:r>
        <w:rPr>
          <w:rFonts w:ascii="Times New Roman" w:hAnsi="Times New Roman" w:cs="Times New Roman" w:eastAsia="Times New Roman" w:hint="default"/>
        </w:rPr>
        <w:t>2</w:t>
      </w:r>
    </w:p>
    <w:p>
      <w:pPr>
        <w:pStyle w:val="BodyText"/>
        <w:spacing w:line="230" w:lineRule="auto"/>
        <w:ind w:right="228"/>
        <w:jc w:val="both"/>
      </w:pPr>
      <w:r>
        <w:rPr/>
        <w:t>次股东大会。根据证监会和上交所的法律规章，公司修订和制定了有关法人治理制度，总计 </w:t>
      </w:r>
      <w:r>
        <w:rPr>
          <w:rFonts w:ascii="Times New Roman" w:hAnsi="Times New Roman" w:cs="Times New Roman" w:eastAsia="Times New Roman" w:hint="default"/>
        </w:rPr>
        <w:t>28</w:t>
      </w:r>
      <w:r>
        <w:rPr>
          <w:rFonts w:ascii="Times New Roman" w:hAnsi="Times New Roman" w:cs="Times New Roman" w:eastAsia="Times New Roman" w:hint="default"/>
          <w:spacing w:val="-45"/>
        </w:rPr>
        <w:t> </w:t>
      </w:r>
      <w:r>
        <w:rPr>
          <w:rFonts w:ascii="Times New Roman" w:hAnsi="Times New Roman" w:cs="Times New Roman" w:eastAsia="Times New Roman" w:hint="default"/>
          <w:spacing w:val="-45"/>
        </w:rPr>
      </w:r>
      <w:r>
        <w:rPr>
          <w:spacing w:val="-1"/>
        </w:rPr>
        <w:t>项，并在上海证券交易所网站进行了报备。公司将通过完善管理制度、提高信息披露质量，不断</w:t>
      </w:r>
      <w:r>
        <w:rPr>
          <w:spacing w:val="-55"/>
        </w:rPr>
        <w:t> </w:t>
      </w:r>
      <w:r>
        <w:rPr>
          <w:spacing w:val="-55"/>
        </w:rPr>
      </w:r>
      <w:r>
        <w:rPr/>
        <w:t>提升公司规范运作水平。</w:t>
      </w:r>
    </w:p>
    <w:p>
      <w:pPr>
        <w:spacing w:line="240" w:lineRule="auto" w:before="4"/>
        <w:rPr>
          <w:rFonts w:ascii="宋体" w:hAnsi="宋体" w:cs="宋体" w:eastAsia="宋体" w:hint="default"/>
          <w:sz w:val="25"/>
          <w:szCs w:val="25"/>
        </w:rPr>
      </w:pPr>
    </w:p>
    <w:p>
      <w:pPr>
        <w:pStyle w:val="Heading2"/>
        <w:spacing w:line="240" w:lineRule="auto"/>
        <w:ind w:right="0"/>
        <w:jc w:val="both"/>
        <w:rPr>
          <w:b w:val="0"/>
          <w:bCs w:val="0"/>
        </w:rPr>
      </w:pPr>
      <w:r>
        <w:rPr/>
        <w:t>二、报告期内主要经营情况</w:t>
      </w:r>
      <w:r>
        <w:rPr>
          <w:b w:val="0"/>
          <w:bCs w:val="0"/>
        </w:rPr>
      </w:r>
    </w:p>
    <w:p>
      <w:pPr>
        <w:pStyle w:val="BodyText"/>
        <w:spacing w:line="237" w:lineRule="auto" w:before="61"/>
        <w:ind w:right="227"/>
        <w:jc w:val="both"/>
      </w:pPr>
      <w:r>
        <w:rPr>
          <w:spacing w:val="-9"/>
          <w:w w:val="100"/>
        </w:rPr>
        <w:t>本报告期内，公司实现营业收入</w:t>
      </w:r>
      <w:r>
        <w:rPr>
          <w:spacing w:val="-48"/>
          <w:w w:val="100"/>
        </w:rPr>
        <w:t> </w:t>
      </w:r>
      <w:r>
        <w:rPr>
          <w:rFonts w:ascii="宋体" w:hAnsi="宋体" w:cs="宋体" w:eastAsia="宋体" w:hint="default"/>
          <w:spacing w:val="-1"/>
          <w:w w:val="100"/>
        </w:rPr>
        <w:t>27,165.36</w:t>
      </w:r>
      <w:r>
        <w:rPr>
          <w:rFonts w:ascii="宋体" w:hAnsi="宋体" w:cs="宋体" w:eastAsia="宋体" w:hint="default"/>
          <w:spacing w:val="-52"/>
          <w:w w:val="100"/>
        </w:rPr>
        <w:t> </w:t>
      </w:r>
      <w:r>
        <w:rPr>
          <w:spacing w:val="-12"/>
          <w:w w:val="100"/>
        </w:rPr>
        <w:t>万元，较上年同期增长</w:t>
      </w:r>
      <w:r>
        <w:rPr>
          <w:spacing w:val="-49"/>
          <w:w w:val="100"/>
        </w:rPr>
        <w:t> </w:t>
      </w:r>
      <w:r>
        <w:rPr>
          <w:rFonts w:ascii="宋体" w:hAnsi="宋体" w:cs="宋体" w:eastAsia="宋体" w:hint="default"/>
          <w:spacing w:val="-9"/>
          <w:w w:val="100"/>
        </w:rPr>
        <w:t>17.06%</w:t>
      </w:r>
      <w:r>
        <w:rPr>
          <w:spacing w:val="-9"/>
          <w:w w:val="100"/>
        </w:rPr>
        <w:t>；实现利润总额</w:t>
      </w:r>
      <w:r>
        <w:rPr>
          <w:spacing w:val="-48"/>
          <w:w w:val="100"/>
        </w:rPr>
        <w:t> </w:t>
      </w:r>
      <w:r>
        <w:rPr>
          <w:rFonts w:ascii="宋体" w:hAnsi="宋体" w:cs="宋体" w:eastAsia="宋体" w:hint="default"/>
          <w:spacing w:val="-1"/>
          <w:w w:val="100"/>
        </w:rPr>
        <w:t>7,351.41</w:t>
      </w:r>
      <w:r>
        <w:rPr>
          <w:rFonts w:ascii="宋体" w:hAnsi="宋体" w:cs="宋体" w:eastAsia="宋体" w:hint="default"/>
          <w:w w:val="100"/>
        </w:rPr>
        <w:t> </w:t>
      </w:r>
      <w:r>
        <w:rPr/>
        <w:t>万元，较上年同期增长</w:t>
      </w:r>
      <w:r>
        <w:rPr>
          <w:spacing w:val="-32"/>
        </w:rPr>
        <w:t> </w:t>
      </w:r>
      <w:r>
        <w:rPr>
          <w:rFonts w:ascii="宋体" w:hAnsi="宋体" w:cs="宋体" w:eastAsia="宋体" w:hint="default"/>
        </w:rPr>
        <w:t>24.60%</w:t>
      </w:r>
      <w:r>
        <w:rPr/>
        <w:t>；实现归属上市公司股东净利润</w:t>
      </w:r>
      <w:r>
        <w:rPr>
          <w:spacing w:val="-35"/>
        </w:rPr>
        <w:t> </w:t>
      </w:r>
      <w:r>
        <w:rPr>
          <w:rFonts w:ascii="宋体" w:hAnsi="宋体" w:cs="宋体" w:eastAsia="宋体" w:hint="default"/>
        </w:rPr>
        <w:t>7,024.56</w:t>
      </w:r>
      <w:r>
        <w:rPr>
          <w:rFonts w:ascii="宋体" w:hAnsi="宋体" w:cs="宋体" w:eastAsia="宋体" w:hint="default"/>
          <w:spacing w:val="-35"/>
        </w:rPr>
        <w:t> </w:t>
      </w:r>
      <w:r>
        <w:rPr/>
        <w:t>万元，较上年同期增长</w:t>
      </w:r>
      <w:r>
        <w:rPr>
          <w:w w:val="100"/>
        </w:rPr>
        <w:t> </w:t>
      </w:r>
      <w:r>
        <w:rPr>
          <w:rFonts w:ascii="宋体" w:hAnsi="宋体" w:cs="宋体" w:eastAsia="宋体" w:hint="default"/>
        </w:rPr>
        <w:t>24.60%</w:t>
      </w:r>
      <w:r>
        <w:rPr/>
        <w:t>。</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2"/>
        <w:tabs>
          <w:tab w:pos="1057" w:val="left" w:leader="none"/>
        </w:tabs>
        <w:spacing w:line="240" w:lineRule="auto" w:before="36"/>
        <w:ind w:right="-17"/>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Heading2"/>
        <w:spacing w:line="240" w:lineRule="auto"/>
        <w:ind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39" w:val="left" w:leader="none"/>
        </w:tabs>
        <w:spacing w:line="240" w:lineRule="auto" w:before="178"/>
        <w:ind w:left="19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2326" w:space="377"/>
            <w:col w:w="4016" w:space="40"/>
            <w:col w:w="253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73"/>
        <w:gridCol w:w="1781"/>
        <w:gridCol w:w="1781"/>
        <w:gridCol w:w="2014"/>
      </w:tblGrid>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271,653,609.75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232,062,988.83</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17.06%</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108,458,165.97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101,188,592.23</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1"/>
                <w:sz w:val="21"/>
              </w:rPr>
              <w:t>7.18%</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20,471,124.30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15,952,020.64</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28.33%</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79,231,634.99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62,338,588.43</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27.10%</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-1,794,560.33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-140,731.70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1"/>
                <w:sz w:val="21"/>
              </w:rPr>
              <w:t>-1175.16%</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19,186,451.89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41,931,915.74</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-54.24%</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-257,420,823.77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-6,173,534.54</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-4069.75%</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205,556,451.60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-8,357,472.63</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2559.55%</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40,571,496.81</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23,993,492.11</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69.09%</w:t>
            </w:r>
          </w:p>
        </w:tc>
      </w:tr>
    </w:tbl>
    <w:p>
      <w:pPr>
        <w:pStyle w:val="BodyText"/>
        <w:spacing w:line="239" w:lineRule="exact"/>
        <w:ind w:right="2465"/>
        <w:jc w:val="left"/>
      </w:pPr>
      <w:r>
        <w:rPr/>
        <w:t>变动说明：</w:t>
      </w:r>
    </w:p>
    <w:p>
      <w:pPr>
        <w:pStyle w:val="BodyText"/>
        <w:spacing w:line="225" w:lineRule="auto" w:before="13"/>
        <w:ind w:right="227"/>
        <w:jc w:val="left"/>
      </w:pPr>
      <w:r>
        <w:rPr/>
        <w:t>销售费用变动原因说明：同比增长</w:t>
      </w:r>
      <w:r>
        <w:rPr>
          <w:spacing w:val="-55"/>
        </w:rPr>
        <w:t> </w:t>
      </w:r>
      <w:r>
        <w:rPr>
          <w:rFonts w:ascii="Times New Roman" w:hAnsi="Times New Roman" w:cs="Times New Roman" w:eastAsia="Times New Roman" w:hint="default"/>
        </w:rPr>
        <w:t>28.33%</w:t>
      </w:r>
      <w:r>
        <w:rPr/>
        <w:t>，主要原因系公司为拓展业务，增加营销费用所致；</w:t>
      </w:r>
      <w:r>
        <w:rPr>
          <w:w w:val="100"/>
        </w:rPr>
        <w:t> </w:t>
      </w:r>
      <w:r>
        <w:rPr/>
        <w:t>管理费用变动原因说明：同比增长</w:t>
      </w:r>
      <w:r>
        <w:rPr>
          <w:spacing w:val="-54"/>
        </w:rPr>
        <w:t> </w:t>
      </w:r>
      <w:r>
        <w:rPr>
          <w:rFonts w:ascii="Times New Roman" w:hAnsi="Times New Roman" w:cs="Times New Roman" w:eastAsia="Times New Roman" w:hint="default"/>
        </w:rPr>
        <w:t>27.10%</w:t>
      </w:r>
      <w:r>
        <w:rPr/>
        <w:t>，主要系公司投入的研发费用增加所致；</w:t>
      </w:r>
      <w:r>
        <w:rPr>
          <w:w w:val="100"/>
        </w:rPr>
        <w:t> </w:t>
      </w:r>
      <w:r>
        <w:rPr/>
        <w:t>财务费用变动原因说明：同比减少</w:t>
      </w:r>
      <w:r>
        <w:rPr>
          <w:spacing w:val="-56"/>
        </w:rPr>
        <w:t> </w:t>
      </w:r>
      <w:r>
        <w:rPr>
          <w:rFonts w:ascii="Times New Roman" w:hAnsi="Times New Roman" w:cs="Times New Roman" w:eastAsia="Times New Roman" w:hint="default"/>
        </w:rPr>
        <w:t>1175.16%</w:t>
      </w:r>
      <w:r>
        <w:rPr/>
        <w:t>，主要系存款利息收入增长所致；</w:t>
      </w:r>
      <w:r>
        <w:rPr>
          <w:w w:val="100"/>
        </w:rPr>
        <w:t> </w:t>
      </w:r>
      <w:r>
        <w:rPr>
          <w:spacing w:val="-3"/>
        </w:rPr>
        <w:t>经营活动产生的现金流量净额变动原因说明：同比减少 </w:t>
      </w:r>
      <w:r>
        <w:rPr>
          <w:rFonts w:ascii="Times New Roman" w:hAnsi="Times New Roman" w:cs="Times New Roman" w:eastAsia="Times New Roman" w:hint="default"/>
          <w:spacing w:val="-4"/>
        </w:rPr>
        <w:t>54.24%</w:t>
      </w:r>
      <w:r>
        <w:rPr>
          <w:spacing w:val="-4"/>
        </w:rPr>
        <w:t>，主要系本期销售商品、提供劳务</w:t>
      </w:r>
      <w:r>
        <w:rPr>
          <w:spacing w:val="-65"/>
        </w:rPr>
        <w:t> </w:t>
      </w:r>
      <w:r>
        <w:rPr>
          <w:spacing w:val="-65"/>
        </w:rPr>
      </w:r>
      <w:r>
        <w:rPr/>
        <w:t>收到的现金减少；</w:t>
      </w:r>
    </w:p>
    <w:p>
      <w:pPr>
        <w:pStyle w:val="BodyText"/>
        <w:spacing w:line="272" w:lineRule="exact" w:before="28"/>
        <w:ind w:right="227"/>
        <w:jc w:val="left"/>
      </w:pPr>
      <w:r>
        <w:rPr>
          <w:spacing w:val="-3"/>
        </w:rPr>
        <w:t>投资活动产生的现金流量净额变动原因说明：同比减少 </w:t>
      </w:r>
      <w:r>
        <w:rPr>
          <w:rFonts w:ascii="Times New Roman" w:hAnsi="Times New Roman" w:cs="Times New Roman" w:eastAsia="Times New Roman" w:hint="default"/>
          <w:spacing w:val="-3"/>
        </w:rPr>
        <w:t>4069.75%</w:t>
      </w:r>
      <w:r>
        <w:rPr>
          <w:spacing w:val="-3"/>
        </w:rPr>
        <w:t>，主要系闲置资金购买理财增加</w:t>
      </w:r>
      <w:r>
        <w:rPr>
          <w:spacing w:val="-84"/>
        </w:rPr>
        <w:t> </w:t>
      </w:r>
      <w:r>
        <w:rPr>
          <w:spacing w:val="-84"/>
        </w:rPr>
      </w:r>
      <w:r>
        <w:rPr/>
        <w:t>所致；</w:t>
      </w:r>
    </w:p>
    <w:p>
      <w:pPr>
        <w:pStyle w:val="BodyText"/>
        <w:spacing w:line="272" w:lineRule="exact" w:before="1"/>
        <w:ind w:right="65"/>
        <w:jc w:val="left"/>
      </w:pPr>
      <w:r>
        <w:rPr>
          <w:spacing w:val="-5"/>
          <w:w w:val="100"/>
        </w:rPr>
        <w:t>筹资活动产生的现金流量净额变动原因说明：同比增长</w:t>
      </w:r>
      <w:r>
        <w:rPr>
          <w:spacing w:val="-48"/>
          <w:w w:val="100"/>
        </w:rPr>
        <w:t> </w:t>
      </w:r>
      <w:r>
        <w:rPr>
          <w:rFonts w:ascii="Times New Roman" w:hAnsi="Times New Roman" w:cs="Times New Roman" w:eastAsia="Times New Roman" w:hint="default"/>
          <w:spacing w:val="-5"/>
          <w:w w:val="100"/>
        </w:rPr>
        <w:t>2559.55%</w:t>
      </w:r>
      <w:r>
        <w:rPr>
          <w:spacing w:val="-5"/>
          <w:w w:val="100"/>
        </w:rPr>
        <w:t>，主要原因是公司本期发行新股；</w:t>
      </w:r>
      <w:r>
        <w:rPr>
          <w:spacing w:val="-103"/>
          <w:w w:val="100"/>
        </w:rPr>
        <w:t> </w:t>
      </w:r>
      <w:r>
        <w:rPr>
          <w:spacing w:val="-103"/>
          <w:w w:val="100"/>
        </w:rPr>
      </w:r>
      <w:r>
        <w:rPr/>
        <w:t>研发支出变动原因说明：同比增长</w:t>
      </w:r>
      <w:r>
        <w:rPr>
          <w:spacing w:val="-56"/>
        </w:rPr>
        <w:t> </w:t>
      </w:r>
      <w:r>
        <w:rPr>
          <w:rFonts w:ascii="Times New Roman" w:hAnsi="Times New Roman" w:cs="Times New Roman" w:eastAsia="Times New Roman" w:hint="default"/>
        </w:rPr>
        <w:t>69.09</w:t>
      </w:r>
      <w:r>
        <w:rPr>
          <w:rFonts w:ascii="Times New Roman" w:hAnsi="Times New Roman" w:cs="Times New Roman" w:eastAsia="Times New Roman" w:hint="default"/>
          <w:spacing w:val="-4"/>
        </w:rPr>
        <w:t> </w:t>
      </w:r>
      <w:r>
        <w:rPr>
          <w:rFonts w:ascii="Times New Roman" w:hAnsi="Times New Roman" w:cs="Times New Roman" w:eastAsia="Times New Roman" w:hint="default"/>
        </w:rPr>
        <w:t>%</w:t>
      </w:r>
      <w:r>
        <w:rPr/>
        <w:t>，主要原因是公司本期增加对研发费用的投入。</w:t>
      </w:r>
    </w:p>
    <w:p>
      <w:pPr>
        <w:spacing w:line="240" w:lineRule="auto" w:before="0"/>
        <w:rPr>
          <w:rFonts w:ascii="宋体" w:hAnsi="宋体" w:cs="宋体" w:eastAsia="宋体" w:hint="default"/>
          <w:sz w:val="22"/>
          <w:szCs w:val="22"/>
        </w:rPr>
      </w:pPr>
    </w:p>
    <w:p>
      <w:pPr>
        <w:pStyle w:val="Heading2"/>
        <w:tabs>
          <w:tab w:pos="637" w:val="left" w:leader="none"/>
        </w:tabs>
        <w:spacing w:line="240" w:lineRule="auto"/>
        <w:ind w:right="2465"/>
        <w:jc w:val="left"/>
        <w:rPr>
          <w:b w:val="0"/>
          <w:bCs w:val="0"/>
        </w:rPr>
      </w:pPr>
      <w:r>
        <w:rPr>
          <w:rFonts w:ascii="宋体" w:hAnsi="宋体" w:cs="宋体" w:eastAsia="宋体" w:hint="default"/>
          <w:w w:val="95"/>
        </w:rPr>
        <w:t>1.</w:t>
        <w:tab/>
      </w:r>
      <w:r>
        <w:rPr/>
        <w:t>收入和成本分析</w:t>
      </w:r>
      <w:r>
        <w:rPr>
          <w:b w:val="0"/>
          <w:bCs w:val="0"/>
        </w:rPr>
      </w:r>
    </w:p>
    <w:p>
      <w:pPr>
        <w:pStyle w:val="BodyText"/>
        <w:spacing w:line="273" w:lineRule="exact" w:before="59"/>
        <w:ind w:right="2465"/>
        <w:jc w:val="left"/>
      </w:pPr>
      <w:r>
        <w:rPr/>
        <w:t>√适用□不适用</w:t>
      </w:r>
    </w:p>
    <w:p>
      <w:pPr>
        <w:pStyle w:val="BodyText"/>
        <w:spacing w:line="274" w:lineRule="exact" w:before="24"/>
        <w:ind w:right="220"/>
        <w:jc w:val="left"/>
      </w:pPr>
      <w:r>
        <w:rPr/>
        <w:t>本报告期内公司营业收入增长</w:t>
      </w:r>
      <w:r>
        <w:rPr>
          <w:spacing w:val="-66"/>
        </w:rPr>
        <w:t> </w:t>
      </w:r>
      <w:r>
        <w:rPr>
          <w:rFonts w:ascii="Times New Roman" w:hAnsi="Times New Roman" w:cs="Times New Roman" w:eastAsia="Times New Roman" w:hint="default"/>
        </w:rPr>
        <w:t>17.06%</w:t>
      </w:r>
      <w:r>
        <w:rPr/>
        <w:t>，营业成本比上年同期增长</w:t>
      </w:r>
      <w:r>
        <w:rPr>
          <w:spacing w:val="-66"/>
        </w:rPr>
        <w:t> </w:t>
      </w:r>
      <w:r>
        <w:rPr>
          <w:rFonts w:ascii="Times New Roman" w:hAnsi="Times New Roman" w:cs="Times New Roman" w:eastAsia="Times New Roman" w:hint="default"/>
        </w:rPr>
        <w:t>7.18%</w:t>
      </w:r>
      <w:r>
        <w:rPr/>
        <w:t>。公司受益于国家有关网</w:t>
      </w:r>
      <w:r>
        <w:rPr>
          <w:w w:val="100"/>
        </w:rPr>
        <w:t> </w:t>
      </w:r>
      <w:r>
        <w:rPr>
          <w:spacing w:val="-1"/>
        </w:rPr>
        <w:t>络安全方面的政策颁布与实施，促进了安全行业的发展和需求的增加，同时公司积极推进“行业</w:t>
      </w:r>
    </w:p>
    <w:p>
      <w:pPr>
        <w:spacing w:after="0" w:line="274" w:lineRule="exact"/>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BodyText"/>
        <w:spacing w:line="240" w:lineRule="auto" w:before="36"/>
        <w:ind w:right="227"/>
        <w:jc w:val="left"/>
      </w:pPr>
      <w:r>
        <w:rPr>
          <w:spacing w:val="-1"/>
        </w:rPr>
        <w:t>与区域协同发展”的营销战略，上述原因促进了本报告期的营业收入增长。公司报告期内收入增</w:t>
      </w:r>
      <w:r>
        <w:rPr>
          <w:spacing w:val="-55"/>
        </w:rPr>
        <w:t> </w:t>
      </w:r>
      <w:r>
        <w:rPr>
          <w:spacing w:val="-55"/>
        </w:rPr>
      </w:r>
      <w:r>
        <w:rPr/>
        <w:t>长高于成本增长。</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2"/>
        <w:spacing w:line="240" w:lineRule="auto" w:before="36"/>
        <w:ind w:right="2465"/>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spacing w:line="240" w:lineRule="auto" w:before="56"/>
        <w:ind w:left="0" w:right="230"/>
        <w:jc w:val="right"/>
      </w:pPr>
      <w:r>
        <w:rPr>
          <w:spacing w:val="-1"/>
        </w:rPr>
        <w:t>单位</w:t>
      </w:r>
      <w:r>
        <w:rPr>
          <w:rFonts w:ascii="Times New Roman" w:hAnsi="Times New Roman" w:cs="Times New Roman" w:eastAsia="Times New Roman" w:hint="default"/>
          <w:spacing w:val="-1"/>
        </w:rPr>
        <w:t>:</w:t>
      </w:r>
      <w:r>
        <w:rPr>
          <w:spacing w:val="-1"/>
        </w:rPr>
        <w:t>元币种</w:t>
      </w:r>
      <w:r>
        <w:rPr>
          <w:rFonts w:ascii="Times New Roman" w:hAnsi="Times New Roman" w:cs="Times New Roman" w:eastAsia="Times New Roman" w:hint="default"/>
          <w:spacing w:val="-1"/>
        </w:rPr>
        <w:t>:</w:t>
      </w:r>
      <w:r>
        <w:rPr>
          <w:spacing w:val="-1"/>
        </w:rPr>
        <w:t>人民币</w:t>
      </w:r>
    </w:p>
    <w:tbl>
      <w:tblPr>
        <w:tblW w:w="0" w:type="auto"/>
        <w:jc w:val="left"/>
        <w:tblInd w:w="105" w:type="dxa"/>
        <w:tblLayout w:type="fixed"/>
        <w:tblCellMar>
          <w:top w:w="0" w:type="dxa"/>
          <w:left w:w="0" w:type="dxa"/>
          <w:bottom w:w="0" w:type="dxa"/>
          <w:right w:w="0" w:type="dxa"/>
        </w:tblCellMar>
        <w:tblLook w:val="01E0"/>
      </w:tblPr>
      <w:tblGrid>
        <w:gridCol w:w="1200"/>
        <w:gridCol w:w="1529"/>
        <w:gridCol w:w="1529"/>
        <w:gridCol w:w="1200"/>
        <w:gridCol w:w="1200"/>
        <w:gridCol w:w="1201"/>
        <w:gridCol w:w="1190"/>
      </w:tblGrid>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76"/>
              <w:jc w:val="right"/>
              <w:rPr>
                <w:rFonts w:ascii="宋体" w:hAnsi="宋体" w:cs="宋体" w:eastAsia="宋体" w:hint="default"/>
                <w:sz w:val="21"/>
                <w:szCs w:val="21"/>
              </w:rPr>
            </w:pPr>
            <w:r>
              <w:rPr>
                <w:rFonts w:ascii="宋体" w:hAnsi="宋体" w:cs="宋体" w:eastAsia="宋体" w:hint="default"/>
                <w:sz w:val="21"/>
                <w:szCs w:val="21"/>
              </w:rPr>
              <w:t>分行业</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278"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90" w:lineRule="exact"/>
              <w:ind w:left="29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92" w:right="170" w:hanging="17"/>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92" w:right="171" w:hanging="17"/>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271,653,609.75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108,458,165.97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60.07%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17.06%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7.18%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3.68</w:t>
            </w:r>
          </w:p>
          <w:p>
            <w:pPr>
              <w:pStyle w:val="TableParagraph"/>
              <w:spacing w:line="265" w:lineRule="exact"/>
              <w:ind w:left="237"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76"/>
              <w:jc w:val="right"/>
              <w:rPr>
                <w:rFonts w:ascii="宋体" w:hAnsi="宋体" w:cs="宋体" w:eastAsia="宋体" w:hint="default"/>
                <w:sz w:val="21"/>
                <w:szCs w:val="21"/>
              </w:rPr>
            </w:pPr>
            <w:r>
              <w:rPr>
                <w:rFonts w:ascii="宋体" w:hAnsi="宋体" w:cs="宋体" w:eastAsia="宋体" w:hint="default"/>
                <w:sz w:val="21"/>
                <w:szCs w:val="21"/>
              </w:rPr>
              <w:t>分产品</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278"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90" w:lineRule="exact"/>
              <w:ind w:left="29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192" w:right="170" w:hanging="17"/>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192" w:right="171" w:hanging="17"/>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90"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29"/>
              <w:jc w:val="left"/>
              <w:rPr>
                <w:rFonts w:ascii="宋体" w:hAnsi="宋体" w:cs="宋体" w:eastAsia="宋体" w:hint="default"/>
                <w:sz w:val="21"/>
                <w:szCs w:val="21"/>
              </w:rPr>
            </w:pPr>
            <w:r>
              <w:rPr>
                <w:rFonts w:ascii="Calibri" w:hAnsi="Calibri" w:cs="Calibri" w:eastAsia="Calibri" w:hint="default"/>
                <w:sz w:val="21"/>
                <w:szCs w:val="21"/>
              </w:rPr>
              <w:t>PKI</w:t>
            </w:r>
            <w:r>
              <w:rPr>
                <w:rFonts w:ascii="Calibri" w:hAnsi="Calibri" w:cs="Calibri" w:eastAsia="Calibri" w:hint="default"/>
                <w:spacing w:val="5"/>
                <w:sz w:val="21"/>
                <w:szCs w:val="21"/>
              </w:rPr>
              <w:t> </w:t>
            </w:r>
            <w:r>
              <w:rPr>
                <w:rFonts w:ascii="宋体" w:hAnsi="宋体" w:cs="宋体" w:eastAsia="宋体" w:hint="default"/>
                <w:sz w:val="21"/>
                <w:szCs w:val="21"/>
              </w:rPr>
              <w:t>基础设</w:t>
            </w:r>
            <w:r>
              <w:rPr>
                <w:rFonts w:ascii="宋体" w:hAnsi="宋体" w:cs="宋体" w:eastAsia="宋体" w:hint="default"/>
                <w:w w:val="100"/>
                <w:sz w:val="21"/>
                <w:szCs w:val="21"/>
              </w:rPr>
              <w:t> </w:t>
            </w:r>
            <w:r>
              <w:rPr>
                <w:rFonts w:ascii="宋体" w:hAnsi="宋体" w:cs="宋体" w:eastAsia="宋体" w:hint="default"/>
                <w:sz w:val="21"/>
                <w:szCs w:val="21"/>
              </w:rPr>
              <w:t>施产品</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45,859,976.47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18,338,113.87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60.01%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-9.72%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-23.65%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7.29</w:t>
            </w:r>
          </w:p>
          <w:p>
            <w:pPr>
              <w:pStyle w:val="TableParagraph"/>
              <w:spacing w:line="266" w:lineRule="exact"/>
              <w:ind w:left="237"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29"/>
              <w:jc w:val="left"/>
              <w:rPr>
                <w:rFonts w:ascii="宋体" w:hAnsi="宋体" w:cs="宋体" w:eastAsia="宋体" w:hint="default"/>
                <w:sz w:val="21"/>
                <w:szCs w:val="21"/>
              </w:rPr>
            </w:pPr>
            <w:r>
              <w:rPr>
                <w:rFonts w:ascii="Calibri" w:hAnsi="Calibri" w:cs="Calibri" w:eastAsia="Calibri" w:hint="default"/>
                <w:sz w:val="21"/>
                <w:szCs w:val="21"/>
              </w:rPr>
              <w:t>PKI</w:t>
            </w:r>
            <w:r>
              <w:rPr>
                <w:rFonts w:ascii="Calibri" w:hAnsi="Calibri" w:cs="Calibri" w:eastAsia="Calibri" w:hint="default"/>
                <w:spacing w:val="5"/>
                <w:sz w:val="21"/>
                <w:szCs w:val="21"/>
              </w:rPr>
              <w:t> </w:t>
            </w:r>
            <w:r>
              <w:rPr>
                <w:rFonts w:ascii="宋体" w:hAnsi="宋体" w:cs="宋体" w:eastAsia="宋体" w:hint="default"/>
                <w:sz w:val="21"/>
                <w:szCs w:val="21"/>
              </w:rPr>
              <w:t>安全应</w:t>
            </w:r>
            <w:r>
              <w:rPr>
                <w:rFonts w:ascii="宋体" w:hAnsi="宋体" w:cs="宋体" w:eastAsia="宋体" w:hint="default"/>
                <w:w w:val="100"/>
                <w:sz w:val="21"/>
                <w:szCs w:val="21"/>
              </w:rPr>
              <w:t> </w:t>
            </w:r>
            <w:r>
              <w:rPr>
                <w:rFonts w:ascii="宋体" w:hAnsi="宋体" w:cs="宋体" w:eastAsia="宋体" w:hint="default"/>
                <w:sz w:val="21"/>
                <w:szCs w:val="21"/>
              </w:rPr>
              <w:t>用产品</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157,004,616.29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47,921,267.48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69.48%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78.68%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48.95%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6.09</w:t>
            </w:r>
          </w:p>
          <w:p>
            <w:pPr>
              <w:pStyle w:val="TableParagraph"/>
              <w:spacing w:line="266" w:lineRule="exact"/>
              <w:ind w:left="237"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通用安全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68,789,016.99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42,198,784.62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38.65%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26.04%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spacing w:val="-1"/>
                <w:sz w:val="21"/>
              </w:rPr>
              <w:t>-0.94%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16.71</w:t>
            </w:r>
          </w:p>
          <w:p>
            <w:pPr>
              <w:pStyle w:val="TableParagraph"/>
              <w:spacing w:line="265" w:lineRule="exact"/>
              <w:ind w:left="136"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76"/>
              <w:jc w:val="right"/>
              <w:rPr>
                <w:rFonts w:ascii="宋体" w:hAnsi="宋体" w:cs="宋体" w:eastAsia="宋体" w:hint="default"/>
                <w:sz w:val="21"/>
                <w:szCs w:val="21"/>
              </w:rPr>
            </w:pPr>
            <w:r>
              <w:rPr>
                <w:rFonts w:ascii="宋体" w:hAnsi="宋体" w:cs="宋体" w:eastAsia="宋体" w:hint="default"/>
                <w:sz w:val="21"/>
                <w:szCs w:val="21"/>
              </w:rPr>
              <w:t>分地区</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3"/>
              <w:ind w:left="278"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90" w:lineRule="exact"/>
              <w:ind w:left="29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92" w:right="170" w:hanging="17"/>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92" w:right="171" w:hanging="17"/>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9,716,610.60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3,317,503.66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65.86%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23.41%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67.77%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9.03</w:t>
            </w:r>
          </w:p>
          <w:p>
            <w:pPr>
              <w:pStyle w:val="TableParagraph"/>
              <w:spacing w:line="265" w:lineRule="exact"/>
              <w:ind w:left="237"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华北</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78,678,271.18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27,650,157.00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64.86%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4.91%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-27.57%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15.76</w:t>
            </w:r>
          </w:p>
          <w:p>
            <w:pPr>
              <w:pStyle w:val="TableParagraph"/>
              <w:spacing w:line="266" w:lineRule="exact"/>
              <w:ind w:left="136"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华东</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116,747,465.86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51,690,491.73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55.72%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30.64%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50.31%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5.79</w:t>
            </w:r>
          </w:p>
          <w:p>
            <w:pPr>
              <w:pStyle w:val="TableParagraph"/>
              <w:spacing w:line="266" w:lineRule="exact"/>
              <w:ind w:left="237"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华南</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16,099,738.53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7,760,570.01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51.80%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62.04%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137.37%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15.30</w:t>
            </w:r>
          </w:p>
          <w:p>
            <w:pPr>
              <w:pStyle w:val="TableParagraph"/>
              <w:spacing w:line="266" w:lineRule="exact"/>
              <w:ind w:left="136"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华中</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19,166,710.70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5,531,229.54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71.14%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16.59%</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4.51%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3.33</w:t>
            </w:r>
          </w:p>
          <w:p>
            <w:pPr>
              <w:pStyle w:val="TableParagraph"/>
              <w:spacing w:line="267" w:lineRule="exact"/>
              <w:ind w:left="237"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西北</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21,022,763.70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2"/>
                <w:sz w:val="21"/>
              </w:rPr>
              <w:t>11,001,678.95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47.67%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spacing w:val="-1"/>
                <w:sz w:val="21"/>
              </w:rPr>
              <w:t>-23.18%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-33.30%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7.94</w:t>
            </w:r>
          </w:p>
          <w:p>
            <w:pPr>
              <w:pStyle w:val="TableParagraph"/>
              <w:spacing w:line="265" w:lineRule="exact"/>
              <w:ind w:left="237"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西南</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10,222,049.18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1,506,535.08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85.26%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68.02%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spacing w:val="-1"/>
                <w:sz w:val="21"/>
              </w:rPr>
              <w:t>-5.27%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3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11.40</w:t>
            </w:r>
          </w:p>
          <w:p>
            <w:pPr>
              <w:pStyle w:val="TableParagraph"/>
              <w:spacing w:line="265" w:lineRule="exact"/>
              <w:ind w:left="237"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line="240" w:lineRule="auto" w:before="3"/>
        <w:rPr>
          <w:rFonts w:ascii="宋体" w:hAnsi="宋体" w:cs="宋体" w:eastAsia="宋体" w:hint="default"/>
          <w:sz w:val="14"/>
          <w:szCs w:val="14"/>
        </w:rPr>
      </w:pPr>
    </w:p>
    <w:p>
      <w:pPr>
        <w:pStyle w:val="BodyText"/>
        <w:spacing w:line="274" w:lineRule="exact" w:before="36"/>
        <w:ind w:right="2465"/>
        <w:jc w:val="left"/>
      </w:pPr>
      <w:r>
        <w:rPr/>
        <w:t>主营业务分行业、分产品、分地区情况的说明</w:t>
      </w:r>
    </w:p>
    <w:p>
      <w:pPr>
        <w:pStyle w:val="BodyText"/>
        <w:spacing w:line="274" w:lineRule="exact"/>
        <w:ind w:right="2465"/>
        <w:jc w:val="left"/>
      </w:pPr>
      <w:r>
        <w:rPr/>
        <w:t>□适用√不适用</w:t>
      </w:r>
    </w:p>
    <w:p>
      <w:pPr>
        <w:spacing w:line="240" w:lineRule="auto" w:before="11"/>
        <w:rPr>
          <w:rFonts w:ascii="宋体" w:hAnsi="宋体" w:cs="宋体" w:eastAsia="宋体" w:hint="default"/>
          <w:sz w:val="22"/>
          <w:szCs w:val="22"/>
        </w:rPr>
      </w:pPr>
    </w:p>
    <w:p>
      <w:pPr>
        <w:pStyle w:val="Heading2"/>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56"/>
        <w:ind w:right="2465"/>
        <w:jc w:val="left"/>
      </w:pPr>
      <w:r>
        <w:rPr/>
        <w:t>□适用√不适用</w:t>
      </w:r>
    </w:p>
    <w:p>
      <w:pPr>
        <w:spacing w:after="0" w:line="240" w:lineRule="auto"/>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Heading2"/>
        <w:spacing w:line="240" w:lineRule="auto" w:before="36"/>
        <w:ind w:right="2465"/>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8"/>
        <w:ind w:left="0" w:right="23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38"/>
        <w:gridCol w:w="1061"/>
        <w:gridCol w:w="1529"/>
        <w:gridCol w:w="1032"/>
        <w:gridCol w:w="1529"/>
        <w:gridCol w:w="965"/>
        <w:gridCol w:w="936"/>
        <w:gridCol w:w="859"/>
      </w:tblGrid>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373"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4" w:right="101" w:hanging="209"/>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44" w:right="139" w:firstLine="50"/>
              <w:jc w:val="both"/>
              <w:rPr>
                <w:rFonts w:ascii="Times New Roman" w:hAnsi="Times New Roman" w:cs="Times New Roman" w:eastAsia="Times New Roman"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25"/>
              <w:jc w:val="right"/>
              <w:rPr>
                <w:rFonts w:ascii="宋体" w:hAnsi="宋体" w:cs="宋体" w:eastAsia="宋体" w:hint="default"/>
                <w:sz w:val="21"/>
                <w:szCs w:val="21"/>
              </w:rPr>
            </w:pPr>
            <w:r>
              <w:rPr>
                <w:rFonts w:ascii="宋体" w:hAnsi="宋体" w:cs="宋体" w:eastAsia="宋体" w:hint="default"/>
                <w:spacing w:val="-1"/>
                <w:sz w:val="21"/>
                <w:szCs w:val="21"/>
              </w:rPr>
              <w:t>上年同期金额</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60" w:right="159"/>
              <w:jc w:val="both"/>
              <w:rPr>
                <w:rFonts w:ascii="Times New Roman" w:hAnsi="Times New Roman" w:cs="Times New Roman" w:eastAsia="Times New Roman"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before="2"/>
              <w:ind w:left="144" w:right="146"/>
              <w:jc w:val="both"/>
              <w:rPr>
                <w:rFonts w:ascii="Times New Roman" w:hAnsi="Times New Roman" w:cs="Times New Roman" w:eastAsia="Times New Roman"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3" w:right="211"/>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281"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center"/>
              <w:rPr>
                <w:rFonts w:ascii="宋体" w:hAnsi="宋体" w:cs="宋体" w:eastAsia="宋体" w:hint="default"/>
                <w:sz w:val="21"/>
                <w:szCs w:val="21"/>
              </w:rPr>
            </w:pPr>
            <w:r>
              <w:rPr>
                <w:rFonts w:ascii="宋体" w:hAnsi="宋体" w:cs="宋体" w:eastAsia="宋体" w:hint="default"/>
                <w:sz w:val="21"/>
                <w:szCs w:val="21"/>
              </w:rPr>
              <w:t>软件行业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108,458,165.97</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50.64%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101,188,592.23</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8" w:right="0"/>
              <w:jc w:val="center"/>
              <w:rPr>
                <w:rFonts w:ascii="Times New Roman" w:hAnsi="Times New Roman" w:cs="Times New Roman" w:eastAsia="Times New Roman" w:hint="default"/>
                <w:sz w:val="21"/>
                <w:szCs w:val="21"/>
              </w:rPr>
            </w:pPr>
            <w:r>
              <w:rPr>
                <w:rFonts w:ascii="Times New Roman"/>
                <w:sz w:val="21"/>
              </w:rPr>
              <w:t>55.34%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z w:val="21"/>
              </w:rPr>
              <w:t>7.18%</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371"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4" w:right="101" w:hanging="209"/>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44" w:right="139" w:firstLine="50"/>
              <w:jc w:val="both"/>
              <w:rPr>
                <w:rFonts w:ascii="Times New Roman" w:hAnsi="Times New Roman" w:cs="Times New Roman" w:eastAsia="Times New Roman"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5"/>
              <w:jc w:val="right"/>
              <w:rPr>
                <w:rFonts w:ascii="宋体" w:hAnsi="宋体" w:cs="宋体" w:eastAsia="宋体" w:hint="default"/>
                <w:sz w:val="21"/>
                <w:szCs w:val="21"/>
              </w:rPr>
            </w:pPr>
            <w:r>
              <w:rPr>
                <w:rFonts w:ascii="宋体" w:hAnsi="宋体" w:cs="宋体" w:eastAsia="宋体" w:hint="default"/>
                <w:spacing w:val="-1"/>
                <w:sz w:val="21"/>
                <w:szCs w:val="21"/>
              </w:rPr>
              <w:t>上年同期金额</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60" w:right="159"/>
              <w:jc w:val="both"/>
              <w:rPr>
                <w:rFonts w:ascii="Times New Roman" w:hAnsi="Times New Roman" w:cs="Times New Roman" w:eastAsia="Times New Roman"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4"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ind w:left="144" w:right="146"/>
              <w:jc w:val="both"/>
              <w:rPr>
                <w:rFonts w:ascii="Times New Roman" w:hAnsi="Times New Roman" w:cs="Times New Roman" w:eastAsia="Times New Roman"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3" w:right="211"/>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557"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PKI</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基础</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设施产品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2"/>
                <w:sz w:val="21"/>
              </w:rPr>
              <w:t>18,338,113.87</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8.56%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24,764,319.59</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98" w:right="0"/>
              <w:jc w:val="center"/>
              <w:rPr>
                <w:rFonts w:ascii="Times New Roman" w:hAnsi="Times New Roman" w:cs="Times New Roman" w:eastAsia="Times New Roman" w:hint="default"/>
                <w:sz w:val="21"/>
                <w:szCs w:val="21"/>
              </w:rPr>
            </w:pPr>
            <w:r>
              <w:rPr>
                <w:rFonts w:ascii="Times New Roman"/>
                <w:sz w:val="21"/>
              </w:rPr>
              <w:t>13.54%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Times New Roman" w:hAnsi="Times New Roman" w:cs="Times New Roman" w:eastAsia="Times New Roman" w:hint="default"/>
                <w:sz w:val="21"/>
                <w:szCs w:val="21"/>
              </w:rPr>
            </w:pPr>
            <w:r>
              <w:rPr>
                <w:rFonts w:ascii="Times New Roman"/>
                <w:spacing w:val="-1"/>
                <w:sz w:val="21"/>
              </w:rPr>
              <w:t>-25.95%</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PKI</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安全</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应用产品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47,921,267.48</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22.37%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42,262,265.43</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center"/>
              <w:rPr>
                <w:rFonts w:ascii="Times New Roman" w:hAnsi="Times New Roman" w:cs="Times New Roman" w:eastAsia="Times New Roman" w:hint="default"/>
                <w:sz w:val="21"/>
                <w:szCs w:val="21"/>
              </w:rPr>
            </w:pPr>
            <w:r>
              <w:rPr>
                <w:rFonts w:ascii="Times New Roman"/>
                <w:sz w:val="21"/>
              </w:rPr>
              <w:t>23.11%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z w:val="21"/>
              </w:rPr>
              <w:t>13.39%</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通用安全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42,198,784.62</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19.70%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34,162,007.21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8" w:right="0"/>
              <w:jc w:val="center"/>
              <w:rPr>
                <w:rFonts w:ascii="Times New Roman" w:hAnsi="Times New Roman" w:cs="Times New Roman" w:eastAsia="Times New Roman" w:hint="default"/>
                <w:sz w:val="21"/>
                <w:szCs w:val="21"/>
              </w:rPr>
            </w:pPr>
            <w:r>
              <w:rPr>
                <w:rFonts w:ascii="Times New Roman"/>
                <w:sz w:val="21"/>
              </w:rPr>
              <w:t>18.68%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z w:val="21"/>
              </w:rPr>
              <w:t>23.53%</w:t>
            </w:r>
          </w:p>
        </w:tc>
        <w:tc>
          <w:tcPr>
            <w:tcW w:w="8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73" w:lineRule="exact" w:before="36"/>
        <w:ind w:right="2465"/>
        <w:jc w:val="left"/>
      </w:pPr>
      <w:r>
        <w:rPr/>
        <w:t>成本分析其他情况说明</w:t>
      </w:r>
    </w:p>
    <w:p>
      <w:pPr>
        <w:pStyle w:val="BodyText"/>
        <w:spacing w:line="273" w:lineRule="exact"/>
        <w:ind w:right="2465"/>
        <w:jc w:val="left"/>
      </w:pPr>
      <w:r>
        <w:rPr/>
        <w:t>□适用√不适用</w:t>
      </w:r>
    </w:p>
    <w:p>
      <w:pPr>
        <w:spacing w:line="240" w:lineRule="auto" w:before="11"/>
        <w:rPr>
          <w:rFonts w:ascii="宋体" w:hAnsi="宋体" w:cs="宋体" w:eastAsia="宋体" w:hint="default"/>
          <w:sz w:val="22"/>
          <w:szCs w:val="22"/>
        </w:rPr>
      </w:pPr>
    </w:p>
    <w:p>
      <w:pPr>
        <w:pStyle w:val="Heading2"/>
        <w:spacing w:line="240" w:lineRule="auto"/>
        <w:ind w:right="2465"/>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3" w:lineRule="exact" w:before="58"/>
        <w:ind w:right="2465"/>
        <w:jc w:val="left"/>
      </w:pPr>
      <w:r>
        <w:rPr/>
        <w:t>√适用□不适用</w:t>
      </w:r>
    </w:p>
    <w:p>
      <w:pPr>
        <w:pStyle w:val="BodyText"/>
        <w:spacing w:line="274" w:lineRule="exact" w:before="24"/>
        <w:ind w:right="227"/>
        <w:jc w:val="left"/>
      </w:pPr>
      <w:r>
        <w:rPr/>
        <w:t>前五名客户销售额</w:t>
      </w:r>
      <w:r>
        <w:rPr>
          <w:spacing w:val="-38"/>
        </w:rPr>
        <w:t> </w:t>
      </w:r>
      <w:r>
        <w:rPr>
          <w:rFonts w:ascii="Times New Roman" w:hAnsi="Times New Roman" w:cs="Times New Roman" w:eastAsia="Times New Roman" w:hint="default"/>
        </w:rPr>
        <w:t>8,194.93</w:t>
      </w:r>
      <w:r>
        <w:rPr>
          <w:rFonts w:ascii="Times New Roman" w:hAnsi="Times New Roman" w:cs="Times New Roman" w:eastAsia="Times New Roman" w:hint="default"/>
          <w:spacing w:val="15"/>
        </w:rPr>
        <w:t> </w:t>
      </w:r>
      <w:r>
        <w:rPr>
          <w:spacing w:val="-5"/>
        </w:rPr>
        <w:t>万元，占年度销售总额</w:t>
      </w:r>
      <w:r>
        <w:rPr>
          <w:spacing w:val="-41"/>
        </w:rPr>
        <w:t> </w:t>
      </w:r>
      <w:r>
        <w:rPr>
          <w:rFonts w:ascii="Times New Roman" w:hAnsi="Times New Roman" w:cs="Times New Roman" w:eastAsia="Times New Roman" w:hint="default"/>
          <w:spacing w:val="-3"/>
        </w:rPr>
        <w:t>30.17%</w:t>
      </w:r>
      <w:r>
        <w:rPr>
          <w:spacing w:val="-3"/>
        </w:rPr>
        <w:t>；其中前五名客户销售额中关联方销售</w:t>
      </w:r>
      <w:r>
        <w:rPr>
          <w:spacing w:val="-99"/>
        </w:rPr>
        <w:t> </w:t>
      </w:r>
      <w:r>
        <w:rPr>
          <w:spacing w:val="-99"/>
        </w:rPr>
      </w:r>
      <w:r>
        <w:rPr/>
        <w:t>额</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万元，占年度销售总额</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18"/>
          <w:szCs w:val="18"/>
        </w:rPr>
      </w:pPr>
    </w:p>
    <w:p>
      <w:pPr>
        <w:pStyle w:val="BodyText"/>
        <w:spacing w:line="272" w:lineRule="exact"/>
        <w:ind w:right="227"/>
        <w:jc w:val="left"/>
      </w:pPr>
      <w:r>
        <w:rPr/>
        <w:t>前五名供应商采购额</w:t>
      </w:r>
      <w:r>
        <w:rPr>
          <w:spacing w:val="-54"/>
        </w:rPr>
        <w:t> </w:t>
      </w:r>
      <w:r>
        <w:rPr>
          <w:rFonts w:ascii="Times New Roman" w:hAnsi="Times New Roman" w:cs="Times New Roman" w:eastAsia="Times New Roman" w:hint="default"/>
        </w:rPr>
        <w:t>4,297.08</w:t>
      </w:r>
      <w:r>
        <w:rPr>
          <w:rFonts w:ascii="Times New Roman" w:hAnsi="Times New Roman" w:cs="Times New Roman" w:eastAsia="Times New Roman" w:hint="default"/>
          <w:spacing w:val="-1"/>
        </w:rPr>
        <w:t> </w:t>
      </w:r>
      <w:r>
        <w:rPr>
          <w:spacing w:val="-3"/>
        </w:rPr>
        <w:t>万元，占年度采购总额</w:t>
      </w:r>
      <w:r>
        <w:rPr>
          <w:spacing w:val="-54"/>
        </w:rPr>
        <w:t> </w:t>
      </w:r>
      <w:r>
        <w:rPr>
          <w:rFonts w:ascii="Times New Roman" w:hAnsi="Times New Roman" w:cs="Times New Roman" w:eastAsia="Times New Roman" w:hint="default"/>
        </w:rPr>
        <w:t>27.11%%</w:t>
      </w:r>
      <w:r>
        <w:rPr/>
        <w:t>；其中前五名供应商采购额中关联</w:t>
      </w:r>
      <w:r>
        <w:rPr>
          <w:w w:val="100"/>
        </w:rPr>
        <w:t> </w:t>
      </w:r>
      <w:r>
        <w:rPr/>
        <w:t>方采购额</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万元，占年度采购总额</w:t>
      </w:r>
      <w:r>
        <w:rPr>
          <w:spacing w:val="-53"/>
        </w:rPr>
        <w:t> </w:t>
      </w:r>
      <w:r>
        <w:rPr>
          <w:rFonts w:ascii="Times New Roman" w:hAnsi="Times New Roman" w:cs="Times New Roman" w:eastAsia="Times New Roman" w:hint="default"/>
        </w:rPr>
        <w:t>0.00%</w:t>
      </w:r>
      <w:r>
        <w:rPr/>
        <w:t>。</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1580" w:right="1040"/>
        </w:sectPr>
      </w:pPr>
    </w:p>
    <w:p>
      <w:pPr>
        <w:pStyle w:val="Heading2"/>
        <w:tabs>
          <w:tab w:pos="637" w:val="left" w:leader="none"/>
        </w:tabs>
        <w:spacing w:line="240" w:lineRule="auto" w:before="36"/>
        <w:ind w:right="-10"/>
        <w:jc w:val="left"/>
        <w:rPr>
          <w:b w:val="0"/>
          <w:bCs w:val="0"/>
        </w:rPr>
      </w:pPr>
      <w:r>
        <w:rPr>
          <w:rFonts w:ascii="宋体" w:hAnsi="宋体" w:cs="宋体" w:eastAsia="宋体" w:hint="default"/>
          <w:w w:val="95"/>
        </w:rPr>
        <w:t>2.</w:t>
        <w:tab/>
      </w:r>
      <w:r>
        <w:rPr/>
        <w:t>费用</w:t>
      </w:r>
      <w:r>
        <w:rPr>
          <w:b w:val="0"/>
          <w:bCs w:val="0"/>
        </w:rPr>
      </w:r>
    </w:p>
    <w:p>
      <w:pPr>
        <w:pStyle w:val="BodyText"/>
        <w:spacing w:line="240" w:lineRule="auto" w:before="58"/>
        <w:ind w:right="-10"/>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1692" w:space="6301"/>
            <w:col w:w="129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20,471,124.30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15,952,020.64</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28.33%</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79,231,634.99</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62,338,588.43</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27.10%</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-1,794,560.33</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-140,731.70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-1175.16%</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3,564,684.03</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9,603,931.23</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-62.88%</w:t>
            </w:r>
          </w:p>
        </w:tc>
      </w:tr>
    </w:tbl>
    <w:p>
      <w:pPr>
        <w:pStyle w:val="BodyText"/>
        <w:spacing w:line="247" w:lineRule="exact"/>
        <w:ind w:right="227"/>
        <w:jc w:val="left"/>
      </w:pPr>
      <w:r>
        <w:rPr>
          <w:spacing w:val="-2"/>
        </w:rPr>
        <w:t>销售费用变动原因说明：同比增长</w:t>
      </w:r>
      <w:r>
        <w:rPr>
          <w:spacing w:val="29"/>
        </w:rPr>
        <w:t> </w:t>
      </w:r>
      <w:r>
        <w:rPr>
          <w:rFonts w:ascii="Times New Roman" w:hAnsi="Times New Roman" w:cs="Times New Roman" w:eastAsia="Times New Roman" w:hint="default"/>
          <w:spacing w:val="-2"/>
        </w:rPr>
        <w:t>28.33%</w:t>
      </w:r>
      <w:r>
        <w:rPr>
          <w:spacing w:val="-2"/>
        </w:rPr>
        <w:t>，主要原因系公司为拓展业务，增加营销费用所致；</w:t>
      </w:r>
    </w:p>
    <w:p>
      <w:pPr>
        <w:pStyle w:val="BodyText"/>
        <w:spacing w:line="225" w:lineRule="auto" w:before="5"/>
        <w:ind w:right="227"/>
        <w:jc w:val="left"/>
      </w:pPr>
      <w:r>
        <w:rPr/>
        <w:t>管理费用变动原因说明：同比增长</w:t>
      </w:r>
      <w:r>
        <w:rPr>
          <w:spacing w:val="-54"/>
        </w:rPr>
        <w:t> </w:t>
      </w:r>
      <w:r>
        <w:rPr>
          <w:rFonts w:ascii="Times New Roman" w:hAnsi="Times New Roman" w:cs="Times New Roman" w:eastAsia="Times New Roman" w:hint="default"/>
        </w:rPr>
        <w:t>27.10%</w:t>
      </w:r>
      <w:r>
        <w:rPr/>
        <w:t>，主要系公司投入的研发费用增加所致；</w:t>
      </w:r>
      <w:r>
        <w:rPr>
          <w:w w:val="100"/>
        </w:rPr>
        <w:t> </w:t>
      </w:r>
      <w:r>
        <w:rPr/>
        <w:t>财务费用变动原因说明：同比减少</w:t>
      </w:r>
      <w:r>
        <w:rPr>
          <w:spacing w:val="-56"/>
        </w:rPr>
        <w:t> </w:t>
      </w:r>
      <w:r>
        <w:rPr>
          <w:rFonts w:ascii="Times New Roman" w:hAnsi="Times New Roman" w:cs="Times New Roman" w:eastAsia="Times New Roman" w:hint="default"/>
        </w:rPr>
        <w:t>1175.16%</w:t>
      </w:r>
      <w:r>
        <w:rPr/>
        <w:t>，主要系存款利息收入增长所致；</w:t>
      </w:r>
      <w:r>
        <w:rPr>
          <w:w w:val="100"/>
        </w:rPr>
        <w:t> </w:t>
      </w:r>
      <w:r>
        <w:rPr>
          <w:spacing w:val="-3"/>
        </w:rPr>
        <w:t>所得税费用变动原因说明：同比减少 </w:t>
      </w:r>
      <w:r>
        <w:rPr>
          <w:rFonts w:ascii="Times New Roman" w:hAnsi="Times New Roman" w:cs="Times New Roman" w:eastAsia="Times New Roman" w:hint="default"/>
          <w:spacing w:val="-3"/>
        </w:rPr>
        <w:t>62.88%</w:t>
      </w:r>
      <w:r>
        <w:rPr>
          <w:spacing w:val="-3"/>
        </w:rPr>
        <w:t>，本期格尔安全取得软件企业证书，自获利年度起第</w:t>
      </w:r>
      <w:r>
        <w:rPr>
          <w:spacing w:val="-86"/>
        </w:rPr>
        <w:t> </w:t>
      </w:r>
      <w:r>
        <w:rPr>
          <w:spacing w:val="-86"/>
        </w:rPr>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年免征企业所得税。</w:t>
      </w:r>
    </w:p>
    <w:p>
      <w:pPr>
        <w:spacing w:line="240" w:lineRule="auto" w:before="11"/>
        <w:rPr>
          <w:rFonts w:ascii="宋体" w:hAnsi="宋体" w:cs="宋体" w:eastAsia="宋体" w:hint="default"/>
          <w:sz w:val="21"/>
          <w:szCs w:val="21"/>
        </w:rPr>
      </w:pPr>
    </w:p>
    <w:p>
      <w:pPr>
        <w:pStyle w:val="Heading2"/>
        <w:tabs>
          <w:tab w:pos="637" w:val="left" w:leader="none"/>
        </w:tabs>
        <w:spacing w:line="290" w:lineRule="auto"/>
        <w:ind w:right="7588"/>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spacing w:after="0" w:line="290" w:lineRule="auto"/>
        <w:jc w:val="left"/>
        <w:sectPr>
          <w:type w:val="continuous"/>
          <w:pgSz w:w="11910" w:h="16840"/>
          <w:pgMar w:top="1120" w:bottom="1380" w:left="1580" w:right="1040"/>
        </w:sectPr>
      </w:pPr>
    </w:p>
    <w:p>
      <w:pPr>
        <w:spacing w:line="240" w:lineRule="auto" w:before="4"/>
        <w:rPr>
          <w:rFonts w:ascii="宋体" w:hAnsi="宋体" w:cs="宋体" w:eastAsia="宋体" w:hint="default"/>
          <w:b/>
          <w:bCs/>
          <w:sz w:val="25"/>
          <w:szCs w:val="25"/>
        </w:rPr>
      </w:pPr>
    </w:p>
    <w:p>
      <w:pPr>
        <w:pStyle w:val="BodyText"/>
        <w:spacing w:line="282" w:lineRule="exact" w:before="36"/>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66" w:lineRule="exact"/>
        <w:ind w:left="0" w:right="23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40,571,496.81</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40,571,496.81</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14.94</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258</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5"/>
              <w:jc w:val="left"/>
              <w:rPr>
                <w:rFonts w:ascii="宋体" w:hAnsi="宋体" w:cs="宋体" w:eastAsia="宋体" w:hint="default"/>
                <w:sz w:val="21"/>
                <w:szCs w:val="21"/>
              </w:rPr>
            </w:pPr>
            <w:r>
              <w:rPr>
                <w:rFonts w:ascii="宋体" w:hAnsi="宋体" w:cs="宋体" w:eastAsia="宋体" w:hint="default"/>
                <w:spacing w:val="-5"/>
                <w:sz w:val="21"/>
                <w:szCs w:val="21"/>
              </w:rPr>
              <w:t>研发人员数量占公司总人数的比例（</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69.73</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40" w:lineRule="auto" w:before="36"/>
        <w:ind w:right="2465"/>
        <w:jc w:val="left"/>
        <w:rPr>
          <w:b w:val="0"/>
          <w:bCs w:val="0"/>
        </w:rPr>
      </w:pPr>
      <w:r>
        <w:rPr/>
        <w:t>情况说明</w:t>
      </w:r>
      <w:r>
        <w:rPr>
          <w:b w:val="0"/>
          <w:bCs w:val="0"/>
        </w:rPr>
      </w:r>
    </w:p>
    <w:p>
      <w:pPr>
        <w:pStyle w:val="BodyText"/>
        <w:spacing w:line="240" w:lineRule="auto" w:before="59"/>
        <w:ind w:right="2465"/>
        <w:jc w:val="left"/>
      </w:pPr>
      <w:r>
        <w:rPr/>
        <w:t>√适用□不适用</w:t>
      </w:r>
    </w:p>
    <w:p>
      <w:pPr>
        <w:pStyle w:val="BodyText"/>
        <w:spacing w:line="230" w:lineRule="auto" w:before="66"/>
        <w:ind w:right="65" w:firstLine="419"/>
        <w:jc w:val="left"/>
      </w:pPr>
      <w:r>
        <w:rPr>
          <w:spacing w:val="-6"/>
          <w:w w:val="100"/>
        </w:rPr>
        <w:t>公司坚持自主创新，对网络安全及数据安全等领域尤其是</w:t>
      </w:r>
      <w:r>
        <w:rPr>
          <w:spacing w:val="-50"/>
          <w:w w:val="100"/>
        </w:rPr>
        <w:t> </w:t>
      </w:r>
      <w:r>
        <w:rPr>
          <w:rFonts w:ascii="Times New Roman" w:hAnsi="Times New Roman" w:cs="Times New Roman" w:eastAsia="Times New Roman" w:hint="default"/>
          <w:spacing w:val="-1"/>
          <w:w w:val="100"/>
        </w:rPr>
        <w:t>PKI</w:t>
      </w:r>
      <w:r>
        <w:rPr>
          <w:rFonts w:ascii="Times New Roman" w:hAnsi="Times New Roman" w:cs="Times New Roman" w:eastAsia="Times New Roman" w:hint="default"/>
          <w:spacing w:val="2"/>
          <w:w w:val="100"/>
        </w:rPr>
        <w:t> </w:t>
      </w:r>
      <w:r>
        <w:rPr>
          <w:spacing w:val="-2"/>
          <w:w w:val="100"/>
        </w:rPr>
        <w:t>领域的技术理论进行长期研究。</w:t>
      </w:r>
      <w:r>
        <w:rPr>
          <w:w w:val="100"/>
        </w:rPr>
        <w:t> </w:t>
      </w:r>
      <w:r>
        <w:rPr/>
        <w:t>随着计算机技术不断发展、互联网及云计算应用的不断普及，为进一步提高公司核心技术水平以</w:t>
      </w:r>
      <w:r>
        <w:rPr>
          <w:spacing w:val="-97"/>
        </w:rPr>
        <w:t> </w:t>
      </w:r>
      <w:r>
        <w:rPr>
          <w:spacing w:val="-97"/>
        </w:rPr>
      </w:r>
      <w:r>
        <w:rPr/>
        <w:t>及运维管理能力，公司进一步研发优化现有产品的技术架构，拓宽产品用途，同时研究和创新网</w:t>
      </w:r>
      <w:r>
        <w:rPr>
          <w:spacing w:val="-98"/>
        </w:rPr>
        <w:t> </w:t>
      </w:r>
      <w:r>
        <w:rPr>
          <w:spacing w:val="-98"/>
        </w:rPr>
      </w:r>
      <w:r>
        <w:rPr>
          <w:spacing w:val="-3"/>
        </w:rPr>
        <w:t>络信息技术和信息安全发展的前沿技术，定位公司的技术研究发展方向。</w:t>
      </w:r>
      <w:r>
        <w:rPr>
          <w:rFonts w:ascii="Times New Roman" w:hAnsi="Times New Roman" w:cs="Times New Roman" w:eastAsia="Times New Roman" w:hint="default"/>
          <w:spacing w:val="-3"/>
        </w:rPr>
        <w:t>2017 </w:t>
      </w:r>
      <w:r>
        <w:rPr>
          <w:spacing w:val="-4"/>
        </w:rPr>
        <w:t>年，公司投入费用</w:t>
      </w:r>
      <w:r>
        <w:rPr>
          <w:spacing w:val="-62"/>
        </w:rPr>
        <w:t> </w:t>
      </w:r>
      <w:r>
        <w:rPr>
          <w:spacing w:val="-62"/>
        </w:rPr>
      </w:r>
      <w:r>
        <w:rPr/>
        <w:t>化研发费用</w:t>
      </w:r>
      <w:r>
        <w:rPr>
          <w:spacing w:val="-45"/>
        </w:rPr>
        <w:t> </w:t>
      </w:r>
      <w:r>
        <w:rPr>
          <w:rFonts w:ascii="Times New Roman" w:hAnsi="Times New Roman" w:cs="Times New Roman" w:eastAsia="Times New Roman" w:hint="default"/>
        </w:rPr>
        <w:t>40,571,496.81</w:t>
      </w:r>
      <w:r>
        <w:rPr>
          <w:rFonts w:ascii="Times New Roman" w:hAnsi="Times New Roman" w:cs="Times New Roman" w:eastAsia="Times New Roman" w:hint="default"/>
          <w:spacing w:val="6"/>
        </w:rPr>
        <w:t> </w:t>
      </w:r>
      <w:r>
        <w:rPr/>
        <w:t>元，较上年投入费用化研发费用</w:t>
      </w:r>
      <w:r>
        <w:rPr>
          <w:spacing w:val="-45"/>
        </w:rPr>
        <w:t> </w:t>
      </w:r>
      <w:r>
        <w:rPr>
          <w:rFonts w:ascii="Times New Roman" w:hAnsi="Times New Roman" w:cs="Times New Roman" w:eastAsia="Times New Roman" w:hint="default"/>
        </w:rPr>
        <w:t>23,993,492.11</w:t>
      </w:r>
      <w:r>
        <w:rPr>
          <w:rFonts w:ascii="Times New Roman" w:hAnsi="Times New Roman" w:cs="Times New Roman" w:eastAsia="Times New Roman" w:hint="default"/>
          <w:spacing w:val="5"/>
        </w:rPr>
        <w:t> </w:t>
      </w:r>
      <w:r>
        <w:rPr/>
        <w:t>元，增加</w:t>
      </w:r>
      <w:r>
        <w:rPr>
          <w:spacing w:val="-47"/>
        </w:rPr>
        <w:t> </w:t>
      </w:r>
      <w:r>
        <w:rPr>
          <w:rFonts w:ascii="Times New Roman" w:hAnsi="Times New Roman" w:cs="Times New Roman" w:eastAsia="Times New Roman" w:hint="default"/>
        </w:rPr>
        <w:t>69.09%</w:t>
      </w:r>
      <w:r>
        <w:rPr/>
        <w:t>；报告</w:t>
      </w:r>
    </w:p>
    <w:p>
      <w:pPr>
        <w:pStyle w:val="BodyText"/>
        <w:spacing w:line="266" w:lineRule="exact"/>
        <w:ind w:right="65"/>
        <w:jc w:val="left"/>
      </w:pPr>
      <w:r>
        <w:rPr/>
        <w:t>期内，公司获得了</w:t>
      </w:r>
      <w:r>
        <w:rPr>
          <w:spacing w:val="-41"/>
        </w:rPr>
        <w:t> </w:t>
      </w:r>
      <w:r>
        <w:rPr>
          <w:rFonts w:ascii="宋体" w:hAnsi="宋体" w:cs="宋体" w:eastAsia="宋体" w:hint="default"/>
        </w:rPr>
        <w:t>6</w:t>
      </w:r>
      <w:r>
        <w:rPr>
          <w:rFonts w:ascii="宋体" w:hAnsi="宋体" w:cs="宋体" w:eastAsia="宋体" w:hint="default"/>
          <w:spacing w:val="-41"/>
        </w:rPr>
        <w:t> </w:t>
      </w:r>
      <w:r>
        <w:rPr/>
        <w:t>项发明专利、</w:t>
      </w:r>
      <w:r>
        <w:rPr>
          <w:rFonts w:ascii="宋体" w:hAnsi="宋体" w:cs="宋体" w:eastAsia="宋体" w:hint="default"/>
        </w:rPr>
        <w:t>10</w:t>
      </w:r>
      <w:r>
        <w:rPr>
          <w:rFonts w:ascii="宋体" w:hAnsi="宋体" w:cs="宋体" w:eastAsia="宋体" w:hint="default"/>
          <w:spacing w:val="-43"/>
        </w:rPr>
        <w:t> </w:t>
      </w:r>
      <w:r>
        <w:rPr/>
        <w:t>项软件著作权。截至报告期末，公司持有拥有</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项相关发</w:t>
      </w:r>
    </w:p>
    <w:p>
      <w:pPr>
        <w:pStyle w:val="BodyText"/>
        <w:spacing w:line="281" w:lineRule="exact"/>
        <w:ind w:right="2465"/>
        <w:jc w:val="left"/>
      </w:pPr>
      <w:r>
        <w:rPr/>
        <w:t>明专利与</w:t>
      </w:r>
      <w:r>
        <w:rPr>
          <w:spacing w:val="-54"/>
        </w:rPr>
        <w:t> </w:t>
      </w:r>
      <w:r>
        <w:rPr>
          <w:rFonts w:ascii="Times New Roman" w:hAnsi="Times New Roman" w:cs="Times New Roman" w:eastAsia="Times New Roman" w:hint="default"/>
        </w:rPr>
        <w:t>61</w:t>
      </w:r>
      <w:r>
        <w:rPr>
          <w:rFonts w:ascii="Times New Roman" w:hAnsi="Times New Roman" w:cs="Times New Roman" w:eastAsia="Times New Roman" w:hint="default"/>
          <w:spacing w:val="-1"/>
        </w:rPr>
        <w:t> </w:t>
      </w:r>
      <w:r>
        <w:rPr/>
        <w:t>项相关软件著作权。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23"/>
          <w:pgSz w:w="11910" w:h="16840"/>
          <w:pgMar w:footer="1195" w:header="880" w:top="1120" w:bottom="1380" w:left="1580" w:right="1040"/>
        </w:sectPr>
      </w:pPr>
    </w:p>
    <w:p>
      <w:pPr>
        <w:pStyle w:val="Heading2"/>
        <w:tabs>
          <w:tab w:pos="637" w:val="left" w:leader="none"/>
        </w:tabs>
        <w:spacing w:line="240" w:lineRule="auto" w:before="36"/>
        <w:ind w:right="-10"/>
        <w:jc w:val="left"/>
        <w:rPr>
          <w:b w:val="0"/>
          <w:bCs w:val="0"/>
        </w:rPr>
      </w:pPr>
      <w:r>
        <w:rPr>
          <w:rFonts w:ascii="宋体" w:hAnsi="宋体" w:cs="宋体" w:eastAsia="宋体" w:hint="default"/>
          <w:w w:val="95"/>
        </w:rPr>
        <w:t>4.</w:t>
        <w:tab/>
      </w:r>
      <w:r>
        <w:rPr/>
        <w:t>现金流</w:t>
      </w:r>
      <w:r>
        <w:rPr>
          <w:b w:val="0"/>
          <w:bCs w:val="0"/>
        </w:rPr>
      </w:r>
    </w:p>
    <w:p>
      <w:pPr>
        <w:pStyle w:val="BodyText"/>
        <w:spacing w:line="240" w:lineRule="auto" w:before="56"/>
        <w:ind w:right="-10"/>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1692" w:space="6301"/>
            <w:col w:w="129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经营活动产生的现金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19,186,451.89</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41,931,915.74</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-54.24%</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投资活动产生的现金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-257,420,823.77</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-6,173,534.54</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4069.75%</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筹资活动产生的现金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205,556,451.60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-8,357,472.63</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-2559.55%</w:t>
            </w:r>
          </w:p>
        </w:tc>
      </w:tr>
    </w:tbl>
    <w:p>
      <w:pPr>
        <w:pStyle w:val="BodyText"/>
        <w:spacing w:line="248" w:lineRule="exact"/>
        <w:ind w:right="65"/>
        <w:jc w:val="left"/>
      </w:pPr>
      <w:r>
        <w:rPr>
          <w:spacing w:val="-3"/>
        </w:rPr>
        <w:t>经营活动产生的现金流量净额变动原因说明：同比减少</w:t>
      </w:r>
      <w:r>
        <w:rPr>
          <w:spacing w:val="37"/>
        </w:rPr>
        <w:t> </w:t>
      </w:r>
      <w:r>
        <w:rPr>
          <w:rFonts w:ascii="Times New Roman" w:hAnsi="Times New Roman" w:cs="Times New Roman" w:eastAsia="Times New Roman" w:hint="default"/>
          <w:spacing w:val="-4"/>
        </w:rPr>
        <w:t>54.24%</w:t>
      </w:r>
      <w:r>
        <w:rPr>
          <w:spacing w:val="-4"/>
        </w:rPr>
        <w:t>，主要系本期销售商品、提供劳务</w:t>
      </w:r>
    </w:p>
    <w:p>
      <w:pPr>
        <w:pStyle w:val="BodyText"/>
        <w:spacing w:line="264" w:lineRule="exact"/>
        <w:ind w:right="2465"/>
        <w:jc w:val="left"/>
      </w:pPr>
      <w:r>
        <w:rPr/>
        <w:t>收到的现金减少；</w:t>
      </w:r>
    </w:p>
    <w:p>
      <w:pPr>
        <w:pStyle w:val="BodyText"/>
        <w:spacing w:line="274" w:lineRule="exact" w:before="24"/>
        <w:ind w:right="227"/>
        <w:jc w:val="left"/>
      </w:pPr>
      <w:r>
        <w:rPr>
          <w:spacing w:val="-3"/>
        </w:rPr>
        <w:t>投资活动产生的现金流量净额变动原因说明：同比减少 </w:t>
      </w:r>
      <w:r>
        <w:rPr>
          <w:rFonts w:ascii="Times New Roman" w:hAnsi="Times New Roman" w:cs="Times New Roman" w:eastAsia="Times New Roman" w:hint="default"/>
          <w:spacing w:val="-3"/>
        </w:rPr>
        <w:t>4069.75%</w:t>
      </w:r>
      <w:r>
        <w:rPr>
          <w:spacing w:val="-3"/>
        </w:rPr>
        <w:t>，主要系闲置资金购买理财增加</w:t>
      </w:r>
      <w:r>
        <w:rPr>
          <w:spacing w:val="-84"/>
        </w:rPr>
        <w:t> </w:t>
      </w:r>
      <w:r>
        <w:rPr>
          <w:spacing w:val="-84"/>
        </w:rPr>
      </w:r>
      <w:r>
        <w:rPr/>
        <w:t>所致；</w:t>
      </w:r>
    </w:p>
    <w:p>
      <w:pPr>
        <w:pStyle w:val="BodyText"/>
        <w:spacing w:line="262" w:lineRule="exact"/>
        <w:ind w:right="65"/>
        <w:jc w:val="left"/>
      </w:pPr>
      <w:r>
        <w:rPr>
          <w:w w:val="100"/>
        </w:rPr>
        <w:t>筹</w:t>
      </w:r>
      <w:r>
        <w:rPr>
          <w:spacing w:val="-1"/>
          <w:w w:val="100"/>
        </w:rPr>
        <w:t>资</w:t>
      </w:r>
      <w:r>
        <w:rPr>
          <w:spacing w:val="-3"/>
          <w:w w:val="100"/>
        </w:rPr>
        <w:t>活</w:t>
      </w:r>
      <w:r>
        <w:rPr>
          <w:w w:val="100"/>
        </w:rPr>
        <w:t>动</w:t>
      </w:r>
      <w:r>
        <w:rPr>
          <w:spacing w:val="-3"/>
          <w:w w:val="100"/>
        </w:rPr>
        <w:t>产</w:t>
      </w:r>
      <w:r>
        <w:rPr>
          <w:w w:val="100"/>
        </w:rPr>
        <w:t>生</w:t>
      </w:r>
      <w:r>
        <w:rPr>
          <w:spacing w:val="-3"/>
          <w:w w:val="100"/>
        </w:rPr>
        <w:t>的</w:t>
      </w:r>
      <w:r>
        <w:rPr>
          <w:w w:val="100"/>
        </w:rPr>
        <w:t>现</w:t>
      </w:r>
      <w:r>
        <w:rPr>
          <w:spacing w:val="-3"/>
          <w:w w:val="100"/>
        </w:rPr>
        <w:t>金</w:t>
      </w:r>
      <w:r>
        <w:rPr>
          <w:w w:val="100"/>
        </w:rPr>
        <w:t>流</w:t>
      </w:r>
      <w:r>
        <w:rPr>
          <w:spacing w:val="-3"/>
          <w:w w:val="100"/>
        </w:rPr>
        <w:t>量</w:t>
      </w:r>
      <w:r>
        <w:rPr>
          <w:w w:val="100"/>
        </w:rPr>
        <w:t>净额</w:t>
      </w:r>
      <w:r>
        <w:rPr>
          <w:spacing w:val="-3"/>
          <w:w w:val="100"/>
        </w:rPr>
        <w:t>变</w:t>
      </w:r>
      <w:r>
        <w:rPr>
          <w:w w:val="100"/>
        </w:rPr>
        <w:t>动</w:t>
      </w:r>
      <w:r>
        <w:rPr>
          <w:spacing w:val="-3"/>
          <w:w w:val="100"/>
        </w:rPr>
        <w:t>原</w:t>
      </w:r>
      <w:r>
        <w:rPr>
          <w:w w:val="100"/>
        </w:rPr>
        <w:t>因</w:t>
      </w:r>
      <w:r>
        <w:rPr>
          <w:spacing w:val="-3"/>
          <w:w w:val="100"/>
        </w:rPr>
        <w:t>说</w:t>
      </w:r>
      <w:r>
        <w:rPr>
          <w:w w:val="100"/>
        </w:rPr>
        <w:t>明</w:t>
      </w:r>
      <w:r>
        <w:rPr>
          <w:spacing w:val="-85"/>
          <w:w w:val="100"/>
        </w:rPr>
        <w:t>：</w:t>
      </w:r>
      <w:r>
        <w:rPr>
          <w:w w:val="100"/>
        </w:rPr>
        <w:t>同</w:t>
      </w:r>
      <w:r>
        <w:rPr>
          <w:spacing w:val="-3"/>
          <w:w w:val="100"/>
        </w:rPr>
        <w:t>比增</w:t>
      </w:r>
      <w:r>
        <w:rPr>
          <w:w w:val="100"/>
        </w:rPr>
        <w:t>长</w:t>
      </w:r>
      <w:r>
        <w:rPr>
          <w:spacing w:val="-53"/>
        </w:rPr>
        <w:t> </w:t>
      </w:r>
      <w:r>
        <w:rPr>
          <w:rFonts w:ascii="Times New Roman" w:hAnsi="Times New Roman" w:cs="Times New Roman" w:eastAsia="Times New Roman" w:hint="default"/>
          <w:w w:val="100"/>
        </w:rPr>
        <w:t>25</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9.55</w:t>
      </w:r>
      <w:r>
        <w:rPr>
          <w:rFonts w:ascii="Times New Roman" w:hAnsi="Times New Roman" w:cs="Times New Roman" w:eastAsia="Times New Roman" w:hint="default"/>
          <w:spacing w:val="-4"/>
          <w:w w:val="100"/>
        </w:rPr>
        <w:t>%</w:t>
      </w:r>
      <w:r>
        <w:rPr>
          <w:spacing w:val="-82"/>
          <w:w w:val="100"/>
        </w:rPr>
        <w:t>，</w:t>
      </w:r>
      <w:r>
        <w:rPr>
          <w:spacing w:val="-3"/>
          <w:w w:val="100"/>
        </w:rPr>
        <w:t>主</w:t>
      </w:r>
      <w:r>
        <w:rPr>
          <w:w w:val="100"/>
        </w:rPr>
        <w:t>要</w:t>
      </w:r>
      <w:r>
        <w:rPr>
          <w:spacing w:val="-3"/>
          <w:w w:val="100"/>
        </w:rPr>
        <w:t>原</w:t>
      </w:r>
      <w:r>
        <w:rPr>
          <w:w w:val="100"/>
        </w:rPr>
        <w:t>因</w:t>
      </w:r>
      <w:r>
        <w:rPr>
          <w:spacing w:val="-3"/>
          <w:w w:val="100"/>
        </w:rPr>
        <w:t>是</w:t>
      </w:r>
      <w:r>
        <w:rPr>
          <w:w w:val="100"/>
        </w:rPr>
        <w:t>公司</w:t>
      </w:r>
      <w:r>
        <w:rPr>
          <w:spacing w:val="-3"/>
          <w:w w:val="100"/>
        </w:rPr>
        <w:t>本</w:t>
      </w:r>
      <w:r>
        <w:rPr>
          <w:w w:val="100"/>
        </w:rPr>
        <w:t>期</w:t>
      </w:r>
      <w:r>
        <w:rPr>
          <w:spacing w:val="-3"/>
          <w:w w:val="100"/>
        </w:rPr>
        <w:t>发</w:t>
      </w:r>
      <w:r>
        <w:rPr>
          <w:w w:val="100"/>
        </w:rPr>
        <w:t>行</w:t>
      </w:r>
      <w:r>
        <w:rPr>
          <w:spacing w:val="-3"/>
          <w:w w:val="100"/>
        </w:rPr>
        <w:t>新股</w:t>
      </w:r>
      <w:r>
        <w:rPr>
          <w:w w:val="100"/>
        </w:rPr>
        <w:t>。</w:t>
      </w:r>
    </w:p>
    <w:p>
      <w:pPr>
        <w:spacing w:line="240" w:lineRule="auto" w:before="8"/>
        <w:rPr>
          <w:rFonts w:ascii="宋体" w:hAnsi="宋体" w:cs="宋体" w:eastAsia="宋体" w:hint="default"/>
          <w:sz w:val="21"/>
          <w:szCs w:val="21"/>
        </w:rPr>
      </w:pPr>
    </w:p>
    <w:p>
      <w:pPr>
        <w:pStyle w:val="Heading2"/>
        <w:tabs>
          <w:tab w:pos="1057" w:val="left" w:leader="none"/>
        </w:tabs>
        <w:spacing w:line="240" w:lineRule="auto"/>
        <w:ind w:right="246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40" w:lineRule="auto" w:before="58"/>
        <w:ind w:right="2465"/>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tabs>
          <w:tab w:pos="1057" w:val="left" w:leader="none"/>
        </w:tabs>
        <w:spacing w:line="240" w:lineRule="auto" w:before="36"/>
        <w:ind w:right="-1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spacing w:line="240" w:lineRule="auto" w:before="56"/>
        <w:ind w:right="-1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2"/>
        <w:tabs>
          <w:tab w:pos="642" w:val="left" w:leader="none"/>
        </w:tabs>
        <w:spacing w:line="240" w:lineRule="auto" w:before="43"/>
        <w:ind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2959" w:space="5034"/>
            <w:col w:w="129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97"/>
        <w:gridCol w:w="1529"/>
        <w:gridCol w:w="1270"/>
        <w:gridCol w:w="1515"/>
        <w:gridCol w:w="1226"/>
        <w:gridCol w:w="1186"/>
        <w:gridCol w:w="926"/>
      </w:tblGrid>
      <w:tr>
        <w:trPr>
          <w:trHeight w:val="828"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7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本期期末数</w:t>
            </w:r>
          </w:p>
          <w:p>
            <w:pPr>
              <w:pStyle w:val="TableParagraph"/>
              <w:spacing w:line="272" w:lineRule="exact" w:before="27"/>
              <w:ind w:left="122" w:right="101" w:hanging="20"/>
              <w:jc w:val="left"/>
              <w:rPr>
                <w:rFonts w:ascii="宋体" w:hAnsi="宋体" w:cs="宋体" w:eastAsia="宋体" w:hint="default"/>
                <w:sz w:val="21"/>
                <w:szCs w:val="21"/>
              </w:rPr>
            </w:pPr>
            <w:r>
              <w:rPr>
                <w:rFonts w:ascii="宋体" w:hAnsi="宋体" w:cs="宋体" w:eastAsia="宋体" w:hint="default"/>
                <w:sz w:val="21"/>
                <w:szCs w:val="21"/>
              </w:rPr>
              <w:t>占总资产的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hAnsi="宋体" w:cs="宋体" w:eastAsia="宋体" w:hint="default"/>
                <w:sz w:val="21"/>
                <w:szCs w:val="21"/>
              </w:rPr>
              <w:t>上期期末</w:t>
            </w:r>
          </w:p>
          <w:p>
            <w:pPr>
              <w:pStyle w:val="TableParagraph"/>
              <w:spacing w:line="272" w:lineRule="exact" w:before="27"/>
              <w:ind w:left="187" w:right="185"/>
              <w:jc w:val="left"/>
              <w:rPr>
                <w:rFonts w:ascii="宋体" w:hAnsi="宋体" w:cs="宋体" w:eastAsia="宋体" w:hint="default"/>
                <w:sz w:val="21"/>
                <w:szCs w:val="21"/>
              </w:rPr>
            </w:pP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7" w:right="0"/>
              <w:jc w:val="left"/>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72" w:lineRule="exact" w:before="27"/>
              <w:ind w:left="167" w:right="164"/>
              <w:jc w:val="left"/>
              <w:rPr>
                <w:rFonts w:ascii="宋体" w:hAnsi="宋体" w:cs="宋体" w:eastAsia="宋体" w:hint="default"/>
                <w:sz w:val="21"/>
                <w:szCs w:val="21"/>
              </w:rPr>
            </w:pP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350" w:right="139" w:hanging="209"/>
              <w:jc w:val="left"/>
              <w:rPr>
                <w:rFonts w:ascii="宋体" w:hAnsi="宋体" w:cs="宋体" w:eastAsia="宋体" w:hint="default"/>
                <w:sz w:val="21"/>
                <w:szCs w:val="21"/>
              </w:rPr>
            </w:pPr>
            <w:r>
              <w:rPr>
                <w:rFonts w:ascii="宋体" w:hAnsi="宋体" w:cs="宋体" w:eastAsia="宋体" w:hint="default"/>
                <w:sz w:val="21"/>
                <w:szCs w:val="21"/>
              </w:rPr>
              <w:t>情况说</w:t>
            </w:r>
            <w:r>
              <w:rPr>
                <w:rFonts w:ascii="宋体" w:hAnsi="宋体" w:cs="宋体" w:eastAsia="宋体" w:hint="default"/>
                <w:spacing w:val="-102"/>
                <w:sz w:val="21"/>
                <w:szCs w:val="21"/>
              </w:rPr>
              <w:t> </w:t>
            </w:r>
            <w:r>
              <w:rPr>
                <w:rFonts w:ascii="宋体" w:hAnsi="宋体" w:cs="宋体" w:eastAsia="宋体" w:hint="default"/>
                <w:sz w:val="21"/>
                <w:szCs w:val="21"/>
              </w:rPr>
              <w:t>明</w:t>
            </w:r>
          </w:p>
        </w:tc>
      </w:tr>
    </w:tbl>
    <w:p>
      <w:pPr>
        <w:spacing w:after="0" w:line="272"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397"/>
        <w:gridCol w:w="1529"/>
        <w:gridCol w:w="1270"/>
        <w:gridCol w:w="1515"/>
        <w:gridCol w:w="1226"/>
        <w:gridCol w:w="1186"/>
        <w:gridCol w:w="926"/>
      </w:tblGrid>
      <w:tr>
        <w:trPr>
          <w:trHeight w:val="557" w:hRule="exact"/>
        </w:trPr>
        <w:tc>
          <w:tcPr>
            <w:tcW w:w="139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0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71" w:right="0"/>
              <w:jc w:val="left"/>
              <w:rPr>
                <w:rFonts w:ascii="宋体" w:hAnsi="宋体" w:cs="宋体" w:eastAsia="宋体" w:hint="default"/>
                <w:sz w:val="21"/>
                <w:szCs w:val="21"/>
              </w:rPr>
            </w:pPr>
            <w:r>
              <w:rPr>
                <w:rFonts w:ascii="宋体" w:hAnsi="宋体" w:cs="宋体" w:eastAsia="宋体" w:hint="default"/>
                <w:sz w:val="21"/>
                <w:szCs w:val="21"/>
              </w:rPr>
              <w:t>动比例</w:t>
            </w:r>
          </w:p>
          <w:p>
            <w:pPr>
              <w:pStyle w:val="TableParagraph"/>
              <w:spacing w:line="289" w:lineRule="exact"/>
              <w:ind w:left="29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1,360,000.00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0.21%</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2,977,480.00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0.84%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-54.32%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系商业</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37" w:lineRule="auto"/>
              <w:ind w:left="100" w:right="59"/>
              <w:jc w:val="both"/>
              <w:rPr>
                <w:rFonts w:ascii="宋体" w:hAnsi="宋体" w:cs="宋体" w:eastAsia="宋体" w:hint="default"/>
                <w:sz w:val="21"/>
                <w:szCs w:val="21"/>
              </w:rPr>
            </w:pPr>
            <w:r>
              <w:rPr>
                <w:rFonts w:ascii="宋体" w:hAnsi="宋体" w:cs="宋体" w:eastAsia="宋体" w:hint="default"/>
                <w:spacing w:val="26"/>
                <w:sz w:val="21"/>
                <w:szCs w:val="21"/>
              </w:rPr>
              <w:t>承兑汇</w:t>
            </w:r>
            <w:r>
              <w:rPr>
                <w:rFonts w:ascii="宋体" w:hAnsi="宋体" w:cs="宋体" w:eastAsia="宋体" w:hint="default"/>
                <w:spacing w:val="-100"/>
                <w:sz w:val="21"/>
                <w:szCs w:val="21"/>
              </w:rPr>
              <w:t> </w:t>
            </w:r>
            <w:r>
              <w:rPr>
                <w:rFonts w:ascii="宋体" w:hAnsi="宋体" w:cs="宋体" w:eastAsia="宋体" w:hint="default"/>
                <w:spacing w:val="26"/>
                <w:sz w:val="21"/>
                <w:szCs w:val="21"/>
              </w:rPr>
              <w:t>票正常</w:t>
            </w:r>
            <w:r>
              <w:rPr>
                <w:rFonts w:ascii="宋体" w:hAnsi="宋体" w:cs="宋体" w:eastAsia="宋体" w:hint="default"/>
                <w:spacing w:val="-100"/>
                <w:sz w:val="21"/>
                <w:szCs w:val="21"/>
              </w:rPr>
              <w:t> </w:t>
            </w:r>
            <w:r>
              <w:rPr>
                <w:rFonts w:ascii="宋体" w:hAnsi="宋体" w:cs="宋体" w:eastAsia="宋体" w:hint="default"/>
                <w:sz w:val="21"/>
                <w:szCs w:val="21"/>
              </w:rPr>
              <w:t>结算</w:t>
            </w:r>
          </w:p>
        </w:tc>
      </w:tr>
      <w:tr>
        <w:trPr>
          <w:trHeight w:val="1916"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159,896,943.45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24.19%</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75,137,711.76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21.29%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7"/>
              <w:jc w:val="right"/>
              <w:rPr>
                <w:rFonts w:ascii="Times New Roman" w:hAnsi="Times New Roman" w:cs="Times New Roman" w:eastAsia="Times New Roman" w:hint="default"/>
                <w:sz w:val="21"/>
                <w:szCs w:val="21"/>
              </w:rPr>
            </w:pPr>
            <w:r>
              <w:rPr>
                <w:rFonts w:ascii="Times New Roman"/>
                <w:spacing w:val="-2"/>
                <w:sz w:val="21"/>
              </w:rPr>
              <w:t>112.81%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本期客</w:t>
            </w:r>
          </w:p>
          <w:p>
            <w:pPr>
              <w:pStyle w:val="TableParagraph"/>
              <w:spacing w:line="237" w:lineRule="auto"/>
              <w:ind w:left="100" w:right="180"/>
              <w:jc w:val="both"/>
              <w:rPr>
                <w:rFonts w:ascii="宋体" w:hAnsi="宋体" w:cs="宋体" w:eastAsia="宋体" w:hint="default"/>
                <w:sz w:val="21"/>
                <w:szCs w:val="21"/>
              </w:rPr>
            </w:pPr>
            <w:r>
              <w:rPr>
                <w:rFonts w:ascii="宋体" w:hAnsi="宋体" w:cs="宋体" w:eastAsia="宋体" w:hint="default"/>
                <w:sz w:val="21"/>
                <w:szCs w:val="21"/>
              </w:rPr>
              <w:t>户数量</w:t>
            </w:r>
            <w:r>
              <w:rPr>
                <w:rFonts w:ascii="宋体" w:hAnsi="宋体" w:cs="宋体" w:eastAsia="宋体" w:hint="default"/>
                <w:spacing w:val="-102"/>
                <w:sz w:val="21"/>
                <w:szCs w:val="21"/>
              </w:rPr>
              <w:t> </w:t>
            </w:r>
            <w:r>
              <w:rPr>
                <w:rFonts w:ascii="宋体" w:hAnsi="宋体" w:cs="宋体" w:eastAsia="宋体" w:hint="default"/>
                <w:sz w:val="21"/>
                <w:szCs w:val="21"/>
              </w:rPr>
              <w:t>增加，</w:t>
            </w:r>
            <w:r>
              <w:rPr>
                <w:rFonts w:ascii="宋体" w:hAnsi="宋体" w:cs="宋体" w:eastAsia="宋体" w:hint="default"/>
                <w:spacing w:val="-102"/>
                <w:sz w:val="21"/>
                <w:szCs w:val="21"/>
              </w:rPr>
              <w:t> </w:t>
            </w:r>
            <w:r>
              <w:rPr>
                <w:rFonts w:ascii="宋体" w:hAnsi="宋体" w:cs="宋体" w:eastAsia="宋体" w:hint="default"/>
                <w:sz w:val="21"/>
                <w:szCs w:val="21"/>
              </w:rPr>
              <w:t>主要系</w:t>
            </w:r>
            <w:r>
              <w:rPr>
                <w:rFonts w:ascii="宋体" w:hAnsi="宋体" w:cs="宋体" w:eastAsia="宋体" w:hint="default"/>
                <w:spacing w:val="-102"/>
                <w:sz w:val="21"/>
                <w:szCs w:val="21"/>
              </w:rPr>
              <w:t> </w:t>
            </w:r>
            <w:r>
              <w:rPr>
                <w:rFonts w:ascii="宋体" w:hAnsi="宋体" w:cs="宋体" w:eastAsia="宋体" w:hint="default"/>
                <w:sz w:val="21"/>
                <w:szCs w:val="21"/>
              </w:rPr>
              <w:t>一年内</w:t>
            </w:r>
            <w:r>
              <w:rPr>
                <w:rFonts w:ascii="宋体" w:hAnsi="宋体" w:cs="宋体" w:eastAsia="宋体" w:hint="default"/>
                <w:spacing w:val="-102"/>
                <w:sz w:val="21"/>
                <w:szCs w:val="21"/>
              </w:rPr>
              <w:t> </w:t>
            </w:r>
            <w:r>
              <w:rPr>
                <w:rFonts w:ascii="宋体" w:hAnsi="宋体" w:cs="宋体" w:eastAsia="宋体" w:hint="default"/>
                <w:sz w:val="21"/>
                <w:szCs w:val="21"/>
              </w:rPr>
              <w:t>应收账</w:t>
            </w:r>
            <w:r>
              <w:rPr>
                <w:rFonts w:ascii="宋体" w:hAnsi="宋体" w:cs="宋体" w:eastAsia="宋体" w:hint="default"/>
                <w:spacing w:val="-102"/>
                <w:sz w:val="21"/>
                <w:szCs w:val="21"/>
              </w:rPr>
              <w:t> </w:t>
            </w:r>
            <w:r>
              <w:rPr>
                <w:rFonts w:ascii="宋体" w:hAnsi="宋体" w:cs="宋体" w:eastAsia="宋体" w:hint="default"/>
                <w:sz w:val="21"/>
                <w:szCs w:val="21"/>
              </w:rPr>
              <w:t>款增加</w:t>
            </w:r>
          </w:p>
        </w:tc>
      </w:tr>
      <w:tr>
        <w:trPr>
          <w:trHeight w:val="1644"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3"/>
                <w:sz w:val="21"/>
                <w:szCs w:val="21"/>
              </w:rPr>
              <w:t> </w:t>
            </w:r>
            <w:r>
              <w:rPr>
                <w:rFonts w:ascii="宋体" w:hAnsi="宋体" w:cs="宋体" w:eastAsia="宋体" w:hint="default"/>
                <w:sz w:val="21"/>
                <w:szCs w:val="21"/>
              </w:rPr>
              <w:t>他</w:t>
            </w:r>
            <w:r>
              <w:rPr>
                <w:rFonts w:ascii="宋体" w:hAnsi="宋体" w:cs="宋体" w:eastAsia="宋体" w:hint="default"/>
                <w:spacing w:val="-73"/>
                <w:sz w:val="21"/>
                <w:szCs w:val="21"/>
              </w:rPr>
              <w:t> </w:t>
            </w:r>
            <w:r>
              <w:rPr>
                <w:rFonts w:ascii="宋体" w:hAnsi="宋体" w:cs="宋体" w:eastAsia="宋体" w:hint="default"/>
                <w:sz w:val="21"/>
                <w:szCs w:val="21"/>
              </w:rPr>
              <w:t>流</w:t>
            </w:r>
            <w:r>
              <w:rPr>
                <w:rFonts w:ascii="宋体" w:hAnsi="宋体" w:cs="宋体" w:eastAsia="宋体" w:hint="default"/>
                <w:spacing w:val="-73"/>
                <w:sz w:val="21"/>
                <w:szCs w:val="21"/>
              </w:rPr>
              <w:t> </w:t>
            </w:r>
            <w:r>
              <w:rPr>
                <w:rFonts w:ascii="宋体" w:hAnsi="宋体" w:cs="宋体" w:eastAsia="宋体" w:hint="default"/>
                <w:sz w:val="21"/>
                <w:szCs w:val="21"/>
              </w:rPr>
              <w:t>动</w:t>
            </w:r>
            <w:r>
              <w:rPr>
                <w:rFonts w:ascii="宋体" w:hAnsi="宋体" w:cs="宋体" w:eastAsia="宋体" w:hint="default"/>
                <w:spacing w:val="-71"/>
                <w:sz w:val="21"/>
                <w:szCs w:val="21"/>
              </w:rPr>
              <w:t> </w:t>
            </w:r>
            <w:r>
              <w:rPr>
                <w:rFonts w:ascii="宋体" w:hAnsi="宋体" w:cs="宋体" w:eastAsia="宋体" w:hint="default"/>
                <w:sz w:val="21"/>
                <w:szCs w:val="21"/>
              </w:rPr>
              <w:t>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244,246,419.02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36.94%</w:t>
            </w:r>
          </w:p>
        </w:tc>
        <w:tc>
          <w:tcPr>
            <w:tcW w:w="151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报告期</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37" w:lineRule="auto" w:before="2"/>
              <w:ind w:left="100" w:right="59"/>
              <w:jc w:val="both"/>
              <w:rPr>
                <w:rFonts w:ascii="宋体" w:hAnsi="宋体" w:cs="宋体" w:eastAsia="宋体" w:hint="default"/>
                <w:sz w:val="21"/>
                <w:szCs w:val="21"/>
              </w:rPr>
            </w:pPr>
            <w:r>
              <w:rPr>
                <w:rFonts w:ascii="宋体" w:hAnsi="宋体" w:cs="宋体" w:eastAsia="宋体" w:hint="default"/>
                <w:spacing w:val="26"/>
                <w:sz w:val="21"/>
                <w:szCs w:val="21"/>
              </w:rPr>
              <w:t>末银行</w:t>
            </w:r>
            <w:r>
              <w:rPr>
                <w:rFonts w:ascii="宋体" w:hAnsi="宋体" w:cs="宋体" w:eastAsia="宋体" w:hint="default"/>
                <w:spacing w:val="-100"/>
                <w:sz w:val="21"/>
                <w:szCs w:val="21"/>
              </w:rPr>
              <w:t> </w:t>
            </w:r>
            <w:r>
              <w:rPr>
                <w:rFonts w:ascii="宋体" w:hAnsi="宋体" w:cs="宋体" w:eastAsia="宋体" w:hint="default"/>
                <w:spacing w:val="26"/>
                <w:sz w:val="21"/>
                <w:szCs w:val="21"/>
              </w:rPr>
              <w:t>理财产</w:t>
            </w:r>
            <w:r>
              <w:rPr>
                <w:rFonts w:ascii="宋体" w:hAnsi="宋体" w:cs="宋体" w:eastAsia="宋体" w:hint="default"/>
                <w:spacing w:val="-100"/>
                <w:sz w:val="21"/>
                <w:szCs w:val="21"/>
              </w:rPr>
              <w:t> </w:t>
            </w:r>
            <w:r>
              <w:rPr>
                <w:rFonts w:ascii="宋体" w:hAnsi="宋体" w:cs="宋体" w:eastAsia="宋体" w:hint="default"/>
                <w:spacing w:val="26"/>
                <w:sz w:val="21"/>
                <w:szCs w:val="21"/>
              </w:rPr>
              <w:t>品和结</w:t>
            </w:r>
            <w:r>
              <w:rPr>
                <w:rFonts w:ascii="宋体" w:hAnsi="宋体" w:cs="宋体" w:eastAsia="宋体" w:hint="default"/>
                <w:spacing w:val="-100"/>
                <w:sz w:val="21"/>
                <w:szCs w:val="21"/>
              </w:rPr>
              <w:t> </w:t>
            </w:r>
            <w:r>
              <w:rPr>
                <w:rFonts w:ascii="宋体" w:hAnsi="宋体" w:cs="宋体" w:eastAsia="宋体" w:hint="default"/>
                <w:spacing w:val="26"/>
                <w:sz w:val="21"/>
                <w:szCs w:val="21"/>
              </w:rPr>
              <w:t>构性存</w:t>
            </w:r>
            <w:r>
              <w:rPr>
                <w:rFonts w:ascii="宋体" w:hAnsi="宋体" w:cs="宋体" w:eastAsia="宋体" w:hint="default"/>
                <w:spacing w:val="-100"/>
                <w:sz w:val="21"/>
                <w:szCs w:val="21"/>
              </w:rPr>
              <w:t> </w:t>
            </w:r>
            <w:r>
              <w:rPr>
                <w:rFonts w:ascii="宋体" w:hAnsi="宋体" w:cs="宋体" w:eastAsia="宋体" w:hint="default"/>
                <w:sz w:val="21"/>
                <w:szCs w:val="21"/>
              </w:rPr>
              <w:t>款增加</w:t>
            </w:r>
          </w:p>
        </w:tc>
      </w:tr>
      <w:tr>
        <w:trPr>
          <w:trHeight w:val="1099"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21,881,364.98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3.31%</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11,321,728.55</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3.21%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93.27%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报告期</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37" w:lineRule="auto" w:before="2"/>
              <w:ind w:left="100" w:right="59"/>
              <w:jc w:val="both"/>
              <w:rPr>
                <w:rFonts w:ascii="宋体" w:hAnsi="宋体" w:cs="宋体" w:eastAsia="宋体" w:hint="default"/>
                <w:sz w:val="21"/>
                <w:szCs w:val="21"/>
              </w:rPr>
            </w:pPr>
            <w:r>
              <w:rPr>
                <w:rFonts w:ascii="宋体" w:hAnsi="宋体" w:cs="宋体" w:eastAsia="宋体" w:hint="default"/>
                <w:spacing w:val="26"/>
                <w:sz w:val="21"/>
                <w:szCs w:val="21"/>
              </w:rPr>
              <w:t>内外购</w:t>
            </w:r>
            <w:r>
              <w:rPr>
                <w:rFonts w:ascii="宋体" w:hAnsi="宋体" w:cs="宋体" w:eastAsia="宋体" w:hint="default"/>
                <w:spacing w:val="-100"/>
                <w:sz w:val="21"/>
                <w:szCs w:val="21"/>
              </w:rPr>
              <w:t> </w:t>
            </w:r>
            <w:r>
              <w:rPr>
                <w:rFonts w:ascii="宋体" w:hAnsi="宋体" w:cs="宋体" w:eastAsia="宋体" w:hint="default"/>
                <w:spacing w:val="26"/>
                <w:sz w:val="21"/>
                <w:szCs w:val="21"/>
              </w:rPr>
              <w:t>软件增</w:t>
            </w:r>
            <w:r>
              <w:rPr>
                <w:rFonts w:ascii="宋体" w:hAnsi="宋体" w:cs="宋体" w:eastAsia="宋体" w:hint="default"/>
                <w:spacing w:val="-100"/>
                <w:sz w:val="21"/>
                <w:szCs w:val="21"/>
              </w:rPr>
              <w:t> </w:t>
            </w:r>
            <w:r>
              <w:rPr>
                <w:rFonts w:ascii="宋体" w:hAnsi="宋体" w:cs="宋体" w:eastAsia="宋体" w:hint="default"/>
                <w:sz w:val="21"/>
                <w:szCs w:val="21"/>
              </w:rPr>
              <w:t>加所致</w:t>
            </w:r>
          </w:p>
        </w:tc>
      </w:tr>
      <w:tr>
        <w:trPr>
          <w:trHeight w:val="1644"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73"/>
                <w:sz w:val="21"/>
                <w:szCs w:val="21"/>
              </w:rPr>
              <w:t> </w:t>
            </w:r>
            <w:r>
              <w:rPr>
                <w:rFonts w:ascii="宋体" w:hAnsi="宋体" w:cs="宋体" w:eastAsia="宋体" w:hint="default"/>
                <w:sz w:val="21"/>
                <w:szCs w:val="21"/>
              </w:rPr>
              <w:t>期</w:t>
            </w:r>
            <w:r>
              <w:rPr>
                <w:rFonts w:ascii="宋体" w:hAnsi="宋体" w:cs="宋体" w:eastAsia="宋体" w:hint="default"/>
                <w:spacing w:val="-73"/>
                <w:sz w:val="21"/>
                <w:szCs w:val="21"/>
              </w:rPr>
              <w:t> </w:t>
            </w:r>
            <w:r>
              <w:rPr>
                <w:rFonts w:ascii="宋体" w:hAnsi="宋体" w:cs="宋体" w:eastAsia="宋体" w:hint="default"/>
                <w:sz w:val="21"/>
                <w:szCs w:val="21"/>
              </w:rPr>
              <w:t>待</w:t>
            </w:r>
            <w:r>
              <w:rPr>
                <w:rFonts w:ascii="宋体" w:hAnsi="宋体" w:cs="宋体" w:eastAsia="宋体" w:hint="default"/>
                <w:spacing w:val="-73"/>
                <w:sz w:val="21"/>
                <w:szCs w:val="21"/>
              </w:rPr>
              <w:t> </w:t>
            </w:r>
            <w:r>
              <w:rPr>
                <w:rFonts w:ascii="宋体" w:hAnsi="宋体" w:cs="宋体" w:eastAsia="宋体" w:hint="default"/>
                <w:sz w:val="21"/>
                <w:szCs w:val="21"/>
              </w:rPr>
              <w:t>摊</w:t>
            </w:r>
            <w:r>
              <w:rPr>
                <w:rFonts w:ascii="宋体" w:hAnsi="宋体" w:cs="宋体" w:eastAsia="宋体" w:hint="default"/>
                <w:spacing w:val="-71"/>
                <w:sz w:val="21"/>
                <w:szCs w:val="21"/>
              </w:rPr>
              <w:t> </w:t>
            </w:r>
            <w:r>
              <w:rPr>
                <w:rFonts w:ascii="宋体" w:hAnsi="宋体" w:cs="宋体" w:eastAsia="宋体" w:hint="default"/>
                <w:sz w:val="21"/>
                <w:szCs w:val="21"/>
              </w:rPr>
              <w:t>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1,410,708.48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0.21%</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2,277,225.03</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0.65%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-38.05%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主要系</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37" w:lineRule="auto" w:before="2"/>
              <w:ind w:left="100" w:right="59"/>
              <w:jc w:val="both"/>
              <w:rPr>
                <w:rFonts w:ascii="宋体" w:hAnsi="宋体" w:cs="宋体" w:eastAsia="宋体" w:hint="default"/>
                <w:sz w:val="21"/>
                <w:szCs w:val="21"/>
              </w:rPr>
            </w:pPr>
            <w:r>
              <w:rPr>
                <w:rFonts w:ascii="宋体" w:hAnsi="宋体" w:cs="宋体" w:eastAsia="宋体" w:hint="default"/>
                <w:spacing w:val="26"/>
                <w:sz w:val="21"/>
                <w:szCs w:val="21"/>
              </w:rPr>
              <w:t>新租办</w:t>
            </w:r>
            <w:r>
              <w:rPr>
                <w:rFonts w:ascii="宋体" w:hAnsi="宋体" w:cs="宋体" w:eastAsia="宋体" w:hint="default"/>
                <w:spacing w:val="-100"/>
                <w:sz w:val="21"/>
                <w:szCs w:val="21"/>
              </w:rPr>
              <w:t> </w:t>
            </w:r>
            <w:r>
              <w:rPr>
                <w:rFonts w:ascii="宋体" w:hAnsi="宋体" w:cs="宋体" w:eastAsia="宋体" w:hint="default"/>
                <w:spacing w:val="26"/>
                <w:sz w:val="21"/>
                <w:szCs w:val="21"/>
              </w:rPr>
              <w:t>公场地</w:t>
            </w:r>
            <w:r>
              <w:rPr>
                <w:rFonts w:ascii="宋体" w:hAnsi="宋体" w:cs="宋体" w:eastAsia="宋体" w:hint="default"/>
                <w:spacing w:val="-100"/>
                <w:sz w:val="21"/>
                <w:szCs w:val="21"/>
              </w:rPr>
              <w:t> </w:t>
            </w:r>
            <w:r>
              <w:rPr>
                <w:rFonts w:ascii="宋体" w:hAnsi="宋体" w:cs="宋体" w:eastAsia="宋体" w:hint="default"/>
                <w:spacing w:val="26"/>
                <w:sz w:val="21"/>
                <w:szCs w:val="21"/>
              </w:rPr>
              <w:t>正常摊</w:t>
            </w:r>
            <w:r>
              <w:rPr>
                <w:rFonts w:ascii="宋体" w:hAnsi="宋体" w:cs="宋体" w:eastAsia="宋体" w:hint="default"/>
                <w:spacing w:val="-100"/>
                <w:sz w:val="21"/>
                <w:szCs w:val="21"/>
              </w:rPr>
              <w:t> </w:t>
            </w:r>
            <w:r>
              <w:rPr>
                <w:rFonts w:ascii="宋体" w:hAnsi="宋体" w:cs="宋体" w:eastAsia="宋体" w:hint="default"/>
                <w:spacing w:val="26"/>
                <w:sz w:val="21"/>
                <w:szCs w:val="21"/>
              </w:rPr>
              <w:t>销装修</w:t>
            </w:r>
            <w:r>
              <w:rPr>
                <w:rFonts w:ascii="宋体" w:hAnsi="宋体" w:cs="宋体" w:eastAsia="宋体" w:hint="default"/>
                <w:spacing w:val="-100"/>
                <w:sz w:val="21"/>
                <w:szCs w:val="21"/>
              </w:rPr>
              <w:t> </w:t>
            </w:r>
            <w:r>
              <w:rPr>
                <w:rFonts w:ascii="宋体" w:hAnsi="宋体" w:cs="宋体" w:eastAsia="宋体" w:hint="default"/>
                <w:sz w:val="21"/>
                <w:szCs w:val="21"/>
              </w:rPr>
              <w:t>费所致</w:t>
            </w:r>
          </w:p>
        </w:tc>
      </w:tr>
      <w:tr>
        <w:trPr>
          <w:trHeight w:val="1373"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递</w:t>
            </w:r>
            <w:r>
              <w:rPr>
                <w:rFonts w:ascii="宋体" w:hAnsi="宋体" w:cs="宋体" w:eastAsia="宋体" w:hint="default"/>
                <w:spacing w:val="-73"/>
                <w:sz w:val="21"/>
                <w:szCs w:val="21"/>
              </w:rPr>
              <w:t> </w:t>
            </w:r>
            <w:r>
              <w:rPr>
                <w:rFonts w:ascii="宋体" w:hAnsi="宋体" w:cs="宋体" w:eastAsia="宋体" w:hint="default"/>
                <w:sz w:val="21"/>
                <w:szCs w:val="21"/>
              </w:rPr>
              <w:t>延</w:t>
            </w:r>
            <w:r>
              <w:rPr>
                <w:rFonts w:ascii="宋体" w:hAnsi="宋体" w:cs="宋体" w:eastAsia="宋体" w:hint="default"/>
                <w:spacing w:val="-73"/>
                <w:sz w:val="21"/>
                <w:szCs w:val="21"/>
              </w:rPr>
              <w:t> </w:t>
            </w:r>
            <w:r>
              <w:rPr>
                <w:rFonts w:ascii="宋体" w:hAnsi="宋体" w:cs="宋体" w:eastAsia="宋体" w:hint="default"/>
                <w:sz w:val="21"/>
                <w:szCs w:val="21"/>
              </w:rPr>
              <w:t>所</w:t>
            </w:r>
            <w:r>
              <w:rPr>
                <w:rFonts w:ascii="宋体" w:hAnsi="宋体" w:cs="宋体" w:eastAsia="宋体" w:hint="default"/>
                <w:spacing w:val="-73"/>
                <w:sz w:val="21"/>
                <w:szCs w:val="21"/>
              </w:rPr>
              <w:t> </w:t>
            </w:r>
            <w:r>
              <w:rPr>
                <w:rFonts w:ascii="宋体" w:hAnsi="宋体" w:cs="宋体" w:eastAsia="宋体" w:hint="default"/>
                <w:sz w:val="21"/>
                <w:szCs w:val="21"/>
              </w:rPr>
              <w:t>得</w:t>
            </w:r>
            <w:r>
              <w:rPr>
                <w:rFonts w:ascii="宋体" w:hAnsi="宋体" w:cs="宋体" w:eastAsia="宋体" w:hint="default"/>
                <w:spacing w:val="-71"/>
                <w:sz w:val="21"/>
                <w:szCs w:val="21"/>
              </w:rPr>
              <w:t> </w:t>
            </w:r>
            <w:r>
              <w:rPr>
                <w:rFonts w:ascii="宋体" w:hAnsi="宋体" w:cs="宋体" w:eastAsia="宋体" w:hint="default"/>
                <w:sz w:val="21"/>
                <w:szCs w:val="21"/>
              </w:rPr>
              <w:t>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1,769,779.68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0.27%</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1,203,975.83</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0.34%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46.99%</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主要系</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37" w:lineRule="auto" w:before="2"/>
              <w:ind w:left="100" w:right="59"/>
              <w:jc w:val="both"/>
              <w:rPr>
                <w:rFonts w:ascii="宋体" w:hAnsi="宋体" w:cs="宋体" w:eastAsia="宋体" w:hint="default"/>
                <w:sz w:val="21"/>
                <w:szCs w:val="21"/>
              </w:rPr>
            </w:pPr>
            <w:r>
              <w:rPr>
                <w:rFonts w:ascii="宋体" w:hAnsi="宋体" w:cs="宋体" w:eastAsia="宋体" w:hint="default"/>
                <w:spacing w:val="26"/>
                <w:sz w:val="21"/>
                <w:szCs w:val="21"/>
              </w:rPr>
              <w:t>坏账准</w:t>
            </w:r>
            <w:r>
              <w:rPr>
                <w:rFonts w:ascii="宋体" w:hAnsi="宋体" w:cs="宋体" w:eastAsia="宋体" w:hint="default"/>
                <w:spacing w:val="-100"/>
                <w:sz w:val="21"/>
                <w:szCs w:val="21"/>
              </w:rPr>
              <w:t> </w:t>
            </w:r>
            <w:r>
              <w:rPr>
                <w:rFonts w:ascii="宋体" w:hAnsi="宋体" w:cs="宋体" w:eastAsia="宋体" w:hint="default"/>
                <w:spacing w:val="26"/>
                <w:sz w:val="21"/>
                <w:szCs w:val="21"/>
              </w:rPr>
              <w:t>备计提</w:t>
            </w:r>
            <w:r>
              <w:rPr>
                <w:rFonts w:ascii="宋体" w:hAnsi="宋体" w:cs="宋体" w:eastAsia="宋体" w:hint="default"/>
                <w:spacing w:val="-100"/>
                <w:sz w:val="21"/>
                <w:szCs w:val="21"/>
              </w:rPr>
              <w:t> </w:t>
            </w:r>
            <w:r>
              <w:rPr>
                <w:rFonts w:ascii="宋体" w:hAnsi="宋体" w:cs="宋体" w:eastAsia="宋体" w:hint="default"/>
                <w:spacing w:val="26"/>
                <w:sz w:val="21"/>
                <w:szCs w:val="21"/>
              </w:rPr>
              <w:t>增加所</w:t>
            </w:r>
            <w:r>
              <w:rPr>
                <w:rFonts w:ascii="宋体" w:hAnsi="宋体" w:cs="宋体" w:eastAsia="宋体" w:hint="default"/>
                <w:spacing w:val="-100"/>
                <w:sz w:val="21"/>
                <w:szCs w:val="21"/>
              </w:rPr>
              <w:t> </w:t>
            </w:r>
            <w:r>
              <w:rPr>
                <w:rFonts w:ascii="宋体" w:hAnsi="宋体" w:cs="宋体" w:eastAsia="宋体" w:hint="default"/>
                <w:sz w:val="21"/>
                <w:szCs w:val="21"/>
              </w:rPr>
              <w:t>致</w:t>
            </w:r>
          </w:p>
        </w:tc>
      </w:tr>
      <w:tr>
        <w:trPr>
          <w:trHeight w:val="1645"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40,597,604.20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6.14%</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8,799,138.10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2.49%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361.38%</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系报告</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37" w:lineRule="auto"/>
              <w:ind w:left="100" w:right="59"/>
              <w:jc w:val="both"/>
              <w:rPr>
                <w:rFonts w:ascii="宋体" w:hAnsi="宋体" w:cs="宋体" w:eastAsia="宋体" w:hint="default"/>
                <w:sz w:val="21"/>
                <w:szCs w:val="21"/>
              </w:rPr>
            </w:pPr>
            <w:r>
              <w:rPr>
                <w:rFonts w:ascii="宋体" w:hAnsi="宋体" w:cs="宋体" w:eastAsia="宋体" w:hint="default"/>
                <w:spacing w:val="26"/>
                <w:sz w:val="21"/>
                <w:szCs w:val="21"/>
              </w:rPr>
              <w:t>期末未</w:t>
            </w:r>
            <w:r>
              <w:rPr>
                <w:rFonts w:ascii="宋体" w:hAnsi="宋体" w:cs="宋体" w:eastAsia="宋体" w:hint="default"/>
                <w:spacing w:val="-100"/>
                <w:sz w:val="21"/>
                <w:szCs w:val="21"/>
              </w:rPr>
              <w:t> </w:t>
            </w:r>
            <w:r>
              <w:rPr>
                <w:rFonts w:ascii="宋体" w:hAnsi="宋体" w:cs="宋体" w:eastAsia="宋体" w:hint="default"/>
                <w:spacing w:val="26"/>
                <w:sz w:val="21"/>
                <w:szCs w:val="21"/>
              </w:rPr>
              <w:t>结算应</w:t>
            </w:r>
            <w:r>
              <w:rPr>
                <w:rFonts w:ascii="宋体" w:hAnsi="宋体" w:cs="宋体" w:eastAsia="宋体" w:hint="default"/>
                <w:spacing w:val="-100"/>
                <w:sz w:val="21"/>
                <w:szCs w:val="21"/>
              </w:rPr>
              <w:t> </w:t>
            </w:r>
            <w:r>
              <w:rPr>
                <w:rFonts w:ascii="宋体" w:hAnsi="宋体" w:cs="宋体" w:eastAsia="宋体" w:hint="default"/>
                <w:spacing w:val="26"/>
                <w:sz w:val="21"/>
                <w:szCs w:val="21"/>
              </w:rPr>
              <w:t>付账款</w:t>
            </w:r>
            <w:r>
              <w:rPr>
                <w:rFonts w:ascii="宋体" w:hAnsi="宋体" w:cs="宋体" w:eastAsia="宋体" w:hint="default"/>
                <w:spacing w:val="-100"/>
                <w:sz w:val="21"/>
                <w:szCs w:val="21"/>
              </w:rPr>
              <w:t> </w:t>
            </w:r>
            <w:r>
              <w:rPr>
                <w:rFonts w:ascii="宋体" w:hAnsi="宋体" w:cs="宋体" w:eastAsia="宋体" w:hint="default"/>
                <w:spacing w:val="26"/>
                <w:sz w:val="21"/>
                <w:szCs w:val="21"/>
              </w:rPr>
              <w:t>增加所</w:t>
            </w:r>
            <w:r>
              <w:rPr>
                <w:rFonts w:ascii="宋体" w:hAnsi="宋体" w:cs="宋体" w:eastAsia="宋体" w:hint="default"/>
                <w:spacing w:val="-100"/>
                <w:sz w:val="21"/>
                <w:szCs w:val="21"/>
              </w:rPr>
              <w:t> </w:t>
            </w:r>
            <w:r>
              <w:rPr>
                <w:rFonts w:ascii="宋体" w:hAnsi="宋体" w:cs="宋体" w:eastAsia="宋体" w:hint="default"/>
                <w:sz w:val="21"/>
                <w:szCs w:val="21"/>
              </w:rPr>
              <w:t>致</w:t>
            </w:r>
          </w:p>
        </w:tc>
      </w:tr>
      <w:tr>
        <w:trPr>
          <w:trHeight w:val="1099"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73"/>
                <w:sz w:val="21"/>
                <w:szCs w:val="21"/>
              </w:rPr>
              <w:t> </w:t>
            </w:r>
            <w:r>
              <w:rPr>
                <w:rFonts w:ascii="宋体" w:hAnsi="宋体" w:cs="宋体" w:eastAsia="宋体" w:hint="default"/>
                <w:sz w:val="21"/>
                <w:szCs w:val="21"/>
              </w:rPr>
              <w:t>付</w:t>
            </w:r>
            <w:r>
              <w:rPr>
                <w:rFonts w:ascii="宋体" w:hAnsi="宋体" w:cs="宋体" w:eastAsia="宋体" w:hint="default"/>
                <w:spacing w:val="-73"/>
                <w:sz w:val="21"/>
                <w:szCs w:val="21"/>
              </w:rPr>
              <w:t> </w:t>
            </w:r>
            <w:r>
              <w:rPr>
                <w:rFonts w:ascii="宋体" w:hAnsi="宋体" w:cs="宋体" w:eastAsia="宋体" w:hint="default"/>
                <w:sz w:val="21"/>
                <w:szCs w:val="21"/>
              </w:rPr>
              <w:t>职</w:t>
            </w:r>
            <w:r>
              <w:rPr>
                <w:rFonts w:ascii="宋体" w:hAnsi="宋体" w:cs="宋体" w:eastAsia="宋体" w:hint="default"/>
                <w:spacing w:val="-73"/>
                <w:sz w:val="21"/>
                <w:szCs w:val="21"/>
              </w:rPr>
              <w:t> </w:t>
            </w:r>
            <w:r>
              <w:rPr>
                <w:rFonts w:ascii="宋体" w:hAnsi="宋体" w:cs="宋体" w:eastAsia="宋体" w:hint="default"/>
                <w:sz w:val="21"/>
                <w:szCs w:val="21"/>
              </w:rPr>
              <w:t>工</w:t>
            </w:r>
            <w:r>
              <w:rPr>
                <w:rFonts w:ascii="宋体" w:hAnsi="宋体" w:cs="宋体" w:eastAsia="宋体" w:hint="default"/>
                <w:spacing w:val="-71"/>
                <w:sz w:val="21"/>
                <w:szCs w:val="21"/>
              </w:rPr>
              <w:t> </w:t>
            </w:r>
            <w:r>
              <w:rPr>
                <w:rFonts w:ascii="宋体" w:hAnsi="宋体" w:cs="宋体" w:eastAsia="宋体" w:hint="default"/>
                <w:sz w:val="21"/>
                <w:szCs w:val="21"/>
              </w:rPr>
              <w:t>薪</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酬</w:t>
            </w:r>
          </w:p>
        </w:tc>
        <w:tc>
          <w:tcPr>
            <w:tcW w:w="152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21,025.29</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系本期</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37" w:lineRule="auto"/>
              <w:ind w:left="100" w:right="59"/>
              <w:jc w:val="both"/>
              <w:rPr>
                <w:rFonts w:ascii="宋体" w:hAnsi="宋体" w:cs="宋体" w:eastAsia="宋体" w:hint="default"/>
                <w:sz w:val="21"/>
                <w:szCs w:val="21"/>
              </w:rPr>
            </w:pPr>
            <w:r>
              <w:rPr>
                <w:rFonts w:ascii="宋体" w:hAnsi="宋体" w:cs="宋体" w:eastAsia="宋体" w:hint="default"/>
                <w:spacing w:val="26"/>
                <w:sz w:val="21"/>
                <w:szCs w:val="21"/>
              </w:rPr>
              <w:t>支付上</w:t>
            </w:r>
            <w:r>
              <w:rPr>
                <w:rFonts w:ascii="宋体" w:hAnsi="宋体" w:cs="宋体" w:eastAsia="宋体" w:hint="default"/>
                <w:spacing w:val="-100"/>
                <w:sz w:val="21"/>
                <w:szCs w:val="21"/>
              </w:rPr>
              <w:t> </w:t>
            </w:r>
            <w:r>
              <w:rPr>
                <w:rFonts w:ascii="宋体" w:hAnsi="宋体" w:cs="宋体" w:eastAsia="宋体" w:hint="default"/>
                <w:spacing w:val="26"/>
                <w:sz w:val="21"/>
                <w:szCs w:val="21"/>
              </w:rPr>
              <w:t>期余额</w:t>
            </w:r>
            <w:r>
              <w:rPr>
                <w:rFonts w:ascii="宋体" w:hAnsi="宋体" w:cs="宋体" w:eastAsia="宋体" w:hint="default"/>
                <w:spacing w:val="-100"/>
                <w:sz w:val="21"/>
                <w:szCs w:val="21"/>
              </w:rPr>
              <w:t> </w:t>
            </w:r>
            <w:r>
              <w:rPr>
                <w:rFonts w:ascii="宋体" w:hAnsi="宋体" w:cs="宋体" w:eastAsia="宋体" w:hint="default"/>
                <w:sz w:val="21"/>
                <w:szCs w:val="21"/>
              </w:rPr>
              <w:t>所致</w:t>
            </w:r>
          </w:p>
        </w:tc>
      </w:tr>
      <w:tr>
        <w:trPr>
          <w:trHeight w:val="1176"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6,335,503.33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0.96%</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4,470,834.63</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1.27%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41.71%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pacing w:val="86"/>
                <w:sz w:val="18"/>
                <w:szCs w:val="18"/>
              </w:rPr>
              <w:t>系报</w:t>
            </w:r>
            <w:r>
              <w:rPr>
                <w:rFonts w:ascii="宋体" w:hAnsi="宋体" w:cs="宋体" w:eastAsia="宋体" w:hint="default"/>
                <w:sz w:val="18"/>
                <w:szCs w:val="18"/>
              </w:rPr>
              <w:t>告</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37" w:lineRule="auto"/>
              <w:ind w:left="100" w:right="14"/>
              <w:jc w:val="both"/>
              <w:rPr>
                <w:rFonts w:ascii="宋体" w:hAnsi="宋体" w:cs="宋体" w:eastAsia="宋体" w:hint="default"/>
                <w:sz w:val="18"/>
                <w:szCs w:val="18"/>
              </w:rPr>
            </w:pPr>
            <w:r>
              <w:rPr>
                <w:rFonts w:ascii="宋体" w:hAnsi="宋体" w:cs="宋体" w:eastAsia="宋体" w:hint="default"/>
                <w:spacing w:val="57"/>
                <w:sz w:val="18"/>
                <w:szCs w:val="18"/>
              </w:rPr>
              <w:t>期末员</w:t>
            </w:r>
            <w:r>
              <w:rPr>
                <w:rFonts w:ascii="宋体" w:hAnsi="宋体" w:cs="宋体" w:eastAsia="宋体" w:hint="default"/>
                <w:spacing w:val="-4"/>
                <w:sz w:val="18"/>
                <w:szCs w:val="18"/>
              </w:rPr>
              <w:t> </w:t>
            </w:r>
            <w:r>
              <w:rPr>
                <w:rFonts w:ascii="宋体" w:hAnsi="宋体" w:cs="宋体" w:eastAsia="宋体" w:hint="default"/>
                <w:spacing w:val="57"/>
                <w:sz w:val="18"/>
                <w:szCs w:val="18"/>
              </w:rPr>
              <w:t>工报销</w:t>
            </w:r>
            <w:r>
              <w:rPr>
                <w:rFonts w:ascii="宋体" w:hAnsi="宋体" w:cs="宋体" w:eastAsia="宋体" w:hint="default"/>
                <w:spacing w:val="-4"/>
                <w:sz w:val="18"/>
                <w:szCs w:val="18"/>
              </w:rPr>
              <w:t> </w:t>
            </w:r>
            <w:r>
              <w:rPr>
                <w:rFonts w:ascii="宋体" w:hAnsi="宋体" w:cs="宋体" w:eastAsia="宋体" w:hint="default"/>
                <w:spacing w:val="57"/>
                <w:sz w:val="18"/>
                <w:szCs w:val="18"/>
              </w:rPr>
              <w:t>款余额</w:t>
            </w:r>
            <w:r>
              <w:rPr>
                <w:rFonts w:ascii="宋体" w:hAnsi="宋体" w:cs="宋体" w:eastAsia="宋体" w:hint="default"/>
                <w:spacing w:val="-4"/>
                <w:sz w:val="18"/>
                <w:szCs w:val="18"/>
              </w:rPr>
              <w:t> </w:t>
            </w:r>
            <w:r>
              <w:rPr>
                <w:rFonts w:ascii="宋体" w:hAnsi="宋体" w:cs="宋体" w:eastAsia="宋体" w:hint="default"/>
                <w:sz w:val="18"/>
                <w:szCs w:val="18"/>
              </w:rPr>
              <w:t>增加</w:t>
            </w:r>
          </w:p>
        </w:tc>
      </w:tr>
      <w:tr>
        <w:trPr>
          <w:trHeight w:val="557"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宋体" w:hAnsi="宋体" w:cs="宋体" w:eastAsia="宋体" w:hint="default"/>
                <w:sz w:val="21"/>
                <w:szCs w:val="21"/>
              </w:rPr>
              <w:t>内</w:t>
            </w:r>
            <w:r>
              <w:rPr>
                <w:rFonts w:ascii="宋体" w:hAnsi="宋体" w:cs="宋体" w:eastAsia="宋体" w:hint="default"/>
                <w:spacing w:val="-73"/>
                <w:sz w:val="21"/>
                <w:szCs w:val="21"/>
              </w:rPr>
              <w:t> </w:t>
            </w:r>
            <w:r>
              <w:rPr>
                <w:rFonts w:ascii="宋体" w:hAnsi="宋体" w:cs="宋体" w:eastAsia="宋体" w:hint="default"/>
                <w:sz w:val="21"/>
                <w:szCs w:val="21"/>
              </w:rPr>
              <w:t>到</w:t>
            </w:r>
            <w:r>
              <w:rPr>
                <w:rFonts w:ascii="宋体" w:hAnsi="宋体" w:cs="宋体" w:eastAsia="宋体" w:hint="default"/>
                <w:spacing w:val="-71"/>
                <w:sz w:val="21"/>
                <w:szCs w:val="21"/>
              </w:rPr>
              <w:t> </w:t>
            </w:r>
            <w:r>
              <w:rPr>
                <w:rFonts w:ascii="宋体" w:hAnsi="宋体" w:cs="宋体" w:eastAsia="宋体" w:hint="default"/>
                <w:sz w:val="21"/>
                <w:szCs w:val="21"/>
              </w:rPr>
              <w:t>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73"/>
                <w:sz w:val="21"/>
                <w:szCs w:val="21"/>
              </w:rPr>
              <w:t> </w:t>
            </w:r>
            <w:r>
              <w:rPr>
                <w:rFonts w:ascii="宋体" w:hAnsi="宋体" w:cs="宋体" w:eastAsia="宋体" w:hint="default"/>
                <w:sz w:val="21"/>
                <w:szCs w:val="21"/>
              </w:rPr>
              <w:t>非</w:t>
            </w:r>
            <w:r>
              <w:rPr>
                <w:rFonts w:ascii="宋体" w:hAnsi="宋体" w:cs="宋体" w:eastAsia="宋体" w:hint="default"/>
                <w:spacing w:val="-73"/>
                <w:sz w:val="21"/>
                <w:szCs w:val="21"/>
              </w:rPr>
              <w:t> </w:t>
            </w:r>
            <w:r>
              <w:rPr>
                <w:rFonts w:ascii="宋体" w:hAnsi="宋体" w:cs="宋体" w:eastAsia="宋体" w:hint="default"/>
                <w:sz w:val="21"/>
                <w:szCs w:val="21"/>
              </w:rPr>
              <w:t>流</w:t>
            </w:r>
            <w:r>
              <w:rPr>
                <w:rFonts w:ascii="宋体" w:hAnsi="宋体" w:cs="宋体" w:eastAsia="宋体" w:hint="default"/>
                <w:spacing w:val="-73"/>
                <w:sz w:val="21"/>
                <w:szCs w:val="21"/>
              </w:rPr>
              <w:t> </w:t>
            </w:r>
            <w:r>
              <w:rPr>
                <w:rFonts w:ascii="宋体" w:hAnsi="宋体" w:cs="宋体" w:eastAsia="宋体" w:hint="default"/>
                <w:sz w:val="21"/>
                <w:szCs w:val="21"/>
              </w:rPr>
              <w:t>动</w:t>
            </w:r>
            <w:r>
              <w:rPr>
                <w:rFonts w:ascii="宋体" w:hAnsi="宋体" w:cs="宋体" w:eastAsia="宋体" w:hint="default"/>
                <w:spacing w:val="-71"/>
                <w:sz w:val="21"/>
                <w:szCs w:val="21"/>
              </w:rPr>
              <w:t> </w:t>
            </w:r>
            <w:r>
              <w:rPr>
                <w:rFonts w:ascii="宋体" w:hAnsi="宋体" w:cs="宋体" w:eastAsia="宋体" w:hint="default"/>
                <w:sz w:val="21"/>
                <w:szCs w:val="21"/>
              </w:rPr>
              <w:t>负</w:t>
            </w:r>
          </w:p>
        </w:tc>
        <w:tc>
          <w:tcPr>
            <w:tcW w:w="152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3,380,000.00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0.96%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86"/>
                <w:sz w:val="18"/>
                <w:szCs w:val="18"/>
              </w:rPr>
              <w:t>报告</w:t>
            </w:r>
            <w:r>
              <w:rPr>
                <w:rFonts w:ascii="宋体" w:hAnsi="宋体" w:cs="宋体" w:eastAsia="宋体" w:hint="default"/>
                <w:sz w:val="18"/>
                <w:szCs w:val="18"/>
              </w:rPr>
              <w:t>期</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86"/>
                <w:sz w:val="18"/>
                <w:szCs w:val="18"/>
              </w:rPr>
              <w:t>内偿</w:t>
            </w:r>
            <w:r>
              <w:rPr>
                <w:rFonts w:ascii="宋体" w:hAnsi="宋体" w:cs="宋体" w:eastAsia="宋体" w:hint="default"/>
                <w:sz w:val="18"/>
                <w:szCs w:val="18"/>
              </w:rPr>
              <w:t>还</w:t>
            </w:r>
            <w:r>
              <w:rPr>
                <w:rFonts w:ascii="宋体" w:hAnsi="宋体" w:cs="宋体" w:eastAsia="宋体" w:hint="default"/>
                <w:spacing w:val="-4"/>
                <w:sz w:val="18"/>
                <w:szCs w:val="18"/>
              </w:rPr>
              <w:t> </w:t>
            </w:r>
            <w:r>
              <w:rPr>
                <w:rFonts w:ascii="宋体" w:hAnsi="宋体" w:cs="宋体" w:eastAsia="宋体" w:hint="default"/>
                <w:sz w:val="18"/>
                <w:szCs w:val="18"/>
              </w:rPr>
            </w:r>
          </w:p>
        </w:tc>
      </w:tr>
    </w:tbl>
    <w:p>
      <w:pPr>
        <w:spacing w:after="0" w:line="234" w:lineRule="exact"/>
        <w:jc w:val="left"/>
        <w:rPr>
          <w:rFonts w:ascii="宋体" w:hAnsi="宋体" w:cs="宋体" w:eastAsia="宋体" w:hint="default"/>
          <w:sz w:val="18"/>
          <w:szCs w:val="18"/>
        </w:rPr>
        <w:sectPr>
          <w:footerReference w:type="default" r:id="rId24"/>
          <w:pgSz w:w="11910" w:h="16840"/>
          <w:pgMar w:footer="1195" w:header="880" w:top="1120" w:bottom="1380" w:left="1580" w:right="1040"/>
          <w:pgNumType w:start="21"/>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397"/>
        <w:gridCol w:w="1529"/>
        <w:gridCol w:w="1270"/>
        <w:gridCol w:w="1515"/>
        <w:gridCol w:w="1226"/>
        <w:gridCol w:w="1186"/>
        <w:gridCol w:w="926"/>
      </w:tblGrid>
      <w:tr>
        <w:trPr>
          <w:trHeight w:val="720"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债</w:t>
            </w:r>
          </w:p>
        </w:tc>
        <w:tc>
          <w:tcPr>
            <w:tcW w:w="152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86"/>
                <w:sz w:val="18"/>
                <w:szCs w:val="18"/>
              </w:rPr>
              <w:t>剩余</w:t>
            </w:r>
            <w:r>
              <w:rPr>
                <w:rFonts w:ascii="宋体" w:hAnsi="宋体" w:cs="宋体" w:eastAsia="宋体" w:hint="default"/>
                <w:sz w:val="18"/>
                <w:szCs w:val="18"/>
              </w:rPr>
              <w:t>房</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贷</w:t>
            </w:r>
          </w:p>
        </w:tc>
      </w:tr>
      <w:tr>
        <w:trPr>
          <w:trHeight w:val="1099"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2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2,535,000.00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0.72%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报告期</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37" w:lineRule="auto"/>
              <w:ind w:left="100" w:right="59"/>
              <w:jc w:val="both"/>
              <w:rPr>
                <w:rFonts w:ascii="宋体" w:hAnsi="宋体" w:cs="宋体" w:eastAsia="宋体" w:hint="default"/>
                <w:sz w:val="21"/>
                <w:szCs w:val="21"/>
              </w:rPr>
            </w:pPr>
            <w:r>
              <w:rPr>
                <w:rFonts w:ascii="宋体" w:hAnsi="宋体" w:cs="宋体" w:eastAsia="宋体" w:hint="default"/>
                <w:spacing w:val="26"/>
                <w:sz w:val="21"/>
                <w:szCs w:val="21"/>
              </w:rPr>
              <w:t>内偿还</w:t>
            </w:r>
            <w:r>
              <w:rPr>
                <w:rFonts w:ascii="宋体" w:hAnsi="宋体" w:cs="宋体" w:eastAsia="宋体" w:hint="default"/>
                <w:spacing w:val="-100"/>
                <w:sz w:val="21"/>
                <w:szCs w:val="21"/>
              </w:rPr>
              <w:t> </w:t>
            </w:r>
            <w:r>
              <w:rPr>
                <w:rFonts w:ascii="宋体" w:hAnsi="宋体" w:cs="宋体" w:eastAsia="宋体" w:hint="default"/>
                <w:spacing w:val="26"/>
                <w:sz w:val="21"/>
                <w:szCs w:val="21"/>
              </w:rPr>
              <w:t>剩余房</w:t>
            </w:r>
            <w:r>
              <w:rPr>
                <w:rFonts w:ascii="宋体" w:hAnsi="宋体" w:cs="宋体" w:eastAsia="宋体" w:hint="default"/>
                <w:spacing w:val="-100"/>
                <w:sz w:val="21"/>
                <w:szCs w:val="21"/>
              </w:rPr>
              <w:t> </w:t>
            </w:r>
            <w:r>
              <w:rPr>
                <w:rFonts w:ascii="宋体" w:hAnsi="宋体" w:cs="宋体" w:eastAsia="宋体" w:hint="default"/>
                <w:sz w:val="21"/>
                <w:szCs w:val="21"/>
              </w:rPr>
              <w:t>贷</w:t>
            </w:r>
          </w:p>
        </w:tc>
      </w:tr>
      <w:tr>
        <w:trPr>
          <w:trHeight w:val="1645"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68" w:right="0"/>
              <w:jc w:val="left"/>
              <w:rPr>
                <w:rFonts w:ascii="Times New Roman" w:hAnsi="Times New Roman" w:cs="Times New Roman" w:eastAsia="Times New Roman" w:hint="default"/>
                <w:sz w:val="21"/>
                <w:szCs w:val="21"/>
              </w:rPr>
            </w:pPr>
            <w:r>
              <w:rPr>
                <w:rFonts w:ascii="Times New Roman"/>
                <w:sz w:val="21"/>
              </w:rPr>
              <w:t>507,849.26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14" w:right="0"/>
              <w:jc w:val="left"/>
              <w:rPr>
                <w:rFonts w:ascii="Times New Roman" w:hAnsi="Times New Roman" w:cs="Times New Roman" w:eastAsia="Times New Roman" w:hint="default"/>
                <w:sz w:val="21"/>
                <w:szCs w:val="21"/>
              </w:rPr>
            </w:pPr>
            <w:r>
              <w:rPr>
                <w:rFonts w:ascii="Times New Roman"/>
                <w:sz w:val="21"/>
              </w:rPr>
              <w:t>0.08%</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846,345.74</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0.24%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-40.00%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系以前</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37" w:lineRule="auto"/>
              <w:ind w:left="100" w:right="59"/>
              <w:jc w:val="both"/>
              <w:rPr>
                <w:rFonts w:ascii="宋体" w:hAnsi="宋体" w:cs="宋体" w:eastAsia="宋体" w:hint="default"/>
                <w:sz w:val="21"/>
                <w:szCs w:val="21"/>
              </w:rPr>
            </w:pPr>
            <w:r>
              <w:rPr>
                <w:rFonts w:ascii="宋体" w:hAnsi="宋体" w:cs="宋体" w:eastAsia="宋体" w:hint="default"/>
                <w:spacing w:val="26"/>
                <w:sz w:val="21"/>
                <w:szCs w:val="21"/>
              </w:rPr>
              <w:t>年度补</w:t>
            </w:r>
            <w:r>
              <w:rPr>
                <w:rFonts w:ascii="宋体" w:hAnsi="宋体" w:cs="宋体" w:eastAsia="宋体" w:hint="default"/>
                <w:spacing w:val="-100"/>
                <w:sz w:val="21"/>
                <w:szCs w:val="21"/>
              </w:rPr>
              <w:t> </w:t>
            </w:r>
            <w:r>
              <w:rPr>
                <w:rFonts w:ascii="宋体" w:hAnsi="宋体" w:cs="宋体" w:eastAsia="宋体" w:hint="default"/>
                <w:spacing w:val="26"/>
                <w:sz w:val="21"/>
                <w:szCs w:val="21"/>
              </w:rPr>
              <w:t>助正常</w:t>
            </w:r>
            <w:r>
              <w:rPr>
                <w:rFonts w:ascii="宋体" w:hAnsi="宋体" w:cs="宋体" w:eastAsia="宋体" w:hint="default"/>
                <w:spacing w:val="-100"/>
                <w:sz w:val="21"/>
                <w:szCs w:val="21"/>
              </w:rPr>
              <w:t> </w:t>
            </w:r>
            <w:r>
              <w:rPr>
                <w:rFonts w:ascii="宋体" w:hAnsi="宋体" w:cs="宋体" w:eastAsia="宋体" w:hint="default"/>
                <w:spacing w:val="26"/>
                <w:sz w:val="21"/>
                <w:szCs w:val="21"/>
              </w:rPr>
              <w:t>结转营</w:t>
            </w:r>
            <w:r>
              <w:rPr>
                <w:rFonts w:ascii="宋体" w:hAnsi="宋体" w:cs="宋体" w:eastAsia="宋体" w:hint="default"/>
                <w:spacing w:val="-100"/>
                <w:sz w:val="21"/>
                <w:szCs w:val="21"/>
              </w:rPr>
              <w:t> </w:t>
            </w:r>
            <w:r>
              <w:rPr>
                <w:rFonts w:ascii="宋体" w:hAnsi="宋体" w:cs="宋体" w:eastAsia="宋体" w:hint="default"/>
                <w:spacing w:val="26"/>
                <w:sz w:val="21"/>
                <w:szCs w:val="21"/>
              </w:rPr>
              <w:t>业外收</w:t>
            </w:r>
            <w:r>
              <w:rPr>
                <w:rFonts w:ascii="宋体" w:hAnsi="宋体" w:cs="宋体" w:eastAsia="宋体" w:hint="default"/>
                <w:spacing w:val="-100"/>
                <w:sz w:val="21"/>
                <w:szCs w:val="21"/>
              </w:rPr>
              <w:t> </w:t>
            </w:r>
            <w:r>
              <w:rPr>
                <w:rFonts w:ascii="宋体" w:hAnsi="宋体" w:cs="宋体" w:eastAsia="宋体" w:hint="default"/>
                <w:sz w:val="21"/>
                <w:szCs w:val="21"/>
              </w:rPr>
              <w:t>入</w:t>
            </w:r>
          </w:p>
        </w:tc>
      </w:tr>
    </w:tbl>
    <w:p>
      <w:pPr>
        <w:spacing w:line="240" w:lineRule="auto" w:before="11"/>
        <w:rPr>
          <w:rFonts w:ascii="Times New Roman" w:hAnsi="Times New Roman" w:cs="Times New Roman" w:eastAsia="Times New Roman" w:hint="default"/>
          <w:sz w:val="14"/>
          <w:szCs w:val="14"/>
        </w:rPr>
      </w:pPr>
    </w:p>
    <w:p>
      <w:pPr>
        <w:pStyle w:val="BodyText"/>
        <w:spacing w:line="232" w:lineRule="auto" w:before="43"/>
        <w:ind w:right="227"/>
        <w:jc w:val="left"/>
      </w:pPr>
      <w:r>
        <w:rPr/>
        <w:t>其他说明</w:t>
      </w:r>
      <w:r>
        <w:rPr>
          <w:w w:val="100"/>
        </w:rPr>
        <w:t> </w:t>
      </w:r>
      <w:r>
        <w:rPr>
          <w:spacing w:val="-1"/>
        </w:rPr>
        <w:t>归属于上市公司股东的净资产、总资产变动原因说明：公司本报告期内在上海证券交易所向社会</w:t>
      </w:r>
      <w:r>
        <w:rPr>
          <w:spacing w:val="-55"/>
        </w:rPr>
        <w:t> </w:t>
      </w:r>
      <w:r>
        <w:rPr>
          <w:spacing w:val="-55"/>
        </w:rPr>
      </w:r>
      <w:r>
        <w:rPr/>
        <w:t>公众发行人民币普通股（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4"/>
        </w:rPr>
        <w:t> </w:t>
      </w:r>
      <w:r>
        <w:rPr/>
        <w:t>股）</w:t>
      </w:r>
      <w:r>
        <w:rPr>
          <w:rFonts w:ascii="Times New Roman" w:hAnsi="Times New Roman" w:cs="Times New Roman" w:eastAsia="Times New Roman" w:hint="default"/>
        </w:rPr>
        <w:t>1,525 </w:t>
      </w:r>
      <w:r>
        <w:rPr/>
        <w:t>万股，募集资金净额为</w:t>
      </w:r>
      <w:r>
        <w:rPr>
          <w:spacing w:val="-50"/>
        </w:rPr>
        <w:t> </w:t>
      </w:r>
      <w:r>
        <w:rPr>
          <w:rFonts w:ascii="Times New Roman" w:hAnsi="Times New Roman" w:cs="Times New Roman" w:eastAsia="Times New Roman" w:hint="default"/>
        </w:rPr>
        <w:t>21,277.17 </w:t>
      </w:r>
      <w:r>
        <w:rPr/>
        <w:t>万元，导致该两项指标大</w:t>
      </w:r>
      <w:r>
        <w:rPr>
          <w:w w:val="100"/>
        </w:rPr>
        <w:t> </w:t>
      </w:r>
      <w:r>
        <w:rPr/>
        <w:t>幅增加。</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2"/>
        <w:tabs>
          <w:tab w:pos="642" w:val="left" w:leader="none"/>
        </w:tabs>
        <w:spacing w:line="240" w:lineRule="auto"/>
        <w:ind w:right="2465"/>
        <w:jc w:val="left"/>
        <w:rPr>
          <w:b w:val="0"/>
          <w:bCs w:val="0"/>
        </w:rPr>
      </w:pPr>
      <w:r>
        <w:rPr>
          <w:rFonts w:ascii="宋体" w:hAnsi="宋体" w:cs="宋体" w:eastAsia="宋体" w:hint="default"/>
          <w:w w:val="95"/>
        </w:rPr>
        <w:t>2.</w:t>
        <w:tab/>
      </w:r>
      <w:r>
        <w:rPr/>
        <w:t>截至报告期末主要资产受限情况</w:t>
      </w:r>
      <w:r>
        <w:rPr>
          <w:b w:val="0"/>
          <w:bCs w:val="0"/>
        </w:rPr>
      </w:r>
    </w:p>
    <w:p>
      <w:pPr>
        <w:pStyle w:val="BodyText"/>
        <w:tabs>
          <w:tab w:pos="1163" w:val="left" w:leader="none"/>
        </w:tabs>
        <w:spacing w:line="240" w:lineRule="auto" w:before="56"/>
        <w:ind w:right="2465"/>
        <w:jc w:val="left"/>
      </w:pPr>
      <w:r>
        <w:rPr/>
        <w:t>√适用</w:t>
        <w:tab/>
        <w:t>□不适用</w:t>
      </w:r>
    </w:p>
    <w:p>
      <w:pPr>
        <w:spacing w:line="240" w:lineRule="auto" w:before="11"/>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823,390.00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票据及保函保证金</w:t>
            </w:r>
          </w:p>
        </w:tc>
      </w:tr>
    </w:tbl>
    <w:p>
      <w:pPr>
        <w:spacing w:line="240" w:lineRule="auto" w:before="13"/>
        <w:rPr>
          <w:rFonts w:ascii="宋体" w:hAnsi="宋体" w:cs="宋体" w:eastAsia="宋体" w:hint="default"/>
          <w:sz w:val="12"/>
          <w:szCs w:val="12"/>
        </w:rPr>
      </w:pPr>
    </w:p>
    <w:p>
      <w:pPr>
        <w:pStyle w:val="BodyText"/>
        <w:spacing w:line="225" w:lineRule="auto" w:before="51"/>
        <w:ind w:right="228"/>
        <w:jc w:val="both"/>
      </w:pPr>
      <w:r>
        <w:rPr>
          <w:spacing w:val="-13"/>
          <w:w w:val="100"/>
        </w:rPr>
        <w:t>另外，</w:t>
      </w:r>
      <w:r>
        <w:rPr>
          <w:rFonts w:ascii="Times New Roman" w:hAnsi="Times New Roman" w:cs="Times New Roman" w:eastAsia="Times New Roman" w:hint="default"/>
          <w:spacing w:val="-13"/>
          <w:w w:val="100"/>
        </w:rPr>
        <w:t>2013</w:t>
      </w:r>
      <w:r>
        <w:rPr>
          <w:rFonts w:ascii="Times New Roman" w:hAnsi="Times New Roman" w:cs="Times New Roman" w:eastAsia="Times New Roman" w:hint="default"/>
          <w:spacing w:val="-4"/>
          <w:w w:val="100"/>
        </w:rPr>
        <w:t> </w:t>
      </w:r>
      <w:r>
        <w:rPr>
          <w:w w:val="100"/>
        </w:rPr>
        <w:t>年</w:t>
      </w:r>
      <w:r>
        <w:rPr>
          <w:spacing w:val="-54"/>
          <w:w w:val="100"/>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4"/>
          <w:w w:val="100"/>
        </w:rPr>
        <w:t> </w:t>
      </w:r>
      <w:r>
        <w:rPr>
          <w:spacing w:val="-6"/>
          <w:w w:val="100"/>
        </w:rPr>
        <w:t>月，公司与上海银行股份有限公司普陀支行签订一系列《法人房产按揭借款合同》</w:t>
      </w:r>
      <w:r>
        <w:rPr>
          <w:w w:val="100"/>
        </w:rPr>
        <w:t> </w:t>
      </w:r>
      <w:r>
        <w:rPr>
          <w:spacing w:val="-7"/>
          <w:w w:val="100"/>
        </w:rPr>
        <w:t>以及《房地产抵押合同》，抵押担保金额分别为</w:t>
      </w:r>
      <w:r>
        <w:rPr>
          <w:w w:val="100"/>
        </w:rPr>
        <w:t> </w:t>
      </w:r>
      <w:r>
        <w:rPr>
          <w:rFonts w:ascii="Times New Roman" w:hAnsi="Times New Roman" w:cs="Times New Roman" w:eastAsia="Times New Roman" w:hint="default"/>
          <w:w w:val="100"/>
        </w:rPr>
        <w:t>346 </w:t>
      </w:r>
      <w:r>
        <w:rPr>
          <w:spacing w:val="-1"/>
          <w:w w:val="100"/>
        </w:rPr>
        <w:t>万元、</w:t>
      </w:r>
      <w:r>
        <w:rPr>
          <w:rFonts w:ascii="Times New Roman" w:hAnsi="Times New Roman" w:cs="Times New Roman" w:eastAsia="Times New Roman" w:hint="default"/>
          <w:spacing w:val="-1"/>
          <w:w w:val="100"/>
        </w:rPr>
        <w:t>532</w:t>
      </w:r>
      <w:r>
        <w:rPr>
          <w:rFonts w:ascii="Times New Roman" w:hAnsi="Times New Roman" w:cs="Times New Roman" w:eastAsia="Times New Roman" w:hint="default"/>
          <w:w w:val="100"/>
        </w:rPr>
        <w:t> </w:t>
      </w:r>
      <w:r>
        <w:rPr>
          <w:spacing w:val="-1"/>
          <w:w w:val="100"/>
        </w:rPr>
        <w:t>万元、</w:t>
      </w:r>
      <w:r>
        <w:rPr>
          <w:rFonts w:ascii="Times New Roman" w:hAnsi="Times New Roman" w:cs="Times New Roman" w:eastAsia="Times New Roman" w:hint="default"/>
          <w:spacing w:val="-1"/>
          <w:w w:val="100"/>
        </w:rPr>
        <w:t>162</w:t>
      </w:r>
      <w:r>
        <w:rPr>
          <w:rFonts w:ascii="Times New Roman" w:hAnsi="Times New Roman" w:cs="Times New Roman" w:eastAsia="Times New Roman" w:hint="default"/>
          <w:w w:val="100"/>
        </w:rPr>
        <w:t> </w:t>
      </w:r>
      <w:r>
        <w:rPr>
          <w:spacing w:val="-1"/>
          <w:w w:val="100"/>
        </w:rPr>
        <w:t>万元、</w:t>
      </w:r>
      <w:r>
        <w:rPr>
          <w:rFonts w:ascii="Times New Roman" w:hAnsi="Times New Roman" w:cs="Times New Roman" w:eastAsia="Times New Roman" w:hint="default"/>
          <w:spacing w:val="-1"/>
          <w:w w:val="100"/>
        </w:rPr>
        <w:t>382</w:t>
      </w:r>
      <w:r>
        <w:rPr>
          <w:rFonts w:ascii="Times New Roman" w:hAnsi="Times New Roman" w:cs="Times New Roman" w:eastAsia="Times New Roman" w:hint="default"/>
          <w:w w:val="100"/>
        </w:rPr>
        <w:t> </w:t>
      </w:r>
      <w:r>
        <w:rPr>
          <w:spacing w:val="-1"/>
          <w:w w:val="100"/>
        </w:rPr>
        <w:t>万元和</w:t>
      </w:r>
      <w:r>
        <w:rPr>
          <w:spacing w:val="17"/>
          <w:w w:val="100"/>
        </w:rPr>
        <w:t> </w:t>
      </w:r>
      <w:r>
        <w:rPr>
          <w:rFonts w:ascii="Times New Roman" w:hAnsi="Times New Roman" w:cs="Times New Roman" w:eastAsia="Times New Roman" w:hint="default"/>
          <w:w w:val="100"/>
        </w:rPr>
        <w:t>268 </w:t>
      </w:r>
      <w:r>
        <w:rPr/>
        <w:t>万元，抵押权人为上海银行股份有限公司普陀支行，抵押期限均为</w:t>
      </w:r>
      <w:r>
        <w:rPr>
          <w:spacing w:val="-50"/>
        </w:rPr>
        <w:t> </w:t>
      </w:r>
      <w:r>
        <w:rPr>
          <w:rFonts w:ascii="Times New Roman" w:hAnsi="Times New Roman" w:cs="Times New Roman" w:eastAsia="Times New Roman" w:hint="default"/>
        </w:rPr>
        <w:t>2013 </w:t>
      </w:r>
      <w:r>
        <w:rPr/>
        <w:t>年</w:t>
      </w:r>
      <w:r>
        <w:rPr>
          <w:spacing w:val="-53"/>
        </w:rPr>
        <w:t> </w:t>
      </w:r>
      <w:r>
        <w:rPr>
          <w:rFonts w:ascii="Times New Roman" w:hAnsi="Times New Roman" w:cs="Times New Roman" w:eastAsia="Times New Roman" w:hint="default"/>
        </w:rPr>
        <w:t>7 </w:t>
      </w:r>
      <w:r>
        <w:rPr/>
        <w:t>月至</w:t>
      </w:r>
      <w:r>
        <w:rPr>
          <w:spacing w:val="-52"/>
        </w:rPr>
        <w:t> </w:t>
      </w:r>
      <w:r>
        <w:rPr>
          <w:rFonts w:ascii="Times New Roman" w:hAnsi="Times New Roman" w:cs="Times New Roman" w:eastAsia="Times New Roman" w:hint="default"/>
        </w:rPr>
        <w:t>2018 </w:t>
      </w:r>
      <w:r>
        <w:rPr/>
        <w:t>年</w:t>
      </w:r>
      <w:r>
        <w:rPr>
          <w:spacing w:val="-50"/>
        </w:rPr>
        <w:t> </w:t>
      </w:r>
      <w:r>
        <w:rPr>
          <w:rFonts w:ascii="Times New Roman" w:hAnsi="Times New Roman" w:cs="Times New Roman" w:eastAsia="Times New Roman" w:hint="default"/>
        </w:rPr>
        <w:t>7 </w:t>
      </w:r>
      <w:r>
        <w:rPr>
          <w:spacing w:val="-3"/>
        </w:rPr>
        <w:t>月。</w:t>
      </w:r>
      <w:r>
        <w:rPr>
          <w:spacing w:val="-3"/>
          <w:w w:val="100"/>
        </w:rPr>
        <w:t> </w:t>
      </w:r>
      <w:r>
        <w:rPr>
          <w:spacing w:val="-6"/>
          <w:w w:val="100"/>
        </w:rPr>
        <w:t>截止本报告期末，公司已经还清上述房屋的抵押贷款，在静安区房产交易中心办理了抵押权注销。</w:t>
      </w:r>
    </w:p>
    <w:p>
      <w:pPr>
        <w:pStyle w:val="Heading2"/>
        <w:spacing w:line="240" w:lineRule="auto" w:before="58"/>
        <w:ind w:right="0"/>
        <w:jc w:val="both"/>
        <w:rPr>
          <w:b w:val="0"/>
          <w:bCs w:val="0"/>
        </w:rPr>
      </w:pPr>
      <w:r>
        <w:rPr>
          <w:rFonts w:ascii="宋体" w:hAnsi="宋体" w:cs="宋体" w:eastAsia="宋体" w:hint="default"/>
        </w:rPr>
        <w:t>3. </w:t>
      </w:r>
      <w:r>
        <w:rPr>
          <w:rFonts w:ascii="宋体" w:hAnsi="宋体" w:cs="宋体" w:eastAsia="宋体" w:hint="default"/>
          <w:spacing w:val="2"/>
        </w:rPr>
        <w:t> </w:t>
      </w:r>
      <w:r>
        <w:rPr/>
        <w:t>其他说明</w:t>
      </w:r>
      <w:r>
        <w:rPr>
          <w:b w:val="0"/>
          <w:bCs w:val="0"/>
        </w:rPr>
      </w:r>
    </w:p>
    <w:p>
      <w:pPr>
        <w:pStyle w:val="BodyText"/>
        <w:spacing w:line="240" w:lineRule="auto" w:before="58"/>
        <w:ind w:right="0"/>
        <w:jc w:val="both"/>
      </w:pPr>
      <w:r>
        <w:rPr/>
        <w:t>□适用√不适用</w:t>
      </w:r>
    </w:p>
    <w:p>
      <w:pPr>
        <w:spacing w:line="240" w:lineRule="auto" w:before="11"/>
        <w:rPr>
          <w:rFonts w:ascii="宋体" w:hAnsi="宋体" w:cs="宋体" w:eastAsia="宋体" w:hint="default"/>
          <w:sz w:val="22"/>
          <w:szCs w:val="22"/>
        </w:rPr>
      </w:pPr>
    </w:p>
    <w:p>
      <w:pPr>
        <w:pStyle w:val="Heading2"/>
        <w:spacing w:line="240" w:lineRule="auto"/>
        <w:ind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2"/>
        </w:rPr>
        <w:t> </w:t>
      </w:r>
      <w:r>
        <w:rPr/>
        <w:t>行业经营性信息分析</w:t>
      </w:r>
      <w:r>
        <w:rPr>
          <w:b w:val="0"/>
          <w:bCs w:val="0"/>
        </w:rPr>
      </w:r>
    </w:p>
    <w:p>
      <w:pPr>
        <w:pStyle w:val="BodyText"/>
        <w:spacing w:line="240" w:lineRule="auto" w:before="56"/>
        <w:ind w:right="0"/>
        <w:jc w:val="both"/>
      </w:pPr>
      <w:r>
        <w:rPr/>
        <w:t>□适用√不适用</w:t>
      </w:r>
    </w:p>
    <w:p>
      <w:pPr>
        <w:spacing w:line="240" w:lineRule="auto" w:before="12"/>
        <w:rPr>
          <w:rFonts w:ascii="宋体" w:hAnsi="宋体" w:cs="宋体" w:eastAsia="宋体" w:hint="default"/>
          <w:sz w:val="22"/>
          <w:szCs w:val="22"/>
        </w:rPr>
      </w:pPr>
    </w:p>
    <w:p>
      <w:pPr>
        <w:pStyle w:val="Heading2"/>
        <w:spacing w:line="240" w:lineRule="auto"/>
        <w:ind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101"/>
        </w:rPr>
        <w:t> </w:t>
      </w:r>
      <w:r>
        <w:rPr/>
        <w:t>投资状况分析</w:t>
      </w:r>
      <w:r>
        <w:rPr>
          <w:b w:val="0"/>
          <w:bCs w:val="0"/>
        </w:rPr>
      </w:r>
    </w:p>
    <w:p>
      <w:pPr>
        <w:pStyle w:val="Heading2"/>
        <w:spacing w:line="240" w:lineRule="auto" w:before="58"/>
        <w:ind w:right="0"/>
        <w:jc w:val="both"/>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40" w:lineRule="auto" w:before="56"/>
        <w:ind w:right="0"/>
        <w:jc w:val="both"/>
      </w:pPr>
      <w:r>
        <w:rPr/>
        <w:t>□适用√不适用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40" w:lineRule="auto" w:before="58"/>
        <w:ind w:right="0"/>
        <w:jc w:val="both"/>
      </w:pPr>
      <w:r>
        <w:rPr/>
        <w:t>□适用√不适用</w:t>
      </w:r>
    </w:p>
    <w:p>
      <w:pPr>
        <w:spacing w:line="240" w:lineRule="auto" w:before="11"/>
        <w:rPr>
          <w:rFonts w:ascii="宋体" w:hAnsi="宋体" w:cs="宋体" w:eastAsia="宋体" w:hint="default"/>
          <w:sz w:val="22"/>
          <w:szCs w:val="22"/>
        </w:rPr>
      </w:pPr>
    </w:p>
    <w:p>
      <w:pPr>
        <w:pStyle w:val="Heading2"/>
        <w:spacing w:line="240" w:lineRule="auto"/>
        <w:ind w:right="0"/>
        <w:jc w:val="both"/>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40" w:lineRule="auto" w:before="56"/>
        <w:ind w:right="0"/>
        <w:jc w:val="both"/>
      </w:pPr>
      <w:r>
        <w:rPr/>
        <w:t>□适用√不适用</w:t>
      </w:r>
    </w:p>
    <w:p>
      <w:pPr>
        <w:spacing w:line="240" w:lineRule="auto" w:before="11"/>
        <w:rPr>
          <w:rFonts w:ascii="宋体" w:hAnsi="宋体" w:cs="宋体" w:eastAsia="宋体" w:hint="default"/>
          <w:sz w:val="22"/>
          <w:szCs w:val="22"/>
        </w:rPr>
      </w:pPr>
    </w:p>
    <w:p>
      <w:pPr>
        <w:pStyle w:val="Heading2"/>
        <w:spacing w:line="240" w:lineRule="auto"/>
        <w:ind w:right="0"/>
        <w:jc w:val="both"/>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40" w:lineRule="auto" w:before="58"/>
        <w:ind w:right="0"/>
        <w:jc w:val="both"/>
      </w:pPr>
      <w:r>
        <w:rPr/>
        <w:t>□适用√不适用</w:t>
      </w:r>
    </w:p>
    <w:p>
      <w:pPr>
        <w:spacing w:after="0" w:line="240" w:lineRule="auto"/>
        <w:jc w:val="both"/>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2"/>
        <w:tabs>
          <w:tab w:pos="1057" w:val="left" w:leader="none"/>
        </w:tabs>
        <w:spacing w:line="240" w:lineRule="auto" w:before="36"/>
        <w:ind w:right="2465"/>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spacing w:line="240" w:lineRule="auto" w:before="58"/>
        <w:ind w:right="2465"/>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2"/>
        <w:tabs>
          <w:tab w:pos="1057" w:val="left" w:leader="none"/>
        </w:tabs>
        <w:spacing w:line="240" w:lineRule="auto" w:before="36"/>
        <w:ind w:right="-8"/>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spacing w:line="274" w:lineRule="exact" w:before="56"/>
        <w:ind w:right="-8"/>
        <w:jc w:val="left"/>
      </w:pPr>
      <w:r>
        <w:rPr/>
        <w:t>√适用□不适用</w:t>
      </w:r>
    </w:p>
    <w:p>
      <w:pPr>
        <w:pStyle w:val="BodyText"/>
        <w:spacing w:line="290" w:lineRule="exact"/>
        <w:ind w:right="-8"/>
        <w:jc w:val="left"/>
      </w:pPr>
      <w:r>
        <w:rPr/>
        <w:t>（</w:t>
      </w:r>
      <w:r>
        <w:rPr>
          <w:rFonts w:ascii="Times New Roman" w:hAnsi="Times New Roman" w:cs="Times New Roman" w:eastAsia="Times New Roman" w:hint="default"/>
        </w:rPr>
        <w:t>1</w:t>
      </w:r>
      <w:r>
        <w:rPr/>
        <w:t>）主要控股公司经营情况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168" w:space="3565"/>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35"/>
        <w:gridCol w:w="490"/>
        <w:gridCol w:w="792"/>
        <w:gridCol w:w="721"/>
        <w:gridCol w:w="1250"/>
        <w:gridCol w:w="1342"/>
        <w:gridCol w:w="1334"/>
        <w:gridCol w:w="1335"/>
        <w:gridCol w:w="1250"/>
      </w:tblGrid>
      <w:tr>
        <w:trPr>
          <w:trHeight w:val="943"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2" w:lineRule="exact" w:before="23"/>
              <w:ind w:left="103" w:right="240"/>
              <w:jc w:val="both"/>
              <w:rPr>
                <w:rFonts w:ascii="宋体" w:hAnsi="宋体" w:cs="宋体" w:eastAsia="宋体" w:hint="default"/>
                <w:sz w:val="18"/>
                <w:szCs w:val="18"/>
              </w:rPr>
            </w:pPr>
            <w:r>
              <w:rPr>
                <w:rFonts w:ascii="宋体" w:hAnsi="宋体" w:cs="宋体" w:eastAsia="宋体" w:hint="default"/>
                <w:sz w:val="18"/>
                <w:szCs w:val="18"/>
              </w:rPr>
              <w:t>司 名 称</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业</w:t>
            </w:r>
          </w:p>
          <w:p>
            <w:pPr>
              <w:pStyle w:val="TableParagraph"/>
              <w:spacing w:line="232" w:lineRule="exact" w:before="23"/>
              <w:ind w:left="100" w:right="197"/>
              <w:jc w:val="both"/>
              <w:rPr>
                <w:rFonts w:ascii="宋体" w:hAnsi="宋体" w:cs="宋体" w:eastAsia="宋体" w:hint="default"/>
                <w:sz w:val="18"/>
                <w:szCs w:val="18"/>
              </w:rPr>
            </w:pPr>
            <w:r>
              <w:rPr>
                <w:rFonts w:ascii="宋体" w:hAnsi="宋体" w:cs="宋体" w:eastAsia="宋体" w:hint="default"/>
                <w:sz w:val="18"/>
                <w:szCs w:val="18"/>
              </w:rPr>
              <w:t>务 性 质</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主要产</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11"/>
                <w:sz w:val="18"/>
                <w:szCs w:val="18"/>
              </w:rPr>
              <w:t>品或服</w:t>
            </w:r>
            <w:r>
              <w:rPr>
                <w:rFonts w:ascii="宋体" w:hAnsi="宋体" w:cs="宋体" w:eastAsia="宋体" w:hint="default"/>
                <w:sz w:val="18"/>
                <w:szCs w:val="18"/>
              </w:rPr>
              <w:t> 务</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持</w:t>
            </w:r>
            <w:r>
              <w:rPr>
                <w:rFonts w:ascii="宋体" w:hAnsi="宋体" w:cs="宋体" w:eastAsia="宋体" w:hint="default"/>
                <w:spacing w:val="54"/>
                <w:sz w:val="18"/>
                <w:szCs w:val="18"/>
              </w:rPr>
              <w:t> </w:t>
            </w:r>
            <w:r>
              <w:rPr>
                <w:rFonts w:ascii="宋体" w:hAnsi="宋体" w:cs="宋体" w:eastAsia="宋体" w:hint="default"/>
                <w:sz w:val="18"/>
                <w:szCs w:val="18"/>
              </w:rPr>
              <w:t>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014"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北</w:t>
            </w:r>
          </w:p>
          <w:p>
            <w:pPr>
              <w:pStyle w:val="TableParagraph"/>
              <w:spacing w:line="237" w:lineRule="auto"/>
              <w:ind w:left="103" w:right="240"/>
              <w:jc w:val="both"/>
              <w:rPr>
                <w:rFonts w:ascii="宋体" w:hAnsi="宋体" w:cs="宋体" w:eastAsia="宋体" w:hint="default"/>
                <w:sz w:val="18"/>
                <w:szCs w:val="18"/>
              </w:rPr>
            </w:pPr>
            <w:r>
              <w:rPr>
                <w:rFonts w:ascii="宋体" w:hAnsi="宋体" w:cs="宋体" w:eastAsia="宋体" w:hint="default"/>
                <w:sz w:val="18"/>
                <w:szCs w:val="18"/>
              </w:rPr>
              <w:t>京 格 尔 国 信 科 技 有 限 公 司</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软</w:t>
            </w:r>
          </w:p>
          <w:p>
            <w:pPr>
              <w:pStyle w:val="TableParagraph"/>
              <w:spacing w:line="237" w:lineRule="auto"/>
              <w:ind w:left="100" w:right="197"/>
              <w:jc w:val="both"/>
              <w:rPr>
                <w:rFonts w:ascii="宋体" w:hAnsi="宋体" w:cs="宋体" w:eastAsia="宋体" w:hint="default"/>
                <w:sz w:val="18"/>
                <w:szCs w:val="18"/>
              </w:rPr>
            </w:pPr>
            <w:r>
              <w:rPr>
                <w:rFonts w:ascii="宋体" w:hAnsi="宋体" w:cs="宋体" w:eastAsia="宋体" w:hint="default"/>
                <w:sz w:val="18"/>
                <w:szCs w:val="18"/>
              </w:rPr>
              <w:t>件 行 业</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1"/>
                <w:sz w:val="18"/>
                <w:szCs w:val="18"/>
              </w:rPr>
              <w:t>销售经</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pacing w:val="11"/>
                <w:sz w:val="18"/>
                <w:szCs w:val="18"/>
              </w:rPr>
              <w:t>国家密</w:t>
            </w:r>
            <w:r>
              <w:rPr>
                <w:rFonts w:ascii="宋体" w:hAnsi="宋体" w:cs="宋体" w:eastAsia="宋体" w:hint="default"/>
                <w:sz w:val="18"/>
                <w:szCs w:val="18"/>
              </w:rPr>
              <w:t> </w:t>
            </w:r>
            <w:r>
              <w:rPr>
                <w:rFonts w:ascii="宋体" w:hAnsi="宋体" w:cs="宋体" w:eastAsia="宋体" w:hint="default"/>
                <w:spacing w:val="11"/>
                <w:sz w:val="18"/>
                <w:szCs w:val="18"/>
              </w:rPr>
              <w:t>码管理</w:t>
            </w:r>
            <w:r>
              <w:rPr>
                <w:rFonts w:ascii="宋体" w:hAnsi="宋体" w:cs="宋体" w:eastAsia="宋体" w:hint="default"/>
                <w:sz w:val="18"/>
                <w:szCs w:val="18"/>
              </w:rPr>
              <w:t> </w:t>
            </w:r>
            <w:r>
              <w:rPr>
                <w:rFonts w:ascii="宋体" w:hAnsi="宋体" w:cs="宋体" w:eastAsia="宋体" w:hint="default"/>
                <w:spacing w:val="11"/>
                <w:sz w:val="18"/>
                <w:szCs w:val="18"/>
              </w:rPr>
              <w:t>局审批</w:t>
            </w:r>
            <w:r>
              <w:rPr>
                <w:rFonts w:ascii="宋体" w:hAnsi="宋体" w:cs="宋体" w:eastAsia="宋体" w:hint="default"/>
                <w:sz w:val="18"/>
                <w:szCs w:val="18"/>
              </w:rPr>
              <w:t> </w:t>
            </w:r>
            <w:r>
              <w:rPr>
                <w:rFonts w:ascii="宋体" w:hAnsi="宋体" w:cs="宋体" w:eastAsia="宋体" w:hint="default"/>
                <w:spacing w:val="11"/>
                <w:sz w:val="18"/>
                <w:szCs w:val="18"/>
              </w:rPr>
              <w:t>并通过</w:t>
            </w:r>
            <w:r>
              <w:rPr>
                <w:rFonts w:ascii="宋体" w:hAnsi="宋体" w:cs="宋体" w:eastAsia="宋体" w:hint="default"/>
                <w:sz w:val="18"/>
                <w:szCs w:val="18"/>
              </w:rPr>
              <w:t> </w:t>
            </w:r>
            <w:r>
              <w:rPr>
                <w:rFonts w:ascii="宋体" w:hAnsi="宋体" w:cs="宋体" w:eastAsia="宋体" w:hint="default"/>
                <w:spacing w:val="11"/>
                <w:sz w:val="18"/>
                <w:szCs w:val="18"/>
              </w:rPr>
              <w:t>指定检</w:t>
            </w:r>
            <w:r>
              <w:rPr>
                <w:rFonts w:ascii="宋体" w:hAnsi="宋体" w:cs="宋体" w:eastAsia="宋体" w:hint="default"/>
                <w:sz w:val="18"/>
                <w:szCs w:val="18"/>
              </w:rPr>
              <w:t> </w:t>
            </w:r>
            <w:r>
              <w:rPr>
                <w:rFonts w:ascii="宋体" w:hAnsi="宋体" w:cs="宋体" w:eastAsia="宋体" w:hint="default"/>
                <w:spacing w:val="11"/>
                <w:sz w:val="18"/>
                <w:szCs w:val="18"/>
              </w:rPr>
              <w:t>测机构</w:t>
            </w:r>
            <w:r>
              <w:rPr>
                <w:rFonts w:ascii="宋体" w:hAnsi="宋体" w:cs="宋体" w:eastAsia="宋体" w:hint="default"/>
                <w:sz w:val="18"/>
                <w:szCs w:val="18"/>
              </w:rPr>
              <w:t> </w:t>
            </w:r>
            <w:r>
              <w:rPr>
                <w:rFonts w:ascii="宋体" w:hAnsi="宋体" w:cs="宋体" w:eastAsia="宋体" w:hint="default"/>
                <w:spacing w:val="11"/>
                <w:sz w:val="18"/>
                <w:szCs w:val="18"/>
              </w:rPr>
              <w:t>产品质</w:t>
            </w:r>
            <w:r>
              <w:rPr>
                <w:rFonts w:ascii="宋体" w:hAnsi="宋体" w:cs="宋体" w:eastAsia="宋体" w:hint="default"/>
                <w:sz w:val="18"/>
                <w:szCs w:val="18"/>
              </w:rPr>
              <w:t> </w:t>
            </w:r>
            <w:r>
              <w:rPr>
                <w:rFonts w:ascii="宋体" w:hAnsi="宋体" w:cs="宋体" w:eastAsia="宋体" w:hint="default"/>
                <w:spacing w:val="11"/>
                <w:sz w:val="18"/>
                <w:szCs w:val="18"/>
              </w:rPr>
              <w:t>量检测</w:t>
            </w:r>
            <w:r>
              <w:rPr>
                <w:rFonts w:ascii="宋体" w:hAnsi="宋体" w:cs="宋体" w:eastAsia="宋体" w:hint="default"/>
                <w:sz w:val="18"/>
                <w:szCs w:val="18"/>
              </w:rPr>
              <w:t> </w:t>
            </w:r>
            <w:r>
              <w:rPr>
                <w:rFonts w:ascii="宋体" w:hAnsi="宋体" w:cs="宋体" w:eastAsia="宋体" w:hint="default"/>
                <w:spacing w:val="11"/>
                <w:sz w:val="18"/>
                <w:szCs w:val="18"/>
              </w:rPr>
              <w:t>的商用</w:t>
            </w:r>
            <w:r>
              <w:rPr>
                <w:rFonts w:ascii="宋体" w:hAnsi="宋体" w:cs="宋体" w:eastAsia="宋体" w:hint="default"/>
                <w:sz w:val="18"/>
                <w:szCs w:val="18"/>
              </w:rPr>
              <w:t> </w:t>
            </w:r>
            <w:r>
              <w:rPr>
                <w:rFonts w:ascii="宋体" w:hAnsi="宋体" w:cs="宋体" w:eastAsia="宋体" w:hint="default"/>
                <w:spacing w:val="11"/>
                <w:sz w:val="18"/>
                <w:szCs w:val="18"/>
              </w:rPr>
              <w:t>密码产</w:t>
            </w:r>
            <w:r>
              <w:rPr>
                <w:rFonts w:ascii="宋体" w:hAnsi="宋体" w:cs="宋体" w:eastAsia="宋体" w:hint="default"/>
                <w:sz w:val="18"/>
                <w:szCs w:val="18"/>
              </w:rPr>
              <w:t> </w:t>
            </w:r>
            <w:r>
              <w:rPr>
                <w:rFonts w:ascii="宋体" w:hAnsi="宋体" w:cs="宋体" w:eastAsia="宋体" w:hint="default"/>
                <w:spacing w:val="9"/>
                <w:sz w:val="18"/>
                <w:szCs w:val="18"/>
              </w:rPr>
              <w:t>品；</w:t>
            </w:r>
            <w:r>
              <w:rPr>
                <w:rFonts w:ascii="宋体" w:hAnsi="宋体" w:cs="宋体" w:eastAsia="宋体" w:hint="default"/>
                <w:spacing w:val="-74"/>
                <w:sz w:val="18"/>
                <w:szCs w:val="18"/>
              </w:rPr>
              <w:t> </w:t>
            </w:r>
            <w:r>
              <w:rPr>
                <w:rFonts w:ascii="宋体" w:hAnsi="宋体" w:cs="宋体" w:eastAsia="宋体" w:hint="default"/>
                <w:sz w:val="18"/>
                <w:szCs w:val="18"/>
              </w:rPr>
              <w:t>技</w:t>
            </w:r>
            <w:r>
              <w:rPr>
                <w:rFonts w:ascii="宋体" w:hAnsi="宋体" w:cs="宋体" w:eastAsia="宋体" w:hint="default"/>
                <w:sz w:val="18"/>
                <w:szCs w:val="18"/>
              </w:rPr>
              <w:t> 术</w:t>
            </w:r>
            <w:r>
              <w:rPr>
                <w:rFonts w:ascii="宋体" w:hAnsi="宋体" w:cs="宋体" w:eastAsia="宋体" w:hint="default"/>
                <w:spacing w:val="36"/>
                <w:sz w:val="18"/>
                <w:szCs w:val="18"/>
              </w:rPr>
              <w:t> </w:t>
            </w:r>
            <w:r>
              <w:rPr>
                <w:rFonts w:ascii="宋体" w:hAnsi="宋体" w:cs="宋体" w:eastAsia="宋体" w:hint="default"/>
                <w:sz w:val="18"/>
                <w:szCs w:val="18"/>
              </w:rPr>
              <w:t>开</w:t>
            </w:r>
            <w:r>
              <w:rPr>
                <w:rFonts w:ascii="宋体" w:hAnsi="宋体" w:cs="宋体" w:eastAsia="宋体" w:hint="default"/>
                <w:sz w:val="18"/>
                <w:szCs w:val="18"/>
              </w:rPr>
              <w:t> </w:t>
            </w:r>
            <w:r>
              <w:rPr>
                <w:rFonts w:ascii="宋体" w:hAnsi="宋体" w:cs="宋体" w:eastAsia="宋体" w:hint="default"/>
                <w:spacing w:val="9"/>
                <w:sz w:val="18"/>
                <w:szCs w:val="18"/>
              </w:rPr>
              <w:t>发；</w:t>
            </w:r>
            <w:r>
              <w:rPr>
                <w:rFonts w:ascii="宋体" w:hAnsi="宋体" w:cs="宋体" w:eastAsia="宋体" w:hint="default"/>
                <w:spacing w:val="-74"/>
                <w:sz w:val="18"/>
                <w:szCs w:val="18"/>
              </w:rPr>
              <w:t> </w:t>
            </w:r>
            <w:r>
              <w:rPr>
                <w:rFonts w:ascii="宋体" w:hAnsi="宋体" w:cs="宋体" w:eastAsia="宋体" w:hint="default"/>
                <w:sz w:val="18"/>
                <w:szCs w:val="18"/>
              </w:rPr>
              <w:t>技</w:t>
            </w:r>
            <w:r>
              <w:rPr>
                <w:rFonts w:ascii="宋体" w:hAnsi="宋体" w:cs="宋体" w:eastAsia="宋体" w:hint="default"/>
                <w:sz w:val="18"/>
                <w:szCs w:val="18"/>
              </w:rPr>
              <w:t> 术</w:t>
            </w:r>
            <w:r>
              <w:rPr>
                <w:rFonts w:ascii="宋体" w:hAnsi="宋体" w:cs="宋体" w:eastAsia="宋体" w:hint="default"/>
                <w:spacing w:val="36"/>
                <w:sz w:val="18"/>
                <w:szCs w:val="18"/>
              </w:rPr>
              <w:t> </w:t>
            </w:r>
            <w:r>
              <w:rPr>
                <w:rFonts w:ascii="宋体" w:hAnsi="宋体" w:cs="宋体" w:eastAsia="宋体" w:hint="default"/>
                <w:sz w:val="18"/>
                <w:szCs w:val="18"/>
              </w:rPr>
              <w:t>转</w:t>
            </w:r>
            <w:r>
              <w:rPr>
                <w:rFonts w:ascii="宋体" w:hAnsi="宋体" w:cs="宋体" w:eastAsia="宋体" w:hint="default"/>
                <w:sz w:val="18"/>
                <w:szCs w:val="18"/>
              </w:rPr>
              <w:t> </w:t>
            </w:r>
            <w:r>
              <w:rPr>
                <w:rFonts w:ascii="宋体" w:hAnsi="宋体" w:cs="宋体" w:eastAsia="宋体" w:hint="default"/>
                <w:spacing w:val="9"/>
                <w:sz w:val="18"/>
                <w:szCs w:val="18"/>
              </w:rPr>
              <w:t>让；</w:t>
            </w:r>
            <w:r>
              <w:rPr>
                <w:rFonts w:ascii="宋体" w:hAnsi="宋体" w:cs="宋体" w:eastAsia="宋体" w:hint="default"/>
                <w:spacing w:val="-74"/>
                <w:sz w:val="18"/>
                <w:szCs w:val="18"/>
              </w:rPr>
              <w:t> </w:t>
            </w:r>
            <w:r>
              <w:rPr>
                <w:rFonts w:ascii="宋体" w:hAnsi="宋体" w:cs="宋体" w:eastAsia="宋体" w:hint="default"/>
                <w:sz w:val="18"/>
                <w:szCs w:val="18"/>
              </w:rPr>
              <w:t>技</w:t>
            </w:r>
            <w:r>
              <w:rPr>
                <w:rFonts w:ascii="宋体" w:hAnsi="宋体" w:cs="宋体" w:eastAsia="宋体" w:hint="default"/>
                <w:sz w:val="18"/>
                <w:szCs w:val="18"/>
              </w:rPr>
              <w:t> 术</w:t>
            </w:r>
            <w:r>
              <w:rPr>
                <w:rFonts w:ascii="宋体" w:hAnsi="宋体" w:cs="宋体" w:eastAsia="宋体" w:hint="default"/>
                <w:spacing w:val="36"/>
                <w:sz w:val="18"/>
                <w:szCs w:val="18"/>
              </w:rPr>
              <w:t> </w:t>
            </w:r>
            <w:r>
              <w:rPr>
                <w:rFonts w:ascii="宋体" w:hAnsi="宋体" w:cs="宋体" w:eastAsia="宋体" w:hint="default"/>
                <w:sz w:val="18"/>
                <w:szCs w:val="18"/>
              </w:rPr>
              <w:t>培</w:t>
            </w:r>
            <w:r>
              <w:rPr>
                <w:rFonts w:ascii="宋体" w:hAnsi="宋体" w:cs="宋体" w:eastAsia="宋体" w:hint="default"/>
                <w:sz w:val="18"/>
                <w:szCs w:val="18"/>
              </w:rPr>
              <w:t> </w:t>
            </w:r>
            <w:r>
              <w:rPr>
                <w:rFonts w:ascii="宋体" w:hAnsi="宋体" w:cs="宋体" w:eastAsia="宋体" w:hint="default"/>
                <w:spacing w:val="9"/>
                <w:sz w:val="18"/>
                <w:szCs w:val="18"/>
              </w:rPr>
              <w:t>训；</w:t>
            </w:r>
            <w:r>
              <w:rPr>
                <w:rFonts w:ascii="宋体" w:hAnsi="宋体" w:cs="宋体" w:eastAsia="宋体" w:hint="default"/>
                <w:spacing w:val="-74"/>
                <w:sz w:val="18"/>
                <w:szCs w:val="18"/>
              </w:rPr>
              <w:t> </w:t>
            </w:r>
            <w:r>
              <w:rPr>
                <w:rFonts w:ascii="宋体" w:hAnsi="宋体" w:cs="宋体" w:eastAsia="宋体" w:hint="default"/>
                <w:sz w:val="18"/>
                <w:szCs w:val="18"/>
              </w:rPr>
              <w:t>技</w:t>
            </w:r>
            <w:r>
              <w:rPr>
                <w:rFonts w:ascii="宋体" w:hAnsi="宋体" w:cs="宋体" w:eastAsia="宋体" w:hint="default"/>
                <w:sz w:val="18"/>
                <w:szCs w:val="18"/>
              </w:rPr>
              <w:t> 术</w:t>
            </w:r>
            <w:r>
              <w:rPr>
                <w:rFonts w:ascii="宋体" w:hAnsi="宋体" w:cs="宋体" w:eastAsia="宋体" w:hint="default"/>
                <w:spacing w:val="36"/>
                <w:sz w:val="18"/>
                <w:szCs w:val="18"/>
              </w:rPr>
              <w:t> </w:t>
            </w:r>
            <w:r>
              <w:rPr>
                <w:rFonts w:ascii="宋体" w:hAnsi="宋体" w:cs="宋体" w:eastAsia="宋体" w:hint="default"/>
                <w:sz w:val="18"/>
                <w:szCs w:val="18"/>
              </w:rPr>
              <w:t>服</w:t>
            </w:r>
            <w:r>
              <w:rPr>
                <w:rFonts w:ascii="宋体" w:hAnsi="宋体" w:cs="宋体" w:eastAsia="宋体" w:hint="default"/>
                <w:sz w:val="18"/>
                <w:szCs w:val="18"/>
              </w:rPr>
              <w:t> </w:t>
            </w:r>
            <w:r>
              <w:rPr>
                <w:rFonts w:ascii="宋体" w:hAnsi="宋体" w:cs="宋体" w:eastAsia="宋体" w:hint="default"/>
                <w:spacing w:val="9"/>
                <w:sz w:val="18"/>
                <w:szCs w:val="18"/>
              </w:rPr>
              <w:t>务；</w:t>
            </w:r>
            <w:r>
              <w:rPr>
                <w:rFonts w:ascii="宋体" w:hAnsi="宋体" w:cs="宋体" w:eastAsia="宋体" w:hint="default"/>
                <w:spacing w:val="-74"/>
                <w:sz w:val="18"/>
                <w:szCs w:val="18"/>
              </w:rPr>
              <w:t> </w:t>
            </w:r>
            <w:r>
              <w:rPr>
                <w:rFonts w:ascii="宋体" w:hAnsi="宋体" w:cs="宋体" w:eastAsia="宋体" w:hint="default"/>
                <w:sz w:val="18"/>
                <w:szCs w:val="18"/>
              </w:rPr>
              <w:t>信</w:t>
            </w:r>
            <w:r>
              <w:rPr>
                <w:rFonts w:ascii="宋体" w:hAnsi="宋体" w:cs="宋体" w:eastAsia="宋体" w:hint="default"/>
                <w:sz w:val="18"/>
                <w:szCs w:val="18"/>
              </w:rPr>
              <w:t> </w:t>
            </w:r>
            <w:r>
              <w:rPr>
                <w:rFonts w:ascii="宋体" w:hAnsi="宋体" w:cs="宋体" w:eastAsia="宋体" w:hint="default"/>
                <w:spacing w:val="11"/>
                <w:sz w:val="18"/>
                <w:szCs w:val="18"/>
              </w:rPr>
              <w:t>息咨询</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1"/>
                <w:sz w:val="18"/>
                <w:szCs w:val="18"/>
              </w:rPr>
              <w:t> </w:t>
            </w:r>
            <w:r>
              <w:rPr>
                <w:rFonts w:ascii="宋体" w:hAnsi="宋体" w:cs="宋体" w:eastAsia="宋体" w:hint="default"/>
                <w:spacing w:val="8"/>
                <w:sz w:val="18"/>
                <w:szCs w:val="18"/>
              </w:rPr>
              <w:t>不含</w:t>
            </w:r>
            <w:r>
              <w:rPr>
                <w:rFonts w:ascii="宋体" w:hAnsi="宋体" w:cs="宋体" w:eastAsia="宋体" w:hint="default"/>
                <w:sz w:val="18"/>
                <w:szCs w:val="18"/>
              </w:rPr>
              <w:t> </w:t>
            </w:r>
            <w:r>
              <w:rPr>
                <w:rFonts w:ascii="宋体" w:hAnsi="宋体" w:cs="宋体" w:eastAsia="宋体" w:hint="default"/>
                <w:spacing w:val="11"/>
                <w:sz w:val="18"/>
                <w:szCs w:val="18"/>
              </w:rPr>
              <w:t>中介服</w:t>
            </w:r>
            <w:r>
              <w:rPr>
                <w:rFonts w:ascii="宋体" w:hAnsi="宋体" w:cs="宋体" w:eastAsia="宋体" w:hint="default"/>
                <w:sz w:val="18"/>
                <w:szCs w:val="18"/>
              </w:rPr>
              <w:t> </w:t>
            </w:r>
            <w:r>
              <w:rPr>
                <w:rFonts w:ascii="宋体" w:hAnsi="宋体" w:cs="宋体" w:eastAsia="宋体" w:hint="default"/>
                <w:spacing w:val="-37"/>
                <w:sz w:val="18"/>
                <w:szCs w:val="18"/>
              </w:rPr>
              <w:t>务）；电</w:t>
            </w:r>
            <w:r>
              <w:rPr>
                <w:rFonts w:ascii="宋体" w:hAnsi="宋体" w:cs="宋体" w:eastAsia="宋体" w:hint="default"/>
                <w:sz w:val="18"/>
                <w:szCs w:val="18"/>
              </w:rPr>
              <w:t> </w:t>
            </w:r>
            <w:r>
              <w:rPr>
                <w:rFonts w:ascii="宋体" w:hAnsi="宋体" w:cs="宋体" w:eastAsia="宋体" w:hint="default"/>
                <w:spacing w:val="11"/>
                <w:sz w:val="18"/>
                <w:szCs w:val="18"/>
              </w:rPr>
              <w:t>子计算</w:t>
            </w:r>
            <w:r>
              <w:rPr>
                <w:rFonts w:ascii="宋体" w:hAnsi="宋体" w:cs="宋体" w:eastAsia="宋体" w:hint="default"/>
                <w:sz w:val="18"/>
                <w:szCs w:val="18"/>
              </w:rPr>
              <w:t> </w:t>
            </w:r>
            <w:r>
              <w:rPr>
                <w:rFonts w:ascii="宋体" w:hAnsi="宋体" w:cs="宋体" w:eastAsia="宋体" w:hint="default"/>
                <w:spacing w:val="11"/>
                <w:sz w:val="18"/>
                <w:szCs w:val="18"/>
              </w:rPr>
              <w:t>机系统</w:t>
            </w:r>
            <w:r>
              <w:rPr>
                <w:rFonts w:ascii="宋体" w:hAnsi="宋体" w:cs="宋体" w:eastAsia="宋体" w:hint="default"/>
                <w:sz w:val="18"/>
                <w:szCs w:val="18"/>
              </w:rPr>
              <w:t> </w:t>
            </w:r>
            <w:r>
              <w:rPr>
                <w:rFonts w:ascii="宋体" w:hAnsi="宋体" w:cs="宋体" w:eastAsia="宋体" w:hint="default"/>
                <w:spacing w:val="11"/>
                <w:sz w:val="18"/>
                <w:szCs w:val="18"/>
              </w:rPr>
              <w:t>集成；</w:t>
            </w:r>
            <w:r>
              <w:rPr>
                <w:rFonts w:ascii="宋体" w:hAnsi="宋体" w:cs="宋体" w:eastAsia="宋体" w:hint="default"/>
                <w:sz w:val="18"/>
                <w:szCs w:val="18"/>
              </w:rPr>
              <w:t> </w:t>
            </w:r>
            <w:r>
              <w:rPr>
                <w:rFonts w:ascii="宋体" w:hAnsi="宋体" w:cs="宋体" w:eastAsia="宋体" w:hint="default"/>
                <w:spacing w:val="11"/>
                <w:sz w:val="18"/>
                <w:szCs w:val="18"/>
              </w:rPr>
              <w:t>销售电</w:t>
            </w:r>
            <w:r>
              <w:rPr>
                <w:rFonts w:ascii="宋体" w:hAnsi="宋体" w:cs="宋体" w:eastAsia="宋体" w:hint="default"/>
                <w:sz w:val="18"/>
                <w:szCs w:val="18"/>
              </w:rPr>
              <w:t> </w:t>
            </w:r>
            <w:r>
              <w:rPr>
                <w:rFonts w:ascii="宋体" w:hAnsi="宋体" w:cs="宋体" w:eastAsia="宋体" w:hint="default"/>
                <w:spacing w:val="11"/>
                <w:sz w:val="18"/>
                <w:szCs w:val="18"/>
              </w:rPr>
              <w:t>子计算</w:t>
            </w:r>
            <w:r>
              <w:rPr>
                <w:rFonts w:ascii="宋体" w:hAnsi="宋体" w:cs="宋体" w:eastAsia="宋体" w:hint="default"/>
                <w:sz w:val="18"/>
                <w:szCs w:val="18"/>
              </w:rPr>
              <w:t> 机。</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Times New Roman" w:hAnsi="Times New Roman" w:cs="Times New Roman" w:eastAsia="Times New Roman" w:hint="default"/>
                <w:sz w:val="18"/>
                <w:szCs w:val="18"/>
              </w:rPr>
            </w:pPr>
            <w:r>
              <w:rPr>
                <w:rFonts w:ascii="Times New Roman"/>
                <w:sz w:val="18"/>
              </w:rPr>
              <w:t>100%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Times New Roman" w:hAnsi="Times New Roman" w:cs="Times New Roman" w:eastAsia="Times New Roman" w:hint="default"/>
                <w:sz w:val="18"/>
                <w:szCs w:val="18"/>
              </w:rPr>
            </w:pPr>
            <w:r>
              <w:rPr>
                <w:rFonts w:ascii="Times New Roman"/>
                <w:sz w:val="18"/>
              </w:rPr>
              <w:t>10,180,000.00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44,839,517.41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Times New Roman" w:hAnsi="Times New Roman" w:cs="Times New Roman" w:eastAsia="Times New Roman" w:hint="default"/>
                <w:sz w:val="18"/>
                <w:szCs w:val="18"/>
              </w:rPr>
            </w:pPr>
            <w:r>
              <w:rPr>
                <w:rFonts w:ascii="Times New Roman"/>
                <w:spacing w:val="-1"/>
                <w:sz w:val="18"/>
              </w:rPr>
              <w:t>36,200,139.48</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28,296,438.78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9,909,851.84</w:t>
            </w:r>
          </w:p>
        </w:tc>
      </w:tr>
      <w:tr>
        <w:trPr>
          <w:trHeight w:val="3512"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郑</w:t>
            </w:r>
          </w:p>
          <w:p>
            <w:pPr>
              <w:pStyle w:val="TableParagraph"/>
              <w:spacing w:line="237" w:lineRule="auto"/>
              <w:ind w:left="103" w:right="240"/>
              <w:jc w:val="both"/>
              <w:rPr>
                <w:rFonts w:ascii="宋体" w:hAnsi="宋体" w:cs="宋体" w:eastAsia="宋体" w:hint="default"/>
                <w:sz w:val="18"/>
                <w:szCs w:val="18"/>
              </w:rPr>
            </w:pPr>
            <w:r>
              <w:rPr>
                <w:rFonts w:ascii="宋体" w:hAnsi="宋体" w:cs="宋体" w:eastAsia="宋体" w:hint="default"/>
                <w:sz w:val="18"/>
                <w:szCs w:val="18"/>
              </w:rPr>
              <w:t>州 信 领 软 件 有 限 公 司</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软</w:t>
            </w:r>
          </w:p>
          <w:p>
            <w:pPr>
              <w:pStyle w:val="TableParagraph"/>
              <w:spacing w:line="237" w:lineRule="auto"/>
              <w:ind w:left="100" w:right="197"/>
              <w:jc w:val="both"/>
              <w:rPr>
                <w:rFonts w:ascii="宋体" w:hAnsi="宋体" w:cs="宋体" w:eastAsia="宋体" w:hint="default"/>
                <w:sz w:val="18"/>
                <w:szCs w:val="18"/>
              </w:rPr>
            </w:pPr>
            <w:r>
              <w:rPr>
                <w:rFonts w:ascii="宋体" w:hAnsi="宋体" w:cs="宋体" w:eastAsia="宋体" w:hint="default"/>
                <w:sz w:val="18"/>
                <w:szCs w:val="18"/>
              </w:rPr>
              <w:t>件 行 业</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1"/>
                <w:sz w:val="18"/>
                <w:szCs w:val="18"/>
              </w:rPr>
              <w:t>计算机</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pacing w:val="11"/>
                <w:sz w:val="18"/>
                <w:szCs w:val="18"/>
              </w:rPr>
              <w:t>软硬件</w:t>
            </w:r>
            <w:r>
              <w:rPr>
                <w:rFonts w:ascii="宋体" w:hAnsi="宋体" w:cs="宋体" w:eastAsia="宋体" w:hint="default"/>
                <w:sz w:val="18"/>
                <w:szCs w:val="18"/>
              </w:rPr>
              <w:t> </w:t>
            </w:r>
            <w:r>
              <w:rPr>
                <w:rFonts w:ascii="宋体" w:hAnsi="宋体" w:cs="宋体" w:eastAsia="宋体" w:hint="default"/>
                <w:spacing w:val="11"/>
                <w:sz w:val="18"/>
                <w:szCs w:val="18"/>
              </w:rPr>
              <w:t>研制、</w:t>
            </w:r>
            <w:r>
              <w:rPr>
                <w:rFonts w:ascii="宋体" w:hAnsi="宋体" w:cs="宋体" w:eastAsia="宋体" w:hint="default"/>
                <w:sz w:val="18"/>
                <w:szCs w:val="18"/>
              </w:rPr>
              <w:t> </w:t>
            </w:r>
            <w:r>
              <w:rPr>
                <w:rFonts w:ascii="宋体" w:hAnsi="宋体" w:cs="宋体" w:eastAsia="宋体" w:hint="default"/>
                <w:spacing w:val="11"/>
                <w:sz w:val="18"/>
                <w:szCs w:val="18"/>
              </w:rPr>
              <w:t>开发；</w:t>
            </w:r>
            <w:r>
              <w:rPr>
                <w:rFonts w:ascii="宋体" w:hAnsi="宋体" w:cs="宋体" w:eastAsia="宋体" w:hint="default"/>
                <w:sz w:val="18"/>
                <w:szCs w:val="18"/>
              </w:rPr>
              <w:t> </w:t>
            </w:r>
            <w:r>
              <w:rPr>
                <w:rFonts w:ascii="宋体" w:hAnsi="宋体" w:cs="宋体" w:eastAsia="宋体" w:hint="default"/>
                <w:spacing w:val="11"/>
                <w:sz w:val="18"/>
                <w:szCs w:val="18"/>
              </w:rPr>
              <w:t>计算机</w:t>
            </w:r>
            <w:r>
              <w:rPr>
                <w:rFonts w:ascii="宋体" w:hAnsi="宋体" w:cs="宋体" w:eastAsia="宋体" w:hint="default"/>
                <w:sz w:val="18"/>
                <w:szCs w:val="18"/>
              </w:rPr>
              <w:t> </w:t>
            </w:r>
            <w:r>
              <w:rPr>
                <w:rFonts w:ascii="宋体" w:hAnsi="宋体" w:cs="宋体" w:eastAsia="宋体" w:hint="default"/>
                <w:spacing w:val="11"/>
                <w:sz w:val="18"/>
                <w:szCs w:val="18"/>
              </w:rPr>
              <w:t>信息系</w:t>
            </w:r>
            <w:r>
              <w:rPr>
                <w:rFonts w:ascii="宋体" w:hAnsi="宋体" w:cs="宋体" w:eastAsia="宋体" w:hint="default"/>
                <w:sz w:val="18"/>
                <w:szCs w:val="18"/>
              </w:rPr>
              <w:t> 统</w:t>
            </w:r>
            <w:r>
              <w:rPr>
                <w:rFonts w:ascii="宋体" w:hAnsi="宋体" w:cs="宋体" w:eastAsia="宋体" w:hint="default"/>
                <w:spacing w:val="36"/>
                <w:sz w:val="18"/>
                <w:szCs w:val="18"/>
              </w:rPr>
              <w:t> </w:t>
            </w:r>
            <w:r>
              <w:rPr>
                <w:rFonts w:ascii="宋体" w:hAnsi="宋体" w:cs="宋体" w:eastAsia="宋体" w:hint="default"/>
                <w:sz w:val="18"/>
                <w:szCs w:val="18"/>
              </w:rPr>
              <w:t>集</w:t>
            </w:r>
            <w:r>
              <w:rPr>
                <w:rFonts w:ascii="宋体" w:hAnsi="宋体" w:cs="宋体" w:eastAsia="宋体" w:hint="default"/>
                <w:sz w:val="18"/>
                <w:szCs w:val="18"/>
              </w:rPr>
              <w:t> </w:t>
            </w:r>
            <w:r>
              <w:rPr>
                <w:rFonts w:ascii="宋体" w:hAnsi="宋体" w:cs="宋体" w:eastAsia="宋体" w:hint="default"/>
                <w:spacing w:val="9"/>
                <w:sz w:val="18"/>
                <w:szCs w:val="18"/>
              </w:rPr>
              <w:t>成；</w:t>
            </w:r>
            <w:r>
              <w:rPr>
                <w:rFonts w:ascii="宋体" w:hAnsi="宋体" w:cs="宋体" w:eastAsia="宋体" w:hint="default"/>
                <w:spacing w:val="-74"/>
                <w:sz w:val="18"/>
                <w:szCs w:val="18"/>
              </w:rPr>
              <w:t> </w:t>
            </w:r>
            <w:r>
              <w:rPr>
                <w:rFonts w:ascii="宋体" w:hAnsi="宋体" w:cs="宋体" w:eastAsia="宋体" w:hint="default"/>
                <w:sz w:val="18"/>
                <w:szCs w:val="18"/>
              </w:rPr>
              <w:t>信</w:t>
            </w:r>
            <w:r>
              <w:rPr>
                <w:rFonts w:ascii="宋体" w:hAnsi="宋体" w:cs="宋体" w:eastAsia="宋体" w:hint="default"/>
                <w:sz w:val="18"/>
                <w:szCs w:val="18"/>
              </w:rPr>
              <w:t> 息</w:t>
            </w:r>
            <w:r>
              <w:rPr>
                <w:rFonts w:ascii="宋体" w:hAnsi="宋体" w:cs="宋体" w:eastAsia="宋体" w:hint="default"/>
                <w:spacing w:val="36"/>
                <w:sz w:val="18"/>
                <w:szCs w:val="18"/>
              </w:rPr>
              <w:t> </w:t>
            </w:r>
            <w:r>
              <w:rPr>
                <w:rFonts w:ascii="宋体" w:hAnsi="宋体" w:cs="宋体" w:eastAsia="宋体" w:hint="default"/>
                <w:sz w:val="18"/>
                <w:szCs w:val="18"/>
              </w:rPr>
              <w:t>技</w:t>
            </w:r>
            <w:r>
              <w:rPr>
                <w:rFonts w:ascii="宋体" w:hAnsi="宋体" w:cs="宋体" w:eastAsia="宋体" w:hint="default"/>
                <w:sz w:val="18"/>
                <w:szCs w:val="18"/>
              </w:rPr>
              <w:t> </w:t>
            </w:r>
            <w:r>
              <w:rPr>
                <w:rFonts w:ascii="宋体" w:hAnsi="宋体" w:cs="宋体" w:eastAsia="宋体" w:hint="default"/>
                <w:spacing w:val="9"/>
                <w:sz w:val="18"/>
                <w:szCs w:val="18"/>
              </w:rPr>
              <w:t>术、</w:t>
            </w:r>
            <w:r>
              <w:rPr>
                <w:rFonts w:ascii="宋体" w:hAnsi="宋体" w:cs="宋体" w:eastAsia="宋体" w:hint="default"/>
                <w:spacing w:val="-74"/>
                <w:sz w:val="18"/>
                <w:szCs w:val="18"/>
              </w:rPr>
              <w:t> </w:t>
            </w:r>
            <w:r>
              <w:rPr>
                <w:rFonts w:ascii="宋体" w:hAnsi="宋体" w:cs="宋体" w:eastAsia="宋体" w:hint="default"/>
                <w:sz w:val="18"/>
                <w:szCs w:val="18"/>
              </w:rPr>
              <w:t>电</w:t>
            </w:r>
            <w:r>
              <w:rPr>
                <w:rFonts w:ascii="宋体" w:hAnsi="宋体" w:cs="宋体" w:eastAsia="宋体" w:hint="default"/>
                <w:sz w:val="18"/>
                <w:szCs w:val="18"/>
              </w:rPr>
              <w:t> 子</w:t>
            </w:r>
            <w:r>
              <w:rPr>
                <w:rFonts w:ascii="宋体" w:hAnsi="宋体" w:cs="宋体" w:eastAsia="宋体" w:hint="default"/>
                <w:spacing w:val="36"/>
                <w:sz w:val="18"/>
                <w:szCs w:val="18"/>
              </w:rPr>
              <w:t> </w:t>
            </w:r>
            <w:r>
              <w:rPr>
                <w:rFonts w:ascii="宋体" w:hAnsi="宋体" w:cs="宋体" w:eastAsia="宋体" w:hint="default"/>
                <w:sz w:val="18"/>
                <w:szCs w:val="18"/>
              </w:rPr>
              <w:t>商</w:t>
            </w:r>
            <w:r>
              <w:rPr>
                <w:rFonts w:ascii="宋体" w:hAnsi="宋体" w:cs="宋体" w:eastAsia="宋体" w:hint="default"/>
                <w:sz w:val="18"/>
                <w:szCs w:val="18"/>
              </w:rPr>
              <w:t> </w:t>
            </w:r>
            <w:r>
              <w:rPr>
                <w:rFonts w:ascii="宋体" w:hAnsi="宋体" w:cs="宋体" w:eastAsia="宋体" w:hint="default"/>
                <w:spacing w:val="9"/>
                <w:sz w:val="18"/>
                <w:szCs w:val="18"/>
              </w:rPr>
              <w:t>务、</w:t>
            </w:r>
            <w:r>
              <w:rPr>
                <w:rFonts w:ascii="宋体" w:hAnsi="宋体" w:cs="宋体" w:eastAsia="宋体" w:hint="default"/>
                <w:spacing w:val="-74"/>
                <w:sz w:val="18"/>
                <w:szCs w:val="18"/>
              </w:rPr>
              <w:t> </w:t>
            </w:r>
            <w:r>
              <w:rPr>
                <w:rFonts w:ascii="宋体" w:hAnsi="宋体" w:cs="宋体" w:eastAsia="宋体" w:hint="default"/>
                <w:sz w:val="18"/>
                <w:szCs w:val="18"/>
              </w:rPr>
              <w:t>电</w:t>
            </w:r>
            <w:r>
              <w:rPr>
                <w:rFonts w:ascii="宋体" w:hAnsi="宋体" w:cs="宋体" w:eastAsia="宋体" w:hint="default"/>
                <w:sz w:val="18"/>
                <w:szCs w:val="18"/>
              </w:rPr>
              <w:t> </w:t>
            </w:r>
            <w:r>
              <w:rPr>
                <w:rFonts w:ascii="宋体" w:hAnsi="宋体" w:cs="宋体" w:eastAsia="宋体" w:hint="default"/>
                <w:spacing w:val="11"/>
                <w:sz w:val="18"/>
                <w:szCs w:val="18"/>
              </w:rPr>
              <w:t>子产品</w:t>
            </w:r>
            <w:r>
              <w:rPr>
                <w:rFonts w:ascii="宋体" w:hAnsi="宋体" w:cs="宋体" w:eastAsia="宋体" w:hint="default"/>
                <w:sz w:val="18"/>
                <w:szCs w:val="18"/>
              </w:rPr>
              <w:t> </w:t>
            </w:r>
            <w:r>
              <w:rPr>
                <w:rFonts w:ascii="宋体" w:hAnsi="宋体" w:cs="宋体" w:eastAsia="宋体" w:hint="default"/>
                <w:spacing w:val="11"/>
                <w:sz w:val="18"/>
                <w:szCs w:val="18"/>
              </w:rPr>
              <w:t>领域内</w:t>
            </w:r>
            <w:r>
              <w:rPr>
                <w:rFonts w:ascii="宋体" w:hAnsi="宋体" w:cs="宋体" w:eastAsia="宋体" w:hint="default"/>
                <w:sz w:val="18"/>
                <w:szCs w:val="18"/>
              </w:rPr>
              <w:t> </w:t>
            </w:r>
            <w:r>
              <w:rPr>
                <w:rFonts w:ascii="宋体" w:hAnsi="宋体" w:cs="宋体" w:eastAsia="宋体" w:hint="default"/>
                <w:spacing w:val="11"/>
                <w:sz w:val="18"/>
                <w:szCs w:val="18"/>
              </w:rPr>
              <w:t>的技术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54%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89" w:right="0"/>
              <w:jc w:val="left"/>
              <w:rPr>
                <w:rFonts w:ascii="Times New Roman" w:hAnsi="Times New Roman" w:cs="Times New Roman" w:eastAsia="Times New Roman" w:hint="default"/>
                <w:sz w:val="18"/>
                <w:szCs w:val="18"/>
              </w:rPr>
            </w:pPr>
            <w:r>
              <w:rPr>
                <w:rFonts w:ascii="Times New Roman"/>
                <w:sz w:val="18"/>
              </w:rPr>
              <w:t>5,000,000.00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1,220,136.54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1,001,228.37</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465,372.31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-643,546.00</w:t>
            </w:r>
          </w:p>
        </w:tc>
      </w:tr>
    </w:tbl>
    <w:p>
      <w:pPr>
        <w:spacing w:after="0" w:line="202" w:lineRule="exact"/>
        <w:jc w:val="right"/>
        <w:rPr>
          <w:rFonts w:ascii="Times New Roman" w:hAnsi="Times New Roman" w:cs="Times New Roman" w:eastAsia="Times New Roman"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35"/>
        <w:gridCol w:w="490"/>
        <w:gridCol w:w="792"/>
        <w:gridCol w:w="721"/>
        <w:gridCol w:w="1250"/>
        <w:gridCol w:w="1342"/>
        <w:gridCol w:w="1334"/>
        <w:gridCol w:w="1335"/>
        <w:gridCol w:w="1250"/>
      </w:tblGrid>
      <w:tr>
        <w:trPr>
          <w:trHeight w:val="4448" w:hRule="exact"/>
        </w:trPr>
        <w:tc>
          <w:tcPr>
            <w:tcW w:w="53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pacing w:val="11"/>
                <w:sz w:val="18"/>
                <w:szCs w:val="18"/>
              </w:rPr>
              <w:t>开发、</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pacing w:val="11"/>
                <w:sz w:val="18"/>
                <w:szCs w:val="18"/>
              </w:rPr>
              <w:t>技术咨</w:t>
            </w:r>
            <w:r>
              <w:rPr>
                <w:rFonts w:ascii="宋体" w:hAnsi="宋体" w:cs="宋体" w:eastAsia="宋体" w:hint="default"/>
                <w:sz w:val="18"/>
                <w:szCs w:val="18"/>
              </w:rPr>
              <w:t> </w:t>
            </w:r>
            <w:r>
              <w:rPr>
                <w:rFonts w:ascii="宋体" w:hAnsi="宋体" w:cs="宋体" w:eastAsia="宋体" w:hint="default"/>
                <w:spacing w:val="9"/>
                <w:sz w:val="18"/>
                <w:szCs w:val="18"/>
              </w:rPr>
              <w:t>询、</w:t>
            </w:r>
            <w:r>
              <w:rPr>
                <w:rFonts w:ascii="宋体" w:hAnsi="宋体" w:cs="宋体" w:eastAsia="宋体" w:hint="default"/>
                <w:spacing w:val="-74"/>
                <w:sz w:val="18"/>
                <w:szCs w:val="18"/>
              </w:rPr>
              <w:t> </w:t>
            </w:r>
            <w:r>
              <w:rPr>
                <w:rFonts w:ascii="宋体" w:hAnsi="宋体" w:cs="宋体" w:eastAsia="宋体" w:hint="default"/>
                <w:sz w:val="18"/>
                <w:szCs w:val="18"/>
              </w:rPr>
              <w:t>技</w:t>
            </w:r>
            <w:r>
              <w:rPr>
                <w:rFonts w:ascii="宋体" w:hAnsi="宋体" w:cs="宋体" w:eastAsia="宋体" w:hint="default"/>
                <w:sz w:val="18"/>
                <w:szCs w:val="18"/>
              </w:rPr>
              <w:t> 术</w:t>
            </w:r>
            <w:r>
              <w:rPr>
                <w:rFonts w:ascii="宋体" w:hAnsi="宋体" w:cs="宋体" w:eastAsia="宋体" w:hint="default"/>
                <w:spacing w:val="36"/>
                <w:sz w:val="18"/>
                <w:szCs w:val="18"/>
              </w:rPr>
              <w:t> </w:t>
            </w:r>
            <w:r>
              <w:rPr>
                <w:rFonts w:ascii="宋体" w:hAnsi="宋体" w:cs="宋体" w:eastAsia="宋体" w:hint="default"/>
                <w:sz w:val="18"/>
                <w:szCs w:val="18"/>
              </w:rPr>
              <w:t>服</w:t>
            </w:r>
            <w:r>
              <w:rPr>
                <w:rFonts w:ascii="宋体" w:hAnsi="宋体" w:cs="宋体" w:eastAsia="宋体" w:hint="default"/>
                <w:sz w:val="18"/>
                <w:szCs w:val="18"/>
              </w:rPr>
              <w:t> </w:t>
            </w:r>
            <w:r>
              <w:rPr>
                <w:rFonts w:ascii="宋体" w:hAnsi="宋体" w:cs="宋体" w:eastAsia="宋体" w:hint="default"/>
                <w:spacing w:val="9"/>
                <w:sz w:val="18"/>
                <w:szCs w:val="18"/>
              </w:rPr>
              <w:t>务、</w:t>
            </w:r>
            <w:r>
              <w:rPr>
                <w:rFonts w:ascii="宋体" w:hAnsi="宋体" w:cs="宋体" w:eastAsia="宋体" w:hint="default"/>
                <w:spacing w:val="-74"/>
                <w:sz w:val="18"/>
                <w:szCs w:val="18"/>
              </w:rPr>
              <w:t> </w:t>
            </w:r>
            <w:r>
              <w:rPr>
                <w:rFonts w:ascii="宋体" w:hAnsi="宋体" w:cs="宋体" w:eastAsia="宋体" w:hint="default"/>
                <w:sz w:val="18"/>
                <w:szCs w:val="18"/>
              </w:rPr>
              <w:t>技</w:t>
            </w:r>
            <w:r>
              <w:rPr>
                <w:rFonts w:ascii="宋体" w:hAnsi="宋体" w:cs="宋体" w:eastAsia="宋体" w:hint="default"/>
                <w:sz w:val="18"/>
                <w:szCs w:val="18"/>
              </w:rPr>
              <w:t> 术</w:t>
            </w:r>
            <w:r>
              <w:rPr>
                <w:rFonts w:ascii="宋体" w:hAnsi="宋体" w:cs="宋体" w:eastAsia="宋体" w:hint="default"/>
                <w:spacing w:val="36"/>
                <w:sz w:val="18"/>
                <w:szCs w:val="18"/>
              </w:rPr>
              <w:t> </w:t>
            </w:r>
            <w:r>
              <w:rPr>
                <w:rFonts w:ascii="宋体" w:hAnsi="宋体" w:cs="宋体" w:eastAsia="宋体" w:hint="default"/>
                <w:sz w:val="18"/>
                <w:szCs w:val="18"/>
              </w:rPr>
              <w:t>转</w:t>
            </w:r>
            <w:r>
              <w:rPr>
                <w:rFonts w:ascii="宋体" w:hAnsi="宋体" w:cs="宋体" w:eastAsia="宋体" w:hint="default"/>
                <w:sz w:val="18"/>
                <w:szCs w:val="18"/>
              </w:rPr>
              <w:t> </w:t>
            </w:r>
            <w:r>
              <w:rPr>
                <w:rFonts w:ascii="宋体" w:hAnsi="宋体" w:cs="宋体" w:eastAsia="宋体" w:hint="default"/>
                <w:spacing w:val="9"/>
                <w:sz w:val="18"/>
                <w:szCs w:val="18"/>
              </w:rPr>
              <w:t>让；</w:t>
            </w:r>
            <w:r>
              <w:rPr>
                <w:rFonts w:ascii="宋体" w:hAnsi="宋体" w:cs="宋体" w:eastAsia="宋体" w:hint="default"/>
                <w:spacing w:val="-74"/>
                <w:sz w:val="18"/>
                <w:szCs w:val="18"/>
              </w:rPr>
              <w:t> </w:t>
            </w:r>
            <w:r>
              <w:rPr>
                <w:rFonts w:ascii="宋体" w:hAnsi="宋体" w:cs="宋体" w:eastAsia="宋体" w:hint="default"/>
                <w:sz w:val="18"/>
                <w:szCs w:val="18"/>
              </w:rPr>
              <w:t>电</w:t>
            </w:r>
            <w:r>
              <w:rPr>
                <w:rFonts w:ascii="宋体" w:hAnsi="宋体" w:cs="宋体" w:eastAsia="宋体" w:hint="default"/>
                <w:sz w:val="18"/>
                <w:szCs w:val="18"/>
              </w:rPr>
              <w:t> 子</w:t>
            </w:r>
            <w:r>
              <w:rPr>
                <w:rFonts w:ascii="宋体" w:hAnsi="宋体" w:cs="宋体" w:eastAsia="宋体" w:hint="default"/>
                <w:spacing w:val="36"/>
                <w:sz w:val="18"/>
                <w:szCs w:val="18"/>
              </w:rPr>
              <w:t> </w:t>
            </w:r>
            <w:r>
              <w:rPr>
                <w:rFonts w:ascii="宋体" w:hAnsi="宋体" w:cs="宋体" w:eastAsia="宋体" w:hint="default"/>
                <w:sz w:val="18"/>
                <w:szCs w:val="18"/>
              </w:rPr>
              <w:t>产</w:t>
            </w:r>
            <w:r>
              <w:rPr>
                <w:rFonts w:ascii="宋体" w:hAnsi="宋体" w:cs="宋体" w:eastAsia="宋体" w:hint="default"/>
                <w:sz w:val="18"/>
                <w:szCs w:val="18"/>
              </w:rPr>
              <w:t> </w:t>
            </w:r>
            <w:r>
              <w:rPr>
                <w:rFonts w:ascii="宋体" w:hAnsi="宋体" w:cs="宋体" w:eastAsia="宋体" w:hint="default"/>
                <w:spacing w:val="9"/>
                <w:sz w:val="18"/>
                <w:szCs w:val="18"/>
              </w:rPr>
              <w:t>品、</w:t>
            </w:r>
            <w:r>
              <w:rPr>
                <w:rFonts w:ascii="宋体" w:hAnsi="宋体" w:cs="宋体" w:eastAsia="宋体" w:hint="default"/>
                <w:spacing w:val="-74"/>
                <w:sz w:val="18"/>
                <w:szCs w:val="18"/>
              </w:rPr>
              <w:t> </w:t>
            </w:r>
            <w:r>
              <w:rPr>
                <w:rFonts w:ascii="宋体" w:hAnsi="宋体" w:cs="宋体" w:eastAsia="宋体" w:hint="default"/>
                <w:sz w:val="18"/>
                <w:szCs w:val="18"/>
              </w:rPr>
              <w:t>机</w:t>
            </w:r>
            <w:r>
              <w:rPr>
                <w:rFonts w:ascii="宋体" w:hAnsi="宋体" w:cs="宋体" w:eastAsia="宋体" w:hint="default"/>
                <w:sz w:val="18"/>
                <w:szCs w:val="18"/>
              </w:rPr>
              <w:t> 电</w:t>
            </w:r>
            <w:r>
              <w:rPr>
                <w:rFonts w:ascii="宋体" w:hAnsi="宋体" w:cs="宋体" w:eastAsia="宋体" w:hint="default"/>
                <w:spacing w:val="36"/>
                <w:sz w:val="18"/>
                <w:szCs w:val="18"/>
              </w:rPr>
              <w:t> </w:t>
            </w:r>
            <w:r>
              <w:rPr>
                <w:rFonts w:ascii="宋体" w:hAnsi="宋体" w:cs="宋体" w:eastAsia="宋体" w:hint="default"/>
                <w:sz w:val="18"/>
                <w:szCs w:val="18"/>
              </w:rPr>
              <w:t>设</w:t>
            </w:r>
            <w:r>
              <w:rPr>
                <w:rFonts w:ascii="宋体" w:hAnsi="宋体" w:cs="宋体" w:eastAsia="宋体" w:hint="default"/>
                <w:sz w:val="18"/>
                <w:szCs w:val="18"/>
              </w:rPr>
              <w:t> </w:t>
            </w:r>
            <w:r>
              <w:rPr>
                <w:rFonts w:ascii="宋体" w:hAnsi="宋体" w:cs="宋体" w:eastAsia="宋体" w:hint="default"/>
                <w:spacing w:val="9"/>
                <w:sz w:val="18"/>
                <w:szCs w:val="18"/>
              </w:rPr>
              <w:t>备、</w:t>
            </w:r>
            <w:r>
              <w:rPr>
                <w:rFonts w:ascii="宋体" w:hAnsi="宋体" w:cs="宋体" w:eastAsia="宋体" w:hint="default"/>
                <w:spacing w:val="-74"/>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11"/>
                <w:sz w:val="18"/>
                <w:szCs w:val="18"/>
              </w:rPr>
              <w:t>艺品销</w:t>
            </w:r>
            <w:r>
              <w:rPr>
                <w:rFonts w:ascii="宋体" w:hAnsi="宋体" w:cs="宋体" w:eastAsia="宋体" w:hint="default"/>
                <w:sz w:val="18"/>
                <w:szCs w:val="18"/>
              </w:rPr>
              <w:t> </w:t>
            </w:r>
            <w:r>
              <w:rPr>
                <w:rFonts w:ascii="宋体" w:hAnsi="宋体" w:cs="宋体" w:eastAsia="宋体" w:hint="default"/>
                <w:spacing w:val="9"/>
                <w:sz w:val="18"/>
                <w:szCs w:val="18"/>
              </w:rPr>
              <w:t>售；</w:t>
            </w:r>
            <w:r>
              <w:rPr>
                <w:rFonts w:ascii="宋体" w:hAnsi="宋体" w:cs="宋体" w:eastAsia="宋体" w:hint="default"/>
                <w:spacing w:val="-74"/>
                <w:sz w:val="18"/>
                <w:szCs w:val="18"/>
              </w:rPr>
              <w:t> </w:t>
            </w:r>
            <w:r>
              <w:rPr>
                <w:rFonts w:ascii="宋体" w:hAnsi="宋体" w:cs="宋体" w:eastAsia="宋体" w:hint="default"/>
                <w:sz w:val="18"/>
                <w:szCs w:val="18"/>
              </w:rPr>
              <w:t>企</w:t>
            </w:r>
            <w:r>
              <w:rPr>
                <w:rFonts w:ascii="宋体" w:hAnsi="宋体" w:cs="宋体" w:eastAsia="宋体" w:hint="default"/>
                <w:sz w:val="18"/>
                <w:szCs w:val="18"/>
              </w:rPr>
              <w:t> </w:t>
            </w:r>
            <w:r>
              <w:rPr>
                <w:rFonts w:ascii="宋体" w:hAnsi="宋体" w:cs="宋体" w:eastAsia="宋体" w:hint="default"/>
                <w:spacing w:val="11"/>
                <w:sz w:val="18"/>
                <w:szCs w:val="18"/>
              </w:rPr>
              <w:t>业形象</w:t>
            </w:r>
            <w:r>
              <w:rPr>
                <w:rFonts w:ascii="宋体" w:hAnsi="宋体" w:cs="宋体" w:eastAsia="宋体" w:hint="default"/>
                <w:sz w:val="18"/>
                <w:szCs w:val="18"/>
              </w:rPr>
              <w:t> </w:t>
            </w:r>
            <w:r>
              <w:rPr>
                <w:rFonts w:ascii="宋体" w:hAnsi="宋体" w:cs="宋体" w:eastAsia="宋体" w:hint="default"/>
                <w:spacing w:val="11"/>
                <w:sz w:val="18"/>
                <w:szCs w:val="18"/>
              </w:rPr>
              <w:t>策划服</w:t>
            </w:r>
            <w:r>
              <w:rPr>
                <w:rFonts w:ascii="宋体" w:hAnsi="宋体" w:cs="宋体" w:eastAsia="宋体" w:hint="default"/>
                <w:sz w:val="18"/>
                <w:szCs w:val="18"/>
              </w:rPr>
              <w:t> </w:t>
            </w:r>
            <w:r>
              <w:rPr>
                <w:rFonts w:ascii="宋体" w:hAnsi="宋体" w:cs="宋体" w:eastAsia="宋体" w:hint="default"/>
                <w:spacing w:val="9"/>
                <w:sz w:val="18"/>
                <w:szCs w:val="18"/>
              </w:rPr>
              <w:t>务；</w:t>
            </w:r>
            <w:r>
              <w:rPr>
                <w:rFonts w:ascii="宋体" w:hAnsi="宋体" w:cs="宋体" w:eastAsia="宋体" w:hint="default"/>
                <w:spacing w:val="-74"/>
                <w:sz w:val="18"/>
                <w:szCs w:val="18"/>
              </w:rPr>
              <w:t> </w:t>
            </w:r>
            <w:r>
              <w:rPr>
                <w:rFonts w:ascii="宋体" w:hAnsi="宋体" w:cs="宋体" w:eastAsia="宋体" w:hint="default"/>
                <w:sz w:val="18"/>
                <w:szCs w:val="18"/>
              </w:rPr>
              <w:t>企</w:t>
            </w:r>
            <w:r>
              <w:rPr>
                <w:rFonts w:ascii="宋体" w:hAnsi="宋体" w:cs="宋体" w:eastAsia="宋体" w:hint="default"/>
                <w:sz w:val="18"/>
                <w:szCs w:val="18"/>
              </w:rPr>
              <w:t> </w:t>
            </w:r>
            <w:r>
              <w:rPr>
                <w:rFonts w:ascii="宋体" w:hAnsi="宋体" w:cs="宋体" w:eastAsia="宋体" w:hint="default"/>
                <w:spacing w:val="11"/>
                <w:sz w:val="18"/>
                <w:szCs w:val="18"/>
              </w:rPr>
              <w:t>业管理</w:t>
            </w:r>
            <w:r>
              <w:rPr>
                <w:rFonts w:ascii="宋体" w:hAnsi="宋体" w:cs="宋体" w:eastAsia="宋体" w:hint="default"/>
                <w:sz w:val="18"/>
                <w:szCs w:val="18"/>
              </w:rPr>
              <w:t> </w:t>
            </w:r>
            <w:r>
              <w:rPr>
                <w:rFonts w:ascii="宋体" w:hAnsi="宋体" w:cs="宋体" w:eastAsia="宋体" w:hint="default"/>
                <w:spacing w:val="11"/>
                <w:sz w:val="18"/>
                <w:szCs w:val="18"/>
              </w:rPr>
              <w:t>咨询服</w:t>
            </w:r>
            <w:r>
              <w:rPr>
                <w:rFonts w:ascii="宋体" w:hAnsi="宋体" w:cs="宋体" w:eastAsia="宋体" w:hint="default"/>
                <w:sz w:val="18"/>
                <w:szCs w:val="18"/>
              </w:rPr>
              <w:t> 务。</w:t>
            </w:r>
          </w:p>
        </w:tc>
        <w:tc>
          <w:tcPr>
            <w:tcW w:w="721"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r>
      <w:tr>
        <w:trPr>
          <w:trHeight w:val="4212"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上</w:t>
            </w:r>
          </w:p>
          <w:p>
            <w:pPr>
              <w:pStyle w:val="TableParagraph"/>
              <w:spacing w:line="237" w:lineRule="auto"/>
              <w:ind w:left="103" w:right="240"/>
              <w:jc w:val="both"/>
              <w:rPr>
                <w:rFonts w:ascii="宋体" w:hAnsi="宋体" w:cs="宋体" w:eastAsia="宋体" w:hint="default"/>
                <w:sz w:val="18"/>
                <w:szCs w:val="18"/>
              </w:rPr>
            </w:pPr>
            <w:r>
              <w:rPr>
                <w:rFonts w:ascii="宋体" w:hAnsi="宋体" w:cs="宋体" w:eastAsia="宋体" w:hint="default"/>
                <w:sz w:val="18"/>
                <w:szCs w:val="18"/>
              </w:rPr>
              <w:t>海 格 尔 安 全 科 技 有 限 公 司</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软</w:t>
            </w:r>
          </w:p>
          <w:p>
            <w:pPr>
              <w:pStyle w:val="TableParagraph"/>
              <w:spacing w:line="237" w:lineRule="auto"/>
              <w:ind w:left="100" w:right="197"/>
              <w:jc w:val="both"/>
              <w:rPr>
                <w:rFonts w:ascii="宋体" w:hAnsi="宋体" w:cs="宋体" w:eastAsia="宋体" w:hint="default"/>
                <w:sz w:val="18"/>
                <w:szCs w:val="18"/>
              </w:rPr>
            </w:pPr>
            <w:r>
              <w:rPr>
                <w:rFonts w:ascii="宋体" w:hAnsi="宋体" w:cs="宋体" w:eastAsia="宋体" w:hint="default"/>
                <w:sz w:val="18"/>
                <w:szCs w:val="18"/>
              </w:rPr>
              <w:t>件 行 业</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1"/>
                <w:sz w:val="18"/>
                <w:szCs w:val="18"/>
              </w:rPr>
              <w:t>安全科</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pacing w:val="11"/>
                <w:sz w:val="18"/>
                <w:szCs w:val="18"/>
              </w:rPr>
              <w:t>技领域</w:t>
            </w:r>
            <w:r>
              <w:rPr>
                <w:rFonts w:ascii="宋体" w:hAnsi="宋体" w:cs="宋体" w:eastAsia="宋体" w:hint="default"/>
                <w:sz w:val="18"/>
                <w:szCs w:val="18"/>
              </w:rPr>
              <w:t> </w:t>
            </w:r>
            <w:r>
              <w:rPr>
                <w:rFonts w:ascii="宋体" w:hAnsi="宋体" w:cs="宋体" w:eastAsia="宋体" w:hint="default"/>
                <w:spacing w:val="11"/>
                <w:sz w:val="18"/>
                <w:szCs w:val="18"/>
              </w:rPr>
              <w:t>内的技</w:t>
            </w:r>
            <w:r>
              <w:rPr>
                <w:rFonts w:ascii="宋体" w:hAnsi="宋体" w:cs="宋体" w:eastAsia="宋体" w:hint="default"/>
                <w:sz w:val="18"/>
                <w:szCs w:val="18"/>
              </w:rPr>
              <w:t> 术</w:t>
            </w:r>
            <w:r>
              <w:rPr>
                <w:rFonts w:ascii="宋体" w:hAnsi="宋体" w:cs="宋体" w:eastAsia="宋体" w:hint="default"/>
                <w:spacing w:val="36"/>
                <w:sz w:val="18"/>
                <w:szCs w:val="18"/>
              </w:rPr>
              <w:t> </w:t>
            </w:r>
            <w:r>
              <w:rPr>
                <w:rFonts w:ascii="宋体" w:hAnsi="宋体" w:cs="宋体" w:eastAsia="宋体" w:hint="default"/>
                <w:sz w:val="18"/>
                <w:szCs w:val="18"/>
              </w:rPr>
              <w:t>开</w:t>
            </w:r>
            <w:r>
              <w:rPr>
                <w:rFonts w:ascii="宋体" w:hAnsi="宋体" w:cs="宋体" w:eastAsia="宋体" w:hint="default"/>
                <w:sz w:val="18"/>
                <w:szCs w:val="18"/>
              </w:rPr>
              <w:t> </w:t>
            </w:r>
            <w:r>
              <w:rPr>
                <w:rFonts w:ascii="宋体" w:hAnsi="宋体" w:cs="宋体" w:eastAsia="宋体" w:hint="default"/>
                <w:spacing w:val="9"/>
                <w:sz w:val="18"/>
                <w:szCs w:val="18"/>
              </w:rPr>
              <w:t>发、</w:t>
            </w:r>
            <w:r>
              <w:rPr>
                <w:rFonts w:ascii="宋体" w:hAnsi="宋体" w:cs="宋体" w:eastAsia="宋体" w:hint="default"/>
                <w:spacing w:val="-74"/>
                <w:sz w:val="18"/>
                <w:szCs w:val="18"/>
              </w:rPr>
              <w:t> </w:t>
            </w:r>
            <w:r>
              <w:rPr>
                <w:rFonts w:ascii="宋体" w:hAnsi="宋体" w:cs="宋体" w:eastAsia="宋体" w:hint="default"/>
                <w:sz w:val="18"/>
                <w:szCs w:val="18"/>
              </w:rPr>
              <w:t>技</w:t>
            </w:r>
            <w:r>
              <w:rPr>
                <w:rFonts w:ascii="宋体" w:hAnsi="宋体" w:cs="宋体" w:eastAsia="宋体" w:hint="default"/>
                <w:sz w:val="18"/>
                <w:szCs w:val="18"/>
              </w:rPr>
              <w:t> 术</w:t>
            </w:r>
            <w:r>
              <w:rPr>
                <w:rFonts w:ascii="宋体" w:hAnsi="宋体" w:cs="宋体" w:eastAsia="宋体" w:hint="default"/>
                <w:spacing w:val="36"/>
                <w:sz w:val="18"/>
                <w:szCs w:val="18"/>
              </w:rPr>
              <w:t> </w:t>
            </w:r>
            <w:r>
              <w:rPr>
                <w:rFonts w:ascii="宋体" w:hAnsi="宋体" w:cs="宋体" w:eastAsia="宋体" w:hint="default"/>
                <w:sz w:val="18"/>
                <w:szCs w:val="18"/>
              </w:rPr>
              <w:t>转</w:t>
            </w:r>
            <w:r>
              <w:rPr>
                <w:rFonts w:ascii="宋体" w:hAnsi="宋体" w:cs="宋体" w:eastAsia="宋体" w:hint="default"/>
                <w:sz w:val="18"/>
                <w:szCs w:val="18"/>
              </w:rPr>
              <w:t> </w:t>
            </w:r>
            <w:r>
              <w:rPr>
                <w:rFonts w:ascii="宋体" w:hAnsi="宋体" w:cs="宋体" w:eastAsia="宋体" w:hint="default"/>
                <w:spacing w:val="9"/>
                <w:sz w:val="18"/>
                <w:szCs w:val="18"/>
              </w:rPr>
              <w:t>让、</w:t>
            </w:r>
            <w:r>
              <w:rPr>
                <w:rFonts w:ascii="宋体" w:hAnsi="宋体" w:cs="宋体" w:eastAsia="宋体" w:hint="default"/>
                <w:spacing w:val="-74"/>
                <w:sz w:val="18"/>
                <w:szCs w:val="18"/>
              </w:rPr>
              <w:t> </w:t>
            </w:r>
            <w:r>
              <w:rPr>
                <w:rFonts w:ascii="宋体" w:hAnsi="宋体" w:cs="宋体" w:eastAsia="宋体" w:hint="default"/>
                <w:sz w:val="18"/>
                <w:szCs w:val="18"/>
              </w:rPr>
              <w:t>技</w:t>
            </w:r>
            <w:r>
              <w:rPr>
                <w:rFonts w:ascii="宋体" w:hAnsi="宋体" w:cs="宋体" w:eastAsia="宋体" w:hint="default"/>
                <w:sz w:val="18"/>
                <w:szCs w:val="18"/>
              </w:rPr>
              <w:t> </w:t>
            </w:r>
            <w:r>
              <w:rPr>
                <w:rFonts w:ascii="宋体" w:hAnsi="宋体" w:cs="宋体" w:eastAsia="宋体" w:hint="default"/>
                <w:spacing w:val="11"/>
                <w:sz w:val="18"/>
                <w:szCs w:val="18"/>
              </w:rPr>
              <w:t>术咨询</w:t>
            </w:r>
            <w:r>
              <w:rPr>
                <w:rFonts w:ascii="宋体" w:hAnsi="宋体" w:cs="宋体" w:eastAsia="宋体" w:hint="default"/>
                <w:sz w:val="18"/>
                <w:szCs w:val="18"/>
              </w:rPr>
              <w:t> </w:t>
            </w:r>
            <w:r>
              <w:rPr>
                <w:rFonts w:ascii="宋体" w:hAnsi="宋体" w:cs="宋体" w:eastAsia="宋体" w:hint="default"/>
                <w:spacing w:val="11"/>
                <w:sz w:val="18"/>
                <w:szCs w:val="18"/>
              </w:rPr>
              <w:t>和技术</w:t>
            </w:r>
            <w:r>
              <w:rPr>
                <w:rFonts w:ascii="宋体" w:hAnsi="宋体" w:cs="宋体" w:eastAsia="宋体" w:hint="default"/>
                <w:sz w:val="18"/>
                <w:szCs w:val="18"/>
              </w:rPr>
              <w:t> </w:t>
            </w:r>
            <w:r>
              <w:rPr>
                <w:rFonts w:ascii="宋体" w:hAnsi="宋体" w:cs="宋体" w:eastAsia="宋体" w:hint="default"/>
                <w:spacing w:val="11"/>
                <w:sz w:val="18"/>
                <w:szCs w:val="18"/>
              </w:rPr>
              <w:t>服务，</w:t>
            </w:r>
            <w:r>
              <w:rPr>
                <w:rFonts w:ascii="宋体" w:hAnsi="宋体" w:cs="宋体" w:eastAsia="宋体" w:hint="default"/>
                <w:sz w:val="18"/>
                <w:szCs w:val="18"/>
              </w:rPr>
              <w:t> </w:t>
            </w:r>
            <w:r>
              <w:rPr>
                <w:rFonts w:ascii="宋体" w:hAnsi="宋体" w:cs="宋体" w:eastAsia="宋体" w:hint="default"/>
                <w:spacing w:val="11"/>
                <w:sz w:val="18"/>
                <w:szCs w:val="18"/>
              </w:rPr>
              <w:t>计算机</w:t>
            </w:r>
            <w:r>
              <w:rPr>
                <w:rFonts w:ascii="宋体" w:hAnsi="宋体" w:cs="宋体" w:eastAsia="宋体" w:hint="default"/>
                <w:sz w:val="18"/>
                <w:szCs w:val="18"/>
              </w:rPr>
              <w:t> </w:t>
            </w:r>
            <w:r>
              <w:rPr>
                <w:rFonts w:ascii="宋体" w:hAnsi="宋体" w:cs="宋体" w:eastAsia="宋体" w:hint="default"/>
                <w:spacing w:val="11"/>
                <w:sz w:val="18"/>
                <w:szCs w:val="18"/>
              </w:rPr>
              <w:t>软硬件</w:t>
            </w:r>
            <w:r>
              <w:rPr>
                <w:rFonts w:ascii="宋体" w:hAnsi="宋体" w:cs="宋体" w:eastAsia="宋体" w:hint="default"/>
                <w:sz w:val="18"/>
                <w:szCs w:val="18"/>
              </w:rPr>
              <w:t> 的</w:t>
            </w:r>
            <w:r>
              <w:rPr>
                <w:rFonts w:ascii="宋体" w:hAnsi="宋体" w:cs="宋体" w:eastAsia="宋体" w:hint="default"/>
                <w:spacing w:val="36"/>
                <w:sz w:val="18"/>
                <w:szCs w:val="18"/>
              </w:rPr>
              <w:t> </w:t>
            </w:r>
            <w:r>
              <w:rPr>
                <w:rFonts w:ascii="宋体" w:hAnsi="宋体" w:cs="宋体" w:eastAsia="宋体" w:hint="default"/>
                <w:sz w:val="18"/>
                <w:szCs w:val="18"/>
              </w:rPr>
              <w:t>开</w:t>
            </w:r>
            <w:r>
              <w:rPr>
                <w:rFonts w:ascii="宋体" w:hAnsi="宋体" w:cs="宋体" w:eastAsia="宋体" w:hint="default"/>
                <w:sz w:val="18"/>
                <w:szCs w:val="18"/>
              </w:rPr>
              <w:t> </w:t>
            </w:r>
            <w:r>
              <w:rPr>
                <w:rFonts w:ascii="宋体" w:hAnsi="宋体" w:cs="宋体" w:eastAsia="宋体" w:hint="default"/>
                <w:spacing w:val="9"/>
                <w:sz w:val="18"/>
                <w:szCs w:val="18"/>
              </w:rPr>
              <w:t>发、</w:t>
            </w:r>
            <w:r>
              <w:rPr>
                <w:rFonts w:ascii="宋体" w:hAnsi="宋体" w:cs="宋体" w:eastAsia="宋体" w:hint="default"/>
                <w:spacing w:val="-74"/>
                <w:sz w:val="18"/>
                <w:szCs w:val="18"/>
              </w:rPr>
              <w:t> </w:t>
            </w:r>
            <w:r>
              <w:rPr>
                <w:rFonts w:ascii="宋体" w:hAnsi="宋体" w:cs="宋体" w:eastAsia="宋体" w:hint="default"/>
                <w:sz w:val="18"/>
                <w:szCs w:val="18"/>
              </w:rPr>
              <w:t>销</w:t>
            </w:r>
            <w:r>
              <w:rPr>
                <w:rFonts w:ascii="宋体" w:hAnsi="宋体" w:cs="宋体" w:eastAsia="宋体" w:hint="default"/>
                <w:sz w:val="18"/>
                <w:szCs w:val="18"/>
              </w:rPr>
              <w:t> </w:t>
            </w:r>
            <w:r>
              <w:rPr>
                <w:rFonts w:ascii="宋体" w:hAnsi="宋体" w:cs="宋体" w:eastAsia="宋体" w:hint="default"/>
                <w:spacing w:val="9"/>
                <w:sz w:val="18"/>
                <w:szCs w:val="18"/>
              </w:rPr>
              <w:t>售，</w:t>
            </w:r>
            <w:r>
              <w:rPr>
                <w:rFonts w:ascii="宋体" w:hAnsi="宋体" w:cs="宋体" w:eastAsia="宋体" w:hint="default"/>
                <w:spacing w:val="-74"/>
                <w:sz w:val="18"/>
                <w:szCs w:val="18"/>
              </w:rPr>
              <w:t> </w:t>
            </w:r>
            <w:r>
              <w:rPr>
                <w:rFonts w:ascii="宋体" w:hAnsi="宋体" w:cs="宋体" w:eastAsia="宋体" w:hint="default"/>
                <w:sz w:val="18"/>
                <w:szCs w:val="18"/>
              </w:rPr>
              <w:t>计</w:t>
            </w:r>
            <w:r>
              <w:rPr>
                <w:rFonts w:ascii="宋体" w:hAnsi="宋体" w:cs="宋体" w:eastAsia="宋体" w:hint="default"/>
                <w:sz w:val="18"/>
                <w:szCs w:val="18"/>
              </w:rPr>
              <w:t> </w:t>
            </w:r>
            <w:r>
              <w:rPr>
                <w:rFonts w:ascii="宋体" w:hAnsi="宋体" w:cs="宋体" w:eastAsia="宋体" w:hint="default"/>
                <w:spacing w:val="11"/>
                <w:sz w:val="18"/>
                <w:szCs w:val="18"/>
              </w:rPr>
              <w:t>算机系</w:t>
            </w:r>
            <w:r>
              <w:rPr>
                <w:rFonts w:ascii="宋体" w:hAnsi="宋体" w:cs="宋体" w:eastAsia="宋体" w:hint="default"/>
                <w:sz w:val="18"/>
                <w:szCs w:val="18"/>
              </w:rPr>
              <w:t> 统</w:t>
            </w:r>
            <w:r>
              <w:rPr>
                <w:rFonts w:ascii="宋体" w:hAnsi="宋体" w:cs="宋体" w:eastAsia="宋体" w:hint="default"/>
                <w:spacing w:val="36"/>
                <w:sz w:val="18"/>
                <w:szCs w:val="18"/>
              </w:rPr>
              <w:t> </w:t>
            </w:r>
            <w:r>
              <w:rPr>
                <w:rFonts w:ascii="宋体" w:hAnsi="宋体" w:cs="宋体" w:eastAsia="宋体" w:hint="default"/>
                <w:sz w:val="18"/>
                <w:szCs w:val="18"/>
              </w:rPr>
              <w:t>集</w:t>
            </w:r>
            <w:r>
              <w:rPr>
                <w:rFonts w:ascii="宋体" w:hAnsi="宋体" w:cs="宋体" w:eastAsia="宋体" w:hint="default"/>
                <w:sz w:val="18"/>
                <w:szCs w:val="18"/>
              </w:rPr>
              <w:t> 成。</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100%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0" w:right="0"/>
              <w:jc w:val="left"/>
              <w:rPr>
                <w:rFonts w:ascii="Times New Roman" w:hAnsi="Times New Roman" w:cs="Times New Roman" w:eastAsia="Times New Roman" w:hint="default"/>
                <w:sz w:val="18"/>
                <w:szCs w:val="18"/>
              </w:rPr>
            </w:pPr>
            <w:r>
              <w:rPr>
                <w:rFonts w:ascii="Times New Roman"/>
                <w:sz w:val="18"/>
              </w:rPr>
              <w:t>50,000,000.00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173,317,460.68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0" w:right="0"/>
              <w:jc w:val="left"/>
              <w:rPr>
                <w:rFonts w:ascii="Times New Roman" w:hAnsi="Times New Roman" w:cs="Times New Roman" w:eastAsia="Times New Roman" w:hint="default"/>
                <w:sz w:val="18"/>
                <w:szCs w:val="18"/>
              </w:rPr>
            </w:pPr>
            <w:r>
              <w:rPr>
                <w:rFonts w:ascii="Times New Roman"/>
                <w:sz w:val="18"/>
              </w:rPr>
              <w:t>119,136,372.96</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117,017,465.92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34,992,998.00</w:t>
            </w:r>
          </w:p>
        </w:tc>
      </w:tr>
    </w:tbl>
    <w:p>
      <w:pPr>
        <w:spacing w:line="240" w:lineRule="auto" w:before="13"/>
        <w:rPr>
          <w:rFonts w:ascii="宋体" w:hAnsi="宋体" w:cs="宋体" w:eastAsia="宋体" w:hint="default"/>
          <w:sz w:val="12"/>
          <w:szCs w:val="12"/>
        </w:rPr>
      </w:pPr>
    </w:p>
    <w:p>
      <w:pPr>
        <w:pStyle w:val="BodyText"/>
        <w:spacing w:line="274" w:lineRule="exact" w:before="62"/>
        <w:ind w:right="218"/>
        <w:jc w:val="left"/>
      </w:pPr>
      <w:r>
        <w:rPr/>
        <w:t>（</w:t>
      </w:r>
      <w:r>
        <w:rPr>
          <w:rFonts w:ascii="Times New Roman" w:hAnsi="Times New Roman" w:cs="Times New Roman" w:eastAsia="Times New Roman" w:hint="default"/>
        </w:rPr>
        <w:t>2</w:t>
      </w:r>
      <w:r>
        <w:rPr/>
        <w:t>）单个控股子公司的净利润及单个参股公司的投资收益对公司净利润影响达到</w:t>
      </w:r>
      <w:r>
        <w:rPr>
          <w:spacing w:val="45"/>
        </w:rPr>
        <w:t> </w:t>
      </w:r>
      <w:r>
        <w:rPr>
          <w:rFonts w:ascii="Times New Roman" w:hAnsi="Times New Roman" w:cs="Times New Roman" w:eastAsia="Times New Roman" w:hint="default"/>
        </w:rPr>
        <w:t>10%</w:t>
      </w:r>
      <w:r>
        <w:rPr/>
        <w:t>以上的公</w:t>
      </w:r>
      <w:r>
        <w:rPr>
          <w:spacing w:val="-102"/>
        </w:rPr>
        <w:t> </w:t>
      </w:r>
      <w:r>
        <w:rPr/>
        <w:t>司的经营情况及业绩</w:t>
      </w:r>
    </w:p>
    <w:p>
      <w:pPr>
        <w:spacing w:line="240" w:lineRule="auto" w:before="5"/>
        <w:rPr>
          <w:rFonts w:ascii="宋体" w:hAnsi="宋体" w:cs="宋体" w:eastAsia="宋体" w:hint="default"/>
          <w:sz w:val="16"/>
          <w:szCs w:val="16"/>
        </w:rPr>
      </w:pPr>
    </w:p>
    <w:p>
      <w:pPr>
        <w:pStyle w:val="BodyText"/>
        <w:spacing w:line="240" w:lineRule="auto"/>
        <w:ind w:left="0" w:right="23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52"/>
        <w:gridCol w:w="730"/>
        <w:gridCol w:w="956"/>
        <w:gridCol w:w="1106"/>
        <w:gridCol w:w="1426"/>
        <w:gridCol w:w="1529"/>
        <w:gridCol w:w="1424"/>
        <w:gridCol w:w="1027"/>
      </w:tblGrid>
      <w:tr>
        <w:trPr>
          <w:trHeight w:val="95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公司名</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称</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93"/>
                <w:w w:val="100"/>
                <w:sz w:val="21"/>
                <w:szCs w:val="21"/>
              </w:rPr>
              <w:t>业</w:t>
            </w:r>
            <w:r>
              <w:rPr>
                <w:rFonts w:ascii="宋体" w:hAnsi="宋体" w:cs="宋体" w:eastAsia="宋体" w:hint="default"/>
                <w:w w:val="100"/>
                <w:sz w:val="21"/>
                <w:szCs w:val="21"/>
              </w:rPr>
              <w:t>务</w:t>
            </w:r>
            <w:r>
              <w:rPr>
                <w:rFonts w:ascii="宋体" w:hAnsi="宋体" w:cs="宋体" w:eastAsia="宋体" w:hint="default"/>
                <w:spacing w:val="-12"/>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性质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52"/>
                <w:sz w:val="21"/>
                <w:szCs w:val="21"/>
              </w:rPr>
              <w:t> </w:t>
            </w:r>
            <w:r>
              <w:rPr>
                <w:rFonts w:ascii="宋体" w:hAnsi="宋体" w:cs="宋体" w:eastAsia="宋体" w:hint="default"/>
                <w:sz w:val="21"/>
                <w:szCs w:val="21"/>
              </w:rPr>
              <w:t>司</w:t>
            </w:r>
            <w:r>
              <w:rPr>
                <w:rFonts w:ascii="宋体" w:hAnsi="宋体" w:cs="宋体" w:eastAsia="宋体" w:hint="default"/>
                <w:spacing w:val="-50"/>
                <w:sz w:val="21"/>
                <w:szCs w:val="21"/>
              </w:rPr>
              <w:t> </w:t>
            </w:r>
            <w:r>
              <w:rPr>
                <w:rFonts w:ascii="宋体" w:hAnsi="宋体" w:cs="宋体" w:eastAsia="宋体" w:hint="default"/>
                <w:sz w:val="21"/>
                <w:szCs w:val="21"/>
              </w:rPr>
              <w:t>类</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型</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主要产品</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或服务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资产规模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3"/>
                <w:sz w:val="18"/>
                <w:szCs w:val="18"/>
              </w:rPr>
              <w:t>占公司净</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2" w:lineRule="exact" w:before="23"/>
              <w:ind w:left="103" w:right="67"/>
              <w:jc w:val="left"/>
              <w:rPr>
                <w:rFonts w:ascii="宋体" w:hAnsi="宋体" w:cs="宋体" w:eastAsia="宋体" w:hint="default"/>
                <w:sz w:val="18"/>
                <w:szCs w:val="18"/>
              </w:rPr>
            </w:pPr>
            <w:r>
              <w:rPr>
                <w:rFonts w:ascii="宋体" w:hAnsi="宋体" w:cs="宋体" w:eastAsia="宋体" w:hint="default"/>
                <w:spacing w:val="23"/>
                <w:sz w:val="18"/>
                <w:szCs w:val="18"/>
              </w:rPr>
              <w:t>利润的比</w:t>
            </w:r>
            <w:r>
              <w:rPr>
                <w:rFonts w:ascii="宋体" w:hAnsi="宋体" w:cs="宋体" w:eastAsia="宋体" w:hint="default"/>
                <w:spacing w:val="-59"/>
                <w:sz w:val="18"/>
                <w:szCs w:val="18"/>
              </w:rPr>
              <w:t> </w:t>
            </w:r>
            <w:r>
              <w:rPr>
                <w:rFonts w:ascii="宋体" w:hAnsi="宋体" w:cs="宋体" w:eastAsia="宋体" w:hint="default"/>
                <w:sz w:val="18"/>
                <w:szCs w:val="18"/>
              </w:rPr>
              <w:t>重</w:t>
            </w:r>
          </w:p>
        </w:tc>
      </w:tr>
      <w:tr>
        <w:trPr>
          <w:trHeight w:val="273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北京格</w:t>
            </w:r>
            <w:r>
              <w:rPr>
                <w:rFonts w:ascii="宋体" w:hAnsi="宋体" w:cs="宋体" w:eastAsia="宋体" w:hint="default"/>
                <w:sz w:val="21"/>
                <w:szCs w:val="21"/>
              </w:rPr>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2"/>
                <w:sz w:val="21"/>
                <w:szCs w:val="21"/>
              </w:rPr>
              <w:t>尔国信</w:t>
            </w:r>
            <w:r>
              <w:rPr>
                <w:rFonts w:ascii="宋体" w:hAnsi="宋体" w:cs="宋体" w:eastAsia="宋体" w:hint="default"/>
                <w:spacing w:val="-102"/>
                <w:sz w:val="21"/>
                <w:szCs w:val="21"/>
              </w:rPr>
              <w:t> </w:t>
            </w:r>
            <w:r>
              <w:rPr>
                <w:rFonts w:ascii="宋体" w:hAnsi="宋体" w:cs="宋体" w:eastAsia="宋体" w:hint="default"/>
                <w:spacing w:val="2"/>
                <w:sz w:val="21"/>
                <w:szCs w:val="21"/>
              </w:rPr>
              <w:t>科技有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3"/>
                <w:w w:val="100"/>
                <w:sz w:val="21"/>
                <w:szCs w:val="21"/>
              </w:rPr>
              <w:t>软</w:t>
            </w:r>
            <w:r>
              <w:rPr>
                <w:rFonts w:ascii="宋体" w:hAnsi="宋体" w:cs="宋体" w:eastAsia="宋体" w:hint="default"/>
                <w:w w:val="100"/>
                <w:sz w:val="21"/>
                <w:szCs w:val="21"/>
              </w:rPr>
              <w:t>件</w:t>
            </w:r>
            <w:r>
              <w:rPr>
                <w:rFonts w:ascii="宋体" w:hAnsi="宋体" w:cs="宋体" w:eastAsia="宋体" w:hint="default"/>
                <w:spacing w:val="-1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pacing w:val="-52"/>
                <w:sz w:val="21"/>
                <w:szCs w:val="21"/>
              </w:rPr>
              <w:t> </w:t>
            </w:r>
            <w:r>
              <w:rPr>
                <w:rFonts w:ascii="宋体" w:hAnsi="宋体" w:cs="宋体" w:eastAsia="宋体" w:hint="default"/>
                <w:sz w:val="21"/>
                <w:szCs w:val="21"/>
              </w:rPr>
              <w:t>资</w:t>
            </w:r>
            <w:r>
              <w:rPr>
                <w:rFonts w:ascii="宋体" w:hAnsi="宋体" w:cs="宋体" w:eastAsia="宋体" w:hint="default"/>
                <w:spacing w:val="-50"/>
                <w:sz w:val="21"/>
                <w:szCs w:val="21"/>
              </w:rPr>
              <w:t> </w:t>
            </w:r>
            <w:r>
              <w:rPr>
                <w:rFonts w:ascii="宋体" w:hAnsi="宋体" w:cs="宋体" w:eastAsia="宋体" w:hint="default"/>
                <w:sz w:val="21"/>
                <w:szCs w:val="21"/>
              </w:rPr>
              <w:t>子</w:t>
            </w:r>
          </w:p>
          <w:p>
            <w:pPr>
              <w:pStyle w:val="TableParagraph"/>
              <w:spacing w:line="272" w:lineRule="exact" w:before="27"/>
              <w:ind w:left="100" w:right="101"/>
              <w:jc w:val="left"/>
              <w:rPr>
                <w:rFonts w:ascii="Times New Roman" w:hAnsi="Times New Roman" w:cs="Times New Roman" w:eastAsia="Times New Roman" w:hint="default"/>
                <w:sz w:val="21"/>
                <w:szCs w:val="21"/>
              </w:rPr>
            </w:pPr>
            <w:r>
              <w:rPr>
                <w:rFonts w:ascii="宋体" w:hAnsi="宋体" w:cs="宋体" w:eastAsia="宋体" w:hint="default"/>
                <w:spacing w:val="-26"/>
                <w:w w:val="100"/>
                <w:sz w:val="21"/>
                <w:szCs w:val="21"/>
              </w:rPr>
              <w:t>公司，持</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firstLine="122"/>
              <w:jc w:val="left"/>
              <w:rPr>
                <w:rFonts w:ascii="宋体" w:hAnsi="宋体" w:cs="宋体" w:eastAsia="宋体" w:hint="default"/>
                <w:sz w:val="21"/>
                <w:szCs w:val="21"/>
              </w:rPr>
            </w:pPr>
            <w:r>
              <w:rPr>
                <w:rFonts w:ascii="宋体" w:hAnsi="宋体" w:cs="宋体" w:eastAsia="宋体" w:hint="default"/>
                <w:spacing w:val="45"/>
                <w:sz w:val="21"/>
                <w:szCs w:val="21"/>
              </w:rPr>
              <w:t>销售经</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37" w:lineRule="auto" w:before="2"/>
              <w:ind w:left="100" w:right="83"/>
              <w:jc w:val="both"/>
              <w:rPr>
                <w:rFonts w:ascii="宋体" w:hAnsi="宋体" w:cs="宋体" w:eastAsia="宋体" w:hint="default"/>
                <w:sz w:val="21"/>
                <w:szCs w:val="21"/>
              </w:rPr>
            </w:pPr>
            <w:r>
              <w:rPr>
                <w:rFonts w:ascii="宋体" w:hAnsi="宋体" w:cs="宋体" w:eastAsia="宋体" w:hint="default"/>
                <w:spacing w:val="15"/>
                <w:sz w:val="21"/>
                <w:szCs w:val="21"/>
              </w:rPr>
              <w:t>国家密码</w:t>
            </w:r>
            <w:r>
              <w:rPr>
                <w:rFonts w:ascii="宋体" w:hAnsi="宋体" w:cs="宋体" w:eastAsia="宋体" w:hint="default"/>
                <w:spacing w:val="-97"/>
                <w:sz w:val="21"/>
                <w:szCs w:val="21"/>
              </w:rPr>
              <w:t> </w:t>
            </w:r>
            <w:r>
              <w:rPr>
                <w:rFonts w:ascii="宋体" w:hAnsi="宋体" w:cs="宋体" w:eastAsia="宋体" w:hint="default"/>
                <w:spacing w:val="15"/>
                <w:sz w:val="21"/>
                <w:szCs w:val="21"/>
              </w:rPr>
              <w:t>管理局审</w:t>
            </w:r>
            <w:r>
              <w:rPr>
                <w:rFonts w:ascii="宋体" w:hAnsi="宋体" w:cs="宋体" w:eastAsia="宋体" w:hint="default"/>
                <w:spacing w:val="-97"/>
                <w:sz w:val="21"/>
                <w:szCs w:val="21"/>
              </w:rPr>
              <w:t> </w:t>
            </w:r>
            <w:r>
              <w:rPr>
                <w:rFonts w:ascii="宋体" w:hAnsi="宋体" w:cs="宋体" w:eastAsia="宋体" w:hint="default"/>
                <w:spacing w:val="15"/>
                <w:sz w:val="21"/>
                <w:szCs w:val="21"/>
              </w:rPr>
              <w:t>批并通过</w:t>
            </w:r>
            <w:r>
              <w:rPr>
                <w:rFonts w:ascii="宋体" w:hAnsi="宋体" w:cs="宋体" w:eastAsia="宋体" w:hint="default"/>
                <w:spacing w:val="-97"/>
                <w:sz w:val="21"/>
                <w:szCs w:val="21"/>
              </w:rPr>
              <w:t> </w:t>
            </w:r>
            <w:r>
              <w:rPr>
                <w:rFonts w:ascii="宋体" w:hAnsi="宋体" w:cs="宋体" w:eastAsia="宋体" w:hint="default"/>
                <w:spacing w:val="15"/>
                <w:sz w:val="21"/>
                <w:szCs w:val="21"/>
              </w:rPr>
              <w:t>指定检测</w:t>
            </w:r>
            <w:r>
              <w:rPr>
                <w:rFonts w:ascii="宋体" w:hAnsi="宋体" w:cs="宋体" w:eastAsia="宋体" w:hint="default"/>
                <w:spacing w:val="-97"/>
                <w:sz w:val="21"/>
                <w:szCs w:val="21"/>
              </w:rPr>
              <w:t> </w:t>
            </w:r>
            <w:r>
              <w:rPr>
                <w:rFonts w:ascii="宋体" w:hAnsi="宋体" w:cs="宋体" w:eastAsia="宋体" w:hint="default"/>
                <w:spacing w:val="15"/>
                <w:sz w:val="21"/>
                <w:szCs w:val="21"/>
              </w:rPr>
              <w:t>机构产品</w:t>
            </w:r>
            <w:r>
              <w:rPr>
                <w:rFonts w:ascii="宋体" w:hAnsi="宋体" w:cs="宋体" w:eastAsia="宋体" w:hint="default"/>
                <w:spacing w:val="-97"/>
                <w:sz w:val="21"/>
                <w:szCs w:val="21"/>
              </w:rPr>
              <w:t> </w:t>
            </w:r>
            <w:r>
              <w:rPr>
                <w:rFonts w:ascii="宋体" w:hAnsi="宋体" w:cs="宋体" w:eastAsia="宋体" w:hint="default"/>
                <w:spacing w:val="15"/>
                <w:sz w:val="21"/>
                <w:szCs w:val="21"/>
              </w:rPr>
              <w:t>质量检测</w:t>
            </w:r>
            <w:r>
              <w:rPr>
                <w:rFonts w:ascii="宋体" w:hAnsi="宋体" w:cs="宋体" w:eastAsia="宋体" w:hint="default"/>
                <w:spacing w:val="-97"/>
                <w:sz w:val="21"/>
                <w:szCs w:val="21"/>
              </w:rPr>
              <w:t> </w:t>
            </w:r>
            <w:r>
              <w:rPr>
                <w:rFonts w:ascii="宋体" w:hAnsi="宋体" w:cs="宋体" w:eastAsia="宋体" w:hint="default"/>
                <w:spacing w:val="15"/>
                <w:sz w:val="21"/>
                <w:szCs w:val="21"/>
              </w:rPr>
              <w:t>的商用密</w:t>
            </w:r>
            <w:r>
              <w:rPr>
                <w:rFonts w:ascii="宋体" w:hAnsi="宋体" w:cs="宋体" w:eastAsia="宋体" w:hint="default"/>
                <w:spacing w:val="-97"/>
                <w:sz w:val="21"/>
                <w:szCs w:val="21"/>
              </w:rPr>
              <w:t> </w:t>
            </w:r>
            <w:r>
              <w:rPr>
                <w:rFonts w:ascii="宋体" w:hAnsi="宋体" w:cs="宋体" w:eastAsia="宋体" w:hint="default"/>
                <w:spacing w:val="15"/>
                <w:sz w:val="21"/>
                <w:szCs w:val="21"/>
              </w:rPr>
              <w:t>码产品；</w:t>
            </w:r>
            <w:r>
              <w:rPr>
                <w:rFonts w:ascii="宋体" w:hAnsi="宋体" w:cs="宋体" w:eastAsia="宋体" w:hint="default"/>
                <w:spacing w:val="-97"/>
                <w:sz w:val="21"/>
                <w:szCs w:val="21"/>
              </w:rPr>
              <w:t> </w:t>
            </w:r>
            <w:r>
              <w:rPr>
                <w:rFonts w:ascii="宋体" w:hAnsi="宋体" w:cs="宋体" w:eastAsia="宋体" w:hint="default"/>
                <w:sz w:val="21"/>
                <w:szCs w:val="21"/>
              </w:rPr>
              <w:t>技 术</w:t>
            </w:r>
            <w:r>
              <w:rPr>
                <w:rFonts w:ascii="宋体" w:hAnsi="宋体" w:cs="宋体" w:eastAsia="宋体" w:hint="default"/>
                <w:spacing w:val="53"/>
                <w:sz w:val="21"/>
                <w:szCs w:val="21"/>
              </w:rPr>
              <w:t> </w:t>
            </w:r>
            <w:r>
              <w:rPr>
                <w:rFonts w:ascii="宋体" w:hAnsi="宋体" w:cs="宋体" w:eastAsia="宋体" w:hint="default"/>
                <w:sz w:val="21"/>
                <w:szCs w:val="21"/>
              </w:rPr>
              <w:t>开</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10,180,000.00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44,839,517.41</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9,909,851.84</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14.17%</w:t>
            </w:r>
          </w:p>
        </w:tc>
      </w:tr>
    </w:tbl>
    <w:p>
      <w:pPr>
        <w:spacing w:after="0" w:line="235" w:lineRule="exact"/>
        <w:jc w:val="left"/>
        <w:rPr>
          <w:rFonts w:ascii="Times New Roman" w:hAnsi="Times New Roman" w:cs="Times New Roman" w:eastAsia="Times New Roman"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852"/>
        <w:gridCol w:w="730"/>
        <w:gridCol w:w="956"/>
        <w:gridCol w:w="1106"/>
        <w:gridCol w:w="1426"/>
        <w:gridCol w:w="1529"/>
        <w:gridCol w:w="1424"/>
        <w:gridCol w:w="1027"/>
      </w:tblGrid>
      <w:tr>
        <w:trPr>
          <w:trHeight w:val="3279" w:hRule="exact"/>
        </w:trPr>
        <w:tc>
          <w:tcPr>
            <w:tcW w:w="852"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pacing w:val="15"/>
                <w:sz w:val="21"/>
                <w:szCs w:val="21"/>
              </w:rPr>
              <w:t>发；技术</w:t>
            </w:r>
            <w:r>
              <w:rPr>
                <w:rFonts w:ascii="宋体" w:hAnsi="宋体" w:cs="宋体" w:eastAsia="宋体" w:hint="default"/>
                <w:sz w:val="21"/>
                <w:szCs w:val="21"/>
              </w:rPr>
            </w:r>
          </w:p>
          <w:p>
            <w:pPr>
              <w:pStyle w:val="TableParagraph"/>
              <w:spacing w:line="237" w:lineRule="auto"/>
              <w:ind w:left="100" w:right="83"/>
              <w:jc w:val="both"/>
              <w:rPr>
                <w:rFonts w:ascii="宋体" w:hAnsi="宋体" w:cs="宋体" w:eastAsia="宋体" w:hint="default"/>
                <w:sz w:val="21"/>
                <w:szCs w:val="21"/>
              </w:rPr>
            </w:pPr>
            <w:r>
              <w:rPr>
                <w:rFonts w:ascii="宋体" w:hAnsi="宋体" w:cs="宋体" w:eastAsia="宋体" w:hint="default"/>
                <w:spacing w:val="15"/>
                <w:sz w:val="21"/>
                <w:szCs w:val="21"/>
              </w:rPr>
              <w:t>转让；技</w:t>
            </w:r>
            <w:r>
              <w:rPr>
                <w:rFonts w:ascii="宋体" w:hAnsi="宋体" w:cs="宋体" w:eastAsia="宋体" w:hint="default"/>
                <w:spacing w:val="-97"/>
                <w:sz w:val="21"/>
                <w:szCs w:val="21"/>
              </w:rPr>
              <w:t> </w:t>
            </w:r>
            <w:r>
              <w:rPr>
                <w:rFonts w:ascii="宋体" w:hAnsi="宋体" w:cs="宋体" w:eastAsia="宋体" w:hint="default"/>
                <w:spacing w:val="15"/>
                <w:sz w:val="21"/>
                <w:szCs w:val="21"/>
              </w:rPr>
              <w:t>术培训；</w:t>
            </w:r>
            <w:r>
              <w:rPr>
                <w:rFonts w:ascii="宋体" w:hAnsi="宋体" w:cs="宋体" w:eastAsia="宋体" w:hint="default"/>
                <w:spacing w:val="-97"/>
                <w:sz w:val="21"/>
                <w:szCs w:val="21"/>
              </w:rPr>
              <w:t> </w:t>
            </w:r>
            <w:r>
              <w:rPr>
                <w:rFonts w:ascii="宋体" w:hAnsi="宋体" w:cs="宋体" w:eastAsia="宋体" w:hint="default"/>
                <w:sz w:val="21"/>
                <w:szCs w:val="21"/>
              </w:rPr>
              <w:t>技 术</w:t>
            </w:r>
            <w:r>
              <w:rPr>
                <w:rFonts w:ascii="宋体" w:hAnsi="宋体" w:cs="宋体" w:eastAsia="宋体" w:hint="default"/>
                <w:spacing w:val="53"/>
                <w:sz w:val="21"/>
                <w:szCs w:val="21"/>
              </w:rPr>
              <w:t> </w:t>
            </w:r>
            <w:r>
              <w:rPr>
                <w:rFonts w:ascii="宋体" w:hAnsi="宋体" w:cs="宋体" w:eastAsia="宋体" w:hint="default"/>
                <w:sz w:val="21"/>
                <w:szCs w:val="21"/>
              </w:rPr>
              <w:t>服</w:t>
            </w:r>
            <w:r>
              <w:rPr>
                <w:rFonts w:ascii="宋体" w:hAnsi="宋体" w:cs="宋体" w:eastAsia="宋体" w:hint="default"/>
                <w:w w:val="100"/>
                <w:sz w:val="21"/>
                <w:szCs w:val="21"/>
              </w:rPr>
              <w:t> </w:t>
            </w:r>
            <w:r>
              <w:rPr>
                <w:rFonts w:ascii="宋体" w:hAnsi="宋体" w:cs="宋体" w:eastAsia="宋体" w:hint="default"/>
                <w:spacing w:val="15"/>
                <w:sz w:val="21"/>
                <w:szCs w:val="21"/>
              </w:rPr>
              <w:t>务；信息</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5"/>
                <w:sz w:val="21"/>
                <w:szCs w:val="21"/>
              </w:rPr>
              <w:t>咨询（不</w:t>
            </w:r>
            <w:r>
              <w:rPr>
                <w:rFonts w:ascii="宋体" w:hAnsi="宋体" w:cs="宋体" w:eastAsia="宋体" w:hint="default"/>
                <w:spacing w:val="-97"/>
                <w:sz w:val="21"/>
                <w:szCs w:val="21"/>
              </w:rPr>
              <w:t> </w:t>
            </w:r>
            <w:r>
              <w:rPr>
                <w:rFonts w:ascii="宋体" w:hAnsi="宋体" w:cs="宋体" w:eastAsia="宋体" w:hint="default"/>
                <w:spacing w:val="15"/>
                <w:sz w:val="21"/>
                <w:szCs w:val="21"/>
              </w:rPr>
              <w:t>含中介服</w:t>
            </w:r>
            <w:r>
              <w:rPr>
                <w:rFonts w:ascii="宋体" w:hAnsi="宋体" w:cs="宋体" w:eastAsia="宋体" w:hint="default"/>
                <w:spacing w:val="-97"/>
                <w:sz w:val="21"/>
                <w:szCs w:val="21"/>
              </w:rPr>
              <w:t> </w:t>
            </w:r>
            <w:r>
              <w:rPr>
                <w:rFonts w:ascii="宋体" w:hAnsi="宋体" w:cs="宋体" w:eastAsia="宋体" w:hint="default"/>
                <w:spacing w:val="-33"/>
                <w:w w:val="100"/>
                <w:sz w:val="21"/>
                <w:szCs w:val="21"/>
              </w:rPr>
              <w:t>务）；电子</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15"/>
                <w:sz w:val="21"/>
                <w:szCs w:val="21"/>
              </w:rPr>
              <w:t>计算机系</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5"/>
                <w:sz w:val="21"/>
                <w:szCs w:val="21"/>
              </w:rPr>
              <w:t>统集成；</w:t>
            </w:r>
            <w:r>
              <w:rPr>
                <w:rFonts w:ascii="宋体" w:hAnsi="宋体" w:cs="宋体" w:eastAsia="宋体" w:hint="default"/>
                <w:spacing w:val="-97"/>
                <w:sz w:val="21"/>
                <w:szCs w:val="21"/>
              </w:rPr>
              <w:t> </w:t>
            </w:r>
            <w:r>
              <w:rPr>
                <w:rFonts w:ascii="宋体" w:hAnsi="宋体" w:cs="宋体" w:eastAsia="宋体" w:hint="default"/>
                <w:spacing w:val="15"/>
                <w:sz w:val="21"/>
                <w:szCs w:val="21"/>
              </w:rPr>
              <w:t>销售电子</w:t>
            </w:r>
            <w:r>
              <w:rPr>
                <w:rFonts w:ascii="宋体" w:hAnsi="宋体" w:cs="宋体" w:eastAsia="宋体" w:hint="default"/>
                <w:spacing w:val="-97"/>
                <w:sz w:val="21"/>
                <w:szCs w:val="21"/>
              </w:rPr>
              <w:t> </w:t>
            </w:r>
            <w:r>
              <w:rPr>
                <w:rFonts w:ascii="宋体" w:hAnsi="宋体" w:cs="宋体" w:eastAsia="宋体" w:hint="default"/>
                <w:sz w:val="21"/>
                <w:szCs w:val="21"/>
              </w:rPr>
              <w:t>计算机。</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355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上海格</w:t>
            </w:r>
            <w:r>
              <w:rPr>
                <w:rFonts w:ascii="宋体" w:hAnsi="宋体" w:cs="宋体" w:eastAsia="宋体" w:hint="default"/>
                <w:sz w:val="21"/>
                <w:szCs w:val="21"/>
              </w:rPr>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2"/>
                <w:sz w:val="21"/>
                <w:szCs w:val="21"/>
              </w:rPr>
              <w:t>尔安全</w:t>
            </w:r>
            <w:r>
              <w:rPr>
                <w:rFonts w:ascii="宋体" w:hAnsi="宋体" w:cs="宋体" w:eastAsia="宋体" w:hint="default"/>
                <w:spacing w:val="-102"/>
                <w:sz w:val="21"/>
                <w:szCs w:val="21"/>
              </w:rPr>
              <w:t> </w:t>
            </w:r>
            <w:r>
              <w:rPr>
                <w:rFonts w:ascii="宋体" w:hAnsi="宋体" w:cs="宋体" w:eastAsia="宋体" w:hint="default"/>
                <w:spacing w:val="2"/>
                <w:sz w:val="21"/>
                <w:szCs w:val="21"/>
              </w:rPr>
              <w:t>科技有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93"/>
                <w:w w:val="100"/>
                <w:sz w:val="21"/>
                <w:szCs w:val="21"/>
              </w:rPr>
              <w:t>软</w:t>
            </w:r>
            <w:r>
              <w:rPr>
                <w:rFonts w:ascii="宋体" w:hAnsi="宋体" w:cs="宋体" w:eastAsia="宋体" w:hint="default"/>
                <w:w w:val="100"/>
                <w:sz w:val="21"/>
                <w:szCs w:val="21"/>
              </w:rPr>
              <w:t>件</w:t>
            </w:r>
            <w:r>
              <w:rPr>
                <w:rFonts w:ascii="宋体" w:hAnsi="宋体" w:cs="宋体" w:eastAsia="宋体" w:hint="default"/>
                <w:spacing w:val="-1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pacing w:val="-52"/>
                <w:sz w:val="21"/>
                <w:szCs w:val="21"/>
              </w:rPr>
              <w:t> </w:t>
            </w:r>
            <w:r>
              <w:rPr>
                <w:rFonts w:ascii="宋体" w:hAnsi="宋体" w:cs="宋体" w:eastAsia="宋体" w:hint="default"/>
                <w:sz w:val="21"/>
                <w:szCs w:val="21"/>
              </w:rPr>
              <w:t>资</w:t>
            </w:r>
            <w:r>
              <w:rPr>
                <w:rFonts w:ascii="宋体" w:hAnsi="宋体" w:cs="宋体" w:eastAsia="宋体" w:hint="default"/>
                <w:spacing w:val="-50"/>
                <w:sz w:val="21"/>
                <w:szCs w:val="21"/>
              </w:rPr>
              <w:t> </w:t>
            </w:r>
            <w:r>
              <w:rPr>
                <w:rFonts w:ascii="宋体" w:hAnsi="宋体" w:cs="宋体" w:eastAsia="宋体" w:hint="default"/>
                <w:sz w:val="21"/>
                <w:szCs w:val="21"/>
              </w:rPr>
              <w:t>子</w:t>
            </w:r>
          </w:p>
          <w:p>
            <w:pPr>
              <w:pStyle w:val="TableParagraph"/>
              <w:spacing w:line="272" w:lineRule="exact" w:before="27"/>
              <w:ind w:left="100" w:right="101"/>
              <w:jc w:val="left"/>
              <w:rPr>
                <w:rFonts w:ascii="Times New Roman" w:hAnsi="Times New Roman" w:cs="Times New Roman" w:eastAsia="Times New Roman" w:hint="default"/>
                <w:sz w:val="21"/>
                <w:szCs w:val="21"/>
              </w:rPr>
            </w:pPr>
            <w:r>
              <w:rPr>
                <w:rFonts w:ascii="宋体" w:hAnsi="宋体" w:cs="宋体" w:eastAsia="宋体" w:hint="default"/>
                <w:spacing w:val="-26"/>
                <w:w w:val="100"/>
                <w:sz w:val="21"/>
                <w:szCs w:val="21"/>
              </w:rPr>
              <w:t>公司，持</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firstLine="122"/>
              <w:jc w:val="left"/>
              <w:rPr>
                <w:rFonts w:ascii="宋体" w:hAnsi="宋体" w:cs="宋体" w:eastAsia="宋体" w:hint="default"/>
                <w:sz w:val="21"/>
                <w:szCs w:val="21"/>
              </w:rPr>
            </w:pPr>
            <w:r>
              <w:rPr>
                <w:rFonts w:ascii="宋体" w:hAnsi="宋体" w:cs="宋体" w:eastAsia="宋体" w:hint="default"/>
                <w:spacing w:val="45"/>
                <w:sz w:val="21"/>
                <w:szCs w:val="21"/>
              </w:rPr>
              <w:t>安全科</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37" w:lineRule="auto" w:before="2"/>
              <w:ind w:left="100" w:right="83"/>
              <w:jc w:val="both"/>
              <w:rPr>
                <w:rFonts w:ascii="宋体" w:hAnsi="宋体" w:cs="宋体" w:eastAsia="宋体" w:hint="default"/>
                <w:sz w:val="21"/>
                <w:szCs w:val="21"/>
              </w:rPr>
            </w:pPr>
            <w:r>
              <w:rPr>
                <w:rFonts w:ascii="宋体" w:hAnsi="宋体" w:cs="宋体" w:eastAsia="宋体" w:hint="default"/>
                <w:spacing w:val="15"/>
                <w:sz w:val="21"/>
                <w:szCs w:val="21"/>
              </w:rPr>
              <w:t>技领域内</w:t>
            </w:r>
            <w:r>
              <w:rPr>
                <w:rFonts w:ascii="宋体" w:hAnsi="宋体" w:cs="宋体" w:eastAsia="宋体" w:hint="default"/>
                <w:spacing w:val="-97"/>
                <w:sz w:val="21"/>
                <w:szCs w:val="21"/>
              </w:rPr>
              <w:t> </w:t>
            </w:r>
            <w:r>
              <w:rPr>
                <w:rFonts w:ascii="宋体" w:hAnsi="宋体" w:cs="宋体" w:eastAsia="宋体" w:hint="default"/>
                <w:spacing w:val="15"/>
                <w:sz w:val="21"/>
                <w:szCs w:val="21"/>
              </w:rPr>
              <w:t>的技术开</w:t>
            </w:r>
            <w:r>
              <w:rPr>
                <w:rFonts w:ascii="宋体" w:hAnsi="宋体" w:cs="宋体" w:eastAsia="宋体" w:hint="default"/>
                <w:spacing w:val="-97"/>
                <w:sz w:val="21"/>
                <w:szCs w:val="21"/>
              </w:rPr>
              <w:t> </w:t>
            </w:r>
            <w:r>
              <w:rPr>
                <w:rFonts w:ascii="宋体" w:hAnsi="宋体" w:cs="宋体" w:eastAsia="宋体" w:hint="default"/>
                <w:spacing w:val="15"/>
                <w:sz w:val="21"/>
                <w:szCs w:val="21"/>
              </w:rPr>
              <w:t>发、技术</w:t>
            </w:r>
            <w:r>
              <w:rPr>
                <w:rFonts w:ascii="宋体" w:hAnsi="宋体" w:cs="宋体" w:eastAsia="宋体" w:hint="default"/>
                <w:spacing w:val="-97"/>
                <w:sz w:val="21"/>
                <w:szCs w:val="21"/>
              </w:rPr>
              <w:t> </w:t>
            </w:r>
            <w:r>
              <w:rPr>
                <w:rFonts w:ascii="宋体" w:hAnsi="宋体" w:cs="宋体" w:eastAsia="宋体" w:hint="default"/>
                <w:spacing w:val="15"/>
                <w:sz w:val="21"/>
                <w:szCs w:val="21"/>
              </w:rPr>
              <w:t>转让、技</w:t>
            </w:r>
            <w:r>
              <w:rPr>
                <w:rFonts w:ascii="宋体" w:hAnsi="宋体" w:cs="宋体" w:eastAsia="宋体" w:hint="default"/>
                <w:spacing w:val="-97"/>
                <w:sz w:val="21"/>
                <w:szCs w:val="21"/>
              </w:rPr>
              <w:t> </w:t>
            </w:r>
            <w:r>
              <w:rPr>
                <w:rFonts w:ascii="宋体" w:hAnsi="宋体" w:cs="宋体" w:eastAsia="宋体" w:hint="default"/>
                <w:spacing w:val="15"/>
                <w:sz w:val="21"/>
                <w:szCs w:val="21"/>
              </w:rPr>
              <w:t>术咨询和</w:t>
            </w:r>
            <w:r>
              <w:rPr>
                <w:rFonts w:ascii="宋体" w:hAnsi="宋体" w:cs="宋体" w:eastAsia="宋体" w:hint="default"/>
                <w:spacing w:val="-97"/>
                <w:sz w:val="21"/>
                <w:szCs w:val="21"/>
              </w:rPr>
              <w:t> </w:t>
            </w:r>
            <w:r>
              <w:rPr>
                <w:rFonts w:ascii="宋体" w:hAnsi="宋体" w:cs="宋体" w:eastAsia="宋体" w:hint="default"/>
                <w:sz w:val="21"/>
                <w:szCs w:val="21"/>
              </w:rPr>
              <w:t>技 术</w:t>
            </w:r>
            <w:r>
              <w:rPr>
                <w:rFonts w:ascii="宋体" w:hAnsi="宋体" w:cs="宋体" w:eastAsia="宋体" w:hint="default"/>
                <w:spacing w:val="53"/>
                <w:sz w:val="21"/>
                <w:szCs w:val="21"/>
              </w:rPr>
              <w:t> </w:t>
            </w:r>
            <w:r>
              <w:rPr>
                <w:rFonts w:ascii="宋体" w:hAnsi="宋体" w:cs="宋体" w:eastAsia="宋体" w:hint="default"/>
                <w:sz w:val="21"/>
                <w:szCs w:val="21"/>
              </w:rPr>
              <w:t>服</w:t>
            </w:r>
            <w:r>
              <w:rPr>
                <w:rFonts w:ascii="宋体" w:hAnsi="宋体" w:cs="宋体" w:eastAsia="宋体" w:hint="default"/>
                <w:w w:val="100"/>
                <w:sz w:val="21"/>
                <w:szCs w:val="21"/>
              </w:rPr>
              <w:t> </w:t>
            </w:r>
            <w:r>
              <w:rPr>
                <w:rFonts w:ascii="宋体" w:hAnsi="宋体" w:cs="宋体" w:eastAsia="宋体" w:hint="default"/>
                <w:spacing w:val="15"/>
                <w:sz w:val="21"/>
                <w:szCs w:val="21"/>
              </w:rPr>
              <w:t>务，计算</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5"/>
                <w:sz w:val="21"/>
                <w:szCs w:val="21"/>
              </w:rPr>
              <w:t>机软硬件</w:t>
            </w:r>
            <w:r>
              <w:rPr>
                <w:rFonts w:ascii="宋体" w:hAnsi="宋体" w:cs="宋体" w:eastAsia="宋体" w:hint="default"/>
                <w:spacing w:val="-97"/>
                <w:sz w:val="21"/>
                <w:szCs w:val="21"/>
              </w:rPr>
              <w:t> </w:t>
            </w:r>
            <w:r>
              <w:rPr>
                <w:rFonts w:ascii="宋体" w:hAnsi="宋体" w:cs="宋体" w:eastAsia="宋体" w:hint="default"/>
                <w:spacing w:val="15"/>
                <w:sz w:val="21"/>
                <w:szCs w:val="21"/>
              </w:rPr>
              <w:t>的开发、</w:t>
            </w:r>
            <w:r>
              <w:rPr>
                <w:rFonts w:ascii="宋体" w:hAnsi="宋体" w:cs="宋体" w:eastAsia="宋体" w:hint="default"/>
                <w:spacing w:val="-97"/>
                <w:sz w:val="21"/>
                <w:szCs w:val="21"/>
              </w:rPr>
              <w:t> </w:t>
            </w:r>
            <w:r>
              <w:rPr>
                <w:rFonts w:ascii="宋体" w:hAnsi="宋体" w:cs="宋体" w:eastAsia="宋体" w:hint="default"/>
                <w:spacing w:val="15"/>
                <w:sz w:val="21"/>
                <w:szCs w:val="21"/>
              </w:rPr>
              <w:t>销售，计</w:t>
            </w:r>
            <w:r>
              <w:rPr>
                <w:rFonts w:ascii="宋体" w:hAnsi="宋体" w:cs="宋体" w:eastAsia="宋体" w:hint="default"/>
                <w:spacing w:val="-97"/>
                <w:sz w:val="21"/>
                <w:szCs w:val="21"/>
              </w:rPr>
              <w:t> </w:t>
            </w:r>
            <w:r>
              <w:rPr>
                <w:rFonts w:ascii="宋体" w:hAnsi="宋体" w:cs="宋体" w:eastAsia="宋体" w:hint="default"/>
                <w:spacing w:val="15"/>
                <w:sz w:val="21"/>
                <w:szCs w:val="21"/>
              </w:rPr>
              <w:t>算机系统</w:t>
            </w:r>
            <w:r>
              <w:rPr>
                <w:rFonts w:ascii="宋体" w:hAnsi="宋体" w:cs="宋体" w:eastAsia="宋体" w:hint="default"/>
                <w:spacing w:val="-97"/>
                <w:sz w:val="21"/>
                <w:szCs w:val="21"/>
              </w:rPr>
              <w:t> </w:t>
            </w:r>
            <w:r>
              <w:rPr>
                <w:rFonts w:ascii="宋体" w:hAnsi="宋体" w:cs="宋体" w:eastAsia="宋体" w:hint="default"/>
                <w:sz w:val="21"/>
                <w:szCs w:val="21"/>
              </w:rPr>
              <w:t>集成。</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1"/>
                <w:szCs w:val="21"/>
              </w:rPr>
            </w:pPr>
            <w:r>
              <w:rPr>
                <w:rFonts w:ascii="Times New Roman"/>
                <w:sz w:val="21"/>
              </w:rPr>
              <w:t>50,000,000.00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Times New Roman" w:hAnsi="Times New Roman" w:cs="Times New Roman" w:eastAsia="Times New Roman" w:hint="default"/>
                <w:sz w:val="21"/>
                <w:szCs w:val="21"/>
              </w:rPr>
            </w:pPr>
            <w:r>
              <w:rPr>
                <w:rFonts w:ascii="Times New Roman"/>
                <w:sz w:val="21"/>
              </w:rPr>
              <w:t>173,317,460.68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Times New Roman" w:hAnsi="Times New Roman" w:cs="Times New Roman" w:eastAsia="Times New Roman" w:hint="default"/>
                <w:sz w:val="21"/>
                <w:szCs w:val="21"/>
              </w:rPr>
            </w:pPr>
            <w:r>
              <w:rPr>
                <w:rFonts w:ascii="Times New Roman"/>
                <w:sz w:val="21"/>
              </w:rPr>
              <w:t>34,992,998.00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1"/>
                <w:szCs w:val="21"/>
              </w:rPr>
            </w:pPr>
            <w:r>
              <w:rPr>
                <w:rFonts w:ascii="Times New Roman"/>
                <w:sz w:val="21"/>
              </w:rPr>
              <w:t>50.03%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2"/>
        <w:spacing w:line="240" w:lineRule="auto" w:before="36"/>
        <w:ind w:right="0"/>
        <w:jc w:val="both"/>
        <w:rPr>
          <w:b w:val="0"/>
          <w:bCs w:val="0"/>
        </w:rPr>
      </w:pPr>
      <w:r>
        <w:rPr>
          <w:rFonts w:ascii="宋体" w:hAnsi="宋体" w:cs="宋体" w:eastAsia="宋体" w:hint="default"/>
        </w:rPr>
        <w:t>(</w:t>
      </w:r>
      <w:r>
        <w:rPr/>
        <w:t>八</w:t>
      </w:r>
      <w:r>
        <w:rPr>
          <w:rFonts w:ascii="宋体" w:hAnsi="宋体" w:cs="宋体" w:eastAsia="宋体" w:hint="default"/>
        </w:rPr>
        <w:t>)  </w:t>
      </w:r>
      <w:r>
        <w:rPr>
          <w:rFonts w:ascii="宋体" w:hAnsi="宋体" w:cs="宋体" w:eastAsia="宋体" w:hint="default"/>
          <w:spacing w:val="97"/>
        </w:rPr>
        <w:t> </w:t>
      </w:r>
      <w:r>
        <w:rPr/>
        <w:t>公司控制的结构化主体情况</w:t>
      </w:r>
      <w:r>
        <w:rPr>
          <w:b w:val="0"/>
          <w:bCs w:val="0"/>
        </w:rPr>
      </w:r>
    </w:p>
    <w:p>
      <w:pPr>
        <w:pStyle w:val="BodyText"/>
        <w:spacing w:line="240" w:lineRule="auto" w:before="56"/>
        <w:ind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tabs>
          <w:tab w:pos="1057" w:val="left" w:leader="none"/>
        </w:tabs>
        <w:spacing w:line="290" w:lineRule="auto"/>
        <w:ind w:right="526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spacing w:line="282" w:lineRule="exact" w:before="12"/>
        <w:ind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72" w:lineRule="exact" w:before="19"/>
        <w:ind w:left="638" w:right="2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、信息安全行业发展趋势</w:t>
      </w:r>
      <w:r>
        <w:rPr>
          <w:rFonts w:ascii="宋体" w:hAnsi="宋体" w:cs="宋体" w:eastAsia="宋体" w:hint="default"/>
          <w:b/>
          <w:bCs/>
          <w:w w:val="100"/>
          <w:sz w:val="21"/>
          <w:szCs w:val="21"/>
        </w:rPr>
        <w:t> </w:t>
      </w:r>
      <w:r>
        <w:rPr>
          <w:rFonts w:ascii="宋体" w:hAnsi="宋体" w:cs="宋体" w:eastAsia="宋体" w:hint="default"/>
          <w:spacing w:val="-2"/>
          <w:sz w:val="21"/>
          <w:szCs w:val="21"/>
        </w:rPr>
        <w:t>我国信息安全行业正处于快速成长期。目前，信息安全市场需求呈多元化发展的趋势，行业</w:t>
      </w:r>
    </w:p>
    <w:p>
      <w:pPr>
        <w:pStyle w:val="BodyText"/>
        <w:spacing w:line="272" w:lineRule="exact" w:before="1"/>
        <w:ind w:right="228"/>
        <w:jc w:val="both"/>
      </w:pPr>
      <w:r>
        <w:rPr>
          <w:spacing w:val="-1"/>
        </w:rPr>
        <w:t>内相关厂商通过差异化定位为用户提供各类信息安全产品。信息安全行业各细分领域的技术差异</w:t>
      </w:r>
      <w:r>
        <w:rPr>
          <w:spacing w:val="-55"/>
        </w:rPr>
        <w:t> </w:t>
      </w:r>
      <w:r>
        <w:rPr>
          <w:spacing w:val="-55"/>
        </w:rPr>
      </w:r>
      <w:r>
        <w:rPr/>
        <w:t>程度较高，虽然信息安全厂商数量较多，但市场竞争主要集中于各细分领域的专业厂商之间。</w:t>
      </w:r>
    </w:p>
    <w:p>
      <w:pPr>
        <w:pStyle w:val="BodyText"/>
        <w:spacing w:line="272" w:lineRule="exact" w:before="1"/>
        <w:ind w:right="227" w:firstLine="419"/>
        <w:jc w:val="left"/>
      </w:pPr>
      <w:r>
        <w:rPr>
          <w:spacing w:val="-2"/>
        </w:rPr>
        <w:t>未来，随着信息安全市场竞争程度的加剧，拥有核心技术实力、客户资源、人才优势及品牌</w:t>
      </w:r>
      <w:r>
        <w:rPr>
          <w:w w:val="100"/>
        </w:rPr>
        <w:t> </w:t>
      </w:r>
      <w:r>
        <w:rPr>
          <w:spacing w:val="-1"/>
        </w:rPr>
        <w:t>影响力的各细分领域相关厂商，将成为信息安全行业的整合者。一方面，信息安全行业各细分领</w:t>
      </w:r>
    </w:p>
    <w:p>
      <w:pPr>
        <w:pStyle w:val="BodyText"/>
        <w:spacing w:line="272" w:lineRule="exact" w:before="1"/>
        <w:ind w:right="228"/>
        <w:jc w:val="both"/>
      </w:pPr>
      <w:r>
        <w:rPr>
          <w:spacing w:val="-1"/>
        </w:rPr>
        <w:t>域厂商将通过其在细分领域建立的竞争优势，逐步向其他细分领域进行渗透；另一方面，行业内</w:t>
      </w:r>
      <w:r>
        <w:rPr>
          <w:spacing w:val="-55"/>
        </w:rPr>
        <w:t> </w:t>
      </w:r>
      <w:r>
        <w:rPr>
          <w:spacing w:val="-55"/>
        </w:rPr>
      </w:r>
      <w:r>
        <w:rPr>
          <w:spacing w:val="-1"/>
        </w:rPr>
        <w:t>的优势企业将通过兼并收购等方式，整合缺乏技术创新与服务能力的信息安全企业，使行业集中</w:t>
      </w:r>
      <w:r>
        <w:rPr>
          <w:spacing w:val="-56"/>
        </w:rPr>
        <w:t> </w:t>
      </w:r>
      <w:r>
        <w:rPr>
          <w:spacing w:val="-56"/>
        </w:rPr>
      </w:r>
      <w:r>
        <w:rPr/>
        <w:t>度进一步提升。</w:t>
      </w:r>
    </w:p>
    <w:p>
      <w:pPr>
        <w:pStyle w:val="Heading2"/>
        <w:spacing w:line="247" w:lineRule="exact"/>
        <w:ind w:left="640" w:right="2465"/>
        <w:jc w:val="left"/>
        <w:rPr>
          <w:b w:val="0"/>
          <w:bCs w:val="0"/>
        </w:rPr>
      </w:pPr>
      <w:r>
        <w:rPr>
          <w:rFonts w:ascii="宋体" w:hAnsi="宋体" w:cs="宋体" w:eastAsia="宋体" w:hint="default"/>
          <w:spacing w:val="9"/>
        </w:rPr>
        <w:t>2</w:t>
      </w:r>
      <w:r>
        <w:rPr>
          <w:spacing w:val="9"/>
        </w:rPr>
        <w:t>、行业的市场需求状况呈现以下特点：</w:t>
      </w:r>
      <w:r>
        <w:rPr>
          <w:b w:val="0"/>
          <w:bCs w:val="0"/>
        </w:rPr>
      </w:r>
    </w:p>
    <w:p>
      <w:pPr>
        <w:pStyle w:val="BodyText"/>
        <w:spacing w:line="240" w:lineRule="auto"/>
        <w:ind w:left="638" w:right="220"/>
        <w:jc w:val="left"/>
      </w:pPr>
      <w:r>
        <w:rPr/>
        <w:t>①各行业信息安全建设对</w:t>
      </w:r>
      <w:r>
        <w:rPr>
          <w:spacing w:val="-55"/>
        </w:rPr>
        <w:t> </w:t>
      </w:r>
      <w:r>
        <w:rPr>
          <w:rFonts w:ascii="宋体" w:hAnsi="宋体" w:cs="宋体" w:eastAsia="宋体" w:hint="default"/>
        </w:rPr>
        <w:t>PKI</w:t>
      </w:r>
      <w:r>
        <w:rPr>
          <w:rFonts w:ascii="宋体" w:hAnsi="宋体" w:cs="宋体" w:eastAsia="宋体" w:hint="default"/>
          <w:spacing w:val="-53"/>
        </w:rPr>
        <w:t> </w:t>
      </w:r>
      <w:r>
        <w:rPr/>
        <w:t>产品及应用需求迫切</w:t>
      </w:r>
      <w:r>
        <w:rPr>
          <w:w w:val="100"/>
        </w:rPr>
        <w:t> </w:t>
      </w:r>
      <w:r>
        <w:rPr/>
        <w:t>随着大数据、云计算、物联网、移动互联网等新技术和新领域的快速发展，</w:t>
      </w:r>
      <w:r>
        <w:rPr>
          <w:rFonts w:ascii="宋体" w:hAnsi="宋体" w:cs="宋体" w:eastAsia="宋体" w:hint="default"/>
        </w:rPr>
        <w:t>PKI</w:t>
      </w:r>
      <w:r>
        <w:rPr>
          <w:rFonts w:ascii="宋体" w:hAnsi="宋体" w:cs="宋体" w:eastAsia="宋体" w:hint="default"/>
          <w:spacing w:val="8"/>
        </w:rPr>
        <w:t> </w:t>
      </w:r>
      <w:r>
        <w:rPr/>
        <w:t>的应用领域</w:t>
      </w:r>
    </w:p>
    <w:p>
      <w:pPr>
        <w:pStyle w:val="BodyText"/>
        <w:spacing w:line="237" w:lineRule="auto"/>
        <w:ind w:right="228"/>
        <w:jc w:val="both"/>
      </w:pPr>
      <w:r>
        <w:rPr>
          <w:spacing w:val="-7"/>
        </w:rPr>
        <w:t>和市场空间不断扩大，相关标准法规要求越来越高，国家政府机构、企事业单位、各金融、能源、</w:t>
      </w:r>
      <w:r>
        <w:rPr>
          <w:spacing w:val="-12"/>
        </w:rPr>
        <w:t> </w:t>
      </w:r>
      <w:r>
        <w:rPr>
          <w:spacing w:val="-12"/>
        </w:rPr>
      </w:r>
      <w:r>
        <w:rPr/>
        <w:t>军工等重点行业企业均加大了对信息安全的投入，市场需求日趋旺盛，</w:t>
      </w:r>
      <w:r>
        <w:rPr>
          <w:rFonts w:ascii="宋体" w:hAnsi="宋体" w:cs="宋体" w:eastAsia="宋体" w:hint="default"/>
        </w:rPr>
        <w:t>PKI</w:t>
      </w:r>
      <w:r>
        <w:rPr>
          <w:rFonts w:ascii="宋体" w:hAnsi="宋体" w:cs="宋体" w:eastAsia="宋体" w:hint="default"/>
          <w:spacing w:val="7"/>
        </w:rPr>
        <w:t> </w:t>
      </w:r>
      <w:r>
        <w:rPr/>
        <w:t>产品在市场需求的引</w:t>
      </w:r>
      <w:r>
        <w:rPr>
          <w:w w:val="100"/>
        </w:rPr>
        <w:t> </w:t>
      </w:r>
      <w:r>
        <w:rPr/>
        <w:t>导下更具创新性和多元化。</w:t>
      </w:r>
    </w:p>
    <w:p>
      <w:pPr>
        <w:pStyle w:val="BodyText"/>
        <w:spacing w:line="274" w:lineRule="exact"/>
        <w:ind w:left="638" w:right="227"/>
        <w:jc w:val="left"/>
      </w:pPr>
      <w:r>
        <w:rPr/>
        <w:t>②</w:t>
      </w:r>
      <w:r>
        <w:rPr>
          <w:rFonts w:ascii="宋体" w:hAnsi="宋体" w:cs="宋体" w:eastAsia="宋体" w:hint="default"/>
        </w:rPr>
        <w:t>PKI</w:t>
      </w:r>
      <w:r>
        <w:rPr>
          <w:rFonts w:ascii="宋体" w:hAnsi="宋体" w:cs="宋体" w:eastAsia="宋体" w:hint="default"/>
          <w:spacing w:val="8"/>
        </w:rPr>
        <w:t> </w:t>
      </w:r>
      <w:r>
        <w:rPr>
          <w:spacing w:val="-2"/>
        </w:rPr>
        <w:t>技术与产品将为云计算、移动互联网、电子商务市场领域提供关键支撑。</w:t>
      </w:r>
    </w:p>
    <w:p>
      <w:pPr>
        <w:spacing w:after="0" w:line="274" w:lineRule="exact"/>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240" w:lineRule="auto" w:before="36"/>
        <w:ind w:left="138" w:right="208" w:firstLine="419"/>
        <w:jc w:val="both"/>
      </w:pPr>
      <w:r>
        <w:rPr/>
        <w:t>安全成为上述领域发展的关键因素之一，而</w:t>
      </w:r>
      <w:r>
        <w:rPr>
          <w:spacing w:val="-51"/>
        </w:rPr>
        <w:t> </w:t>
      </w:r>
      <w:r>
        <w:rPr>
          <w:rFonts w:ascii="宋体" w:hAnsi="宋体" w:cs="宋体" w:eastAsia="宋体" w:hint="default"/>
        </w:rPr>
        <w:t>PKI</w:t>
      </w:r>
      <w:r>
        <w:rPr>
          <w:rFonts w:ascii="宋体" w:hAnsi="宋体" w:cs="宋体" w:eastAsia="宋体" w:hint="default"/>
          <w:spacing w:val="-48"/>
        </w:rPr>
        <w:t> </w:t>
      </w:r>
      <w:r>
        <w:rPr/>
        <w:t>在身份认证和加密管理上将给予云安全、移</w:t>
      </w:r>
      <w:r>
        <w:rPr>
          <w:w w:val="100"/>
        </w:rPr>
        <w:t> </w:t>
      </w:r>
      <w:r>
        <w:rPr/>
        <w:t>动互联网、电子商务市场领域提供很好的解决方案。</w:t>
      </w:r>
    </w:p>
    <w:p>
      <w:pPr>
        <w:pStyle w:val="BodyText"/>
        <w:spacing w:line="237" w:lineRule="auto"/>
        <w:ind w:left="138" w:right="208" w:firstLine="419"/>
        <w:jc w:val="both"/>
      </w:pPr>
      <w:r>
        <w:rPr>
          <w:spacing w:val="-5"/>
        </w:rPr>
        <w:t>③信息安全市场竞争加剧将加速行业整合、移动互联网企业、传统 </w:t>
      </w:r>
      <w:r>
        <w:rPr>
          <w:rFonts w:ascii="宋体" w:hAnsi="宋体" w:cs="宋体" w:eastAsia="宋体" w:hint="default"/>
        </w:rPr>
        <w:t>IT</w:t>
      </w:r>
      <w:r>
        <w:rPr>
          <w:rFonts w:ascii="宋体" w:hAnsi="宋体" w:cs="宋体" w:eastAsia="宋体" w:hint="default"/>
          <w:spacing w:val="-63"/>
        </w:rPr>
        <w:t> </w:t>
      </w:r>
      <w:r>
        <w:rPr/>
        <w:t>企业纷纷关注和进入信</w:t>
      </w:r>
      <w:r>
        <w:rPr>
          <w:w w:val="100"/>
        </w:rPr>
        <w:t> </w:t>
      </w:r>
      <w:r>
        <w:rPr>
          <w:spacing w:val="-1"/>
        </w:rPr>
        <w:t>息安全领域。未来具有核心关键技术、产品和较强服务能力支撑的信息安全骨干企业，以及具有</w:t>
      </w:r>
      <w:r>
        <w:rPr>
          <w:spacing w:val="-56"/>
        </w:rPr>
        <w:t> </w:t>
      </w:r>
      <w:r>
        <w:rPr>
          <w:spacing w:val="-56"/>
        </w:rPr>
      </w:r>
      <w:r>
        <w:rPr>
          <w:spacing w:val="-1"/>
        </w:rPr>
        <w:t>较强集成能力的系统集成商、平台服务商等大型信息技术服务企业，都将继续利用自身的优势地</w:t>
      </w:r>
      <w:r>
        <w:rPr>
          <w:spacing w:val="-55"/>
        </w:rPr>
        <w:t> </w:t>
      </w:r>
      <w:r>
        <w:rPr>
          <w:spacing w:val="-55"/>
        </w:rPr>
      </w:r>
      <w:r>
        <w:rPr/>
        <w:t>位加大投融资力度。</w:t>
      </w:r>
    </w:p>
    <w:p>
      <w:pPr>
        <w:spacing w:line="274" w:lineRule="exact" w:before="22"/>
        <w:ind w:left="584" w:right="100" w:hanging="24"/>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、法律法规及相关产业政策促进信息安全行业的发展</w:t>
      </w:r>
      <w:r>
        <w:rPr>
          <w:rFonts w:ascii="宋体" w:hAnsi="宋体" w:cs="宋体" w:eastAsia="宋体" w:hint="default"/>
          <w:b/>
          <w:bCs/>
          <w:w w:val="100"/>
          <w:sz w:val="21"/>
          <w:szCs w:val="21"/>
        </w:rPr>
        <w:t> </w:t>
      </w:r>
      <w:r>
        <w:rPr>
          <w:rFonts w:ascii="宋体" w:hAnsi="宋体" w:cs="宋体" w:eastAsia="宋体" w:hint="default"/>
          <w:spacing w:val="-2"/>
          <w:sz w:val="21"/>
          <w:szCs w:val="21"/>
        </w:rPr>
        <w:t>信息安全行业是我国鼓励发展的行业，国家有关部门制订了多项相关法律法规及相关产业政</w:t>
      </w:r>
    </w:p>
    <w:p>
      <w:pPr>
        <w:pStyle w:val="BodyText"/>
        <w:spacing w:line="245" w:lineRule="exact"/>
        <w:ind w:left="138" w:right="0"/>
        <w:jc w:val="both"/>
      </w:pPr>
      <w:r>
        <w:rPr>
          <w:spacing w:val="-6"/>
        </w:rPr>
        <w:t>策，以大力扶持信息安全行业快速、健康发展。随着我国网络与信息安全工作的重要性不断提升，</w:t>
      </w:r>
    </w:p>
    <w:p>
      <w:pPr>
        <w:pStyle w:val="BodyText"/>
        <w:spacing w:line="237" w:lineRule="auto" w:before="2"/>
        <w:ind w:left="138" w:right="207"/>
        <w:jc w:val="both"/>
      </w:pPr>
      <w:r>
        <w:rPr>
          <w:spacing w:val="-1"/>
        </w:rPr>
        <w:t>信息安全产业发展成为近年来政策扶持的重要领域。我国政府颁发了多项政策法规推动国家信息</w:t>
      </w:r>
      <w:r>
        <w:rPr>
          <w:spacing w:val="-55"/>
        </w:rPr>
        <w:t> </w:t>
      </w:r>
      <w:r>
        <w:rPr>
          <w:spacing w:val="-55"/>
        </w:rPr>
      </w:r>
      <w:r>
        <w:rPr>
          <w:spacing w:val="-6"/>
          <w:w w:val="100"/>
        </w:rPr>
        <w:t>安全领域建设。</w:t>
      </w:r>
      <w:r>
        <w:rPr>
          <w:rFonts w:ascii="宋体" w:hAnsi="宋体" w:cs="宋体" w:eastAsia="宋体" w:hint="default"/>
          <w:spacing w:val="-6"/>
          <w:w w:val="100"/>
        </w:rPr>
        <w:t>2015</w:t>
      </w:r>
      <w:r>
        <w:rPr>
          <w:spacing w:val="-6"/>
          <w:w w:val="100"/>
        </w:rPr>
        <w:t>年</w:t>
      </w:r>
      <w:r>
        <w:rPr>
          <w:rFonts w:ascii="宋体" w:hAnsi="宋体" w:cs="宋体" w:eastAsia="宋体" w:hint="default"/>
          <w:spacing w:val="-6"/>
          <w:w w:val="100"/>
        </w:rPr>
        <w:t>7</w:t>
      </w:r>
      <w:r>
        <w:rPr>
          <w:spacing w:val="-6"/>
          <w:w w:val="100"/>
        </w:rPr>
        <w:t>月</w:t>
      </w:r>
      <w:r>
        <w:rPr>
          <w:rFonts w:ascii="宋体" w:hAnsi="宋体" w:cs="宋体" w:eastAsia="宋体" w:hint="default"/>
          <w:spacing w:val="-6"/>
          <w:w w:val="100"/>
        </w:rPr>
        <w:t>1</w:t>
      </w:r>
      <w:r>
        <w:rPr>
          <w:spacing w:val="-6"/>
          <w:w w:val="100"/>
        </w:rPr>
        <w:t>日，全国人大通过了新的《国家安全法》；</w:t>
      </w:r>
      <w:r>
        <w:rPr>
          <w:rFonts w:ascii="宋体" w:hAnsi="宋体" w:cs="宋体" w:eastAsia="宋体" w:hint="default"/>
          <w:spacing w:val="-6"/>
          <w:w w:val="100"/>
        </w:rPr>
        <w:t>2017</w:t>
      </w:r>
      <w:r>
        <w:rPr>
          <w:spacing w:val="-6"/>
          <w:w w:val="100"/>
        </w:rPr>
        <w:t>年</w:t>
      </w:r>
      <w:r>
        <w:rPr>
          <w:rFonts w:ascii="宋体" w:hAnsi="宋体" w:cs="宋体" w:eastAsia="宋体" w:hint="default"/>
          <w:spacing w:val="-6"/>
          <w:w w:val="100"/>
        </w:rPr>
        <w:t>6</w:t>
      </w:r>
      <w:r>
        <w:rPr>
          <w:spacing w:val="-6"/>
          <w:w w:val="100"/>
        </w:rPr>
        <w:t>月</w:t>
      </w:r>
      <w:r>
        <w:rPr>
          <w:rFonts w:ascii="宋体" w:hAnsi="宋体" w:cs="宋体" w:eastAsia="宋体" w:hint="default"/>
          <w:spacing w:val="-6"/>
          <w:w w:val="100"/>
        </w:rPr>
        <w:t>1</w:t>
      </w:r>
      <w:r>
        <w:rPr>
          <w:spacing w:val="-6"/>
          <w:w w:val="100"/>
        </w:rPr>
        <w:t>日，我国全面实</w:t>
      </w:r>
      <w:r>
        <w:rPr>
          <w:spacing w:val="-70"/>
          <w:w w:val="100"/>
        </w:rPr>
        <w:t> </w:t>
      </w:r>
      <w:r>
        <w:rPr>
          <w:spacing w:val="-70"/>
          <w:w w:val="100"/>
        </w:rPr>
      </w:r>
      <w:r>
        <w:rPr>
          <w:spacing w:val="-6"/>
          <w:w w:val="100"/>
        </w:rPr>
        <w:t>施《网络安全法》、</w:t>
      </w:r>
      <w:r>
        <w:rPr>
          <w:rFonts w:ascii="宋体" w:hAnsi="宋体" w:cs="宋体" w:eastAsia="宋体" w:hint="default"/>
          <w:spacing w:val="-6"/>
          <w:w w:val="100"/>
        </w:rPr>
        <w:t>2017</w:t>
      </w:r>
      <w:r>
        <w:rPr>
          <w:spacing w:val="-6"/>
          <w:w w:val="100"/>
        </w:rPr>
        <w:t>年</w:t>
      </w:r>
      <w:r>
        <w:rPr>
          <w:rFonts w:ascii="宋体" w:hAnsi="宋体" w:cs="宋体" w:eastAsia="宋体" w:hint="default"/>
          <w:spacing w:val="-6"/>
          <w:w w:val="100"/>
        </w:rPr>
        <w:t>11</w:t>
      </w:r>
      <w:r>
        <w:rPr>
          <w:spacing w:val="-6"/>
          <w:w w:val="100"/>
        </w:rPr>
        <w:t>月《公共互联网网络安全突发事件应急预案》的发布。信息安全方面</w:t>
      </w:r>
      <w:r>
        <w:rPr>
          <w:spacing w:val="-89"/>
          <w:w w:val="100"/>
        </w:rPr>
        <w:t> </w:t>
      </w:r>
      <w:r>
        <w:rPr>
          <w:spacing w:val="-89"/>
          <w:w w:val="100"/>
        </w:rPr>
      </w:r>
      <w:r>
        <w:rPr>
          <w:spacing w:val="-1"/>
        </w:rPr>
        <w:t>的法律法规推行，将有效规范和推进全国性的信息安全建设，促进和推动我国在信息安全领域的</w:t>
      </w:r>
      <w:r>
        <w:rPr>
          <w:spacing w:val="-55"/>
        </w:rPr>
        <w:t> </w:t>
      </w:r>
      <w:r>
        <w:rPr>
          <w:spacing w:val="-55"/>
        </w:rPr>
      </w:r>
      <w:r>
        <w:rPr/>
        <w:t>发展。</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2"/>
        <w:spacing w:line="240" w:lineRule="auto"/>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1"/>
        </w:rPr>
        <w:t> </w:t>
      </w:r>
      <w:r>
        <w:rPr/>
        <w:t>公司发展战略</w:t>
      </w:r>
      <w:r>
        <w:rPr>
          <w:b w:val="0"/>
          <w:bCs w:val="0"/>
        </w:rPr>
      </w:r>
    </w:p>
    <w:p>
      <w:pPr>
        <w:pStyle w:val="BodyText"/>
        <w:spacing w:line="281" w:lineRule="exact" w:before="58"/>
        <w:ind w:left="138"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30" w:lineRule="auto"/>
        <w:ind w:left="138" w:right="97" w:firstLine="419"/>
        <w:jc w:val="left"/>
      </w:pPr>
      <w:r>
        <w:rPr>
          <w:spacing w:val="-6"/>
        </w:rPr>
        <w:t>公司秉承“技术领先、做精产品”的研发理念，通过持续创新和改进，不断完善和优化以</w:t>
      </w:r>
      <w:r>
        <w:rPr>
          <w:spacing w:val="-39"/>
        </w:rPr>
        <w:t> </w:t>
      </w:r>
      <w:r>
        <w:rPr>
          <w:rFonts w:ascii="Times New Roman" w:hAnsi="Times New Roman" w:cs="Times New Roman" w:eastAsia="Times New Roman" w:hint="default"/>
        </w:rPr>
        <w:t>PKI</w:t>
      </w:r>
      <w:r>
        <w:rPr>
          <w:rFonts w:ascii="Times New Roman" w:hAnsi="Times New Roman" w:cs="Times New Roman" w:eastAsia="Times New Roman" w:hint="default"/>
          <w:w w:val="100"/>
        </w:rPr>
        <w:t> </w:t>
      </w:r>
      <w:r>
        <w:rPr/>
        <w:t>为核心的信息安全产品和服务体系；积极推进“行业与区域协同发展”的营销战略，以国家信息</w:t>
      </w:r>
      <w:r>
        <w:rPr>
          <w:spacing w:val="-97"/>
        </w:rPr>
        <w:t> </w:t>
      </w:r>
      <w:r>
        <w:rPr>
          <w:spacing w:val="-97"/>
        </w:rPr>
      </w:r>
      <w:r>
        <w:rPr/>
        <w:t>安全等级保护和分级保护政策为导向，深入开展面向国家部委和行业总部机关的总部营销战略，</w:t>
      </w:r>
      <w:r>
        <w:rPr>
          <w:spacing w:val="-97"/>
        </w:rPr>
        <w:t> </w:t>
      </w:r>
      <w:r>
        <w:rPr>
          <w:spacing w:val="-97"/>
        </w:rPr>
      </w:r>
      <w:r>
        <w:rPr>
          <w:spacing w:val="-6"/>
        </w:rPr>
        <w:t>持续推进覆盖全国的区域营销体系建设；进一步推进以“行业服务专业化”和“区域服务本地化”</w:t>
      </w:r>
      <w:r>
        <w:rPr>
          <w:spacing w:val="-52"/>
        </w:rPr>
        <w:t> </w:t>
      </w:r>
      <w:r>
        <w:rPr>
          <w:spacing w:val="-52"/>
        </w:rPr>
      </w:r>
      <w:r>
        <w:rPr/>
        <w:t>相结合的客户服务体系建设；不断巩固和提升公司在信息安全行业尤其是 </w:t>
      </w:r>
      <w:r>
        <w:rPr>
          <w:rFonts w:ascii="Times New Roman" w:hAnsi="Times New Roman" w:cs="Times New Roman" w:eastAsia="Times New Roman" w:hint="default"/>
        </w:rPr>
        <w:t>PKI</w:t>
      </w:r>
      <w:r>
        <w:rPr>
          <w:rFonts w:ascii="Times New Roman" w:hAnsi="Times New Roman" w:cs="Times New Roman" w:eastAsia="Times New Roman" w:hint="default"/>
          <w:spacing w:val="35"/>
        </w:rPr>
        <w:t> </w:t>
      </w:r>
      <w:r>
        <w:rPr/>
        <w:t>领域的竞争优势，</w:t>
      </w:r>
      <w:r>
        <w:rPr>
          <w:w w:val="100"/>
        </w:rPr>
        <w:t> </w:t>
      </w:r>
      <w:r>
        <w:rPr/>
        <w:t>在风险可控的前提下，及时把握市场新需求，积极开拓与创新，进一步拓展以</w:t>
      </w:r>
      <w:r>
        <w:rPr>
          <w:spacing w:val="-59"/>
        </w:rPr>
        <w:t> </w:t>
      </w:r>
      <w:r>
        <w:rPr>
          <w:rFonts w:ascii="Times New Roman" w:hAnsi="Times New Roman" w:cs="Times New Roman" w:eastAsia="Times New Roman" w:hint="default"/>
        </w:rPr>
        <w:t>PKI</w:t>
      </w:r>
      <w:r>
        <w:rPr>
          <w:rFonts w:ascii="Times New Roman" w:hAnsi="Times New Roman" w:cs="Times New Roman" w:eastAsia="Times New Roman" w:hint="default"/>
          <w:spacing w:val="-7"/>
        </w:rPr>
        <w:t> </w:t>
      </w:r>
      <w:r>
        <w:rPr/>
        <w:t>为核心的相关</w:t>
      </w:r>
      <w:r>
        <w:rPr>
          <w:w w:val="100"/>
        </w:rPr>
        <w:t> </w:t>
      </w:r>
      <w:r>
        <w:rPr/>
        <w:t>产品的应用范围，致力于将公司打造成为稳健发展、国内一流、国际知名的信息安全公司。</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2"/>
        <w:spacing w:line="240" w:lineRule="auto"/>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0"/>
        </w:rPr>
        <w:t> </w:t>
      </w:r>
      <w:r>
        <w:rPr/>
        <w:t>经营计划</w:t>
      </w:r>
      <w:r>
        <w:rPr>
          <w:b w:val="0"/>
          <w:bCs w:val="0"/>
        </w:rPr>
      </w:r>
    </w:p>
    <w:p>
      <w:pPr>
        <w:pStyle w:val="BodyText"/>
        <w:spacing w:line="282" w:lineRule="exact" w:before="56"/>
        <w:ind w:left="138" w:right="0"/>
        <w:jc w:val="both"/>
      </w:pPr>
      <w:r>
        <w:rPr/>
        <w:t>√适用</w:t>
      </w:r>
      <w:r>
        <w:rPr>
          <w:rFonts w:ascii="Times New Roman" w:hAnsi="Times New Roman" w:cs="Times New Roman" w:eastAsia="Times New Roman" w:hint="default"/>
        </w:rPr>
        <w:t>□</w:t>
      </w:r>
      <w:r>
        <w:rPr/>
        <w:t>不适用</w:t>
      </w:r>
    </w:p>
    <w:p>
      <w:pPr>
        <w:pStyle w:val="BodyText"/>
        <w:spacing w:line="232" w:lineRule="auto"/>
        <w:ind w:left="138" w:right="208" w:firstLine="419"/>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40"/>
        </w:rPr>
        <w:t> </w:t>
      </w:r>
      <w:r>
        <w:rPr>
          <w:spacing w:val="-3"/>
        </w:rPr>
        <w:t>年，公司将以战略目标为指引，牢牢抓住发展机遇，鼓励创新，发挥全体员工的主观能</w:t>
      </w:r>
      <w:r>
        <w:rPr>
          <w:w w:val="100"/>
        </w:rPr>
        <w:t> </w:t>
      </w:r>
      <w:r>
        <w:rPr>
          <w:spacing w:val="-1"/>
        </w:rPr>
        <w:t>动性，制定高效和适宜的考核体系，大力弘扬公司的文化，保证公司未来健康成长、持续发展。</w:t>
      </w:r>
      <w:r>
        <w:rPr>
          <w:spacing w:val="-55"/>
        </w:rPr>
        <w:t> </w:t>
      </w:r>
      <w:r>
        <w:rPr>
          <w:spacing w:val="-55"/>
        </w:rPr>
      </w:r>
      <w:r>
        <w:rPr>
          <w:spacing w:val="-1"/>
        </w:rPr>
        <w:t>公司将积极培养自身的核心竞争力，同时构建新的竞争优势，以上市为新的起点，助力公司实现</w:t>
      </w:r>
      <w:r>
        <w:rPr>
          <w:spacing w:val="-55"/>
        </w:rPr>
        <w:t> </w:t>
      </w:r>
      <w:r>
        <w:rPr>
          <w:spacing w:val="-55"/>
        </w:rPr>
      </w:r>
      <w:r>
        <w:rPr>
          <w:spacing w:val="-1"/>
        </w:rPr>
        <w:t>更大的发展。</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43"/>
        </w:rPr>
        <w:t> </w:t>
      </w:r>
      <w:r>
        <w:rPr>
          <w:spacing w:val="-2"/>
        </w:rPr>
        <w:t>年公司将从以下几点进一步开展经营工作：</w:t>
      </w:r>
    </w:p>
    <w:p>
      <w:pPr>
        <w:spacing w:line="272" w:lineRule="exact" w:before="12"/>
        <w:ind w:left="558" w:right="10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、市场与业务开拓：</w:t>
      </w:r>
      <w:r>
        <w:rPr>
          <w:rFonts w:ascii="宋体" w:hAnsi="宋体" w:cs="宋体" w:eastAsia="宋体" w:hint="default"/>
          <w:b/>
          <w:bCs/>
          <w:w w:val="100"/>
          <w:sz w:val="21"/>
          <w:szCs w:val="21"/>
        </w:rPr>
        <w:t> </w:t>
      </w:r>
      <w:r>
        <w:rPr>
          <w:rFonts w:ascii="宋体" w:hAnsi="宋体" w:cs="宋体" w:eastAsia="宋体" w:hint="default"/>
          <w:spacing w:val="-2"/>
          <w:sz w:val="21"/>
          <w:szCs w:val="21"/>
        </w:rPr>
        <w:t>公司将持续加强市场开拓能力及市场渗透能力，不断关注市场动态及同领域其他企业的发展</w:t>
      </w:r>
    </w:p>
    <w:p>
      <w:pPr>
        <w:pStyle w:val="BodyText"/>
        <w:spacing w:line="272" w:lineRule="exact" w:before="1"/>
        <w:ind w:left="138" w:right="208"/>
        <w:jc w:val="both"/>
      </w:pPr>
      <w:r>
        <w:rPr>
          <w:spacing w:val="-6"/>
          <w:w w:val="100"/>
        </w:rPr>
        <w:t>状态，加强公司的市场拓展工作；重点围绕国产化（自主可控）、军民融合以及物联网开展业务工</w:t>
      </w:r>
      <w:r>
        <w:rPr>
          <w:w w:val="100"/>
        </w:rPr>
        <w:t> </w:t>
      </w:r>
      <w:r>
        <w:rPr>
          <w:spacing w:val="-1"/>
        </w:rPr>
        <w:t>作，结合公司新的研发成果和产品渗透信息安全市场；积极推进“行业与区域协同发展”的营销</w:t>
      </w:r>
    </w:p>
    <w:p>
      <w:pPr>
        <w:pStyle w:val="BodyText"/>
        <w:spacing w:line="272" w:lineRule="exact" w:before="1"/>
        <w:ind w:left="138" w:right="208"/>
        <w:jc w:val="both"/>
      </w:pPr>
      <w:r>
        <w:rPr>
          <w:spacing w:val="-1"/>
        </w:rPr>
        <w:t>战略，以国家信息安全等级保护和分级保护政策为导向，深入开展面向国家部委和行业总部机关</w:t>
      </w:r>
      <w:r>
        <w:rPr>
          <w:spacing w:val="-55"/>
        </w:rPr>
        <w:t> </w:t>
      </w:r>
      <w:r>
        <w:rPr>
          <w:spacing w:val="-55"/>
        </w:rPr>
      </w:r>
      <w:r>
        <w:rPr>
          <w:spacing w:val="-1"/>
        </w:rPr>
        <w:t>的总部营销战略，持续推进覆盖全国的区域营销体系建设；进一步推进以“行业服务专业化”和</w:t>
      </w:r>
    </w:p>
    <w:p>
      <w:pPr>
        <w:pStyle w:val="BodyText"/>
        <w:spacing w:line="247" w:lineRule="exact"/>
        <w:ind w:left="138" w:right="0"/>
        <w:jc w:val="both"/>
      </w:pPr>
      <w:r>
        <w:rPr/>
        <w:t>“区域服务本地化”相结合的客户服务体系建设。</w:t>
      </w:r>
    </w:p>
    <w:p>
      <w:pPr>
        <w:pStyle w:val="BodyText"/>
        <w:spacing w:line="274" w:lineRule="exact" w:before="24"/>
        <w:ind w:left="558" w:right="100" w:hanging="420"/>
        <w:jc w:val="left"/>
      </w:pPr>
      <w:r>
        <w:rPr>
          <w:rFonts w:ascii="Times New Roman" w:hAnsi="Times New Roman" w:cs="Times New Roman" w:eastAsia="Times New Roman" w:hint="default"/>
          <w:b/>
          <w:bCs/>
        </w:rPr>
        <w:t>2</w:t>
      </w:r>
      <w:r>
        <w:rPr>
          <w:rFonts w:ascii="宋体" w:hAnsi="宋体" w:cs="宋体" w:eastAsia="宋体" w:hint="default"/>
          <w:b/>
          <w:bCs/>
        </w:rPr>
        <w:t>、产品及技术提升</w:t>
      </w:r>
      <w:r>
        <w:rPr>
          <w:rFonts w:ascii="宋体" w:hAnsi="宋体" w:cs="宋体" w:eastAsia="宋体" w:hint="default"/>
          <w:b/>
          <w:bCs/>
          <w:spacing w:val="-103"/>
        </w:rPr>
        <w:t> </w:t>
      </w:r>
      <w:r>
        <w:rPr>
          <w:spacing w:val="-2"/>
        </w:rPr>
        <w:t>公司在产品及技术提升方面主要推进以下几个方面的工作：国产化终端及移动终端环境下证</w:t>
      </w:r>
    </w:p>
    <w:p>
      <w:pPr>
        <w:pStyle w:val="BodyText"/>
        <w:spacing w:line="223" w:lineRule="auto"/>
        <w:ind w:left="138" w:right="208"/>
        <w:jc w:val="both"/>
      </w:pPr>
      <w:r>
        <w:rPr/>
        <w:t>书的签发和使用；</w:t>
      </w:r>
      <w:r>
        <w:rPr>
          <w:rFonts w:ascii="Times New Roman" w:hAnsi="Times New Roman" w:cs="Times New Roman" w:eastAsia="Times New Roman" w:hint="default"/>
        </w:rPr>
        <w:t>CA</w:t>
      </w:r>
      <w:r>
        <w:rPr>
          <w:rFonts w:ascii="Times New Roman" w:hAnsi="Times New Roman" w:cs="Times New Roman" w:eastAsia="Times New Roman" w:hint="default"/>
          <w:spacing w:val="33"/>
        </w:rPr>
        <w:t> </w:t>
      </w:r>
      <w:r>
        <w:rPr/>
        <w:t>产品国际化，符合国际应用规范和使用环境，支持在国际化的云环境中部</w:t>
      </w:r>
      <w:r>
        <w:rPr>
          <w:spacing w:val="-102"/>
        </w:rPr>
        <w:t> </w:t>
      </w:r>
      <w:r>
        <w:rPr>
          <w:spacing w:val="-102"/>
        </w:rPr>
      </w:r>
      <w:r>
        <w:rPr>
          <w:spacing w:val="-1"/>
        </w:rPr>
        <w:t>署；物联网与移动端的研发，支持证书应用中间件；态势感知平台构建，搭建格尔可信身份管理</w:t>
      </w:r>
    </w:p>
    <w:p>
      <w:pPr>
        <w:pStyle w:val="BodyText"/>
        <w:spacing w:line="228" w:lineRule="auto" w:before="13"/>
        <w:ind w:left="138" w:right="208"/>
        <w:jc w:val="both"/>
      </w:pPr>
      <w:r>
        <w:rPr/>
        <w:t>可视化平台；</w:t>
      </w:r>
      <w:r>
        <w:rPr>
          <w:rFonts w:ascii="Times New Roman" w:hAnsi="Times New Roman" w:cs="Times New Roman" w:eastAsia="Times New Roman" w:hint="default"/>
        </w:rPr>
        <w:t>IPv6</w:t>
      </w:r>
      <w:r>
        <w:rPr>
          <w:rFonts w:ascii="Times New Roman" w:hAnsi="Times New Roman" w:cs="Times New Roman" w:eastAsia="Times New Roman" w:hint="default"/>
          <w:spacing w:val="13"/>
        </w:rPr>
        <w:t> </w:t>
      </w:r>
      <w:r>
        <w:rPr/>
        <w:t>升级，实现网关产品线全面支持</w:t>
      </w:r>
      <w:r>
        <w:rPr>
          <w:spacing w:val="-39"/>
        </w:rPr>
        <w:t> </w:t>
      </w:r>
      <w:r>
        <w:rPr>
          <w:rFonts w:ascii="Times New Roman" w:hAnsi="Times New Roman" w:cs="Times New Roman" w:eastAsia="Times New Roman" w:hint="default"/>
        </w:rPr>
        <w:t>IPv6</w:t>
      </w:r>
      <w:r>
        <w:rPr/>
        <w:t>，</w:t>
      </w:r>
      <w:r>
        <w:rPr>
          <w:rFonts w:ascii="Times New Roman" w:hAnsi="Times New Roman" w:cs="Times New Roman" w:eastAsia="Times New Roman" w:hint="default"/>
        </w:rPr>
        <w:t>PKI</w:t>
      </w:r>
      <w:r>
        <w:rPr>
          <w:rFonts w:ascii="Times New Roman" w:hAnsi="Times New Roman" w:cs="Times New Roman" w:eastAsia="Times New Roman" w:hint="default"/>
          <w:spacing w:val="10"/>
        </w:rPr>
        <w:t> </w:t>
      </w:r>
      <w:r>
        <w:rPr/>
        <w:t>基础设施中的</w:t>
      </w:r>
      <w:r>
        <w:rPr>
          <w:spacing w:val="-39"/>
        </w:rPr>
        <w:t> </w:t>
      </w:r>
      <w:r>
        <w:rPr>
          <w:rFonts w:ascii="Times New Roman" w:hAnsi="Times New Roman" w:cs="Times New Roman" w:eastAsia="Times New Roman" w:hint="default"/>
        </w:rPr>
        <w:t>OCSP</w:t>
      </w:r>
      <w:r>
        <w:rPr>
          <w:rFonts w:ascii="Times New Roman" w:hAnsi="Times New Roman" w:cs="Times New Roman" w:eastAsia="Times New Roman" w:hint="default"/>
          <w:spacing w:val="14"/>
        </w:rPr>
        <w:t> </w:t>
      </w:r>
      <w:r>
        <w:rPr/>
        <w:t>和</w:t>
      </w:r>
      <w:r>
        <w:rPr>
          <w:spacing w:val="-42"/>
        </w:rPr>
        <w:t> </w:t>
      </w:r>
      <w:r>
        <w:rPr>
          <w:rFonts w:ascii="Times New Roman" w:hAnsi="Times New Roman" w:cs="Times New Roman" w:eastAsia="Times New Roman" w:hint="default"/>
        </w:rPr>
        <w:t>CDS</w:t>
      </w:r>
      <w:r>
        <w:rPr>
          <w:rFonts w:ascii="Times New Roman" w:hAnsi="Times New Roman" w:cs="Times New Roman" w:eastAsia="Times New Roman" w:hint="default"/>
          <w:spacing w:val="11"/>
        </w:rPr>
        <w:t> </w:t>
      </w:r>
      <w:r>
        <w:rPr>
          <w:spacing w:val="-3"/>
        </w:rPr>
        <w:t>支持</w:t>
      </w:r>
      <w:r>
        <w:rPr>
          <w:spacing w:val="-3"/>
          <w:w w:val="100"/>
        </w:rPr>
        <w:t> </w:t>
      </w:r>
      <w:r>
        <w:rPr>
          <w:rFonts w:ascii="Times New Roman" w:hAnsi="Times New Roman" w:cs="Times New Roman" w:eastAsia="Times New Roman" w:hint="default"/>
        </w:rPr>
        <w:t>IPv6</w:t>
      </w:r>
      <w:r>
        <w:rPr/>
        <w:t>；以 </w:t>
      </w:r>
      <w:r>
        <w:rPr>
          <w:rFonts w:ascii="Times New Roman" w:hAnsi="Times New Roman" w:cs="Times New Roman" w:eastAsia="Times New Roman" w:hint="default"/>
        </w:rPr>
        <w:t>CA </w:t>
      </w:r>
      <w:r>
        <w:rPr/>
        <w:t>系统为基础，</w:t>
      </w:r>
      <w:r>
        <w:rPr>
          <w:rFonts w:ascii="Times New Roman" w:hAnsi="Times New Roman" w:cs="Times New Roman" w:eastAsia="Times New Roman" w:hint="default"/>
        </w:rPr>
        <w:t>KIAM</w:t>
      </w:r>
      <w:r>
        <w:rPr>
          <w:rFonts w:ascii="Times New Roman" w:hAnsi="Times New Roman" w:cs="Times New Roman" w:eastAsia="Times New Roman" w:hint="default"/>
          <w:spacing w:val="13"/>
        </w:rPr>
        <w:t> </w:t>
      </w:r>
      <w:r>
        <w:rPr/>
        <w:t>为载体，将安全电子邮件、网保系列产品及即时通相统一，形</w:t>
      </w:r>
      <w:r>
        <w:rPr>
          <w:w w:val="100"/>
        </w:rPr>
        <w:t> </w:t>
      </w:r>
      <w:r>
        <w:rPr/>
        <w:t>成用户同步、日志审计、业务统计的新模式。公司将不断巩固和提升在信息安全行业尤其是</w:t>
      </w:r>
      <w:r>
        <w:rPr>
          <w:spacing w:val="-19"/>
        </w:rPr>
        <w:t> </w:t>
      </w:r>
      <w:r>
        <w:rPr>
          <w:rFonts w:ascii="Times New Roman" w:hAnsi="Times New Roman" w:cs="Times New Roman" w:eastAsia="Times New Roman" w:hint="default"/>
        </w:rPr>
        <w:t>PKI</w:t>
      </w:r>
      <w:r>
        <w:rPr>
          <w:rFonts w:ascii="Times New Roman" w:hAnsi="Times New Roman" w:cs="Times New Roman" w:eastAsia="Times New Roman" w:hint="default"/>
          <w:w w:val="100"/>
        </w:rPr>
        <w:t> </w:t>
      </w:r>
      <w:r>
        <w:rPr>
          <w:spacing w:val="-1"/>
        </w:rPr>
        <w:t>领域的竞争优势，在风险可控的前提下，及时把握市场新需求，积极开拓与创新，进一步拓展以</w:t>
      </w:r>
      <w:r>
        <w:rPr>
          <w:spacing w:val="-55"/>
        </w:rPr>
        <w:t> </w:t>
      </w:r>
      <w:r>
        <w:rPr>
          <w:spacing w:val="-55"/>
        </w:rPr>
      </w:r>
      <w:r>
        <w:rPr>
          <w:rFonts w:ascii="Times New Roman" w:hAnsi="Times New Roman" w:cs="Times New Roman" w:eastAsia="Times New Roman" w:hint="default"/>
        </w:rPr>
        <w:t>PKI</w:t>
      </w:r>
      <w:r>
        <w:rPr>
          <w:rFonts w:ascii="Times New Roman" w:hAnsi="Times New Roman" w:cs="Times New Roman" w:eastAsia="Times New Roman" w:hint="default"/>
          <w:spacing w:val="-2"/>
        </w:rPr>
        <w:t> </w:t>
      </w:r>
      <w:r>
        <w:rPr/>
        <w:t>为核心的相关产品的应用范围。</w:t>
      </w:r>
    </w:p>
    <w:p>
      <w:pPr>
        <w:pStyle w:val="Heading2"/>
        <w:spacing w:line="273" w:lineRule="exact"/>
        <w:ind w:left="138" w:right="0"/>
        <w:jc w:val="both"/>
        <w:rPr>
          <w:b w:val="0"/>
          <w:bCs w:val="0"/>
        </w:rPr>
      </w:pPr>
      <w:r>
        <w:rPr>
          <w:rFonts w:ascii="Times New Roman" w:hAnsi="Times New Roman" w:cs="Times New Roman" w:eastAsia="Times New Roman" w:hint="default"/>
        </w:rPr>
        <w:t>3</w:t>
      </w:r>
      <w:r>
        <w:rPr/>
        <w:t>、研发投入</w:t>
      </w:r>
      <w:r>
        <w:rPr>
          <w:b w:val="0"/>
          <w:bCs w:val="0"/>
        </w:rPr>
      </w:r>
    </w:p>
    <w:p>
      <w:pPr>
        <w:spacing w:after="0" w:line="273" w:lineRule="exact"/>
        <w:jc w:val="both"/>
        <w:sectPr>
          <w:pgSz w:w="11910" w:h="16840"/>
          <w:pgMar w:header="880" w:footer="1195" w:top="1120" w:bottom="1380" w:left="1660" w:right="1060"/>
        </w:sectPr>
      </w:pPr>
    </w:p>
    <w:p>
      <w:pPr>
        <w:spacing w:line="240" w:lineRule="auto" w:before="4"/>
        <w:rPr>
          <w:rFonts w:ascii="宋体" w:hAnsi="宋体" w:cs="宋体" w:eastAsia="宋体" w:hint="default"/>
          <w:b/>
          <w:bCs/>
          <w:sz w:val="25"/>
          <w:szCs w:val="25"/>
        </w:rPr>
      </w:pPr>
    </w:p>
    <w:p>
      <w:pPr>
        <w:pStyle w:val="BodyText"/>
        <w:spacing w:line="237" w:lineRule="auto" w:before="38"/>
        <w:ind w:left="138" w:right="208" w:firstLine="419"/>
        <w:jc w:val="both"/>
        <w:rPr>
          <w:rFonts w:ascii="宋体" w:hAnsi="宋体" w:cs="宋体" w:eastAsia="宋体" w:hint="default"/>
        </w:rPr>
      </w:pPr>
      <w:r>
        <w:rPr>
          <w:spacing w:val="-2"/>
        </w:rPr>
        <w:t>为拓展市场，公司将继续加大研发方面的投入，并建立适应市场和技术发展的研发模式和合</w:t>
      </w:r>
      <w:r>
        <w:rPr>
          <w:w w:val="100"/>
        </w:rPr>
        <w:t> </w:t>
      </w:r>
      <w:r>
        <w:rPr>
          <w:spacing w:val="-1"/>
        </w:rPr>
        <w:t>作模式，开展一个中心、两个触点、四个支撑、校企联动的建设。公司设想以上海研发总部作为</w:t>
      </w:r>
      <w:r>
        <w:rPr>
          <w:spacing w:val="-55"/>
        </w:rPr>
        <w:t> </w:t>
      </w:r>
      <w:r>
        <w:rPr>
          <w:spacing w:val="-55"/>
        </w:rPr>
      </w:r>
      <w:r>
        <w:rPr>
          <w:spacing w:val="-1"/>
        </w:rPr>
        <w:t>中心，负责核心技术工作；在国外设立两个信息收集点，作为公司两个触角，及时了解前沿技术</w:t>
      </w:r>
      <w:r>
        <w:rPr>
          <w:spacing w:val="-55"/>
        </w:rPr>
        <w:t> </w:t>
      </w:r>
      <w:r>
        <w:rPr>
          <w:spacing w:val="-55"/>
        </w:rPr>
      </w:r>
      <w:r>
        <w:rPr>
          <w:spacing w:val="-1"/>
        </w:rPr>
        <w:t>动态；在国内四大信息技术研发领先的前沿城市南京、西安、武汉、成都分别筹备建立四个研发</w:t>
      </w:r>
      <w:r>
        <w:rPr>
          <w:spacing w:val="-55"/>
        </w:rPr>
        <w:t> </w:t>
      </w:r>
      <w:r>
        <w:rPr>
          <w:spacing w:val="-55"/>
        </w:rPr>
      </w:r>
      <w:r>
        <w:rPr>
          <w:spacing w:val="-2"/>
        </w:rPr>
        <w:t>分中心，在国内形成区域研发网络；并与著名高校在密码前沿技术的开发及应用方面进行合作。</w:t>
      </w:r>
      <w:r>
        <w:rPr>
          <w:spacing w:val="-25"/>
        </w:rPr>
        <w:t> </w:t>
      </w:r>
      <w:r>
        <w:rPr>
          <w:spacing w:val="-25"/>
        </w:rPr>
      </w:r>
      <w:r>
        <w:rPr>
          <w:rFonts w:ascii="Times New Roman" w:hAnsi="Times New Roman" w:cs="Times New Roman" w:eastAsia="Times New Roman" w:hint="default"/>
          <w:b/>
          <w:bCs/>
        </w:rPr>
        <w:t>4</w:t>
      </w:r>
      <w:r>
        <w:rPr>
          <w:rFonts w:ascii="宋体" w:hAnsi="宋体" w:cs="宋体" w:eastAsia="宋体" w:hint="default"/>
          <w:b/>
          <w:bCs/>
        </w:rPr>
        <w:t>、公司治理与投资并购</w:t>
      </w:r>
      <w:r>
        <w:rPr>
          <w:rFonts w:ascii="宋体" w:hAnsi="宋体" w:cs="宋体" w:eastAsia="宋体" w:hint="default"/>
        </w:rPr>
      </w:r>
    </w:p>
    <w:p>
      <w:pPr>
        <w:pStyle w:val="BodyText"/>
        <w:spacing w:line="255" w:lineRule="exact"/>
        <w:ind w:left="138" w:right="100" w:firstLine="419"/>
        <w:jc w:val="left"/>
      </w:pPr>
      <w:r>
        <w:rPr/>
        <w:t>未来，公司一方面要做好公司治理，贯彻内控机制，保障公司健康运营；另一方面要对公司</w:t>
      </w:r>
    </w:p>
    <w:p>
      <w:pPr>
        <w:pStyle w:val="BodyText"/>
        <w:spacing w:line="237" w:lineRule="auto" w:before="2"/>
        <w:ind w:left="138" w:right="204"/>
        <w:jc w:val="left"/>
        <w:rPr>
          <w:rFonts w:ascii="宋体" w:hAnsi="宋体" w:cs="宋体" w:eastAsia="宋体" w:hint="default"/>
        </w:rPr>
      </w:pPr>
      <w:r>
        <w:rPr>
          <w:spacing w:val="-6"/>
          <w:w w:val="100"/>
        </w:rPr>
        <w:t>内部机构设置进行适当的改革，根据实际业务需求成立新的部门，确保业务工作顺利有效的开战，</w:t>
      </w:r>
      <w:r>
        <w:rPr>
          <w:w w:val="100"/>
        </w:rPr>
        <w:t> </w:t>
      </w:r>
      <w:r>
        <w:rPr>
          <w:spacing w:val="-1"/>
        </w:rPr>
        <w:t>辅助公司战略、客户开拓的工作。面对上市后资本市场给予的契机，公司将实施主业发展与投资</w:t>
      </w:r>
      <w:r>
        <w:rPr>
          <w:spacing w:val="-55"/>
        </w:rPr>
        <w:t> </w:t>
      </w:r>
      <w:r>
        <w:rPr>
          <w:spacing w:val="-55"/>
        </w:rPr>
      </w:r>
      <w:r>
        <w:rPr>
          <w:spacing w:val="-1"/>
        </w:rPr>
        <w:t>并购双轮驱动的发展模式，积极寻求潜在的并购机会，借力资本市场，通过投资并购不断完善公</w:t>
      </w:r>
      <w:r>
        <w:rPr>
          <w:spacing w:val="-55"/>
        </w:rPr>
        <w:t> </w:t>
      </w:r>
      <w:r>
        <w:rPr>
          <w:spacing w:val="-55"/>
        </w:rPr>
      </w:r>
      <w:r>
        <w:rPr>
          <w:spacing w:val="-1"/>
        </w:rPr>
        <w:t>司网络安全及大数据信息化的产业布局，提升公司技术实力和市场竞争力，拓宽公司核心产品的</w:t>
      </w:r>
      <w:r>
        <w:rPr>
          <w:spacing w:val="-55"/>
        </w:rPr>
        <w:t> </w:t>
      </w:r>
      <w:r>
        <w:rPr>
          <w:spacing w:val="-55"/>
        </w:rPr>
      </w:r>
      <w:r>
        <w:rPr/>
        <w:t>应用场景，扩大公司经营的基本面，为公司持续成长形成完善产业生态链。</w:t>
      </w:r>
      <w:r>
        <w:rPr>
          <w:w w:val="100"/>
        </w:rPr>
        <w:t> </w:t>
      </w:r>
      <w:r>
        <w:rPr>
          <w:rFonts w:ascii="Times New Roman" w:hAnsi="Times New Roman" w:cs="Times New Roman" w:eastAsia="Times New Roman" w:hint="default"/>
          <w:b/>
          <w:bCs/>
        </w:rPr>
        <w:t>5</w:t>
      </w:r>
      <w:r>
        <w:rPr>
          <w:rFonts w:ascii="宋体" w:hAnsi="宋体" w:cs="宋体" w:eastAsia="宋体" w:hint="default"/>
          <w:b/>
          <w:bCs/>
        </w:rPr>
        <w:t>、人力资源与人才引进：</w:t>
      </w:r>
      <w:r>
        <w:rPr>
          <w:rFonts w:ascii="宋体" w:hAnsi="宋体" w:cs="宋体" w:eastAsia="宋体" w:hint="default"/>
        </w:rPr>
      </w:r>
    </w:p>
    <w:p>
      <w:pPr>
        <w:pStyle w:val="BodyText"/>
        <w:spacing w:line="272" w:lineRule="exact" w:before="11"/>
        <w:ind w:left="138" w:right="208" w:firstLine="419"/>
        <w:jc w:val="both"/>
      </w:pPr>
      <w:r>
        <w:rPr>
          <w:spacing w:val="-2"/>
        </w:rPr>
        <w:t>公司将继续调整人才引进策略以及人才培养体系，与知名高校及招聘机构谋求合作，继续加</w:t>
      </w:r>
      <w:r>
        <w:rPr>
          <w:w w:val="100"/>
        </w:rPr>
        <w:t> </w:t>
      </w:r>
      <w:r>
        <w:rPr>
          <w:spacing w:val="-1"/>
        </w:rPr>
        <w:t>强高端、稀缺人才的引进工作，做好公司现有人才的培养工作，壮大公司核心团队，为更好地服</w:t>
      </w:r>
    </w:p>
    <w:p>
      <w:pPr>
        <w:pStyle w:val="BodyText"/>
        <w:spacing w:line="247" w:lineRule="exact"/>
        <w:ind w:left="138" w:right="0"/>
        <w:jc w:val="both"/>
      </w:pPr>
      <w:r>
        <w:rPr/>
        <w:t>务社会、客户、股东做好准备，为公司可持续发展奠定人力资源基础。</w:t>
      </w:r>
    </w:p>
    <w:p>
      <w:pPr>
        <w:pStyle w:val="BodyText"/>
        <w:spacing w:line="274" w:lineRule="exact" w:before="24"/>
        <w:ind w:left="558" w:right="100" w:hanging="420"/>
        <w:jc w:val="left"/>
      </w:pPr>
      <w:r>
        <w:rPr>
          <w:rFonts w:ascii="Times New Roman" w:hAnsi="Times New Roman" w:cs="Times New Roman" w:eastAsia="Times New Roman" w:hint="default"/>
          <w:b/>
          <w:bCs/>
        </w:rPr>
        <w:t>6</w:t>
      </w:r>
      <w:r>
        <w:rPr>
          <w:rFonts w:ascii="宋体" w:hAnsi="宋体" w:cs="宋体" w:eastAsia="宋体" w:hint="default"/>
          <w:b/>
          <w:bCs/>
        </w:rPr>
        <w:t>、党建与团队建设</w:t>
      </w:r>
      <w:r>
        <w:rPr>
          <w:rFonts w:ascii="宋体" w:hAnsi="宋体" w:cs="宋体" w:eastAsia="宋体" w:hint="default"/>
          <w:b/>
          <w:bCs/>
          <w:spacing w:val="-103"/>
        </w:rPr>
        <w:t> </w:t>
      </w:r>
      <w:r>
        <w:rPr>
          <w:spacing w:val="-2"/>
        </w:rPr>
        <w:t>格尔软件党支部将进一步开展党建工作，不断提升支部政治意识、大局意识、核心意识、看</w:t>
      </w:r>
    </w:p>
    <w:p>
      <w:pPr>
        <w:pStyle w:val="BodyText"/>
        <w:spacing w:line="223" w:lineRule="auto"/>
        <w:ind w:left="138" w:right="208"/>
        <w:jc w:val="both"/>
      </w:pPr>
      <w:r>
        <w:rPr>
          <w:spacing w:val="-4"/>
        </w:rPr>
        <w:t>齐意识。未来党支部将从以下四个主要方面推进党建工作：</w:t>
      </w:r>
      <w:r>
        <w:rPr>
          <w:rFonts w:ascii="Times New Roman" w:hAnsi="Times New Roman" w:cs="Times New Roman" w:eastAsia="Times New Roman" w:hint="default"/>
          <w:spacing w:val="-4"/>
        </w:rPr>
        <w:t>1</w:t>
      </w:r>
      <w:r>
        <w:rPr>
          <w:spacing w:val="-4"/>
        </w:rPr>
        <w:t>）加强党员的思想教育，开展践行社</w:t>
      </w:r>
      <w:r>
        <w:rPr>
          <w:spacing w:val="-35"/>
        </w:rPr>
        <w:t> </w:t>
      </w:r>
      <w:r>
        <w:rPr>
          <w:spacing w:val="-35"/>
        </w:rPr>
      </w:r>
      <w:r>
        <w:rPr>
          <w:spacing w:val="-4"/>
        </w:rPr>
        <w:t>会主义核心价值观和企业精神教育；</w:t>
      </w:r>
      <w:r>
        <w:rPr>
          <w:rFonts w:ascii="Times New Roman" w:hAnsi="Times New Roman" w:cs="Times New Roman" w:eastAsia="Times New Roman" w:hint="default"/>
          <w:spacing w:val="-4"/>
        </w:rPr>
        <w:t>2</w:t>
      </w:r>
      <w:r>
        <w:rPr>
          <w:spacing w:val="-4"/>
        </w:rPr>
        <w:t>）积极参与企业服务，围绕企业发展引领积极奋进的格尔精</w:t>
      </w:r>
    </w:p>
    <w:p>
      <w:pPr>
        <w:pStyle w:val="BodyText"/>
        <w:spacing w:line="272" w:lineRule="exact" w:before="13"/>
        <w:ind w:left="138" w:right="208"/>
        <w:jc w:val="both"/>
      </w:pPr>
      <w:r>
        <w:rPr>
          <w:spacing w:val="-1"/>
        </w:rPr>
        <w:t>神；</w:t>
      </w:r>
      <w:r>
        <w:rPr>
          <w:rFonts w:ascii="Times New Roman" w:hAnsi="Times New Roman" w:cs="Times New Roman" w:eastAsia="Times New Roman" w:hint="default"/>
          <w:spacing w:val="-1"/>
        </w:rPr>
        <w:t>3</w:t>
      </w:r>
      <w:r>
        <w:rPr>
          <w:spacing w:val="-1"/>
        </w:rPr>
        <w:t>）推进企业文化建设，营造企业文化气息；</w:t>
      </w:r>
      <w:r>
        <w:rPr>
          <w:rFonts w:ascii="Times New Roman" w:hAnsi="Times New Roman" w:cs="Times New Roman" w:eastAsia="Times New Roman" w:hint="default"/>
          <w:spacing w:val="-1"/>
        </w:rPr>
        <w:t>4</w:t>
      </w:r>
      <w:r>
        <w:rPr>
          <w:spacing w:val="-1"/>
        </w:rPr>
        <w:t>）组织员工活动，丰富员工业余生活，增强企</w:t>
      </w:r>
      <w:r>
        <w:rPr>
          <w:spacing w:val="-55"/>
        </w:rPr>
        <w:t> </w:t>
      </w:r>
      <w:r>
        <w:rPr>
          <w:spacing w:val="-55"/>
        </w:rPr>
      </w:r>
      <w:r>
        <w:rPr/>
        <w:t>业凝聚力和向心力，为更好的服务社会，服务客户打好基础。</w:t>
      </w:r>
    </w:p>
    <w:p>
      <w:pPr>
        <w:pStyle w:val="BodyText"/>
        <w:spacing w:line="272" w:lineRule="exact" w:before="1"/>
        <w:ind w:left="138" w:right="207" w:firstLine="419"/>
        <w:jc w:val="both"/>
      </w:pPr>
      <w:r>
        <w:rPr>
          <w:spacing w:val="-2"/>
        </w:rPr>
        <w:t>假设目前国家对网络安全和计算机信息行业的各项政策，以及公司的供应商、供应商的产品</w:t>
      </w:r>
      <w:r>
        <w:rPr>
          <w:w w:val="100"/>
        </w:rPr>
        <w:t> </w:t>
      </w:r>
      <w:r>
        <w:rPr>
          <w:spacing w:val="-5"/>
        </w:rPr>
        <w:t>价格，以及公司销售的产品价格不发生大的波动等前提下，经初步预算，公司 </w:t>
      </w:r>
      <w:r>
        <w:rPr>
          <w:rFonts w:ascii="宋体" w:hAnsi="宋体" w:cs="宋体" w:eastAsia="宋体" w:hint="default"/>
        </w:rPr>
        <w:t>2018</w:t>
      </w:r>
      <w:r>
        <w:rPr>
          <w:rFonts w:ascii="宋体" w:hAnsi="宋体" w:cs="宋体" w:eastAsia="宋体" w:hint="default"/>
          <w:spacing w:val="-31"/>
        </w:rPr>
        <w:t> </w:t>
      </w:r>
      <w:r>
        <w:rPr/>
        <w:t>年计划实现营</w:t>
      </w:r>
    </w:p>
    <w:p>
      <w:pPr>
        <w:pStyle w:val="BodyText"/>
        <w:spacing w:line="272" w:lineRule="exact" w:before="2"/>
        <w:ind w:left="138" w:right="207"/>
        <w:jc w:val="both"/>
      </w:pPr>
      <w:r>
        <w:rPr/>
        <w:t>业收入</w:t>
      </w:r>
      <w:r>
        <w:rPr>
          <w:spacing w:val="-44"/>
        </w:rPr>
        <w:t> </w:t>
      </w:r>
      <w:r>
        <w:rPr>
          <w:rFonts w:ascii="宋体" w:hAnsi="宋体" w:cs="宋体" w:eastAsia="宋体" w:hint="default"/>
        </w:rPr>
        <w:t>3.2</w:t>
      </w:r>
      <w:r>
        <w:rPr>
          <w:rFonts w:ascii="宋体" w:hAnsi="宋体" w:cs="宋体" w:eastAsia="宋体" w:hint="default"/>
          <w:spacing w:val="-47"/>
        </w:rPr>
        <w:t> </w:t>
      </w:r>
      <w:r>
        <w:rPr>
          <w:spacing w:val="-5"/>
        </w:rPr>
        <w:t>亿元人民币，营业成本</w:t>
      </w:r>
      <w:r>
        <w:rPr>
          <w:spacing w:val="-43"/>
        </w:rPr>
        <w:t> </w:t>
      </w:r>
      <w:r>
        <w:rPr>
          <w:rFonts w:ascii="宋体" w:hAnsi="宋体" w:cs="宋体" w:eastAsia="宋体" w:hint="default"/>
        </w:rPr>
        <w:t>1.3</w:t>
      </w:r>
      <w:r>
        <w:rPr>
          <w:rFonts w:ascii="宋体" w:hAnsi="宋体" w:cs="宋体" w:eastAsia="宋体" w:hint="default"/>
          <w:spacing w:val="-44"/>
        </w:rPr>
        <w:t> </w:t>
      </w:r>
      <w:r>
        <w:rPr>
          <w:spacing w:val="-5"/>
        </w:rPr>
        <w:t>亿元人民币，三项费用</w:t>
      </w:r>
      <w:r>
        <w:rPr>
          <w:spacing w:val="-47"/>
        </w:rPr>
        <w:t> </w:t>
      </w:r>
      <w:r>
        <w:rPr>
          <w:rFonts w:ascii="宋体" w:hAnsi="宋体" w:cs="宋体" w:eastAsia="宋体" w:hint="default"/>
        </w:rPr>
        <w:t>0.94</w:t>
      </w:r>
      <w:r>
        <w:rPr>
          <w:rFonts w:ascii="宋体" w:hAnsi="宋体" w:cs="宋体" w:eastAsia="宋体" w:hint="default"/>
          <w:spacing w:val="-47"/>
        </w:rPr>
        <w:t> </w:t>
      </w:r>
      <w:r>
        <w:rPr>
          <w:spacing w:val="-4"/>
        </w:rPr>
        <w:t>亿元人民币（该初步测算不构</w:t>
      </w:r>
      <w:r>
        <w:rPr>
          <w:spacing w:val="-102"/>
        </w:rPr>
        <w:t> </w:t>
      </w:r>
      <w:r>
        <w:rPr>
          <w:spacing w:val="-102"/>
        </w:rPr>
      </w:r>
      <w:r>
        <w:rPr>
          <w:spacing w:val="-9"/>
          <w:w w:val="100"/>
        </w:rPr>
        <w:t>成公司对未来经营的实质承诺）。</w:t>
      </w:r>
    </w:p>
    <w:p>
      <w:pPr>
        <w:spacing w:line="240" w:lineRule="auto" w:before="12"/>
        <w:rPr>
          <w:rFonts w:ascii="宋体" w:hAnsi="宋体" w:cs="宋体" w:eastAsia="宋体" w:hint="default"/>
          <w:sz w:val="20"/>
          <w:szCs w:val="20"/>
        </w:rPr>
      </w:pPr>
    </w:p>
    <w:p>
      <w:pPr>
        <w:pStyle w:val="Heading2"/>
        <w:spacing w:line="240" w:lineRule="auto"/>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可能面对的风险</w:t>
      </w:r>
      <w:r>
        <w:rPr>
          <w:b w:val="0"/>
          <w:bCs w:val="0"/>
        </w:rPr>
      </w:r>
    </w:p>
    <w:p>
      <w:pPr>
        <w:pStyle w:val="BodyText"/>
        <w:spacing w:line="281" w:lineRule="exact" w:before="58"/>
        <w:ind w:left="138"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74" w:lineRule="exact" w:before="16"/>
        <w:ind w:left="586" w:right="10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、产品销售季节性风险</w:t>
      </w:r>
      <w:r>
        <w:rPr>
          <w:rFonts w:ascii="宋体" w:hAnsi="宋体" w:cs="宋体" w:eastAsia="宋体" w:hint="default"/>
          <w:b/>
          <w:bCs/>
          <w:spacing w:val="-103"/>
          <w:sz w:val="21"/>
          <w:szCs w:val="21"/>
        </w:rPr>
        <w:t> </w:t>
      </w:r>
      <w:r>
        <w:rPr>
          <w:rFonts w:ascii="宋体" w:hAnsi="宋体" w:cs="宋体" w:eastAsia="宋体" w:hint="default"/>
          <w:spacing w:val="-2"/>
          <w:sz w:val="21"/>
          <w:szCs w:val="21"/>
        </w:rPr>
        <w:t>公司研发、销售的信息安全类产品主要面向政府部门、军工、金融机构及其它大中型企事业</w:t>
      </w:r>
    </w:p>
    <w:p>
      <w:pPr>
        <w:pStyle w:val="BodyText"/>
        <w:spacing w:line="245" w:lineRule="exact"/>
        <w:ind w:left="138" w:right="0"/>
        <w:jc w:val="both"/>
      </w:pPr>
      <w:r>
        <w:rPr/>
        <w:t>单位等相关客户。此类客户通常采用预算管理制度和集中采购制度，即一般上半年进行项目预算</w:t>
      </w:r>
    </w:p>
    <w:p>
      <w:pPr>
        <w:pStyle w:val="BodyText"/>
        <w:spacing w:line="237" w:lineRule="auto" w:before="2"/>
        <w:ind w:left="138" w:right="208"/>
        <w:jc w:val="both"/>
      </w:pPr>
      <w:r>
        <w:rPr>
          <w:spacing w:val="-1"/>
        </w:rPr>
        <w:t>流程审批、下半年进行招标或设施采购，因而公司产品用户的市场需求高峰通常出现在下半年。</w:t>
      </w:r>
      <w:r>
        <w:rPr>
          <w:spacing w:val="-55"/>
        </w:rPr>
        <w:t> </w:t>
      </w:r>
      <w:r>
        <w:rPr>
          <w:spacing w:val="-55"/>
        </w:rPr>
      </w:r>
      <w:r>
        <w:rPr>
          <w:spacing w:val="-1"/>
        </w:rPr>
        <w:t>公司销售收入的季节性波动及其对公司利润、经营性活动现金流在全年实现过程中造成的不均衡</w:t>
      </w:r>
      <w:r>
        <w:rPr>
          <w:spacing w:val="-54"/>
        </w:rPr>
        <w:t> </w:t>
      </w:r>
      <w:r>
        <w:rPr>
          <w:spacing w:val="-54"/>
        </w:rPr>
      </w:r>
      <w:r>
        <w:rPr/>
        <w:t>性，可能对公司正常生产经营活动造成一定的不利影响。</w:t>
      </w:r>
    </w:p>
    <w:p>
      <w:pPr>
        <w:spacing w:line="274" w:lineRule="exact" w:before="22"/>
        <w:ind w:left="586" w:right="10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、未来市场竞争加剧的风险</w:t>
      </w:r>
      <w:r>
        <w:rPr>
          <w:rFonts w:ascii="宋体" w:hAnsi="宋体" w:cs="宋体" w:eastAsia="宋体" w:hint="default"/>
          <w:b/>
          <w:bCs/>
          <w:w w:val="100"/>
          <w:sz w:val="21"/>
          <w:szCs w:val="21"/>
        </w:rPr>
        <w:t> </w:t>
      </w:r>
      <w:r>
        <w:rPr>
          <w:rFonts w:ascii="宋体" w:hAnsi="宋体" w:cs="宋体" w:eastAsia="宋体" w:hint="default"/>
          <w:spacing w:val="-2"/>
          <w:sz w:val="21"/>
          <w:szCs w:val="21"/>
        </w:rPr>
        <w:t>信息安全行业是具有发展活力的新兴产业。随着信息安全行业市场规模的迅速扩大，另外新</w:t>
      </w:r>
    </w:p>
    <w:p>
      <w:pPr>
        <w:pStyle w:val="BodyText"/>
        <w:spacing w:line="245" w:lineRule="exact"/>
        <w:ind w:left="138" w:right="0"/>
        <w:jc w:val="both"/>
      </w:pPr>
      <w:r>
        <w:rPr>
          <w:w w:val="100"/>
        </w:rPr>
        <w:t>兴的</w:t>
      </w:r>
      <w:r>
        <w:rPr>
          <w:spacing w:val="-3"/>
          <w:w w:val="100"/>
        </w:rPr>
        <w:t>云</w:t>
      </w:r>
      <w:r>
        <w:rPr>
          <w:spacing w:val="-1"/>
          <w:w w:val="100"/>
        </w:rPr>
        <w:t>计</w:t>
      </w:r>
      <w:r>
        <w:rPr>
          <w:spacing w:val="-3"/>
          <w:w w:val="100"/>
        </w:rPr>
        <w:t>算</w:t>
      </w:r>
      <w:r>
        <w:rPr>
          <w:w w:val="100"/>
        </w:rPr>
        <w:t>与</w:t>
      </w:r>
      <w:r>
        <w:rPr>
          <w:spacing w:val="-3"/>
          <w:w w:val="100"/>
        </w:rPr>
        <w:t>移</w:t>
      </w:r>
      <w:r>
        <w:rPr>
          <w:w w:val="100"/>
        </w:rPr>
        <w:t>动</w:t>
      </w:r>
      <w:r>
        <w:rPr>
          <w:spacing w:val="-3"/>
          <w:w w:val="100"/>
        </w:rPr>
        <w:t>互</w:t>
      </w:r>
      <w:r>
        <w:rPr>
          <w:w w:val="100"/>
        </w:rPr>
        <w:t>联</w:t>
      </w:r>
      <w:r>
        <w:rPr>
          <w:spacing w:val="-2"/>
          <w:w w:val="100"/>
        </w:rPr>
        <w:t>网</w:t>
      </w:r>
      <w:r>
        <w:rPr>
          <w:w w:val="100"/>
        </w:rPr>
        <w:t>信息</w:t>
      </w:r>
      <w:r>
        <w:rPr>
          <w:spacing w:val="-3"/>
          <w:w w:val="100"/>
        </w:rPr>
        <w:t>安</w:t>
      </w:r>
      <w:r>
        <w:rPr>
          <w:w w:val="100"/>
        </w:rPr>
        <w:t>全</w:t>
      </w:r>
      <w:r>
        <w:rPr>
          <w:spacing w:val="-3"/>
          <w:w w:val="100"/>
        </w:rPr>
        <w:t>领</w:t>
      </w:r>
      <w:r>
        <w:rPr>
          <w:w w:val="100"/>
        </w:rPr>
        <w:t>域</w:t>
      </w:r>
      <w:r>
        <w:rPr>
          <w:spacing w:val="-3"/>
          <w:w w:val="100"/>
        </w:rPr>
        <w:t>亦</w:t>
      </w:r>
      <w:r>
        <w:rPr>
          <w:w w:val="100"/>
        </w:rPr>
        <w:t>将</w:t>
      </w:r>
      <w:r>
        <w:rPr>
          <w:spacing w:val="-3"/>
          <w:w w:val="100"/>
        </w:rPr>
        <w:t>形</w:t>
      </w:r>
      <w:r>
        <w:rPr>
          <w:spacing w:val="-1"/>
          <w:w w:val="100"/>
        </w:rPr>
        <w:t>成</w:t>
      </w:r>
      <w:r>
        <w:rPr>
          <w:spacing w:val="-3"/>
          <w:w w:val="100"/>
        </w:rPr>
        <w:t>一</w:t>
      </w:r>
      <w:r>
        <w:rPr>
          <w:w w:val="100"/>
        </w:rPr>
        <w:t>个巨</w:t>
      </w:r>
      <w:r>
        <w:rPr>
          <w:spacing w:val="-3"/>
          <w:w w:val="100"/>
        </w:rPr>
        <w:t>大</w:t>
      </w:r>
      <w:r>
        <w:rPr>
          <w:w w:val="100"/>
        </w:rPr>
        <w:t>的</w:t>
      </w:r>
      <w:r>
        <w:rPr>
          <w:spacing w:val="-3"/>
          <w:w w:val="100"/>
        </w:rPr>
        <w:t>快</w:t>
      </w:r>
      <w:r>
        <w:rPr>
          <w:w w:val="100"/>
        </w:rPr>
        <w:t>速</w:t>
      </w:r>
      <w:r>
        <w:rPr>
          <w:spacing w:val="-3"/>
          <w:w w:val="100"/>
        </w:rPr>
        <w:t>增</w:t>
      </w:r>
      <w:r>
        <w:rPr>
          <w:w w:val="100"/>
        </w:rPr>
        <w:t>长</w:t>
      </w:r>
      <w:r>
        <w:rPr>
          <w:spacing w:val="-3"/>
          <w:w w:val="100"/>
        </w:rPr>
        <w:t>市场</w:t>
      </w:r>
      <w:r>
        <w:rPr>
          <w:spacing w:val="-92"/>
          <w:w w:val="100"/>
        </w:rPr>
        <w:t>，</w:t>
      </w:r>
      <w:r>
        <w:rPr>
          <w:spacing w:val="-3"/>
          <w:w w:val="100"/>
        </w:rPr>
        <w:t>市</w:t>
      </w:r>
      <w:r>
        <w:rPr>
          <w:w w:val="100"/>
        </w:rPr>
        <w:t>场竞</w:t>
      </w:r>
      <w:r>
        <w:rPr>
          <w:spacing w:val="-2"/>
          <w:w w:val="100"/>
        </w:rPr>
        <w:t>争</w:t>
      </w:r>
      <w:r>
        <w:rPr>
          <w:w w:val="100"/>
        </w:rPr>
        <w:t>将</w:t>
      </w:r>
      <w:r>
        <w:rPr>
          <w:spacing w:val="-3"/>
          <w:w w:val="100"/>
        </w:rPr>
        <w:t>更</w:t>
      </w:r>
      <w:r>
        <w:rPr>
          <w:w w:val="100"/>
        </w:rPr>
        <w:t>趋</w:t>
      </w:r>
      <w:r>
        <w:rPr>
          <w:spacing w:val="-3"/>
          <w:w w:val="100"/>
        </w:rPr>
        <w:t>激烈</w:t>
      </w:r>
      <w:r>
        <w:rPr>
          <w:w w:val="100"/>
        </w:rPr>
        <w:t>。</w:t>
      </w:r>
    </w:p>
    <w:p>
      <w:pPr>
        <w:pStyle w:val="BodyText"/>
        <w:spacing w:line="237" w:lineRule="auto" w:before="2"/>
        <w:ind w:left="138" w:right="208"/>
        <w:jc w:val="both"/>
      </w:pPr>
      <w:r>
        <w:rPr>
          <w:spacing w:val="-2"/>
        </w:rPr>
        <w:t>虽然公司已在信息安全行业身份认证与访问控制细分市场领域具有一定竞争优势，但面对现有竞</w:t>
      </w:r>
      <w:r>
        <w:rPr>
          <w:spacing w:val="-15"/>
        </w:rPr>
        <w:t> </w:t>
      </w:r>
      <w:r>
        <w:rPr>
          <w:spacing w:val="-15"/>
        </w:rPr>
      </w:r>
      <w:r>
        <w:rPr>
          <w:spacing w:val="-1"/>
        </w:rPr>
        <w:t>争者和即将进入者在产品技术先进性、质量稳定性、营销网络、客户体验和售后服务等方面的竞</w:t>
      </w:r>
      <w:r>
        <w:rPr>
          <w:spacing w:val="-55"/>
        </w:rPr>
        <w:t> </w:t>
      </w:r>
      <w:r>
        <w:rPr>
          <w:spacing w:val="-55"/>
        </w:rPr>
      </w:r>
      <w:r>
        <w:rPr/>
        <w:t>争，公司存在市场占有率下降的风险。</w:t>
      </w:r>
    </w:p>
    <w:p>
      <w:pPr>
        <w:spacing w:line="274" w:lineRule="exact" w:before="22"/>
        <w:ind w:left="586" w:right="10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、技术开发与产品升级风险</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本公司所处的信息安全行业属于技术与知识密集型行业，对研发能力和自主创新能力要求较</w:t>
      </w:r>
    </w:p>
    <w:p>
      <w:pPr>
        <w:pStyle w:val="BodyText"/>
        <w:spacing w:line="245" w:lineRule="exact"/>
        <w:ind w:left="138" w:right="0"/>
        <w:jc w:val="both"/>
      </w:pPr>
      <w:r>
        <w:rPr/>
        <w:t>高。目前，公司在</w:t>
      </w:r>
      <w:r>
        <w:rPr>
          <w:spacing w:val="-52"/>
        </w:rPr>
        <w:t> </w:t>
      </w:r>
      <w:r>
        <w:rPr>
          <w:rFonts w:ascii="宋体" w:hAnsi="宋体" w:cs="宋体" w:eastAsia="宋体" w:hint="default"/>
        </w:rPr>
        <w:t>PKI</w:t>
      </w:r>
      <w:r>
        <w:rPr>
          <w:rFonts w:ascii="宋体" w:hAnsi="宋体" w:cs="宋体" w:eastAsia="宋体" w:hint="default"/>
          <w:spacing w:val="-49"/>
        </w:rPr>
        <w:t> </w:t>
      </w:r>
      <w:r>
        <w:rPr/>
        <w:t>基础设施与安全应用领域能够满足产品不断升级的市场需求。但是由于信</w:t>
      </w:r>
    </w:p>
    <w:p>
      <w:pPr>
        <w:pStyle w:val="BodyText"/>
        <w:spacing w:line="237" w:lineRule="auto" w:before="2"/>
        <w:ind w:left="138" w:right="208"/>
        <w:jc w:val="both"/>
      </w:pPr>
      <w:r>
        <w:rPr>
          <w:spacing w:val="-1"/>
        </w:rPr>
        <w:t>息安全技术发展迅速，产业规模不断扩大，市场对信息安全产品的升级换代亦提出了更高要求。</w:t>
      </w:r>
      <w:r>
        <w:rPr>
          <w:spacing w:val="-55"/>
        </w:rPr>
        <w:t> </w:t>
      </w:r>
      <w:r>
        <w:rPr>
          <w:spacing w:val="-55"/>
        </w:rPr>
      </w:r>
      <w:r>
        <w:rPr>
          <w:spacing w:val="-1"/>
        </w:rPr>
        <w:t>如果公司在产品升级换代上投入不足，不能正确把握信息安全技术的发展趋势，及时满足客户的</w:t>
      </w:r>
      <w:r>
        <w:rPr>
          <w:spacing w:val="-56"/>
        </w:rPr>
        <w:t> </w:t>
      </w:r>
      <w:r>
        <w:rPr>
          <w:spacing w:val="-56"/>
        </w:rPr>
      </w:r>
      <w:r>
        <w:rPr>
          <w:spacing w:val="-1"/>
        </w:rPr>
        <w:t>现实需求，公司的核心竞争力将有可能下降，对未来持续发展能力造成不利影响。公司将不断进</w:t>
      </w:r>
      <w:r>
        <w:rPr>
          <w:spacing w:val="-55"/>
        </w:rPr>
        <w:t> </w:t>
      </w:r>
      <w:r>
        <w:rPr>
          <w:spacing w:val="-55"/>
        </w:rPr>
      </w:r>
      <w:r>
        <w:rPr/>
        <w:t>行新技术与新产品开发，适应行业技术迅速发展需要。</w:t>
      </w:r>
    </w:p>
    <w:p>
      <w:pPr>
        <w:spacing w:line="274" w:lineRule="exact" w:before="23"/>
        <w:ind w:left="586" w:right="100" w:firstLine="0"/>
        <w:jc w:val="left"/>
        <w:rPr>
          <w:rFonts w:ascii="宋体" w:hAnsi="宋体" w:cs="宋体" w:eastAsia="宋体" w:hint="default"/>
          <w:sz w:val="21"/>
          <w:szCs w:val="21"/>
        </w:rPr>
      </w:pPr>
      <w:r>
        <w:rPr>
          <w:rFonts w:ascii="宋体" w:hAnsi="宋体" w:cs="宋体" w:eastAsia="宋体" w:hint="default"/>
          <w:b/>
          <w:bCs/>
          <w:spacing w:val="10"/>
          <w:sz w:val="21"/>
          <w:szCs w:val="21"/>
        </w:rPr>
        <w:t>4</w:t>
      </w:r>
      <w:r>
        <w:rPr>
          <w:rFonts w:ascii="宋体" w:hAnsi="宋体" w:cs="宋体" w:eastAsia="宋体" w:hint="default"/>
          <w:b/>
          <w:bCs/>
          <w:spacing w:val="10"/>
          <w:sz w:val="21"/>
          <w:szCs w:val="21"/>
        </w:rPr>
        <w:t>、核心技术人员流失与核心技术泄露的风险</w:t>
      </w:r>
      <w:r>
        <w:rPr>
          <w:rFonts w:ascii="宋体" w:hAnsi="宋体" w:cs="宋体" w:eastAsia="宋体" w:hint="default"/>
          <w:b/>
          <w:bCs/>
          <w:spacing w:val="-70"/>
          <w:sz w:val="21"/>
          <w:szCs w:val="21"/>
        </w:rPr>
        <w:t> </w:t>
      </w:r>
      <w:r>
        <w:rPr>
          <w:rFonts w:ascii="宋体" w:hAnsi="宋体" w:cs="宋体" w:eastAsia="宋体" w:hint="default"/>
          <w:b/>
          <w:bCs/>
          <w:spacing w:val="-70"/>
          <w:sz w:val="21"/>
          <w:szCs w:val="21"/>
        </w:rPr>
      </w:r>
      <w:r>
        <w:rPr>
          <w:rFonts w:ascii="宋体" w:hAnsi="宋体" w:cs="宋体" w:eastAsia="宋体" w:hint="default"/>
          <w:spacing w:val="-2"/>
          <w:sz w:val="21"/>
          <w:szCs w:val="21"/>
        </w:rPr>
        <w:t>作为自主创新的高新技术企业，核心技术人员流失和核心技术泄露问题成为公司不可忽视的</w:t>
      </w:r>
    </w:p>
    <w:p>
      <w:pPr>
        <w:spacing w:after="0" w:line="274" w:lineRule="exact"/>
        <w:jc w:val="left"/>
        <w:rPr>
          <w:rFonts w:ascii="宋体" w:hAnsi="宋体" w:cs="宋体" w:eastAsia="宋体" w:hint="default"/>
          <w:sz w:val="21"/>
          <w:szCs w:val="21"/>
        </w:rPr>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37" w:lineRule="auto" w:before="38"/>
        <w:ind w:left="138" w:right="128"/>
        <w:jc w:val="both"/>
      </w:pPr>
      <w:r>
        <w:rPr>
          <w:spacing w:val="-1"/>
        </w:rPr>
        <w:t>风险之一。为防范前述风险，公司一方面通过规范研发管理流程、健全保密制度、申请相关知识</w:t>
      </w:r>
      <w:r>
        <w:rPr>
          <w:spacing w:val="-55"/>
        </w:rPr>
        <w:t> </w:t>
      </w:r>
      <w:r>
        <w:rPr>
          <w:spacing w:val="-55"/>
        </w:rPr>
      </w:r>
      <w:r>
        <w:rPr>
          <w:spacing w:val="-1"/>
        </w:rPr>
        <w:t>产权等方式，实现对公司核心技术的保护；另一方面，通过对相关技术人员进行股权激励、建立</w:t>
      </w:r>
      <w:r>
        <w:rPr>
          <w:spacing w:val="-56"/>
        </w:rPr>
        <w:t> </w:t>
      </w:r>
      <w:r>
        <w:rPr>
          <w:spacing w:val="-56"/>
        </w:rPr>
      </w:r>
      <w:r>
        <w:rPr>
          <w:spacing w:val="-1"/>
        </w:rPr>
        <w:t>良好的企业文化和有竞争性的薪酬奖励机制等措施，进一步提升公司内部凝聚力，吸引和稳定核</w:t>
      </w:r>
      <w:r>
        <w:rPr>
          <w:spacing w:val="-55"/>
        </w:rPr>
        <w:t> </w:t>
      </w:r>
      <w:r>
        <w:rPr>
          <w:spacing w:val="-55"/>
        </w:rPr>
      </w:r>
      <w:r>
        <w:rPr/>
        <w:t>心技术团队。</w:t>
      </w:r>
    </w:p>
    <w:p>
      <w:pPr>
        <w:spacing w:line="274" w:lineRule="exact" w:before="22"/>
        <w:ind w:left="586"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、知识产权被侵害的风险</w:t>
      </w:r>
      <w:r>
        <w:rPr>
          <w:rFonts w:ascii="宋体" w:hAnsi="宋体" w:cs="宋体" w:eastAsia="宋体" w:hint="default"/>
          <w:b/>
          <w:bCs/>
          <w:w w:val="100"/>
          <w:sz w:val="21"/>
          <w:szCs w:val="21"/>
        </w:rPr>
        <w:t> </w:t>
      </w:r>
      <w:r>
        <w:rPr>
          <w:rFonts w:ascii="宋体" w:hAnsi="宋体" w:cs="宋体" w:eastAsia="宋体" w:hint="default"/>
          <w:spacing w:val="-2"/>
          <w:sz w:val="21"/>
          <w:szCs w:val="21"/>
        </w:rPr>
        <w:t>公司已经采取多项应对措施防范知识产权可能被侵害的风险，具体包括在产品应用方案的实</w:t>
      </w:r>
    </w:p>
    <w:p>
      <w:pPr>
        <w:pStyle w:val="BodyText"/>
        <w:spacing w:line="245" w:lineRule="exact"/>
        <w:ind w:left="138" w:right="0"/>
        <w:jc w:val="both"/>
      </w:pPr>
      <w:r>
        <w:rPr/>
        <w:t>施过程中采取严密的保密措施、与公司核心技术人员签署保密协议、申请知识产权保护等相关方</w:t>
      </w:r>
    </w:p>
    <w:p>
      <w:pPr>
        <w:pStyle w:val="BodyText"/>
        <w:spacing w:line="272" w:lineRule="exact" w:before="27"/>
        <w:ind w:left="138" w:right="128"/>
        <w:jc w:val="both"/>
      </w:pPr>
      <w:r>
        <w:rPr>
          <w:spacing w:val="-6"/>
        </w:rPr>
        <w:t>面。然而，鉴于国内信息安全市场和知识产权保护的现状，公司的知识产权仍存在被侵害的风险，</w:t>
      </w:r>
      <w:r>
        <w:rPr>
          <w:spacing w:val="-54"/>
        </w:rPr>
        <w:t> </w:t>
      </w:r>
      <w:r>
        <w:rPr>
          <w:spacing w:val="-54"/>
        </w:rPr>
      </w:r>
      <w:r>
        <w:rPr/>
        <w:t>若公司的知识产权遭受较大范围的侵害，将会对公司的盈利水平产生不利影响。</w:t>
      </w:r>
    </w:p>
    <w:p>
      <w:pPr>
        <w:spacing w:line="272" w:lineRule="exact" w:before="1"/>
        <w:ind w:left="586" w:right="0"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、企业所得税税收优惠政策变化和政府补助变化的风险</w:t>
      </w:r>
      <w:r>
        <w:rPr>
          <w:rFonts w:ascii="宋体" w:hAnsi="宋体" w:cs="宋体" w:eastAsia="宋体" w:hint="default"/>
          <w:b/>
          <w:bCs/>
          <w:w w:val="100"/>
          <w:sz w:val="21"/>
          <w:szCs w:val="21"/>
        </w:rPr>
        <w:t> </w:t>
      </w:r>
      <w:r>
        <w:rPr>
          <w:rFonts w:ascii="宋体" w:hAnsi="宋体" w:cs="宋体" w:eastAsia="宋体" w:hint="default"/>
          <w:spacing w:val="-5"/>
          <w:w w:val="100"/>
          <w:sz w:val="21"/>
          <w:szCs w:val="21"/>
        </w:rPr>
        <w:t>公司及子公司属于国家需要重点扶持的高新技术企业，企业所得税按</w:t>
      </w:r>
      <w:r>
        <w:rPr>
          <w:rFonts w:ascii="宋体" w:hAnsi="宋体" w:cs="宋体" w:eastAsia="宋体" w:hint="default"/>
          <w:spacing w:val="-21"/>
          <w:w w:val="100"/>
          <w:sz w:val="21"/>
          <w:szCs w:val="21"/>
        </w:rPr>
        <w:t> </w:t>
      </w:r>
      <w:r>
        <w:rPr>
          <w:rFonts w:ascii="宋体" w:hAnsi="宋体" w:cs="宋体" w:eastAsia="宋体" w:hint="default"/>
          <w:spacing w:val="-10"/>
          <w:w w:val="100"/>
          <w:sz w:val="21"/>
          <w:szCs w:val="21"/>
        </w:rPr>
        <w:t>15%</w:t>
      </w:r>
      <w:r>
        <w:rPr>
          <w:rFonts w:ascii="宋体" w:hAnsi="宋体" w:cs="宋体" w:eastAsia="宋体" w:hint="default"/>
          <w:spacing w:val="-10"/>
          <w:w w:val="100"/>
          <w:sz w:val="21"/>
          <w:szCs w:val="21"/>
        </w:rPr>
        <w:t>的税率征收。另外，</w:t>
      </w:r>
      <w:r>
        <w:rPr>
          <w:rFonts w:ascii="宋体" w:hAnsi="宋体" w:cs="宋体" w:eastAsia="宋体" w:hint="default"/>
          <w:w w:val="100"/>
          <w:sz w:val="21"/>
          <w:szCs w:val="21"/>
        </w:rPr>
      </w:r>
    </w:p>
    <w:p>
      <w:pPr>
        <w:pStyle w:val="BodyText"/>
        <w:spacing w:line="272" w:lineRule="exact" w:before="1"/>
        <w:ind w:left="138" w:right="127"/>
        <w:jc w:val="both"/>
      </w:pPr>
      <w:r>
        <w:rPr>
          <w:w w:val="100"/>
        </w:rPr>
        <w:t>根据国</w:t>
      </w:r>
      <w:r>
        <w:rPr>
          <w:spacing w:val="-3"/>
          <w:w w:val="100"/>
        </w:rPr>
        <w:t>务</w:t>
      </w:r>
      <w:r>
        <w:rPr>
          <w:w w:val="100"/>
        </w:rPr>
        <w:t>院《</w:t>
      </w:r>
      <w:r>
        <w:rPr>
          <w:spacing w:val="-3"/>
          <w:w w:val="100"/>
        </w:rPr>
        <w:t>关</w:t>
      </w:r>
      <w:r>
        <w:rPr>
          <w:w w:val="100"/>
        </w:rPr>
        <w:t>于</w:t>
      </w:r>
      <w:r>
        <w:rPr>
          <w:spacing w:val="-3"/>
          <w:w w:val="100"/>
        </w:rPr>
        <w:t>印</w:t>
      </w:r>
      <w:r>
        <w:rPr>
          <w:w w:val="100"/>
        </w:rPr>
        <w:t>发</w:t>
      </w:r>
      <w:r>
        <w:rPr>
          <w:spacing w:val="-3"/>
          <w:w w:val="100"/>
        </w:rPr>
        <w:t>进</w:t>
      </w:r>
      <w:r>
        <w:rPr>
          <w:w w:val="100"/>
        </w:rPr>
        <w:t>一步鼓</w:t>
      </w:r>
      <w:r>
        <w:rPr>
          <w:spacing w:val="-3"/>
          <w:w w:val="100"/>
        </w:rPr>
        <w:t>励</w:t>
      </w:r>
      <w:r>
        <w:rPr>
          <w:w w:val="100"/>
        </w:rPr>
        <w:t>软件</w:t>
      </w:r>
      <w:r>
        <w:rPr>
          <w:spacing w:val="-3"/>
          <w:w w:val="100"/>
        </w:rPr>
        <w:t>产</w:t>
      </w:r>
      <w:r>
        <w:rPr>
          <w:w w:val="100"/>
        </w:rPr>
        <w:t>业</w:t>
      </w:r>
      <w:r>
        <w:rPr>
          <w:spacing w:val="-3"/>
          <w:w w:val="100"/>
        </w:rPr>
        <w:t>和</w:t>
      </w:r>
      <w:r>
        <w:rPr>
          <w:w w:val="100"/>
        </w:rPr>
        <w:t>集</w:t>
      </w:r>
      <w:r>
        <w:rPr>
          <w:spacing w:val="-3"/>
          <w:w w:val="100"/>
        </w:rPr>
        <w:t>成</w:t>
      </w:r>
      <w:r>
        <w:rPr>
          <w:w w:val="100"/>
        </w:rPr>
        <w:t>电路产</w:t>
      </w:r>
      <w:r>
        <w:rPr>
          <w:spacing w:val="-3"/>
          <w:w w:val="100"/>
        </w:rPr>
        <w:t>业</w:t>
      </w:r>
      <w:r>
        <w:rPr>
          <w:w w:val="100"/>
        </w:rPr>
        <w:t>发展</w:t>
      </w:r>
      <w:r>
        <w:rPr>
          <w:spacing w:val="-3"/>
          <w:w w:val="100"/>
        </w:rPr>
        <w:t>若</w:t>
      </w:r>
      <w:r>
        <w:rPr>
          <w:w w:val="100"/>
        </w:rPr>
        <w:t>干</w:t>
      </w:r>
      <w:r>
        <w:rPr>
          <w:spacing w:val="-3"/>
          <w:w w:val="100"/>
        </w:rPr>
        <w:t>政</w:t>
      </w:r>
      <w:r>
        <w:rPr>
          <w:w w:val="100"/>
        </w:rPr>
        <w:t>策</w:t>
      </w:r>
      <w:r>
        <w:rPr>
          <w:spacing w:val="-3"/>
          <w:w w:val="100"/>
        </w:rPr>
        <w:t>的</w:t>
      </w:r>
      <w:r>
        <w:rPr>
          <w:w w:val="100"/>
        </w:rPr>
        <w:t>通知</w:t>
      </w:r>
      <w:r>
        <w:rPr>
          <w:spacing w:val="-106"/>
          <w:w w:val="100"/>
        </w:rPr>
        <w:t>》</w:t>
      </w:r>
      <w:r>
        <w:rPr>
          <w:spacing w:val="-3"/>
          <w:w w:val="100"/>
        </w:rPr>
        <w:t>（</w:t>
      </w:r>
      <w:r>
        <w:rPr>
          <w:w w:val="100"/>
        </w:rPr>
        <w:t>国发</w:t>
      </w:r>
      <w:r>
        <w:rPr>
          <w:rFonts w:ascii="宋体" w:hAnsi="宋体" w:cs="宋体" w:eastAsia="宋体" w:hint="default"/>
          <w:w w:val="100"/>
        </w:rPr>
        <w:t>[</w:t>
      </w:r>
      <w:r>
        <w:rPr>
          <w:rFonts w:ascii="宋体" w:hAnsi="宋体" w:cs="宋体" w:eastAsia="宋体" w:hint="default"/>
          <w:spacing w:val="-3"/>
          <w:w w:val="100"/>
        </w:rPr>
        <w:t>2</w:t>
      </w:r>
      <w:r>
        <w:rPr>
          <w:rFonts w:ascii="宋体" w:hAnsi="宋体" w:cs="宋体" w:eastAsia="宋体" w:hint="default"/>
          <w:w w:val="100"/>
        </w:rPr>
        <w:t>011</w:t>
      </w:r>
      <w:r>
        <w:rPr>
          <w:rFonts w:ascii="宋体" w:hAnsi="宋体" w:cs="宋体" w:eastAsia="宋体" w:hint="default"/>
          <w:spacing w:val="-3"/>
          <w:w w:val="100"/>
        </w:rPr>
        <w:t>]</w:t>
      </w:r>
      <w:r>
        <w:rPr>
          <w:rFonts w:ascii="宋体" w:hAnsi="宋体" w:cs="宋体" w:eastAsia="宋体" w:hint="default"/>
          <w:w w:val="100"/>
        </w:rPr>
        <w:t>4</w:t>
      </w:r>
      <w:r>
        <w:rPr>
          <w:rFonts w:ascii="宋体" w:hAnsi="宋体" w:cs="宋体" w:eastAsia="宋体" w:hint="default"/>
          <w:w w:val="100"/>
        </w:rPr>
        <w:t> </w:t>
      </w:r>
      <w:r>
        <w:rPr>
          <w:w w:val="100"/>
        </w:rPr>
        <w:t>号</w:t>
      </w:r>
      <w:r>
        <w:rPr>
          <w:spacing w:val="-108"/>
          <w:w w:val="100"/>
        </w:rPr>
        <w:t>）</w:t>
      </w:r>
      <w:r>
        <w:rPr>
          <w:spacing w:val="-13"/>
          <w:w w:val="100"/>
        </w:rPr>
        <w:t>，</w:t>
      </w:r>
      <w:r>
        <w:rPr>
          <w:spacing w:val="-3"/>
          <w:w w:val="100"/>
        </w:rPr>
        <w:t>对</w:t>
      </w:r>
      <w:r>
        <w:rPr>
          <w:w w:val="100"/>
        </w:rPr>
        <w:t>增</w:t>
      </w:r>
      <w:r>
        <w:rPr>
          <w:spacing w:val="-3"/>
          <w:w w:val="100"/>
        </w:rPr>
        <w:t>值</w:t>
      </w:r>
      <w:r>
        <w:rPr>
          <w:w w:val="100"/>
        </w:rPr>
        <w:t>税</w:t>
      </w:r>
      <w:r>
        <w:rPr>
          <w:spacing w:val="-3"/>
          <w:w w:val="100"/>
        </w:rPr>
        <w:t>一</w:t>
      </w:r>
      <w:r>
        <w:rPr>
          <w:w w:val="100"/>
        </w:rPr>
        <w:t>般</w:t>
      </w:r>
      <w:r>
        <w:rPr>
          <w:spacing w:val="-3"/>
          <w:w w:val="100"/>
        </w:rPr>
        <w:t>纳</w:t>
      </w:r>
      <w:r>
        <w:rPr>
          <w:w w:val="100"/>
        </w:rPr>
        <w:t>税</w:t>
      </w:r>
      <w:r>
        <w:rPr>
          <w:spacing w:val="-3"/>
          <w:w w:val="100"/>
        </w:rPr>
        <w:t>人</w:t>
      </w:r>
      <w:r>
        <w:rPr>
          <w:w w:val="100"/>
        </w:rPr>
        <w:t>销售</w:t>
      </w:r>
      <w:r>
        <w:rPr>
          <w:spacing w:val="-3"/>
          <w:w w:val="100"/>
        </w:rPr>
        <w:t>其</w:t>
      </w:r>
      <w:r>
        <w:rPr>
          <w:w w:val="100"/>
        </w:rPr>
        <w:t>自</w:t>
      </w:r>
      <w:r>
        <w:rPr>
          <w:spacing w:val="-3"/>
          <w:w w:val="100"/>
        </w:rPr>
        <w:t>行</w:t>
      </w:r>
      <w:r>
        <w:rPr>
          <w:w w:val="100"/>
        </w:rPr>
        <w:t>开</w:t>
      </w:r>
      <w:r>
        <w:rPr>
          <w:spacing w:val="-3"/>
          <w:w w:val="100"/>
        </w:rPr>
        <w:t>发</w:t>
      </w:r>
      <w:r>
        <w:rPr>
          <w:w w:val="100"/>
        </w:rPr>
        <w:t>生</w:t>
      </w:r>
      <w:r>
        <w:rPr>
          <w:spacing w:val="-3"/>
          <w:w w:val="100"/>
        </w:rPr>
        <w:t>产</w:t>
      </w:r>
      <w:r>
        <w:rPr>
          <w:w w:val="100"/>
        </w:rPr>
        <w:t>的</w:t>
      </w:r>
      <w:r>
        <w:rPr>
          <w:spacing w:val="-3"/>
          <w:w w:val="100"/>
        </w:rPr>
        <w:t>软</w:t>
      </w:r>
      <w:r>
        <w:rPr>
          <w:w w:val="100"/>
        </w:rPr>
        <w:t>件产</w:t>
      </w:r>
      <w:r>
        <w:rPr>
          <w:spacing w:val="-3"/>
          <w:w w:val="100"/>
        </w:rPr>
        <w:t>品</w:t>
      </w:r>
      <w:r>
        <w:rPr>
          <w:spacing w:val="-15"/>
          <w:w w:val="100"/>
        </w:rPr>
        <w:t>，</w:t>
      </w:r>
      <w:r>
        <w:rPr>
          <w:w w:val="100"/>
        </w:rPr>
        <w:t>按</w:t>
      </w:r>
      <w:r>
        <w:rPr>
          <w:spacing w:val="-53"/>
        </w:rPr>
        <w:t> </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1"/>
          <w:w w:val="100"/>
        </w:rPr>
        <w:t>%</w:t>
      </w:r>
      <w:r>
        <w:rPr>
          <w:spacing w:val="-3"/>
          <w:w w:val="100"/>
        </w:rPr>
        <w:t>的</w:t>
      </w:r>
      <w:r>
        <w:rPr>
          <w:w w:val="100"/>
        </w:rPr>
        <w:t>法</w:t>
      </w:r>
      <w:r>
        <w:rPr>
          <w:spacing w:val="-3"/>
          <w:w w:val="100"/>
        </w:rPr>
        <w:t>定</w:t>
      </w:r>
      <w:r>
        <w:rPr>
          <w:w w:val="100"/>
        </w:rPr>
        <w:t>税</w:t>
      </w:r>
      <w:r>
        <w:rPr>
          <w:spacing w:val="-3"/>
          <w:w w:val="100"/>
        </w:rPr>
        <w:t>率</w:t>
      </w:r>
      <w:r>
        <w:rPr>
          <w:w w:val="100"/>
        </w:rPr>
        <w:t>征收</w:t>
      </w:r>
      <w:r>
        <w:rPr>
          <w:spacing w:val="-3"/>
          <w:w w:val="100"/>
        </w:rPr>
        <w:t>增</w:t>
      </w:r>
      <w:r>
        <w:rPr>
          <w:w w:val="100"/>
        </w:rPr>
        <w:t>值</w:t>
      </w:r>
      <w:r>
        <w:rPr>
          <w:spacing w:val="-3"/>
          <w:w w:val="100"/>
        </w:rPr>
        <w:t>税后</w:t>
      </w:r>
      <w:r>
        <w:rPr>
          <w:spacing w:val="-15"/>
          <w:w w:val="100"/>
        </w:rPr>
        <w:t>，</w:t>
      </w:r>
      <w:r>
        <w:rPr>
          <w:w w:val="100"/>
        </w:rPr>
        <w:t>对</w:t>
      </w:r>
    </w:p>
    <w:p>
      <w:pPr>
        <w:pStyle w:val="BodyText"/>
        <w:spacing w:line="272" w:lineRule="exact" w:before="1"/>
        <w:ind w:left="138" w:right="127"/>
        <w:jc w:val="both"/>
      </w:pPr>
      <w:r>
        <w:rPr/>
        <w:t>其增值税实际税负超过</w:t>
      </w:r>
      <w:r>
        <w:rPr>
          <w:spacing w:val="-16"/>
        </w:rPr>
        <w:t> </w:t>
      </w:r>
      <w:r>
        <w:rPr>
          <w:rFonts w:ascii="宋体" w:hAnsi="宋体" w:cs="宋体" w:eastAsia="宋体" w:hint="default"/>
          <w:spacing w:val="-3"/>
        </w:rPr>
        <w:t>3%</w:t>
      </w:r>
      <w:r>
        <w:rPr>
          <w:spacing w:val="-3"/>
        </w:rPr>
        <w:t>的部分实行即征即退政策。公司受益于此政策。但是如果未来国家税收</w:t>
      </w:r>
      <w:r>
        <w:rPr>
          <w:spacing w:val="-91"/>
        </w:rPr>
        <w:t> </w:t>
      </w:r>
      <w:r>
        <w:rPr>
          <w:spacing w:val="-91"/>
        </w:rPr>
      </w:r>
      <w:r>
        <w:rPr/>
        <w:t>优惠政策或政府补助政策发生较大变化，将对公司的经营业绩产生一定的影响。</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2"/>
        <w:spacing w:line="240" w:lineRule="auto"/>
        <w:ind w:left="138"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99"/>
        </w:rPr>
        <w:t> </w:t>
      </w:r>
      <w:r>
        <w:rPr/>
        <w:t>其他</w:t>
      </w:r>
      <w:r>
        <w:rPr>
          <w:b w:val="0"/>
          <w:bCs w:val="0"/>
        </w:rPr>
      </w:r>
    </w:p>
    <w:p>
      <w:pPr>
        <w:pStyle w:val="BodyText"/>
        <w:spacing w:line="240" w:lineRule="auto" w:before="56"/>
        <w:ind w:left="138" w:right="0"/>
        <w:jc w:val="both"/>
      </w:pPr>
      <w:r>
        <w:rPr/>
        <w:t>□适用√不适用</w:t>
      </w:r>
    </w:p>
    <w:p>
      <w:pPr>
        <w:spacing w:line="240" w:lineRule="auto" w:before="11"/>
        <w:rPr>
          <w:rFonts w:ascii="宋体" w:hAnsi="宋体" w:cs="宋体" w:eastAsia="宋体" w:hint="default"/>
          <w:sz w:val="22"/>
          <w:szCs w:val="22"/>
        </w:rPr>
      </w:pPr>
    </w:p>
    <w:p>
      <w:pPr>
        <w:pStyle w:val="Heading2"/>
        <w:spacing w:line="240" w:lineRule="auto"/>
        <w:ind w:left="138" w:right="0"/>
        <w:jc w:val="both"/>
        <w:rPr>
          <w:b w:val="0"/>
          <w:bCs w:val="0"/>
        </w:rPr>
      </w:pPr>
      <w:r>
        <w:rPr/>
        <w:t>四、公司因不适用准则规定或国家秘密、商业秘密等特殊原因，未按准则披露的情况和原因说明</w:t>
      </w:r>
      <w:r>
        <w:rPr>
          <w:b w:val="0"/>
          <w:bCs w:val="0"/>
        </w:rPr>
      </w:r>
    </w:p>
    <w:p>
      <w:pPr>
        <w:pStyle w:val="BodyText"/>
        <w:spacing w:line="240" w:lineRule="auto" w:before="58"/>
        <w:ind w:left="138"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Heading1"/>
        <w:tabs>
          <w:tab w:pos="1262" w:val="left" w:leader="none"/>
        </w:tabs>
        <w:spacing w:line="240" w:lineRule="auto"/>
        <w:ind w:left="2" w:right="0"/>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2"/>
        <w:spacing w:line="240" w:lineRule="auto"/>
        <w:ind w:right="203"/>
        <w:jc w:val="left"/>
        <w:rPr>
          <w:b w:val="0"/>
          <w:bCs w:val="0"/>
        </w:rPr>
      </w:pPr>
      <w:r>
        <w:rPr/>
        <w:t>一、普通股利润分配或资本公积金转增预案</w:t>
      </w:r>
      <w:r>
        <w:rPr>
          <w:b w:val="0"/>
          <w:bCs w:val="0"/>
        </w:rPr>
      </w:r>
    </w:p>
    <w:p>
      <w:pPr>
        <w:pStyle w:val="Heading2"/>
        <w:spacing w:line="240" w:lineRule="auto" w:before="56"/>
        <w:ind w:right="203"/>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281" w:lineRule="exact" w:before="32"/>
        <w:ind w:right="203"/>
        <w:jc w:val="left"/>
      </w:pPr>
      <w:r>
        <w:rPr/>
        <w:t>√适用</w:t>
      </w:r>
      <w:r>
        <w:rPr>
          <w:rFonts w:ascii="Times New Roman" w:hAnsi="Times New Roman" w:cs="Times New Roman" w:eastAsia="Times New Roman" w:hint="default"/>
        </w:rPr>
        <w:t>□</w:t>
      </w:r>
      <w:r>
        <w:rPr/>
        <w:t>不适用</w:t>
      </w:r>
    </w:p>
    <w:p>
      <w:pPr>
        <w:pStyle w:val="BodyText"/>
        <w:spacing w:line="232" w:lineRule="auto"/>
        <w:ind w:left="638" w:right="203"/>
        <w:jc w:val="left"/>
      </w:pPr>
      <w:r>
        <w:rPr>
          <w:rFonts w:ascii="Times New Roman" w:hAnsi="Times New Roman" w:cs="Times New Roman" w:eastAsia="Times New Roman" w:hint="default"/>
          <w:b/>
          <w:bCs/>
        </w:rPr>
        <w:t>1</w:t>
      </w:r>
      <w:r>
        <w:rPr>
          <w:rFonts w:ascii="宋体" w:hAnsi="宋体" w:cs="宋体" w:eastAsia="宋体" w:hint="default"/>
          <w:b/>
          <w:bCs/>
        </w:rPr>
        <w:t>、现金分红政策的制定情况</w:t>
      </w:r>
      <w:r>
        <w:rPr>
          <w:rFonts w:ascii="宋体" w:hAnsi="宋体" w:cs="宋体" w:eastAsia="宋体" w:hint="default"/>
          <w:b/>
          <w:bCs/>
          <w:w w:val="100"/>
        </w:rPr>
        <w:t> </w:t>
      </w:r>
      <w:r>
        <w:rPr/>
        <w:t>公司章程第一百五十八条对于公司的现金分红有了明确规定，规定如下：</w:t>
      </w:r>
      <w:r>
        <w:rPr>
          <w:w w:val="100"/>
        </w:rPr>
        <w:t> </w:t>
      </w:r>
      <w:r>
        <w:rPr/>
        <w:t>公司章程第一百五十八条第三款：（三）公司的现金分红政策：</w:t>
      </w:r>
      <w:r>
        <w:rPr>
          <w:w w:val="100"/>
        </w:rPr>
        <w:t> </w:t>
      </w:r>
      <w:r>
        <w:rPr>
          <w:rFonts w:ascii="Times New Roman" w:hAnsi="Times New Roman" w:cs="Times New Roman" w:eastAsia="Times New Roman" w:hint="default"/>
          <w:spacing w:val="-4"/>
        </w:rPr>
        <w:t>1</w:t>
      </w:r>
      <w:r>
        <w:rPr>
          <w:spacing w:val="-4"/>
        </w:rPr>
        <w:t>、公司董事会应当综合考虑所处行业特点、发展阶段、自身经营模式、盈利水平以及是否有</w:t>
      </w:r>
    </w:p>
    <w:p>
      <w:pPr>
        <w:pStyle w:val="BodyText"/>
        <w:spacing w:line="274" w:lineRule="exact" w:before="8"/>
        <w:ind w:right="203"/>
        <w:jc w:val="left"/>
      </w:pPr>
      <w:r>
        <w:rPr>
          <w:spacing w:val="-1"/>
        </w:rPr>
        <w:t>重大资金支出安排等因素，区分下列情形，并按照公司章程规定的程序，提出差异化的现金分红</w:t>
      </w:r>
      <w:r>
        <w:rPr>
          <w:spacing w:val="-55"/>
        </w:rPr>
        <w:t> </w:t>
      </w:r>
      <w:r>
        <w:rPr>
          <w:spacing w:val="-55"/>
        </w:rPr>
      </w:r>
      <w:r>
        <w:rPr/>
        <w:t>政策：</w:t>
      </w:r>
    </w:p>
    <w:p>
      <w:pPr>
        <w:pStyle w:val="BodyText"/>
        <w:spacing w:line="253" w:lineRule="exact"/>
        <w:ind w:left="638" w:right="203"/>
        <w:jc w:val="left"/>
      </w:pPr>
      <w:r>
        <w:rPr>
          <w:spacing w:val="-4"/>
        </w:rPr>
        <w:t>（</w:t>
      </w:r>
      <w:r>
        <w:rPr>
          <w:rFonts w:ascii="Times New Roman" w:hAnsi="Times New Roman" w:cs="Times New Roman" w:eastAsia="Times New Roman" w:hint="default"/>
          <w:spacing w:val="-4"/>
        </w:rPr>
        <w:t>1</w:t>
      </w:r>
      <w:r>
        <w:rPr>
          <w:spacing w:val="-4"/>
        </w:rPr>
        <w:t>）公司发展阶段属成熟期且无重大资金支出安排的，进行利润分配时，现金分红在当期利</w:t>
      </w:r>
    </w:p>
    <w:p>
      <w:pPr>
        <w:pStyle w:val="BodyText"/>
        <w:spacing w:line="272" w:lineRule="exact"/>
        <w:ind w:right="203"/>
        <w:jc w:val="left"/>
      </w:pPr>
      <w:r>
        <w:rPr/>
        <w:t>润分配中所占比例最低应达到</w:t>
      </w:r>
      <w:r>
        <w:rPr>
          <w:spacing w:val="-53"/>
        </w:rPr>
        <w:t> </w:t>
      </w:r>
      <w:r>
        <w:rPr>
          <w:rFonts w:ascii="Times New Roman" w:hAnsi="Times New Roman" w:cs="Times New Roman" w:eastAsia="Times New Roman" w:hint="default"/>
        </w:rPr>
        <w:t>80%</w:t>
      </w:r>
      <w:r>
        <w:rPr/>
        <w:t>；</w:t>
      </w:r>
    </w:p>
    <w:p>
      <w:pPr>
        <w:pStyle w:val="BodyText"/>
        <w:spacing w:line="274" w:lineRule="exact" w:before="16"/>
        <w:ind w:right="203" w:firstLine="419"/>
        <w:jc w:val="left"/>
      </w:pPr>
      <w:r>
        <w:rPr>
          <w:spacing w:val="-4"/>
        </w:rPr>
        <w:t>（</w:t>
      </w:r>
      <w:r>
        <w:rPr>
          <w:rFonts w:ascii="Times New Roman" w:hAnsi="Times New Roman" w:cs="Times New Roman" w:eastAsia="Times New Roman" w:hint="default"/>
          <w:spacing w:val="-4"/>
        </w:rPr>
        <w:t>2</w:t>
      </w:r>
      <w:r>
        <w:rPr>
          <w:spacing w:val="-4"/>
        </w:rPr>
        <w:t>）公司发展阶段属成熟期且有重大资金支出安排的，进行利润分配时，现金分红在当期利</w:t>
      </w:r>
      <w:r>
        <w:rPr>
          <w:w w:val="100"/>
        </w:rPr>
        <w:t> </w:t>
      </w:r>
      <w:r>
        <w:rPr/>
        <w:t>润分配中所占比例最低应达到</w:t>
      </w:r>
      <w:r>
        <w:rPr>
          <w:spacing w:val="-53"/>
        </w:rPr>
        <w:t> </w:t>
      </w:r>
      <w:r>
        <w:rPr>
          <w:rFonts w:ascii="Times New Roman" w:hAnsi="Times New Roman" w:cs="Times New Roman" w:eastAsia="Times New Roman" w:hint="default"/>
        </w:rPr>
        <w:t>40%</w:t>
      </w:r>
      <w:r>
        <w:rPr/>
        <w:t>；</w:t>
      </w:r>
    </w:p>
    <w:p>
      <w:pPr>
        <w:pStyle w:val="BodyText"/>
        <w:spacing w:line="253" w:lineRule="exact"/>
        <w:ind w:left="638" w:right="203"/>
        <w:jc w:val="left"/>
      </w:pPr>
      <w:r>
        <w:rPr>
          <w:spacing w:val="-4"/>
        </w:rPr>
        <w:t>（</w:t>
      </w:r>
      <w:r>
        <w:rPr>
          <w:rFonts w:ascii="Times New Roman" w:hAnsi="Times New Roman" w:cs="Times New Roman" w:eastAsia="Times New Roman" w:hint="default"/>
          <w:spacing w:val="-4"/>
        </w:rPr>
        <w:t>3</w:t>
      </w:r>
      <w:r>
        <w:rPr>
          <w:spacing w:val="-4"/>
        </w:rPr>
        <w:t>）公司发展阶段属成长期且有重大资金支出安排的，进行利润分配时，现金分红在当期利</w:t>
      </w:r>
    </w:p>
    <w:p>
      <w:pPr>
        <w:pStyle w:val="BodyText"/>
        <w:spacing w:line="230" w:lineRule="auto" w:before="1"/>
        <w:ind w:left="638" w:right="203" w:hanging="420"/>
        <w:jc w:val="left"/>
      </w:pPr>
      <w:r>
        <w:rPr/>
        <w:t>润分配中所占比例最低应达到</w:t>
      </w:r>
      <w:r>
        <w:rPr>
          <w:spacing w:val="-53"/>
        </w:rPr>
        <w:t> </w:t>
      </w:r>
      <w:r>
        <w:rPr>
          <w:rFonts w:ascii="Times New Roman" w:hAnsi="Times New Roman" w:cs="Times New Roman" w:eastAsia="Times New Roman" w:hint="default"/>
        </w:rPr>
        <w:t>20%</w:t>
      </w:r>
      <w:r>
        <w:rPr/>
        <w:t>。</w:t>
      </w:r>
      <w:r>
        <w:rPr>
          <w:w w:val="100"/>
        </w:rPr>
        <w:t> </w:t>
      </w:r>
      <w:r>
        <w:rPr/>
        <w:t>公司发展阶段不易区分但有重大资金支出安排的，可以按照前项规定处理。</w:t>
      </w:r>
      <w:r>
        <w:rPr>
          <w:w w:val="100"/>
        </w:rPr>
        <w:t> </w:t>
      </w:r>
      <w:r>
        <w:rPr>
          <w:spacing w:val="-2"/>
        </w:rPr>
        <w:t>在满足公司正常生产经营的资金需求情况下，如无重大资金支出安排，公司每年以现金形式</w:t>
      </w:r>
    </w:p>
    <w:p>
      <w:pPr>
        <w:pStyle w:val="BodyText"/>
        <w:spacing w:line="274" w:lineRule="exact" w:before="23"/>
        <w:ind w:left="638" w:right="203" w:hanging="420"/>
        <w:jc w:val="left"/>
      </w:pPr>
      <w:r>
        <w:rPr/>
        <w:t>分配的利润应当不少于当年实现的可供分配利润的</w:t>
      </w:r>
      <w:r>
        <w:rPr>
          <w:spacing w:val="-55"/>
        </w:rPr>
        <w:t> </w:t>
      </w:r>
      <w:r>
        <w:rPr>
          <w:rFonts w:ascii="Times New Roman" w:hAnsi="Times New Roman" w:cs="Times New Roman" w:eastAsia="Times New Roman" w:hint="default"/>
        </w:rPr>
        <w:t>20%</w:t>
      </w:r>
      <w:r>
        <w:rPr/>
        <w:t>。</w:t>
      </w:r>
      <w:r>
        <w:rPr>
          <w:w w:val="100"/>
        </w:rPr>
        <w:t> </w:t>
      </w:r>
      <w:r>
        <w:rPr>
          <w:spacing w:val="-2"/>
        </w:rPr>
        <w:t>重大资金支出安排指以下情形：投资涉及的资产总额占公司最近一期经审计总资产的</w:t>
      </w:r>
      <w:r>
        <w:rPr>
          <w:spacing w:val="13"/>
        </w:rPr>
        <w:t> </w:t>
      </w:r>
      <w:r>
        <w:rPr>
          <w:rFonts w:ascii="Times New Roman" w:hAnsi="Times New Roman" w:cs="Times New Roman" w:eastAsia="Times New Roman" w:hint="default"/>
          <w:spacing w:val="-1"/>
        </w:rPr>
        <w:t>50%</w:t>
      </w:r>
      <w:r>
        <w:rPr>
          <w:spacing w:val="-1"/>
        </w:rPr>
        <w:t>以</w:t>
      </w:r>
    </w:p>
    <w:p>
      <w:pPr>
        <w:pStyle w:val="BodyText"/>
        <w:spacing w:line="246" w:lineRule="exact"/>
        <w:ind w:right="203"/>
        <w:jc w:val="left"/>
      </w:pPr>
      <w:r>
        <w:rPr>
          <w:spacing w:val="-6"/>
        </w:rPr>
        <w:t>上，该投资项涉及的资产总额同时存在账面值和评估值的，以较高者作为计算依据；投资标的（如</w:t>
      </w:r>
    </w:p>
    <w:p>
      <w:pPr>
        <w:pStyle w:val="BodyText"/>
        <w:spacing w:line="223" w:lineRule="auto" w:before="16"/>
        <w:ind w:right="0"/>
        <w:jc w:val="left"/>
      </w:pPr>
      <w:r>
        <w:rPr>
          <w:spacing w:val="-5"/>
          <w:w w:val="100"/>
        </w:rPr>
        <w:t>股权）在最近一个会计年度相关的营业收入占公司最近一个会计年度经审计营业收入的</w:t>
      </w:r>
      <w:r>
        <w:rPr>
          <w:spacing w:val="-35"/>
          <w:w w:val="100"/>
        </w:rPr>
        <w:t> </w:t>
      </w:r>
      <w:r>
        <w:rPr>
          <w:rFonts w:ascii="Times New Roman" w:hAnsi="Times New Roman" w:cs="Times New Roman" w:eastAsia="Times New Roman" w:hint="default"/>
          <w:spacing w:val="-1"/>
          <w:w w:val="100"/>
        </w:rPr>
        <w:t>50%</w:t>
      </w:r>
      <w:r>
        <w:rPr>
          <w:spacing w:val="-1"/>
          <w:w w:val="100"/>
        </w:rPr>
        <w:t>以上，</w:t>
      </w:r>
      <w:r>
        <w:rPr>
          <w:spacing w:val="-96"/>
          <w:w w:val="100"/>
        </w:rPr>
        <w:t> </w:t>
      </w:r>
      <w:r>
        <w:rPr>
          <w:spacing w:val="-96"/>
          <w:w w:val="100"/>
        </w:rPr>
      </w:r>
      <w:r>
        <w:rPr/>
        <w:t>且绝对金额超过 </w:t>
      </w:r>
      <w:r>
        <w:rPr>
          <w:rFonts w:ascii="Times New Roman" w:hAnsi="Times New Roman" w:cs="Times New Roman" w:eastAsia="Times New Roman" w:hint="default"/>
        </w:rPr>
        <w:t>3,000</w:t>
      </w:r>
      <w:r>
        <w:rPr>
          <w:rFonts w:ascii="Times New Roman" w:hAnsi="Times New Roman" w:cs="Times New Roman" w:eastAsia="Times New Roman" w:hint="default"/>
          <w:spacing w:val="7"/>
        </w:rPr>
        <w:t> </w:t>
      </w:r>
      <w:r>
        <w:rPr/>
        <w:t>万元；投资标的（如股权）在最近一个会计年度相关的净利润占公司最近</w:t>
      </w:r>
      <w:r>
        <w:rPr>
          <w:w w:val="100"/>
        </w:rPr>
        <w:t> </w:t>
      </w:r>
      <w:r>
        <w:rPr/>
        <w:t>一个会计年度经审计净利润的</w:t>
      </w:r>
      <w:r>
        <w:rPr>
          <w:spacing w:val="-56"/>
        </w:rPr>
        <w:t> </w:t>
      </w:r>
      <w:r>
        <w:rPr>
          <w:rFonts w:ascii="Times New Roman" w:hAnsi="Times New Roman" w:cs="Times New Roman" w:eastAsia="Times New Roman" w:hint="default"/>
        </w:rPr>
        <w:t>50%</w:t>
      </w:r>
      <w:r>
        <w:rPr/>
        <w:t>以上，且绝对金额超过</w:t>
      </w:r>
      <w:r>
        <w:rPr>
          <w:spacing w:val="-56"/>
        </w:rPr>
        <w:t> </w:t>
      </w:r>
      <w:r>
        <w:rPr>
          <w:rFonts w:ascii="Times New Roman" w:hAnsi="Times New Roman" w:cs="Times New Roman" w:eastAsia="Times New Roman" w:hint="default"/>
        </w:rPr>
        <w:t>300</w:t>
      </w:r>
      <w:r>
        <w:rPr>
          <w:rFonts w:ascii="Times New Roman" w:hAnsi="Times New Roman" w:cs="Times New Roman" w:eastAsia="Times New Roman" w:hint="default"/>
          <w:spacing w:val="-5"/>
        </w:rPr>
        <w:t> </w:t>
      </w:r>
      <w:r>
        <w:rPr/>
        <w:t>万元；投资的成交金额（含承担债</w:t>
      </w:r>
      <w:r>
        <w:rPr>
          <w:w w:val="100"/>
        </w:rPr>
        <w:t> </w:t>
      </w:r>
      <w:r>
        <w:rPr/>
        <w:t>务和费用）占公司最近一期经审计净资产的</w:t>
      </w:r>
      <w:r>
        <w:rPr>
          <w:spacing w:val="-40"/>
        </w:rPr>
        <w:t> </w:t>
      </w:r>
      <w:r>
        <w:rPr>
          <w:rFonts w:ascii="Times New Roman" w:hAnsi="Times New Roman" w:cs="Times New Roman" w:eastAsia="Times New Roman" w:hint="default"/>
        </w:rPr>
        <w:t>50%</w:t>
      </w:r>
      <w:r>
        <w:rPr/>
        <w:t>以上，且绝对金额超过</w:t>
      </w:r>
      <w:r>
        <w:rPr>
          <w:spacing w:val="-40"/>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3"/>
        </w:rPr>
        <w:t> </w:t>
      </w:r>
      <w:r>
        <w:rPr/>
        <w:t>万元；投资产生的</w:t>
      </w:r>
      <w:r>
        <w:rPr>
          <w:w w:val="100"/>
        </w:rPr>
        <w:t> </w:t>
      </w:r>
      <w:r>
        <w:rPr/>
        <w:t>利润占公司最近一个会计年度经审计净利润的</w:t>
      </w:r>
      <w:r>
        <w:rPr>
          <w:spacing w:val="-56"/>
        </w:rPr>
        <w:t> </w:t>
      </w:r>
      <w:r>
        <w:rPr>
          <w:rFonts w:ascii="Times New Roman" w:hAnsi="Times New Roman" w:cs="Times New Roman" w:eastAsia="Times New Roman" w:hint="default"/>
        </w:rPr>
        <w:t>50%</w:t>
      </w:r>
      <w:r>
        <w:rPr/>
        <w:t>以上，且绝对金额超过</w:t>
      </w:r>
      <w:r>
        <w:rPr>
          <w:spacing w:val="-56"/>
        </w:rPr>
        <w:t> </w:t>
      </w:r>
      <w:r>
        <w:rPr>
          <w:rFonts w:ascii="Times New Roman" w:hAnsi="Times New Roman" w:cs="Times New Roman" w:eastAsia="Times New Roman" w:hint="default"/>
        </w:rPr>
        <w:t>300</w:t>
      </w:r>
      <w:r>
        <w:rPr>
          <w:rFonts w:ascii="Times New Roman" w:hAnsi="Times New Roman" w:cs="Times New Roman" w:eastAsia="Times New Roman" w:hint="default"/>
          <w:spacing w:val="-3"/>
        </w:rPr>
        <w:t> </w:t>
      </w:r>
      <w:r>
        <w:rPr/>
        <w:t>万元。</w:t>
      </w:r>
    </w:p>
    <w:p>
      <w:pPr>
        <w:pStyle w:val="BodyText"/>
        <w:spacing w:line="272" w:lineRule="exact" w:before="13"/>
        <w:ind w:left="638" w:right="3444"/>
        <w:jc w:val="left"/>
      </w:pPr>
      <w:r>
        <w:rPr/>
        <w:t>┄┄</w:t>
      </w:r>
      <w:r>
        <w:rPr>
          <w:spacing w:val="-103"/>
        </w:rPr>
        <w:t> </w:t>
      </w:r>
      <w:r>
        <w:rPr>
          <w:spacing w:val="-2"/>
        </w:rPr>
        <w:t>公司章程第一百五十八条第三款（四）股东回报规划</w:t>
      </w:r>
    </w:p>
    <w:p>
      <w:pPr>
        <w:pStyle w:val="BodyText"/>
        <w:spacing w:line="272" w:lineRule="exact" w:before="1"/>
        <w:ind w:right="203" w:firstLine="419"/>
        <w:jc w:val="left"/>
      </w:pPr>
      <w:r>
        <w:rPr>
          <w:spacing w:val="-2"/>
        </w:rPr>
        <w:t>公司上市后五年内，在满足公司正常生产经营的资金需求情况下，如无重大资金支出安排，</w:t>
      </w:r>
      <w:r>
        <w:rPr>
          <w:w w:val="100"/>
        </w:rPr>
        <w:t> </w:t>
      </w:r>
      <w:r>
        <w:rPr>
          <w:spacing w:val="-2"/>
        </w:rPr>
        <w:t>公司每年以现金形式分配的利润应当不少于当年实现的可供分配利润的</w:t>
      </w:r>
      <w:r>
        <w:rPr>
          <w:spacing w:val="7"/>
        </w:rPr>
        <w:t> </w:t>
      </w:r>
      <w:r>
        <w:rPr>
          <w:rFonts w:ascii="Times New Roman" w:hAnsi="Times New Roman" w:cs="Times New Roman" w:eastAsia="Times New Roman" w:hint="default"/>
          <w:spacing w:val="-1"/>
        </w:rPr>
        <w:t>30%</w:t>
      </w:r>
      <w:r>
        <w:rPr>
          <w:spacing w:val="-1"/>
        </w:rPr>
        <w:t>。</w:t>
      </w:r>
    </w:p>
    <w:p>
      <w:pPr>
        <w:spacing w:line="240" w:lineRule="auto" w:before="5"/>
        <w:rPr>
          <w:rFonts w:ascii="宋体" w:hAnsi="宋体" w:cs="宋体" w:eastAsia="宋体" w:hint="default"/>
          <w:sz w:val="16"/>
          <w:szCs w:val="16"/>
        </w:rPr>
      </w:pPr>
    </w:p>
    <w:p>
      <w:pPr>
        <w:pStyle w:val="Heading2"/>
        <w:spacing w:line="274" w:lineRule="exact"/>
        <w:ind w:left="2" w:right="5628"/>
        <w:jc w:val="center"/>
        <w:rPr>
          <w:b w:val="0"/>
          <w:bCs w:val="0"/>
        </w:rPr>
      </w:pPr>
      <w:r>
        <w:rPr>
          <w:rFonts w:ascii="宋体" w:hAnsi="宋体" w:cs="宋体" w:eastAsia="宋体" w:hint="default"/>
        </w:rPr>
        <w:t>2</w:t>
      </w:r>
      <w:r>
        <w:rPr/>
        <w:t>、现金分红政策的执行情况</w:t>
      </w:r>
      <w:r>
        <w:rPr>
          <w:b w:val="0"/>
          <w:bCs w:val="0"/>
        </w:rPr>
      </w:r>
    </w:p>
    <w:p>
      <w:pPr>
        <w:pStyle w:val="BodyText"/>
        <w:spacing w:line="281" w:lineRule="exact"/>
        <w:ind w:left="638" w:right="0"/>
        <w:jc w:val="left"/>
        <w:rPr>
          <w:rFonts w:ascii="Times New Roman" w:hAnsi="Times New Roman" w:cs="Times New Roman" w:eastAsia="Times New Roman" w:hint="default"/>
        </w:rPr>
      </w:pPr>
      <w:r>
        <w:rPr>
          <w:w w:val="100"/>
        </w:rPr>
        <w:t>公司</w:t>
      </w:r>
      <w:r>
        <w:rPr>
          <w:spacing w:val="-60"/>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spacing w:val="-5"/>
        </w:rPr>
        <w:t> </w:t>
      </w:r>
      <w:r>
        <w:rPr>
          <w:spacing w:val="-3"/>
          <w:w w:val="100"/>
        </w:rPr>
        <w:t>年</w:t>
      </w:r>
      <w:r>
        <w:rPr>
          <w:w w:val="100"/>
        </w:rPr>
        <w:t>度</w:t>
      </w:r>
      <w:r>
        <w:rPr>
          <w:spacing w:val="-3"/>
          <w:w w:val="100"/>
        </w:rPr>
        <w:t>利</w:t>
      </w:r>
      <w:r>
        <w:rPr>
          <w:w w:val="100"/>
        </w:rPr>
        <w:t>润</w:t>
      </w:r>
      <w:r>
        <w:rPr>
          <w:spacing w:val="-3"/>
          <w:w w:val="100"/>
        </w:rPr>
        <w:t>分</w:t>
      </w:r>
      <w:r>
        <w:rPr>
          <w:w w:val="100"/>
        </w:rPr>
        <w:t>配</w:t>
      </w:r>
      <w:r>
        <w:rPr>
          <w:spacing w:val="-3"/>
          <w:w w:val="100"/>
        </w:rPr>
        <w:t>方</w:t>
      </w:r>
      <w:r>
        <w:rPr>
          <w:w w:val="100"/>
        </w:rPr>
        <w:t>案已</w:t>
      </w:r>
      <w:r>
        <w:rPr>
          <w:spacing w:val="-3"/>
          <w:w w:val="100"/>
        </w:rPr>
        <w:t>经公</w:t>
      </w:r>
      <w:r>
        <w:rPr>
          <w:w w:val="100"/>
        </w:rPr>
        <w:t>司</w:t>
      </w:r>
      <w:r>
        <w:rPr>
          <w:spacing w:val="-57"/>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16</w:t>
      </w:r>
      <w:r>
        <w:rPr>
          <w:rFonts w:ascii="Times New Roman" w:hAnsi="Times New Roman" w:cs="Times New Roman" w:eastAsia="Times New Roman" w:hint="default"/>
          <w:spacing w:val="-7"/>
        </w:rPr>
        <w:t> </w:t>
      </w:r>
      <w:r>
        <w:rPr>
          <w:w w:val="100"/>
        </w:rPr>
        <w:t>年</w:t>
      </w:r>
      <w:r>
        <w:rPr>
          <w:spacing w:val="-3"/>
          <w:w w:val="100"/>
        </w:rPr>
        <w:t>度</w:t>
      </w:r>
      <w:r>
        <w:rPr>
          <w:w w:val="100"/>
        </w:rPr>
        <w:t>股</w:t>
      </w:r>
      <w:r>
        <w:rPr>
          <w:spacing w:val="-3"/>
          <w:w w:val="100"/>
        </w:rPr>
        <w:t>东</w:t>
      </w:r>
      <w:r>
        <w:rPr>
          <w:w w:val="100"/>
        </w:rPr>
        <w:t>大会</w:t>
      </w:r>
      <w:r>
        <w:rPr>
          <w:spacing w:val="-3"/>
          <w:w w:val="100"/>
        </w:rPr>
        <w:t>审</w:t>
      </w:r>
      <w:r>
        <w:rPr>
          <w:w w:val="100"/>
        </w:rPr>
        <w:t>议</w:t>
      </w:r>
      <w:r>
        <w:rPr>
          <w:spacing w:val="-3"/>
          <w:w w:val="100"/>
        </w:rPr>
        <w:t>通</w:t>
      </w:r>
      <w:r>
        <w:rPr>
          <w:w w:val="100"/>
        </w:rPr>
        <w:t>过</w:t>
      </w:r>
      <w:r>
        <w:rPr>
          <w:spacing w:val="-108"/>
          <w:w w:val="100"/>
        </w:rPr>
        <w:t>，</w:t>
      </w:r>
      <w:r>
        <w:rPr>
          <w:w w:val="100"/>
        </w:rPr>
        <w:t>以</w:t>
      </w:r>
      <w:r>
        <w:rPr>
          <w:spacing w:val="-57"/>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spacing w:val="-5"/>
        </w:rPr>
        <w:t> </w:t>
      </w:r>
      <w:r>
        <w:rPr>
          <w:spacing w:val="-3"/>
          <w:w w:val="100"/>
        </w:rPr>
        <w:t>年</w:t>
      </w:r>
      <w:r>
        <w:rPr>
          <w:w w:val="100"/>
        </w:rPr>
        <w:t>底总</w:t>
      </w:r>
      <w:r>
        <w:rPr>
          <w:spacing w:val="-3"/>
          <w:w w:val="100"/>
        </w:rPr>
        <w:t>股</w:t>
      </w:r>
      <w:r>
        <w:rPr>
          <w:w w:val="100"/>
        </w:rPr>
        <w:t>数</w:t>
      </w:r>
      <w:r>
        <w:rPr>
          <w:spacing w:val="-60"/>
        </w:rPr>
        <w:t> </w:t>
      </w:r>
      <w:r>
        <w:rPr>
          <w:rFonts w:ascii="Times New Roman" w:hAnsi="Times New Roman" w:cs="Times New Roman" w:eastAsia="Times New Roman" w:hint="default"/>
          <w:w w:val="100"/>
        </w:rPr>
        <w:t>45</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5</w:t>
      </w:r>
    </w:p>
    <w:p>
      <w:pPr>
        <w:pStyle w:val="BodyText"/>
        <w:spacing w:line="281" w:lineRule="exact"/>
        <w:ind w:right="203"/>
        <w:jc w:val="left"/>
      </w:pPr>
      <w:r>
        <w:rPr/>
        <w:t>万股为基础，每</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股派发现金红利</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年度现金分红，公司已于</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年执行完毕。</w:t>
      </w:r>
    </w:p>
    <w:p>
      <w:pPr>
        <w:spacing w:line="240" w:lineRule="auto" w:before="0"/>
        <w:rPr>
          <w:rFonts w:ascii="宋体" w:hAnsi="宋体" w:cs="宋体" w:eastAsia="宋体" w:hint="default"/>
          <w:sz w:val="17"/>
          <w:szCs w:val="17"/>
        </w:rPr>
      </w:pPr>
    </w:p>
    <w:p>
      <w:pPr>
        <w:spacing w:before="0"/>
        <w:ind w:left="218" w:right="3444"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、现金分红政策的调整情况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报告期内，公司无调整现金分红政策的情况。</w:t>
      </w:r>
    </w:p>
    <w:p>
      <w:pPr>
        <w:spacing w:line="240" w:lineRule="auto" w:before="11"/>
        <w:rPr>
          <w:rFonts w:ascii="宋体" w:hAnsi="宋体" w:cs="宋体" w:eastAsia="宋体" w:hint="default"/>
          <w:sz w:val="22"/>
          <w:szCs w:val="22"/>
        </w:rPr>
      </w:pPr>
    </w:p>
    <w:p>
      <w:pPr>
        <w:pStyle w:val="Heading2"/>
        <w:spacing w:line="240" w:lineRule="auto"/>
        <w:ind w:right="203"/>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spacing w:line="240" w:lineRule="auto" w:before="32"/>
        <w:ind w:left="0" w:right="21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18"/>
        <w:gridCol w:w="1217"/>
        <w:gridCol w:w="1219"/>
        <w:gridCol w:w="1220"/>
        <w:gridCol w:w="1231"/>
        <w:gridCol w:w="1568"/>
        <w:gridCol w:w="1572"/>
      </w:tblGrid>
      <w:tr>
        <w:trPr>
          <w:trHeight w:val="1373"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92" w:right="290"/>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29" w:right="12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18" w:right="127" w:hanging="87"/>
              <w:jc w:val="left"/>
              <w:rPr>
                <w:rFonts w:ascii="Times New Roman" w:hAnsi="Times New Roman" w:cs="Times New Roman" w:eastAsia="Times New Roman"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p>
            <w:pPr>
              <w:pStyle w:val="TableParagraph"/>
              <w:spacing w:line="249" w:lineRule="exact"/>
              <w:ind w:left="184"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38"/>
              <w:ind w:left="103" w:right="51" w:firstLine="28"/>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股转</w:t>
            </w:r>
            <w:r>
              <w:rPr>
                <w:rFonts w:ascii="宋体" w:hAnsi="宋体" w:cs="宋体" w:eastAsia="宋体" w:hint="default"/>
                <w:w w:val="100"/>
                <w:sz w:val="21"/>
                <w:szCs w:val="21"/>
              </w:rPr>
              <w:t> </w:t>
            </w:r>
            <w:r>
              <w:rPr>
                <w:rFonts w:ascii="宋体" w:hAnsi="宋体" w:cs="宋体" w:eastAsia="宋体" w:hint="default"/>
                <w:sz w:val="21"/>
                <w:szCs w:val="21"/>
              </w:rPr>
              <w:t>增数（股）</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92" w:right="189" w:hanging="106"/>
              <w:jc w:val="left"/>
              <w:rPr>
                <w:rFonts w:ascii="宋体" w:hAnsi="宋体" w:cs="宋体" w:eastAsia="宋体" w:hint="default"/>
                <w:sz w:val="21"/>
                <w:szCs w:val="21"/>
              </w:rPr>
            </w:pPr>
            <w:r>
              <w:rPr>
                <w:rFonts w:ascii="宋体" w:hAnsi="宋体" w:cs="宋体" w:eastAsia="宋体" w:hint="default"/>
                <w:sz w:val="21"/>
                <w:szCs w:val="21"/>
              </w:rPr>
              <w:t>现金分红</w:t>
            </w:r>
            <w:r>
              <w:rPr>
                <w:rFonts w:ascii="宋体" w:hAnsi="宋体" w:cs="宋体" w:eastAsia="宋体" w:hint="default"/>
                <w:w w:val="100"/>
                <w:sz w:val="21"/>
                <w:szCs w:val="21"/>
              </w:rPr>
              <w:t> </w:t>
            </w:r>
            <w:r>
              <w:rPr>
                <w:rFonts w:ascii="宋体" w:hAnsi="宋体" w:cs="宋体" w:eastAsia="宋体" w:hint="default"/>
                <w:sz w:val="21"/>
                <w:szCs w:val="21"/>
              </w:rPr>
              <w:t>的数额</w:t>
            </w:r>
          </w:p>
          <w:p>
            <w:pPr>
              <w:pStyle w:val="TableParagraph"/>
              <w:spacing w:line="249" w:lineRule="exact"/>
              <w:ind w:left="187"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分红年度合并</w:t>
            </w:r>
          </w:p>
          <w:p>
            <w:pPr>
              <w:pStyle w:val="TableParagraph"/>
              <w:spacing w:line="237" w:lineRule="auto" w:before="2"/>
              <w:ind w:left="146" w:right="147"/>
              <w:jc w:val="center"/>
              <w:rPr>
                <w:rFonts w:ascii="宋体" w:hAnsi="宋体" w:cs="宋体" w:eastAsia="宋体" w:hint="default"/>
                <w:sz w:val="21"/>
                <w:szCs w:val="21"/>
              </w:rPr>
            </w:pPr>
            <w:r>
              <w:rPr>
                <w:rFonts w:ascii="宋体" w:hAnsi="宋体" w:cs="宋体" w:eastAsia="宋体" w:hint="default"/>
                <w:spacing w:val="-1"/>
                <w:sz w:val="21"/>
                <w:szCs w:val="21"/>
              </w:rPr>
              <w:t>报表中归属于</w:t>
            </w:r>
            <w:r>
              <w:rPr>
                <w:rFonts w:ascii="宋体" w:hAnsi="宋体" w:cs="宋体" w:eastAsia="宋体" w:hint="default"/>
                <w:w w:val="100"/>
                <w:sz w:val="21"/>
                <w:szCs w:val="21"/>
              </w:rPr>
              <w:t> </w:t>
            </w:r>
            <w:r>
              <w:rPr>
                <w:rFonts w:ascii="宋体" w:hAnsi="宋体" w:cs="宋体" w:eastAsia="宋体" w:hint="default"/>
                <w:spacing w:val="-2"/>
                <w:sz w:val="21"/>
                <w:szCs w:val="21"/>
              </w:rPr>
              <w:t>上市公司普通</w:t>
            </w:r>
            <w:r>
              <w:rPr>
                <w:rFonts w:ascii="宋体" w:hAnsi="宋体" w:cs="宋体" w:eastAsia="宋体" w:hint="default"/>
                <w:spacing w:val="-3"/>
                <w:w w:val="100"/>
                <w:sz w:val="21"/>
                <w:szCs w:val="21"/>
              </w:rPr>
              <w:t> </w:t>
            </w:r>
            <w:r>
              <w:rPr>
                <w:rFonts w:ascii="宋体" w:hAnsi="宋体" w:cs="宋体" w:eastAsia="宋体" w:hint="default"/>
                <w:spacing w:val="-1"/>
                <w:sz w:val="21"/>
                <w:szCs w:val="21"/>
              </w:rPr>
              <w:t>股股东的净利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占合并报表中</w:t>
            </w:r>
          </w:p>
          <w:p>
            <w:pPr>
              <w:pStyle w:val="TableParagraph"/>
              <w:spacing w:line="237" w:lineRule="auto" w:before="2"/>
              <w:ind w:left="151" w:right="146"/>
              <w:jc w:val="center"/>
              <w:rPr>
                <w:rFonts w:ascii="Times New Roman" w:hAnsi="Times New Roman" w:cs="Times New Roman" w:eastAsia="Times New Roman" w:hint="default"/>
                <w:sz w:val="21"/>
                <w:szCs w:val="21"/>
              </w:rPr>
            </w:pPr>
            <w:r>
              <w:rPr>
                <w:rFonts w:ascii="宋体" w:hAnsi="宋体" w:cs="宋体" w:eastAsia="宋体" w:hint="default"/>
                <w:spacing w:val="-1"/>
                <w:sz w:val="21"/>
                <w:szCs w:val="21"/>
              </w:rPr>
              <w:t>归属于上市公</w:t>
            </w:r>
            <w:r>
              <w:rPr>
                <w:rFonts w:ascii="宋体" w:hAnsi="宋体" w:cs="宋体" w:eastAsia="宋体" w:hint="default"/>
                <w:w w:val="100"/>
                <w:sz w:val="21"/>
                <w:szCs w:val="21"/>
              </w:rPr>
              <w:t> </w:t>
            </w:r>
            <w:r>
              <w:rPr>
                <w:rFonts w:ascii="宋体" w:hAnsi="宋体" w:cs="宋体" w:eastAsia="宋体" w:hint="default"/>
                <w:spacing w:val="-2"/>
                <w:sz w:val="21"/>
                <w:szCs w:val="21"/>
              </w:rPr>
              <w:t>司普通股股东</w:t>
            </w:r>
            <w:r>
              <w:rPr>
                <w:rFonts w:ascii="宋体" w:hAnsi="宋体" w:cs="宋体" w:eastAsia="宋体" w:hint="default"/>
                <w:spacing w:val="-3"/>
                <w:w w:val="100"/>
                <w:sz w:val="21"/>
                <w:szCs w:val="21"/>
              </w:rPr>
              <w:t> </w:t>
            </w:r>
            <w:r>
              <w:rPr>
                <w:rFonts w:ascii="宋体" w:hAnsi="宋体" w:cs="宋体" w:eastAsia="宋体" w:hint="default"/>
                <w:spacing w:val="-1"/>
                <w:sz w:val="21"/>
                <w:szCs w:val="21"/>
              </w:rPr>
              <w:t>的净利润的比</w:t>
            </w:r>
            <w:r>
              <w:rPr>
                <w:rFonts w:ascii="宋体" w:hAnsi="宋体" w:cs="宋体" w:eastAsia="宋体" w:hint="default"/>
                <w:w w:val="100"/>
                <w:sz w:val="21"/>
                <w:szCs w:val="21"/>
              </w:rPr>
              <w:t> </w:t>
            </w:r>
            <w:r>
              <w:rPr>
                <w:rFonts w:ascii="宋体" w:hAnsi="宋体" w:cs="宋体" w:eastAsia="宋体" w:hint="default"/>
                <w:sz w:val="21"/>
                <w:szCs w:val="21"/>
              </w:rPr>
              <w:t>率</w:t>
            </w:r>
            <w:r>
              <w:rPr>
                <w:rFonts w:ascii="Times New Roman" w:hAnsi="Times New Roman" w:cs="Times New Roman" w:eastAsia="Times New Roman" w:hint="default"/>
                <w:sz w:val="21"/>
                <w:szCs w:val="21"/>
              </w:rPr>
              <w:t>(%)</w:t>
            </w:r>
          </w:p>
        </w:tc>
      </w:tr>
      <w:tr>
        <w:trPr>
          <w:trHeight w:val="492"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4.00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24,400,000.</w:t>
            </w:r>
          </w:p>
          <w:p>
            <w:pPr>
              <w:pStyle w:val="TableParagraph"/>
              <w:spacing w:line="241" w:lineRule="exact"/>
              <w:ind w:right="103"/>
              <w:jc w:val="right"/>
              <w:rPr>
                <w:rFonts w:ascii="Times New Roman" w:hAnsi="Times New Roman" w:cs="Times New Roman" w:eastAsia="Times New Roman" w:hint="default"/>
                <w:sz w:val="21"/>
                <w:szCs w:val="21"/>
              </w:rPr>
            </w:pPr>
            <w:r>
              <w:rPr>
                <w:rFonts w:ascii="Times New Roman"/>
                <w:sz w:val="21"/>
              </w:rPr>
              <w:t>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70,245,557.09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34.74</w:t>
            </w:r>
          </w:p>
        </w:tc>
      </w:tr>
      <w:tr>
        <w:trPr>
          <w:trHeight w:val="283"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1.20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5,490,000.0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56,377,443.29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9.74</w:t>
            </w:r>
          </w:p>
        </w:tc>
      </w:tr>
    </w:tbl>
    <w:p>
      <w:pPr>
        <w:spacing w:after="0" w:line="235" w:lineRule="exact"/>
        <w:jc w:val="right"/>
        <w:rPr>
          <w:rFonts w:ascii="Times New Roman" w:hAnsi="Times New Roman" w:cs="Times New Roman" w:eastAsia="Times New Roman" w:hint="default"/>
          <w:sz w:val="21"/>
          <w:szCs w:val="21"/>
        </w:rPr>
        <w:sectPr>
          <w:pgSz w:w="11910" w:h="16840"/>
          <w:pgMar w:header="880" w:footer="1195" w:top="1120" w:bottom="1380" w:left="158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018"/>
        <w:gridCol w:w="1217"/>
        <w:gridCol w:w="1219"/>
        <w:gridCol w:w="1220"/>
        <w:gridCol w:w="1231"/>
        <w:gridCol w:w="1568"/>
        <w:gridCol w:w="1572"/>
      </w:tblGrid>
      <w:tr>
        <w:trPr>
          <w:trHeight w:val="252" w:hRule="exact"/>
        </w:trPr>
        <w:tc>
          <w:tcPr>
            <w:tcW w:w="101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56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494"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39" w:right="0"/>
              <w:jc w:val="left"/>
              <w:rPr>
                <w:rFonts w:ascii="Times New Roman" w:hAnsi="Times New Roman" w:cs="Times New Roman" w:eastAsia="Times New Roman" w:hint="default"/>
                <w:sz w:val="21"/>
                <w:szCs w:val="21"/>
              </w:rPr>
            </w:pPr>
            <w:r>
              <w:rPr>
                <w:rFonts w:ascii="Times New Roman"/>
                <w:sz w:val="21"/>
              </w:rPr>
              <w:t>1.00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4,575,000.0</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w w:val="100"/>
                <w:sz w:val="21"/>
              </w:rPr>
              <w:t>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4" w:right="0"/>
              <w:jc w:val="left"/>
              <w:rPr>
                <w:rFonts w:ascii="Times New Roman" w:hAnsi="Times New Roman" w:cs="Times New Roman" w:eastAsia="Times New Roman" w:hint="default"/>
                <w:sz w:val="21"/>
                <w:szCs w:val="21"/>
              </w:rPr>
            </w:pPr>
            <w:r>
              <w:rPr>
                <w:rFonts w:ascii="Times New Roman"/>
                <w:sz w:val="21"/>
              </w:rPr>
              <w:t>47,903,891.43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9.55</w:t>
            </w:r>
          </w:p>
        </w:tc>
      </w:tr>
    </w:tbl>
    <w:p>
      <w:pPr>
        <w:pStyle w:val="BodyText"/>
        <w:spacing w:line="247" w:lineRule="exact"/>
        <w:ind w:right="0"/>
        <w:jc w:val="left"/>
      </w:pPr>
      <w:r>
        <w:rPr>
          <w:w w:val="100"/>
        </w:rPr>
        <w:t>经公司</w:t>
      </w:r>
      <w:r>
        <w:rPr>
          <w:spacing w:val="-3"/>
          <w:w w:val="100"/>
        </w:rPr>
        <w:t>第</w:t>
      </w:r>
      <w:r>
        <w:rPr>
          <w:w w:val="100"/>
        </w:rPr>
        <w:t>六届</w:t>
      </w:r>
      <w:r>
        <w:rPr>
          <w:spacing w:val="-3"/>
          <w:w w:val="100"/>
        </w:rPr>
        <w:t>董</w:t>
      </w:r>
      <w:r>
        <w:rPr>
          <w:w w:val="100"/>
        </w:rPr>
        <w:t>事</w:t>
      </w:r>
      <w:r>
        <w:rPr>
          <w:spacing w:val="-3"/>
          <w:w w:val="100"/>
        </w:rPr>
        <w:t>会</w:t>
      </w:r>
      <w:r>
        <w:rPr>
          <w:w w:val="100"/>
        </w:rPr>
        <w:t>第</w:t>
      </w:r>
      <w:r>
        <w:rPr>
          <w:spacing w:val="-3"/>
          <w:w w:val="100"/>
        </w:rPr>
        <w:t>九</w:t>
      </w:r>
      <w:r>
        <w:rPr>
          <w:w w:val="100"/>
        </w:rPr>
        <w:t>次会议</w:t>
      </w:r>
      <w:r>
        <w:rPr>
          <w:spacing w:val="-3"/>
          <w:w w:val="100"/>
        </w:rPr>
        <w:t>审</w:t>
      </w:r>
      <w:r>
        <w:rPr>
          <w:w w:val="100"/>
        </w:rPr>
        <w:t>议通</w:t>
      </w:r>
      <w:r>
        <w:rPr>
          <w:spacing w:val="-3"/>
          <w:w w:val="100"/>
        </w:rPr>
        <w:t>过</w:t>
      </w:r>
      <w:r>
        <w:rPr>
          <w:w w:val="100"/>
        </w:rPr>
        <w:t>的《</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017</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年度利</w:t>
      </w:r>
      <w:r>
        <w:rPr>
          <w:spacing w:val="-3"/>
          <w:w w:val="100"/>
        </w:rPr>
        <w:t>润</w:t>
      </w:r>
      <w:r>
        <w:rPr>
          <w:w w:val="100"/>
        </w:rPr>
        <w:t>分</w:t>
      </w:r>
      <w:r>
        <w:rPr>
          <w:spacing w:val="-3"/>
          <w:w w:val="100"/>
        </w:rPr>
        <w:t>配</w:t>
      </w:r>
      <w:r>
        <w:rPr>
          <w:w w:val="100"/>
        </w:rPr>
        <w:t>暨资</w:t>
      </w:r>
      <w:r>
        <w:rPr>
          <w:spacing w:val="-3"/>
          <w:w w:val="100"/>
        </w:rPr>
        <w:t>本</w:t>
      </w:r>
      <w:r>
        <w:rPr>
          <w:w w:val="100"/>
        </w:rPr>
        <w:t>公</w:t>
      </w:r>
      <w:r>
        <w:rPr>
          <w:spacing w:val="-3"/>
          <w:w w:val="100"/>
        </w:rPr>
        <w:t>积</w:t>
      </w:r>
      <w:r>
        <w:rPr>
          <w:w w:val="100"/>
        </w:rPr>
        <w:t>转增股</w:t>
      </w:r>
      <w:r>
        <w:rPr>
          <w:spacing w:val="-3"/>
          <w:w w:val="100"/>
        </w:rPr>
        <w:t>本</w:t>
      </w:r>
      <w:r>
        <w:rPr>
          <w:w w:val="100"/>
        </w:rPr>
        <w:t>的</w:t>
      </w:r>
      <w:r>
        <w:rPr>
          <w:spacing w:val="-3"/>
          <w:w w:val="100"/>
        </w:rPr>
        <w:t>预</w:t>
      </w:r>
      <w:r>
        <w:rPr>
          <w:w w:val="100"/>
        </w:rPr>
        <w:t>案</w:t>
      </w:r>
      <w:r>
        <w:rPr>
          <w:spacing w:val="-106"/>
          <w:w w:val="100"/>
        </w:rPr>
        <w:t>》</w:t>
      </w:r>
      <w:r>
        <w:rPr>
          <w:w w:val="100"/>
        </w:rPr>
        <w:t>，</w:t>
      </w:r>
    </w:p>
    <w:p>
      <w:pPr>
        <w:pStyle w:val="BodyText"/>
        <w:spacing w:line="264" w:lineRule="exact"/>
        <w:ind w:right="0"/>
        <w:jc w:val="left"/>
      </w:pPr>
      <w:r>
        <w:rPr>
          <w:w w:val="100"/>
        </w:rPr>
        <w:t>拟以</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3"/>
          <w:w w:val="100"/>
        </w:rPr>
        <w:t>底</w:t>
      </w:r>
      <w:r>
        <w:rPr>
          <w:w w:val="100"/>
        </w:rPr>
        <w:t>公</w:t>
      </w:r>
      <w:r>
        <w:rPr>
          <w:spacing w:val="-3"/>
          <w:w w:val="100"/>
        </w:rPr>
        <w:t>司</w:t>
      </w:r>
      <w:r>
        <w:rPr>
          <w:w w:val="100"/>
        </w:rPr>
        <w:t>股本</w:t>
      </w:r>
      <w:r>
        <w:rPr>
          <w:spacing w:val="-55"/>
        </w:rPr>
        <w:t> </w:t>
      </w:r>
      <w:r>
        <w:rPr>
          <w:rFonts w:ascii="宋体" w:hAnsi="宋体" w:cs="宋体" w:eastAsia="宋体" w:hint="default"/>
          <w:spacing w:val="-3"/>
          <w:w w:val="100"/>
        </w:rPr>
        <w:t>6</w:t>
      </w:r>
      <w:r>
        <w:rPr>
          <w:rFonts w:ascii="宋体" w:hAnsi="宋体" w:cs="宋体" w:eastAsia="宋体" w:hint="default"/>
          <w:w w:val="100"/>
        </w:rPr>
        <w:t>1,000</w:t>
      </w:r>
      <w:r>
        <w:rPr>
          <w:rFonts w:ascii="宋体" w:hAnsi="宋体" w:cs="宋体" w:eastAsia="宋体" w:hint="default"/>
          <w:spacing w:val="-3"/>
          <w:w w:val="100"/>
        </w:rPr>
        <w:t>,</w:t>
      </w:r>
      <w:r>
        <w:rPr>
          <w:rFonts w:ascii="宋体" w:hAnsi="宋体" w:cs="宋体" w:eastAsia="宋体" w:hint="default"/>
          <w:w w:val="100"/>
        </w:rPr>
        <w:t>000</w:t>
      </w:r>
      <w:r>
        <w:rPr>
          <w:rFonts w:ascii="宋体" w:hAnsi="宋体" w:cs="宋体" w:eastAsia="宋体" w:hint="default"/>
          <w:spacing w:val="-55"/>
        </w:rPr>
        <w:t> </w:t>
      </w:r>
      <w:r>
        <w:rPr>
          <w:w w:val="100"/>
        </w:rPr>
        <w:t>股</w:t>
      </w:r>
      <w:r>
        <w:rPr>
          <w:spacing w:val="-3"/>
          <w:w w:val="100"/>
        </w:rPr>
        <w:t>为</w:t>
      </w:r>
      <w:r>
        <w:rPr>
          <w:w w:val="100"/>
        </w:rPr>
        <w:t>基</w:t>
      </w:r>
      <w:r>
        <w:rPr>
          <w:spacing w:val="-3"/>
          <w:w w:val="100"/>
        </w:rPr>
        <w:t>数</w:t>
      </w:r>
      <w:r>
        <w:rPr>
          <w:spacing w:val="-99"/>
          <w:w w:val="100"/>
        </w:rPr>
        <w:t>，</w:t>
      </w:r>
      <w:r>
        <w:rPr>
          <w:spacing w:val="-3"/>
          <w:w w:val="100"/>
        </w:rPr>
        <w:t>向全</w:t>
      </w:r>
      <w:r>
        <w:rPr>
          <w:w w:val="100"/>
        </w:rPr>
        <w:t>体股</w:t>
      </w:r>
      <w:r>
        <w:rPr>
          <w:spacing w:val="-3"/>
          <w:w w:val="100"/>
        </w:rPr>
        <w:t>东按</w:t>
      </w:r>
      <w:r>
        <w:rPr>
          <w:w w:val="100"/>
        </w:rPr>
        <w:t>每</w:t>
      </w:r>
      <w:r>
        <w:rPr>
          <w:spacing w:val="-53"/>
        </w:rPr>
        <w:t> </w:t>
      </w:r>
      <w:r>
        <w:rPr>
          <w:rFonts w:ascii="宋体" w:hAnsi="宋体" w:cs="宋体" w:eastAsia="宋体" w:hint="default"/>
          <w:w w:val="100"/>
        </w:rPr>
        <w:t>10</w:t>
      </w:r>
      <w:r>
        <w:rPr>
          <w:rFonts w:ascii="宋体" w:hAnsi="宋体" w:cs="宋体" w:eastAsia="宋体" w:hint="default"/>
          <w:spacing w:val="-55"/>
        </w:rPr>
        <w:t> </w:t>
      </w:r>
      <w:r>
        <w:rPr>
          <w:w w:val="100"/>
        </w:rPr>
        <w:t>股</w:t>
      </w:r>
      <w:r>
        <w:rPr>
          <w:spacing w:val="-3"/>
          <w:w w:val="100"/>
        </w:rPr>
        <w:t>派</w:t>
      </w:r>
      <w:r>
        <w:rPr>
          <w:w w:val="100"/>
        </w:rPr>
        <w:t>发</w:t>
      </w:r>
      <w:r>
        <w:rPr>
          <w:spacing w:val="-3"/>
          <w:w w:val="100"/>
        </w:rPr>
        <w:t>现金</w:t>
      </w:r>
      <w:r>
        <w:rPr>
          <w:w w:val="100"/>
        </w:rPr>
        <w:t>红利</w:t>
      </w:r>
      <w:r>
        <w:rPr>
          <w:spacing w:val="-52"/>
        </w:rPr>
        <w:t> </w:t>
      </w:r>
      <w:r>
        <w:rPr>
          <w:rFonts w:ascii="宋体" w:hAnsi="宋体" w:cs="宋体" w:eastAsia="宋体" w:hint="default"/>
          <w:w w:val="100"/>
        </w:rPr>
        <w:t>4</w:t>
      </w:r>
      <w:r>
        <w:rPr>
          <w:rFonts w:ascii="宋体" w:hAnsi="宋体" w:cs="宋体" w:eastAsia="宋体" w:hint="default"/>
          <w:spacing w:val="-55"/>
        </w:rPr>
        <w:t> </w:t>
      </w:r>
      <w:r>
        <w:rPr>
          <w:spacing w:val="-101"/>
          <w:w w:val="100"/>
        </w:rPr>
        <w:t>元</w:t>
      </w:r>
      <w:r>
        <w:rPr>
          <w:w w:val="100"/>
        </w:rPr>
        <w:t>（含</w:t>
      </w:r>
      <w:r>
        <w:rPr>
          <w:spacing w:val="-3"/>
          <w:w w:val="100"/>
        </w:rPr>
        <w:t>税</w:t>
      </w:r>
      <w:r>
        <w:rPr>
          <w:spacing w:val="-106"/>
          <w:w w:val="100"/>
        </w:rPr>
        <w:t>）</w:t>
      </w:r>
      <w:r>
        <w:rPr>
          <w:w w:val="100"/>
        </w:rPr>
        <w:t>，</w:t>
      </w:r>
    </w:p>
    <w:p>
      <w:pPr>
        <w:pStyle w:val="BodyText"/>
        <w:spacing w:line="272" w:lineRule="exact"/>
        <w:ind w:right="0"/>
        <w:jc w:val="left"/>
      </w:pPr>
      <w:r>
        <w:rPr/>
        <w:t>共计</w:t>
      </w:r>
      <w:r>
        <w:rPr>
          <w:spacing w:val="-48"/>
        </w:rPr>
        <w:t> </w:t>
      </w:r>
      <w:r>
        <w:rPr>
          <w:rFonts w:ascii="宋体" w:hAnsi="宋体" w:cs="宋体" w:eastAsia="宋体" w:hint="default"/>
        </w:rPr>
        <w:t>24,400,000</w:t>
      </w:r>
      <w:r>
        <w:rPr>
          <w:rFonts w:ascii="宋体" w:hAnsi="宋体" w:cs="宋体" w:eastAsia="宋体" w:hint="default"/>
          <w:spacing w:val="-48"/>
        </w:rPr>
        <w:t> </w:t>
      </w:r>
      <w:r>
        <w:rPr>
          <w:spacing w:val="-6"/>
        </w:rPr>
        <w:t>元，结余未分配利润结转至以后年度；同时拟以</w:t>
      </w:r>
      <w:r>
        <w:rPr>
          <w:spacing w:val="-48"/>
        </w:rPr>
        <w:t> </w:t>
      </w:r>
      <w:r>
        <w:rPr>
          <w:rFonts w:ascii="宋体" w:hAnsi="宋体" w:cs="宋体" w:eastAsia="宋体" w:hint="default"/>
        </w:rPr>
        <w:t>2017</w:t>
      </w:r>
      <w:r>
        <w:rPr>
          <w:rFonts w:ascii="宋体" w:hAnsi="宋体" w:cs="宋体" w:eastAsia="宋体" w:hint="default"/>
          <w:spacing w:val="-50"/>
        </w:rPr>
        <w:t> </w:t>
      </w:r>
      <w:r>
        <w:rPr/>
        <w:t>年末股本</w:t>
      </w:r>
      <w:r>
        <w:rPr>
          <w:spacing w:val="-47"/>
        </w:rPr>
        <w:t> </w:t>
      </w:r>
      <w:r>
        <w:rPr>
          <w:rFonts w:ascii="宋体" w:hAnsi="宋体" w:cs="宋体" w:eastAsia="宋体" w:hint="default"/>
        </w:rPr>
        <w:t>61,000,000</w:t>
      </w:r>
      <w:r>
        <w:rPr>
          <w:rFonts w:ascii="宋体" w:hAnsi="宋体" w:cs="宋体" w:eastAsia="宋体" w:hint="default"/>
          <w:spacing w:val="-50"/>
        </w:rPr>
        <w:t> </w:t>
      </w:r>
      <w:r>
        <w:rPr/>
        <w:t>股为</w:t>
      </w:r>
    </w:p>
    <w:p>
      <w:pPr>
        <w:pStyle w:val="BodyText"/>
        <w:spacing w:line="272" w:lineRule="exact"/>
        <w:ind w:right="0"/>
        <w:jc w:val="left"/>
      </w:pPr>
      <w:r>
        <w:rPr/>
        <w:t>基数，用资本公积（股本溢价）按每</w:t>
      </w:r>
      <w:r>
        <w:rPr>
          <w:spacing w:val="-51"/>
        </w:rPr>
        <w:t> </w:t>
      </w:r>
      <w:r>
        <w:rPr>
          <w:rFonts w:ascii="宋体" w:hAnsi="宋体" w:cs="宋体" w:eastAsia="宋体" w:hint="default"/>
        </w:rPr>
        <w:t>10</w:t>
      </w:r>
      <w:r>
        <w:rPr>
          <w:rFonts w:ascii="宋体" w:hAnsi="宋体" w:cs="宋体" w:eastAsia="宋体" w:hint="default"/>
          <w:spacing w:val="-54"/>
        </w:rPr>
        <w:t> </w:t>
      </w:r>
      <w:r>
        <w:rPr/>
        <w:t>股转增</w:t>
      </w:r>
      <w:r>
        <w:rPr>
          <w:spacing w:val="-54"/>
        </w:rPr>
        <w:t> </w:t>
      </w:r>
      <w:r>
        <w:rPr>
          <w:rFonts w:ascii="宋体" w:hAnsi="宋体" w:cs="宋体" w:eastAsia="宋体" w:hint="default"/>
        </w:rPr>
        <w:t>4</w:t>
      </w:r>
      <w:r>
        <w:rPr>
          <w:rFonts w:ascii="宋体" w:hAnsi="宋体" w:cs="宋体" w:eastAsia="宋体" w:hint="default"/>
          <w:spacing w:val="-51"/>
        </w:rPr>
        <w:t> </w:t>
      </w:r>
      <w:r>
        <w:rPr/>
        <w:t>股的比例转增股本，共计</w:t>
      </w:r>
      <w:r>
        <w:rPr>
          <w:spacing w:val="-51"/>
        </w:rPr>
        <w:t> </w:t>
      </w:r>
      <w:r>
        <w:rPr>
          <w:rFonts w:ascii="宋体" w:hAnsi="宋体" w:cs="宋体" w:eastAsia="宋体" w:hint="default"/>
        </w:rPr>
        <w:t>24,400,000</w:t>
      </w:r>
      <w:r>
        <w:rPr>
          <w:rFonts w:ascii="宋体" w:hAnsi="宋体" w:cs="宋体" w:eastAsia="宋体" w:hint="default"/>
          <w:spacing w:val="-53"/>
        </w:rPr>
        <w:t> </w:t>
      </w:r>
      <w:r>
        <w:rPr/>
        <w:t>元，经本</w:t>
      </w:r>
    </w:p>
    <w:p>
      <w:pPr>
        <w:pStyle w:val="BodyText"/>
        <w:spacing w:line="272" w:lineRule="exact"/>
        <w:ind w:right="0"/>
        <w:jc w:val="left"/>
      </w:pPr>
      <w:r>
        <w:rPr/>
        <w:t>次转增后，结余资本公积结转至以后年度。公司总股本由</w:t>
      </w:r>
      <w:r>
        <w:rPr>
          <w:spacing w:val="-49"/>
        </w:rPr>
        <w:t> </w:t>
      </w:r>
      <w:r>
        <w:rPr>
          <w:rFonts w:ascii="宋体" w:hAnsi="宋体" w:cs="宋体" w:eastAsia="宋体" w:hint="default"/>
        </w:rPr>
        <w:t>61,000,000</w:t>
      </w:r>
      <w:r>
        <w:rPr>
          <w:rFonts w:ascii="宋体" w:hAnsi="宋体" w:cs="宋体" w:eastAsia="宋体" w:hint="default"/>
          <w:spacing w:val="-52"/>
        </w:rPr>
        <w:t> </w:t>
      </w:r>
      <w:r>
        <w:rPr/>
        <w:t>股增加至</w:t>
      </w:r>
      <w:r>
        <w:rPr>
          <w:spacing w:val="-49"/>
        </w:rPr>
        <w:t> </w:t>
      </w:r>
      <w:r>
        <w:rPr>
          <w:rFonts w:ascii="宋体" w:hAnsi="宋体" w:cs="宋体" w:eastAsia="宋体" w:hint="default"/>
        </w:rPr>
        <w:t>85,400,000</w:t>
      </w:r>
      <w:r>
        <w:rPr>
          <w:rFonts w:ascii="宋体" w:hAnsi="宋体" w:cs="宋体" w:eastAsia="宋体" w:hint="default"/>
          <w:spacing w:val="-52"/>
        </w:rPr>
        <w:t> </w:t>
      </w:r>
      <w:r>
        <w:rPr>
          <w:spacing w:val="-3"/>
        </w:rPr>
        <w:t>股。</w:t>
      </w:r>
      <w:r>
        <w:rPr/>
      </w:r>
    </w:p>
    <w:p>
      <w:pPr>
        <w:pStyle w:val="BodyText"/>
        <w:spacing w:line="289" w:lineRule="exact"/>
        <w:ind w:right="203"/>
        <w:jc w:val="left"/>
      </w:pPr>
      <w:r>
        <w:rPr/>
        <w:t>公司</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年度利润分配暨公积金转增股方案尚需公司股东大会审议批准。</w:t>
      </w:r>
    </w:p>
    <w:p>
      <w:pPr>
        <w:pStyle w:val="Heading2"/>
        <w:spacing w:line="240" w:lineRule="auto" w:before="43"/>
        <w:ind w:right="203"/>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29"/>
        <w:ind w:right="203"/>
        <w:jc w:val="left"/>
      </w:pPr>
      <w:r>
        <w:rPr/>
        <w:t>□适用√不适用</w:t>
      </w:r>
    </w:p>
    <w:p>
      <w:pPr>
        <w:pStyle w:val="Heading2"/>
        <w:spacing w:line="272" w:lineRule="exact" w:before="86"/>
        <w:ind w:left="638" w:right="19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34"/>
        <w:ind w:right="203"/>
        <w:jc w:val="left"/>
      </w:pPr>
      <w:r>
        <w:rPr/>
        <w:t>□适用√不适用</w:t>
      </w:r>
    </w:p>
    <w:p>
      <w:pPr>
        <w:spacing w:after="0" w:line="240" w:lineRule="auto"/>
        <w:jc w:val="left"/>
        <w:sectPr>
          <w:footerReference w:type="default" r:id="rId25"/>
          <w:pgSz w:w="11910" w:h="16840"/>
          <w:pgMar w:footer="1195" w:header="880" w:top="1120" w:bottom="1380" w:left="1580" w:right="1060"/>
        </w:sectPr>
      </w:pPr>
    </w:p>
    <w:p>
      <w:pPr>
        <w:spacing w:line="240" w:lineRule="auto" w:before="13"/>
        <w:rPr>
          <w:rFonts w:ascii="宋体" w:hAnsi="宋体" w:cs="宋体" w:eastAsia="宋体" w:hint="default"/>
          <w:sz w:val="10"/>
          <w:szCs w:val="10"/>
        </w:rPr>
      </w:pPr>
    </w:p>
    <w:p>
      <w:pPr>
        <w:pStyle w:val="Heading2"/>
        <w:spacing w:line="240" w:lineRule="auto" w:before="36"/>
        <w:ind w:left="244" w:right="0"/>
        <w:jc w:val="left"/>
        <w:rPr>
          <w:b w:val="0"/>
          <w:bCs w:val="0"/>
        </w:rPr>
      </w:pPr>
      <w:r>
        <w:rPr/>
        <w:t>二、承诺事项履行情况</w:t>
      </w:r>
      <w:r>
        <w:rPr>
          <w:b w:val="0"/>
          <w:bCs w:val="0"/>
        </w:rPr>
      </w:r>
    </w:p>
    <w:p>
      <w:pPr>
        <w:pStyle w:val="Heading2"/>
        <w:tabs>
          <w:tab w:pos="810" w:val="left" w:leader="none"/>
        </w:tabs>
        <w:spacing w:line="240" w:lineRule="auto" w:before="56"/>
        <w:ind w:left="244"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公司实际控制人、股东、关联方、收购人以及公司等承诺相关方在报告期内或持续到报告期内的承诺事项</w:t>
      </w:r>
      <w:r>
        <w:rPr>
          <w:b w:val="0"/>
          <w:bCs w:val="0"/>
        </w:rPr>
      </w:r>
    </w:p>
    <w:p>
      <w:pPr>
        <w:pStyle w:val="BodyText"/>
        <w:spacing w:line="240" w:lineRule="auto" w:before="32"/>
        <w:ind w:left="244"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11" w:type="dxa"/>
        <w:tblLayout w:type="fixed"/>
        <w:tblCellMar>
          <w:top w:w="0" w:type="dxa"/>
          <w:left w:w="0" w:type="dxa"/>
          <w:bottom w:w="0" w:type="dxa"/>
          <w:right w:w="0" w:type="dxa"/>
        </w:tblCellMar>
        <w:tblLook w:val="01E0"/>
      </w:tblPr>
      <w:tblGrid>
        <w:gridCol w:w="1263"/>
        <w:gridCol w:w="708"/>
        <w:gridCol w:w="994"/>
        <w:gridCol w:w="6803"/>
        <w:gridCol w:w="853"/>
        <w:gridCol w:w="850"/>
        <w:gridCol w:w="852"/>
        <w:gridCol w:w="850"/>
        <w:gridCol w:w="936"/>
      </w:tblGrid>
      <w:tr>
        <w:trPr>
          <w:trHeight w:val="1918"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39" w:right="134"/>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6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3187" w:right="3180"/>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8" w:right="99"/>
              <w:jc w:val="center"/>
              <w:rPr>
                <w:rFonts w:ascii="宋体" w:hAnsi="宋体" w:cs="宋体" w:eastAsia="宋体" w:hint="default"/>
                <w:sz w:val="21"/>
                <w:szCs w:val="21"/>
              </w:rPr>
            </w:pPr>
            <w:r>
              <w:rPr>
                <w:rFonts w:ascii="宋体" w:hAnsi="宋体" w:cs="宋体" w:eastAsia="宋体" w:hint="default"/>
                <w:sz w:val="21"/>
                <w:szCs w:val="21"/>
              </w:rPr>
              <w:t>承诺时</w:t>
            </w:r>
            <w:r>
              <w:rPr>
                <w:rFonts w:ascii="宋体" w:hAnsi="宋体" w:cs="宋体" w:eastAsia="宋体" w:hint="default"/>
                <w:w w:val="100"/>
                <w:sz w:val="21"/>
                <w:szCs w:val="21"/>
              </w:rPr>
              <w:t> </w:t>
            </w:r>
            <w:r>
              <w:rPr>
                <w:rFonts w:ascii="宋体" w:hAnsi="宋体" w:cs="宋体" w:eastAsia="宋体" w:hint="default"/>
                <w:sz w:val="21"/>
                <w:szCs w:val="21"/>
              </w:rPr>
              <w:t>间及期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5" w:right="98"/>
              <w:jc w:val="center"/>
              <w:rPr>
                <w:rFonts w:ascii="宋体" w:hAnsi="宋体" w:cs="宋体" w:eastAsia="宋体" w:hint="default"/>
                <w:sz w:val="21"/>
                <w:szCs w:val="21"/>
              </w:rPr>
            </w:pPr>
            <w:r>
              <w:rPr>
                <w:rFonts w:ascii="宋体" w:hAnsi="宋体" w:cs="宋体" w:eastAsia="宋体" w:hint="default"/>
                <w:sz w:val="21"/>
                <w:szCs w:val="21"/>
              </w:rPr>
              <w:t>是否有</w:t>
            </w:r>
            <w:r>
              <w:rPr>
                <w:rFonts w:ascii="宋体" w:hAnsi="宋体" w:cs="宋体" w:eastAsia="宋体" w:hint="default"/>
                <w:w w:val="100"/>
                <w:sz w:val="21"/>
                <w:szCs w:val="21"/>
              </w:rPr>
              <w:t> </w:t>
            </w:r>
            <w:r>
              <w:rPr>
                <w:rFonts w:ascii="宋体" w:hAnsi="宋体" w:cs="宋体" w:eastAsia="宋体" w:hint="default"/>
                <w:sz w:val="21"/>
                <w:szCs w:val="21"/>
              </w:rPr>
              <w:t>履行期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5" w:right="101"/>
              <w:jc w:val="both"/>
              <w:rPr>
                <w:rFonts w:ascii="宋体" w:hAnsi="宋体" w:cs="宋体" w:eastAsia="宋体" w:hint="default"/>
                <w:sz w:val="21"/>
                <w:szCs w:val="21"/>
              </w:rPr>
            </w:pPr>
            <w:r>
              <w:rPr>
                <w:rFonts w:ascii="宋体" w:hAnsi="宋体" w:cs="宋体" w:eastAsia="宋体" w:hint="default"/>
                <w:sz w:val="21"/>
                <w:szCs w:val="21"/>
              </w:rPr>
              <w:t>是否及</w:t>
            </w:r>
            <w:r>
              <w:rPr>
                <w:rFonts w:ascii="宋体" w:hAnsi="宋体" w:cs="宋体" w:eastAsia="宋体" w:hint="default"/>
                <w:spacing w:val="-102"/>
                <w:sz w:val="21"/>
                <w:szCs w:val="21"/>
              </w:rPr>
              <w:t> </w:t>
            </w:r>
            <w:r>
              <w:rPr>
                <w:rFonts w:ascii="宋体" w:hAnsi="宋体" w:cs="宋体" w:eastAsia="宋体" w:hint="default"/>
                <w:sz w:val="21"/>
                <w:szCs w:val="21"/>
              </w:rPr>
              <w:t>时严格</w:t>
            </w:r>
            <w:r>
              <w:rPr>
                <w:rFonts w:ascii="宋体" w:hAnsi="宋体" w:cs="宋体" w:eastAsia="宋体" w:hint="default"/>
                <w:spacing w:val="-102"/>
                <w:sz w:val="21"/>
                <w:szCs w:val="21"/>
              </w:rPr>
              <w:t> </w:t>
            </w:r>
            <w:r>
              <w:rPr>
                <w:rFonts w:ascii="宋体" w:hAnsi="宋体" w:cs="宋体" w:eastAsia="宋体" w:hint="default"/>
                <w:sz w:val="21"/>
                <w:szCs w:val="21"/>
              </w:rPr>
              <w:t>履行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明未完</w:t>
            </w:r>
            <w:r>
              <w:rPr>
                <w:rFonts w:ascii="宋体" w:hAnsi="宋体" w:cs="宋体" w:eastAsia="宋体" w:hint="default"/>
                <w:spacing w:val="-102"/>
                <w:sz w:val="21"/>
                <w:szCs w:val="21"/>
              </w:rPr>
              <w:t> </w:t>
            </w:r>
            <w:r>
              <w:rPr>
                <w:rFonts w:ascii="宋体" w:hAnsi="宋体" w:cs="宋体" w:eastAsia="宋体" w:hint="default"/>
                <w:sz w:val="21"/>
                <w:szCs w:val="21"/>
              </w:rPr>
              <w:t>成履行</w:t>
            </w:r>
            <w:r>
              <w:rPr>
                <w:rFonts w:ascii="宋体" w:hAnsi="宋体" w:cs="宋体" w:eastAsia="宋体" w:hint="default"/>
                <w:spacing w:val="-102"/>
                <w:sz w:val="21"/>
                <w:szCs w:val="21"/>
              </w:rPr>
              <w:t> </w:t>
            </w:r>
            <w:r>
              <w:rPr>
                <w:rFonts w:ascii="宋体" w:hAnsi="宋体" w:cs="宋体" w:eastAsia="宋体" w:hint="default"/>
                <w:sz w:val="21"/>
                <w:szCs w:val="21"/>
              </w:rPr>
              <w:t>的具体</w:t>
            </w:r>
            <w:r>
              <w:rPr>
                <w:rFonts w:ascii="宋体" w:hAnsi="宋体" w:cs="宋体" w:eastAsia="宋体" w:hint="default"/>
                <w:spacing w:val="-102"/>
                <w:sz w:val="21"/>
                <w:szCs w:val="21"/>
              </w:rPr>
              <w:t> </w:t>
            </w:r>
            <w:r>
              <w:rPr>
                <w:rFonts w:ascii="宋体" w:hAnsi="宋体" w:cs="宋体" w:eastAsia="宋体" w:hint="default"/>
                <w:sz w:val="21"/>
                <w:szCs w:val="21"/>
              </w:rPr>
              <w:t>原因</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46" w:right="144"/>
              <w:jc w:val="both"/>
              <w:rPr>
                <w:rFonts w:ascii="宋体" w:hAnsi="宋体" w:cs="宋体" w:eastAsia="宋体" w:hint="default"/>
                <w:sz w:val="21"/>
                <w:szCs w:val="21"/>
              </w:rPr>
            </w:pPr>
            <w:r>
              <w:rPr>
                <w:rFonts w:ascii="宋体" w:hAnsi="宋体" w:cs="宋体" w:eastAsia="宋体" w:hint="default"/>
                <w:sz w:val="21"/>
                <w:szCs w:val="21"/>
              </w:rPr>
              <w:t>如未能</w:t>
            </w:r>
            <w:r>
              <w:rPr>
                <w:rFonts w:ascii="宋体" w:hAnsi="宋体" w:cs="宋体" w:eastAsia="宋体" w:hint="default"/>
                <w:spacing w:val="-102"/>
                <w:sz w:val="21"/>
                <w:szCs w:val="21"/>
              </w:rPr>
              <w:t> </w:t>
            </w: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p>
        </w:tc>
      </w:tr>
      <w:tr>
        <w:trPr>
          <w:trHeight w:val="250" w:hRule="exact"/>
        </w:trPr>
        <w:tc>
          <w:tcPr>
            <w:tcW w:w="1263" w:type="dxa"/>
            <w:vMerge w:val="restart"/>
            <w:tcBorders>
              <w:top w:val="single" w:sz="4" w:space="0" w:color="000000"/>
              <w:left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49"/>
                <w:sz w:val="21"/>
                <w:szCs w:val="21"/>
              </w:rPr>
              <w:t>与股改相</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关的承诺</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80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05" w:hRule="exact"/>
        </w:trPr>
        <w:tc>
          <w:tcPr>
            <w:tcW w:w="1263"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80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638" w:hRule="exact"/>
        </w:trPr>
        <w:tc>
          <w:tcPr>
            <w:tcW w:w="1263" w:type="dxa"/>
            <w:vMerge w:val="restart"/>
            <w:tcBorders>
              <w:top w:val="single" w:sz="4" w:space="0" w:color="000000"/>
              <w:left w:val="single" w:sz="4" w:space="0" w:color="000000"/>
              <w:right w:val="single" w:sz="4" w:space="0" w:color="000000"/>
            </w:tcBorders>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spacing w:val="49"/>
                <w:sz w:val="21"/>
                <w:szCs w:val="21"/>
              </w:rPr>
              <w:t>收购报告</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37" w:lineRule="auto"/>
              <w:ind w:left="105" w:right="33"/>
              <w:jc w:val="both"/>
              <w:rPr>
                <w:rFonts w:ascii="宋体" w:hAnsi="宋体" w:cs="宋体" w:eastAsia="宋体" w:hint="default"/>
                <w:sz w:val="21"/>
                <w:szCs w:val="21"/>
              </w:rPr>
            </w:pPr>
            <w:r>
              <w:rPr>
                <w:rFonts w:ascii="宋体" w:hAnsi="宋体" w:cs="宋体" w:eastAsia="宋体" w:hint="default"/>
                <w:spacing w:val="49"/>
                <w:sz w:val="21"/>
                <w:szCs w:val="21"/>
              </w:rPr>
              <w:t>书或权益</w:t>
            </w:r>
            <w:r>
              <w:rPr>
                <w:rFonts w:ascii="宋体" w:hAnsi="宋体" w:cs="宋体" w:eastAsia="宋体" w:hint="default"/>
                <w:spacing w:val="-96"/>
                <w:sz w:val="21"/>
                <w:szCs w:val="21"/>
              </w:rPr>
              <w:t> </w:t>
            </w:r>
            <w:r>
              <w:rPr>
                <w:rFonts w:ascii="宋体" w:hAnsi="宋体" w:cs="宋体" w:eastAsia="宋体" w:hint="default"/>
                <w:spacing w:val="49"/>
                <w:sz w:val="21"/>
                <w:szCs w:val="21"/>
              </w:rPr>
              <w:t>变动报告</w:t>
            </w:r>
            <w:r>
              <w:rPr>
                <w:rFonts w:ascii="宋体" w:hAnsi="宋体" w:cs="宋体" w:eastAsia="宋体" w:hint="default"/>
                <w:spacing w:val="-96"/>
                <w:sz w:val="21"/>
                <w:szCs w:val="21"/>
              </w:rPr>
              <w:t> </w:t>
            </w:r>
            <w:r>
              <w:rPr>
                <w:rFonts w:ascii="宋体" w:hAnsi="宋体" w:cs="宋体" w:eastAsia="宋体" w:hint="default"/>
                <w:spacing w:val="49"/>
                <w:sz w:val="21"/>
                <w:szCs w:val="21"/>
              </w:rPr>
              <w:t>书中所作</w:t>
            </w:r>
            <w:r>
              <w:rPr>
                <w:rFonts w:ascii="宋体" w:hAnsi="宋体" w:cs="宋体" w:eastAsia="宋体" w:hint="default"/>
                <w:spacing w:val="-96"/>
                <w:sz w:val="21"/>
                <w:szCs w:val="21"/>
              </w:rPr>
              <w:t> </w:t>
            </w:r>
            <w:r>
              <w:rPr>
                <w:rFonts w:ascii="宋体" w:hAnsi="宋体" w:cs="宋体" w:eastAsia="宋体" w:hint="default"/>
                <w:sz w:val="21"/>
                <w:szCs w:val="21"/>
              </w:rPr>
              <w:t>承诺</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80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732" w:hRule="exact"/>
        </w:trPr>
        <w:tc>
          <w:tcPr>
            <w:tcW w:w="1263"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80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263" w:type="dxa"/>
            <w:vMerge w:val="restart"/>
            <w:tcBorders>
              <w:top w:val="single" w:sz="4" w:space="0" w:color="000000"/>
              <w:left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49"/>
                <w:sz w:val="21"/>
                <w:szCs w:val="21"/>
              </w:rPr>
              <w:t>与重大资</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2" w:lineRule="exact" w:before="27"/>
              <w:ind w:left="105" w:right="33"/>
              <w:jc w:val="left"/>
              <w:rPr>
                <w:rFonts w:ascii="宋体" w:hAnsi="宋体" w:cs="宋体" w:eastAsia="宋体" w:hint="default"/>
                <w:sz w:val="21"/>
                <w:szCs w:val="21"/>
              </w:rPr>
            </w:pPr>
            <w:r>
              <w:rPr>
                <w:rFonts w:ascii="宋体" w:hAnsi="宋体" w:cs="宋体" w:eastAsia="宋体" w:hint="default"/>
                <w:spacing w:val="49"/>
                <w:sz w:val="21"/>
                <w:szCs w:val="21"/>
              </w:rPr>
              <w:t>产重组相</w:t>
            </w:r>
            <w:r>
              <w:rPr>
                <w:rFonts w:ascii="宋体" w:hAnsi="宋体" w:cs="宋体" w:eastAsia="宋体" w:hint="default"/>
                <w:spacing w:val="-96"/>
                <w:sz w:val="21"/>
                <w:szCs w:val="21"/>
              </w:rPr>
              <w:t> </w:t>
            </w:r>
            <w:r>
              <w:rPr>
                <w:rFonts w:ascii="宋体" w:hAnsi="宋体" w:cs="宋体" w:eastAsia="宋体" w:hint="default"/>
                <w:sz w:val="21"/>
                <w:szCs w:val="21"/>
              </w:rPr>
              <w:t>关的承诺</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80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576" w:hRule="exact"/>
        </w:trPr>
        <w:tc>
          <w:tcPr>
            <w:tcW w:w="1263"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80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046"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37" w:lineRule="auto"/>
              <w:ind w:left="105" w:right="33"/>
              <w:jc w:val="both"/>
              <w:rPr>
                <w:rFonts w:ascii="宋体" w:hAnsi="宋体" w:cs="宋体" w:eastAsia="宋体" w:hint="default"/>
                <w:sz w:val="21"/>
                <w:szCs w:val="21"/>
              </w:rPr>
            </w:pPr>
            <w:r>
              <w:rPr>
                <w:rFonts w:ascii="宋体" w:hAnsi="宋体" w:cs="宋体" w:eastAsia="宋体" w:hint="default"/>
                <w:spacing w:val="49"/>
                <w:sz w:val="21"/>
                <w:szCs w:val="21"/>
              </w:rPr>
              <w:t>与首次公</w:t>
            </w:r>
            <w:r>
              <w:rPr>
                <w:rFonts w:ascii="宋体" w:hAnsi="宋体" w:cs="宋体" w:eastAsia="宋体" w:hint="default"/>
                <w:spacing w:val="-96"/>
                <w:sz w:val="21"/>
                <w:szCs w:val="21"/>
              </w:rPr>
              <w:t> </w:t>
            </w:r>
            <w:r>
              <w:rPr>
                <w:rFonts w:ascii="宋体" w:hAnsi="宋体" w:cs="宋体" w:eastAsia="宋体" w:hint="default"/>
                <w:spacing w:val="49"/>
                <w:sz w:val="21"/>
                <w:szCs w:val="21"/>
              </w:rPr>
              <w:t>开发行相</w:t>
            </w:r>
            <w:r>
              <w:rPr>
                <w:rFonts w:ascii="宋体" w:hAnsi="宋体" w:cs="宋体" w:eastAsia="宋体" w:hint="default"/>
                <w:spacing w:val="-96"/>
                <w:sz w:val="21"/>
                <w:szCs w:val="21"/>
              </w:rPr>
              <w:t> </w:t>
            </w:r>
            <w:r>
              <w:rPr>
                <w:rFonts w:ascii="宋体" w:hAnsi="宋体" w:cs="宋体" w:eastAsia="宋体" w:hint="default"/>
                <w:sz w:val="21"/>
                <w:szCs w:val="21"/>
              </w:rPr>
              <w:t>关的承诺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股份</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孔令钢、</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陆海天</w:t>
            </w:r>
          </w:p>
        </w:tc>
        <w:tc>
          <w:tcPr>
            <w:tcW w:w="680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除本次公开发售的股份外，自公司股票上市之日起</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个月内，不转让或者委托他人</w:t>
            </w:r>
          </w:p>
          <w:p>
            <w:pPr>
              <w:pStyle w:val="TableParagraph"/>
              <w:spacing w:line="237" w:lineRule="auto"/>
              <w:ind w:left="103" w:right="98"/>
              <w:jc w:val="both"/>
              <w:rPr>
                <w:rFonts w:ascii="宋体" w:hAnsi="宋体" w:cs="宋体" w:eastAsia="宋体" w:hint="default"/>
                <w:sz w:val="18"/>
                <w:szCs w:val="18"/>
              </w:rPr>
            </w:pPr>
            <w:r>
              <w:rPr>
                <w:rFonts w:ascii="宋体" w:hAnsi="宋体" w:cs="宋体" w:eastAsia="宋体" w:hint="default"/>
                <w:spacing w:val="-2"/>
                <w:sz w:val="18"/>
                <w:szCs w:val="18"/>
              </w:rPr>
              <w:t>管理其直接或间接持有的公司首次公开发行股票前已发行的股份，也不由公司回购该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部分股份。若在前述锁定期满后两年内减持公司股票的，减持价格不低于发行价；若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公司股票在锁定期内发生派息、送股、资本公积转增股本等除权除息事项，发行价应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做相应除权除息处理；上市后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个月内如公司股票连续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个交易日的收盘价均低于</w:t>
            </w:r>
          </w:p>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发行价，或者上市后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个月期末收盘价低于发行价，其持有的公司股票将在上述锁定</w:t>
            </w:r>
          </w:p>
          <w:p>
            <w:pPr>
              <w:pStyle w:val="TableParagraph"/>
              <w:spacing w:line="232" w:lineRule="auto"/>
              <w:ind w:left="103" w:right="10"/>
              <w:jc w:val="left"/>
              <w:rPr>
                <w:rFonts w:ascii="宋体" w:hAnsi="宋体" w:cs="宋体" w:eastAsia="宋体" w:hint="default"/>
                <w:sz w:val="18"/>
                <w:szCs w:val="18"/>
              </w:rPr>
            </w:pPr>
            <w:r>
              <w:rPr>
                <w:rFonts w:ascii="宋体" w:hAnsi="宋体" w:cs="宋体" w:eastAsia="宋体" w:hint="default"/>
                <w:sz w:val="18"/>
                <w:szCs w:val="18"/>
              </w:rPr>
              <w:t>期限届满后自动延长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个月的锁定期。 </w:t>
            </w:r>
            <w:r>
              <w:rPr>
                <w:rFonts w:ascii="宋体" w:hAnsi="宋体" w:cs="宋体" w:eastAsia="宋体" w:hint="default"/>
                <w:spacing w:val="-2"/>
                <w:sz w:val="18"/>
                <w:szCs w:val="18"/>
              </w:rPr>
              <w:t>除上述锁定期外，其在公司任职期间每年转让的股份不超过其所持有公司股份总数的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；离职后</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个月内，不转让其所持有的公司股份。其不因职务变更、离职等原因，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而放弃履行上述承诺。 </w:t>
            </w:r>
            <w:r>
              <w:rPr>
                <w:rFonts w:ascii="宋体" w:hAnsi="宋体" w:cs="宋体" w:eastAsia="宋体" w:hint="default"/>
                <w:spacing w:val="-2"/>
                <w:sz w:val="18"/>
                <w:szCs w:val="18"/>
              </w:rPr>
              <w:t>如违反上述承诺减持公司股份的，违规减持所得的收益归属公司所有，如其未将违规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减持所得的收益及时上缴公司的，公司有权将应付其现金分红中等额于违规减持所得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k</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收益的部分扣留并归为公司所有。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both"/>
              <w:rPr>
                <w:rFonts w:ascii="宋体" w:hAnsi="宋体" w:cs="宋体" w:eastAsia="宋体" w:hint="default"/>
                <w:sz w:val="18"/>
                <w:szCs w:val="18"/>
              </w:rPr>
            </w:pPr>
            <w:r>
              <w:rPr>
                <w:rFonts w:ascii="宋体" w:hAnsi="宋体" w:cs="宋体" w:eastAsia="宋体" w:hint="default"/>
                <w:spacing w:val="32"/>
                <w:sz w:val="18"/>
                <w:szCs w:val="18"/>
              </w:rPr>
              <w:t>自上市</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2" w:lineRule="auto" w:before="5"/>
              <w:ind w:left="105" w:right="51"/>
              <w:jc w:val="both"/>
              <w:rPr>
                <w:rFonts w:ascii="宋体" w:hAnsi="宋体" w:cs="宋体" w:eastAsia="宋体" w:hint="default"/>
                <w:sz w:val="18"/>
                <w:szCs w:val="18"/>
              </w:rPr>
            </w:pPr>
            <w:r>
              <w:rPr>
                <w:rFonts w:ascii="宋体" w:hAnsi="宋体" w:cs="宋体" w:eastAsia="宋体" w:hint="default"/>
                <w:spacing w:val="32"/>
                <w:sz w:val="18"/>
                <w:szCs w:val="18"/>
              </w:rPr>
              <w:t>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w:t>
            </w:r>
            <w:r>
              <w:rPr>
                <w:rFonts w:ascii="宋体" w:hAnsi="宋体" w:cs="宋体" w:eastAsia="宋体" w:hint="default"/>
                <w:spacing w:val="2"/>
                <w:sz w:val="18"/>
                <w:szCs w:val="18"/>
              </w:rPr>
              <w:t> </w:t>
            </w:r>
            <w:r>
              <w:rPr>
                <w:rFonts w:ascii="宋体" w:hAnsi="宋体" w:cs="宋体" w:eastAsia="宋体" w:hint="default"/>
                <w:spacing w:val="-22"/>
                <w:sz w:val="18"/>
                <w:szCs w:val="18"/>
              </w:rPr>
              <w:t>内；自限</w:t>
            </w:r>
          </w:p>
          <w:p>
            <w:pPr>
              <w:pStyle w:val="TableParagraph"/>
              <w:spacing w:line="237" w:lineRule="auto"/>
              <w:ind w:left="105" w:right="51"/>
              <w:jc w:val="both"/>
              <w:rPr>
                <w:rFonts w:ascii="Times New Roman" w:hAnsi="Times New Roman" w:cs="Times New Roman" w:eastAsia="Times New Roman" w:hint="default"/>
                <w:sz w:val="18"/>
                <w:szCs w:val="18"/>
              </w:rPr>
            </w:pPr>
            <w:r>
              <w:rPr>
                <w:rFonts w:ascii="宋体" w:hAnsi="宋体" w:cs="宋体" w:eastAsia="宋体" w:hint="default"/>
                <w:spacing w:val="32"/>
                <w:sz w:val="18"/>
                <w:szCs w:val="18"/>
              </w:rPr>
              <w:t>售股份</w:t>
            </w:r>
            <w:r>
              <w:rPr>
                <w:rFonts w:ascii="宋体" w:hAnsi="宋体" w:cs="宋体" w:eastAsia="宋体" w:hint="default"/>
                <w:spacing w:val="-42"/>
                <w:sz w:val="18"/>
                <w:szCs w:val="18"/>
              </w:rPr>
              <w:t> </w:t>
            </w:r>
            <w:r>
              <w:rPr>
                <w:rFonts w:ascii="宋体" w:hAnsi="宋体" w:cs="宋体" w:eastAsia="宋体" w:hint="default"/>
                <w:spacing w:val="32"/>
                <w:sz w:val="18"/>
                <w:szCs w:val="18"/>
              </w:rPr>
              <w:t>锁定期</w:t>
            </w:r>
            <w:r>
              <w:rPr>
                <w:rFonts w:ascii="宋体" w:hAnsi="宋体" w:cs="宋体" w:eastAsia="宋体" w:hint="default"/>
                <w:spacing w:val="-42"/>
                <w:sz w:val="18"/>
                <w:szCs w:val="18"/>
              </w:rPr>
              <w:t> </w:t>
            </w:r>
            <w:r>
              <w:rPr>
                <w:rFonts w:ascii="宋体" w:hAnsi="宋体" w:cs="宋体" w:eastAsia="宋体" w:hint="default"/>
                <w:sz w:val="18"/>
                <w:szCs w:val="18"/>
              </w:rPr>
              <w:t>满后</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24</w:t>
            </w:r>
          </w:p>
          <w:p>
            <w:pPr>
              <w:pStyle w:val="TableParagraph"/>
              <w:spacing w:line="234" w:lineRule="exact" w:before="7"/>
              <w:ind w:left="105" w:right="15"/>
              <w:jc w:val="both"/>
              <w:rPr>
                <w:rFonts w:ascii="宋体" w:hAnsi="宋体" w:cs="宋体" w:eastAsia="宋体" w:hint="default"/>
                <w:sz w:val="18"/>
                <w:szCs w:val="18"/>
              </w:rPr>
            </w:pPr>
            <w:r>
              <w:rPr>
                <w:rFonts w:ascii="宋体" w:hAnsi="宋体" w:cs="宋体" w:eastAsia="宋体" w:hint="default"/>
                <w:sz w:val="18"/>
                <w:szCs w:val="18"/>
              </w:rPr>
              <w:t>个月内； </w:t>
            </w:r>
            <w:r>
              <w:rPr>
                <w:rFonts w:ascii="宋体" w:hAnsi="宋体" w:cs="宋体" w:eastAsia="宋体" w:hint="default"/>
                <w:spacing w:val="32"/>
                <w:sz w:val="18"/>
                <w:szCs w:val="18"/>
              </w:rPr>
              <w:t>自任职</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11" w:lineRule="exact"/>
              <w:ind w:left="105" w:right="0"/>
              <w:jc w:val="both"/>
              <w:rPr>
                <w:rFonts w:ascii="宋体" w:hAnsi="宋体" w:cs="宋体" w:eastAsia="宋体" w:hint="default"/>
                <w:sz w:val="18"/>
                <w:szCs w:val="18"/>
              </w:rPr>
            </w:pPr>
            <w:r>
              <w:rPr>
                <w:rFonts w:ascii="宋体" w:hAnsi="宋体" w:cs="宋体" w:eastAsia="宋体" w:hint="default"/>
                <w:spacing w:val="32"/>
                <w:sz w:val="18"/>
                <w:szCs w:val="18"/>
              </w:rPr>
              <w:t>之日起</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2" w:lineRule="exact" w:before="24"/>
              <w:ind w:left="105" w:right="48"/>
              <w:jc w:val="both"/>
              <w:rPr>
                <w:rFonts w:ascii="宋体" w:hAnsi="宋体" w:cs="宋体" w:eastAsia="宋体" w:hint="default"/>
                <w:sz w:val="18"/>
                <w:szCs w:val="18"/>
              </w:rPr>
            </w:pPr>
            <w:r>
              <w:rPr>
                <w:rFonts w:ascii="宋体" w:hAnsi="宋体" w:cs="宋体" w:eastAsia="宋体" w:hint="default"/>
                <w:spacing w:val="10"/>
                <w:sz w:val="18"/>
                <w:szCs w:val="18"/>
              </w:rPr>
              <w:t>至卸任</w:t>
            </w:r>
            <w:r>
              <w:rPr>
                <w:rFonts w:ascii="Times New Roman" w:hAnsi="Times New Roman" w:cs="Times New Roman" w:eastAsia="Times New Roman" w:hint="default"/>
                <w:spacing w:val="10"/>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pacing w:val="32"/>
                <w:sz w:val="18"/>
                <w:szCs w:val="18"/>
              </w:rPr>
              <w:t>离职后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6"/>
                <w:sz w:val="18"/>
                <w:szCs w:val="18"/>
              </w:rPr>
              <w:t> </w:t>
            </w:r>
            <w:r>
              <w:rPr>
                <w:rFonts w:ascii="宋体" w:hAnsi="宋体" w:cs="宋体" w:eastAsia="宋体" w:hint="default"/>
                <w:spacing w:val="24"/>
                <w:sz w:val="18"/>
                <w:szCs w:val="18"/>
              </w:rPr>
              <w:t>个月</w:t>
            </w:r>
            <w:r>
              <w:rPr>
                <w:rFonts w:ascii="宋体" w:hAnsi="宋体" w:cs="宋体" w:eastAsia="宋体" w:hint="default"/>
                <w:spacing w:val="-42"/>
                <w:sz w:val="18"/>
                <w:szCs w:val="18"/>
              </w:rPr>
              <w:t> </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1" w:lineRule="exact"/>
        <w:jc w:val="left"/>
        <w:rPr>
          <w:rFonts w:ascii="宋体" w:hAnsi="宋体" w:cs="宋体" w:eastAsia="宋体" w:hint="default"/>
          <w:sz w:val="21"/>
          <w:szCs w:val="21"/>
        </w:rPr>
        <w:sectPr>
          <w:headerReference w:type="default" r:id="rId26"/>
          <w:footerReference w:type="default" r:id="rId27"/>
          <w:pgSz w:w="16840" w:h="11910" w:orient="landscape"/>
          <w:pgMar w:header="880" w:footer="1195" w:top="1120" w:bottom="1380" w:left="1280" w:right="1220"/>
          <w:pgNumType w:start="31"/>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263"/>
        <w:gridCol w:w="708"/>
        <w:gridCol w:w="994"/>
        <w:gridCol w:w="6803"/>
        <w:gridCol w:w="853"/>
        <w:gridCol w:w="850"/>
        <w:gridCol w:w="852"/>
        <w:gridCol w:w="850"/>
        <w:gridCol w:w="936"/>
      </w:tblGrid>
      <w:tr>
        <w:trPr>
          <w:trHeight w:val="242" w:hRule="exact"/>
        </w:trPr>
        <w:tc>
          <w:tcPr>
            <w:tcW w:w="1263" w:type="dxa"/>
            <w:vMerge w:val="restart"/>
            <w:tcBorders>
              <w:top w:val="single" w:sz="4" w:space="0" w:color="000000"/>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80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内。</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2345" w:hRule="exact"/>
        </w:trPr>
        <w:tc>
          <w:tcPr>
            <w:tcW w:w="1263"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股份</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格尔实业</w:t>
            </w:r>
          </w:p>
        </w:tc>
        <w:tc>
          <w:tcPr>
            <w:tcW w:w="680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除本次公开发售的股份外，自公司股票上市之日起</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个月内，不转让或者委托他人</w:t>
            </w:r>
          </w:p>
          <w:p>
            <w:pPr>
              <w:pStyle w:val="TableParagraph"/>
              <w:spacing w:line="232" w:lineRule="exact" w:before="17"/>
              <w:ind w:left="103" w:right="98"/>
              <w:jc w:val="both"/>
              <w:rPr>
                <w:rFonts w:ascii="宋体" w:hAnsi="宋体" w:cs="宋体" w:eastAsia="宋体" w:hint="default"/>
                <w:sz w:val="18"/>
                <w:szCs w:val="18"/>
              </w:rPr>
            </w:pPr>
            <w:r>
              <w:rPr>
                <w:rFonts w:ascii="宋体" w:hAnsi="宋体" w:cs="宋体" w:eastAsia="宋体" w:hint="default"/>
                <w:spacing w:val="-2"/>
                <w:sz w:val="18"/>
                <w:szCs w:val="18"/>
              </w:rPr>
              <w:t>管理其直接或间接持有的公司首次公开发行股票前已发行的股份，也不由公司回购该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部分股份。若在前述锁定期满后两年内减持公司股票的，减持价格不低于发行价；若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公司股票在锁定期内发生派息、送股、资本公积转增股本等除权除息事项，发行价应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做相应除权除息处理；上市后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个月内如公司股票连续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个交易日的收盘价均低于</w:t>
            </w:r>
          </w:p>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发行价，或者上市后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个月期末收盘价低于发行价，其持有的公司股票将在上述锁定</w:t>
            </w:r>
          </w:p>
          <w:p>
            <w:pPr>
              <w:pStyle w:val="TableParagraph"/>
              <w:spacing w:line="232" w:lineRule="auto"/>
              <w:ind w:left="103" w:right="99"/>
              <w:jc w:val="left"/>
              <w:rPr>
                <w:rFonts w:ascii="宋体" w:hAnsi="宋体" w:cs="宋体" w:eastAsia="宋体" w:hint="default"/>
                <w:sz w:val="18"/>
                <w:szCs w:val="18"/>
              </w:rPr>
            </w:pPr>
            <w:r>
              <w:rPr>
                <w:rFonts w:ascii="宋体" w:hAnsi="宋体" w:cs="宋体" w:eastAsia="宋体" w:hint="default"/>
                <w:sz w:val="18"/>
                <w:szCs w:val="18"/>
              </w:rPr>
              <w:t>期限届满后自动延长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个月的锁定期。 </w:t>
            </w:r>
            <w:r>
              <w:rPr>
                <w:rFonts w:ascii="宋体" w:hAnsi="宋体" w:cs="宋体" w:eastAsia="宋体" w:hint="default"/>
                <w:spacing w:val="-2"/>
                <w:sz w:val="18"/>
                <w:szCs w:val="18"/>
              </w:rPr>
              <w:t>如违反上述承诺减持公司股份的，违规减持所得的收益归属公司所有，如其未将违规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减持所得的收益及时上缴公司的，公司有权将应付其现金分红中等额于违规减持所得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收益的部分扣留并归为公司所有。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both"/>
              <w:rPr>
                <w:rFonts w:ascii="宋体" w:hAnsi="宋体" w:cs="宋体" w:eastAsia="宋体" w:hint="default"/>
                <w:sz w:val="18"/>
                <w:szCs w:val="18"/>
              </w:rPr>
            </w:pPr>
            <w:r>
              <w:rPr>
                <w:rFonts w:ascii="宋体" w:hAnsi="宋体" w:cs="宋体" w:eastAsia="宋体" w:hint="default"/>
                <w:spacing w:val="32"/>
                <w:sz w:val="18"/>
                <w:szCs w:val="18"/>
              </w:rPr>
              <w:t>自上市</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2" w:lineRule="exact" w:before="24"/>
              <w:ind w:left="105" w:right="51"/>
              <w:jc w:val="both"/>
              <w:rPr>
                <w:rFonts w:ascii="宋体" w:hAnsi="宋体" w:cs="宋体" w:eastAsia="宋体" w:hint="default"/>
                <w:sz w:val="18"/>
                <w:szCs w:val="18"/>
              </w:rPr>
            </w:pPr>
            <w:r>
              <w:rPr>
                <w:rFonts w:ascii="宋体" w:hAnsi="宋体" w:cs="宋体" w:eastAsia="宋体" w:hint="default"/>
                <w:spacing w:val="32"/>
                <w:sz w:val="18"/>
                <w:szCs w:val="18"/>
              </w:rPr>
              <w:t>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w:t>
            </w:r>
            <w:r>
              <w:rPr>
                <w:rFonts w:ascii="宋体" w:hAnsi="宋体" w:cs="宋体" w:eastAsia="宋体" w:hint="default"/>
                <w:spacing w:val="2"/>
                <w:sz w:val="18"/>
                <w:szCs w:val="18"/>
              </w:rPr>
              <w:t> </w:t>
            </w:r>
            <w:r>
              <w:rPr>
                <w:rFonts w:ascii="宋体" w:hAnsi="宋体" w:cs="宋体" w:eastAsia="宋体" w:hint="default"/>
                <w:spacing w:val="-22"/>
                <w:sz w:val="18"/>
                <w:szCs w:val="18"/>
              </w:rPr>
              <w:t>内；自限</w:t>
            </w:r>
          </w:p>
          <w:p>
            <w:pPr>
              <w:pStyle w:val="TableParagraph"/>
              <w:spacing w:line="212" w:lineRule="exact"/>
              <w:ind w:left="105" w:right="0"/>
              <w:jc w:val="both"/>
              <w:rPr>
                <w:rFonts w:ascii="宋体" w:hAnsi="宋体" w:cs="宋体" w:eastAsia="宋体" w:hint="default"/>
                <w:sz w:val="18"/>
                <w:szCs w:val="18"/>
              </w:rPr>
            </w:pPr>
            <w:r>
              <w:rPr>
                <w:rFonts w:ascii="宋体" w:hAnsi="宋体" w:cs="宋体" w:eastAsia="宋体" w:hint="default"/>
                <w:spacing w:val="32"/>
                <w:sz w:val="18"/>
                <w:szCs w:val="18"/>
              </w:rPr>
              <w:t>售股份</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2" w:lineRule="exact" w:before="24"/>
              <w:ind w:left="105" w:right="51"/>
              <w:jc w:val="both"/>
              <w:rPr>
                <w:rFonts w:ascii="Times New Roman" w:hAnsi="Times New Roman" w:cs="Times New Roman" w:eastAsia="Times New Roman" w:hint="default"/>
                <w:sz w:val="18"/>
                <w:szCs w:val="18"/>
              </w:rPr>
            </w:pPr>
            <w:r>
              <w:rPr>
                <w:rFonts w:ascii="宋体" w:hAnsi="宋体" w:cs="宋体" w:eastAsia="宋体" w:hint="default"/>
                <w:spacing w:val="32"/>
                <w:sz w:val="18"/>
                <w:szCs w:val="18"/>
              </w:rPr>
              <w:t>锁定期</w:t>
            </w:r>
            <w:r>
              <w:rPr>
                <w:rFonts w:ascii="宋体" w:hAnsi="宋体" w:cs="宋体" w:eastAsia="宋体" w:hint="default"/>
                <w:spacing w:val="-42"/>
                <w:sz w:val="18"/>
                <w:szCs w:val="18"/>
              </w:rPr>
              <w:t> </w:t>
            </w:r>
            <w:r>
              <w:rPr>
                <w:rFonts w:ascii="宋体" w:hAnsi="宋体" w:cs="宋体" w:eastAsia="宋体" w:hint="default"/>
                <w:sz w:val="18"/>
                <w:szCs w:val="18"/>
              </w:rPr>
              <w:t>满后</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24</w:t>
            </w:r>
          </w:p>
          <w:p>
            <w:pPr>
              <w:pStyle w:val="TableParagraph"/>
              <w:spacing w:line="212" w:lineRule="exact"/>
              <w:ind w:left="105" w:right="0"/>
              <w:jc w:val="both"/>
              <w:rPr>
                <w:rFonts w:ascii="宋体" w:hAnsi="宋体" w:cs="宋体" w:eastAsia="宋体" w:hint="default"/>
                <w:sz w:val="18"/>
                <w:szCs w:val="18"/>
              </w:rPr>
            </w:pPr>
            <w:r>
              <w:rPr>
                <w:rFonts w:ascii="宋体" w:hAnsi="宋体" w:cs="宋体" w:eastAsia="宋体" w:hint="default"/>
                <w:sz w:val="18"/>
                <w:szCs w:val="18"/>
              </w:rPr>
              <w:t>个月内。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279" w:hRule="exact"/>
        </w:trPr>
        <w:tc>
          <w:tcPr>
            <w:tcW w:w="1263"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股份</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杨文山、</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7" w:lineRule="auto"/>
              <w:ind w:left="103" w:right="83"/>
              <w:jc w:val="both"/>
              <w:rPr>
                <w:rFonts w:ascii="宋体" w:hAnsi="宋体" w:cs="宋体" w:eastAsia="宋体" w:hint="default"/>
                <w:sz w:val="18"/>
                <w:szCs w:val="18"/>
              </w:rPr>
            </w:pPr>
            <w:r>
              <w:rPr>
                <w:rFonts w:ascii="宋体" w:hAnsi="宋体" w:cs="宋体" w:eastAsia="宋体" w:hint="default"/>
                <w:spacing w:val="14"/>
                <w:sz w:val="18"/>
                <w:szCs w:val="18"/>
              </w:rPr>
              <w:t>周海华、</w:t>
            </w:r>
            <w:r>
              <w:rPr>
                <w:rFonts w:ascii="宋体" w:hAnsi="宋体" w:cs="宋体" w:eastAsia="宋体" w:hint="default"/>
                <w:spacing w:val="-71"/>
                <w:sz w:val="18"/>
                <w:szCs w:val="18"/>
              </w:rPr>
              <w:t> </w:t>
            </w:r>
            <w:r>
              <w:rPr>
                <w:rFonts w:ascii="宋体" w:hAnsi="宋体" w:cs="宋体" w:eastAsia="宋体" w:hint="default"/>
                <w:spacing w:val="14"/>
                <w:sz w:val="18"/>
                <w:szCs w:val="18"/>
              </w:rPr>
              <w:t>叶枫、陈</w:t>
            </w:r>
            <w:r>
              <w:rPr>
                <w:rFonts w:ascii="宋体" w:hAnsi="宋体" w:cs="宋体" w:eastAsia="宋体" w:hint="default"/>
                <w:spacing w:val="-71"/>
                <w:sz w:val="18"/>
                <w:szCs w:val="18"/>
              </w:rPr>
              <w:t> </w:t>
            </w:r>
            <w:r>
              <w:rPr>
                <w:rFonts w:ascii="宋体" w:hAnsi="宋体" w:cs="宋体" w:eastAsia="宋体" w:hint="default"/>
                <w:sz w:val="18"/>
                <w:szCs w:val="18"/>
              </w:rPr>
              <w:t>宁生</w:t>
            </w:r>
          </w:p>
        </w:tc>
        <w:tc>
          <w:tcPr>
            <w:tcW w:w="680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除本次公开发售的股份外，自公司股票上市之日起</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个月内，不转让或者委托他人</w:t>
            </w:r>
          </w:p>
          <w:p>
            <w:pPr>
              <w:pStyle w:val="TableParagraph"/>
              <w:spacing w:line="237" w:lineRule="auto"/>
              <w:ind w:left="103" w:right="98"/>
              <w:jc w:val="both"/>
              <w:rPr>
                <w:rFonts w:ascii="宋体" w:hAnsi="宋体" w:cs="宋体" w:eastAsia="宋体" w:hint="default"/>
                <w:sz w:val="18"/>
                <w:szCs w:val="18"/>
              </w:rPr>
            </w:pPr>
            <w:r>
              <w:rPr>
                <w:rFonts w:ascii="宋体" w:hAnsi="宋体" w:cs="宋体" w:eastAsia="宋体" w:hint="default"/>
                <w:spacing w:val="-2"/>
                <w:sz w:val="18"/>
                <w:szCs w:val="18"/>
              </w:rPr>
              <w:t>管理其直接或间接持有的公司首次公开发行股票前已发行的股份，也不由公司回购该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部分股份。若在前述锁定期满后两年内减持公司股票的，减持价格不低于发行价；若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公司股票在锁定期内发生派息、送股、资本公积转增股本等除权除息事项，发行价应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做相应除权除息处理；上市后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个月内如公司股票连续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个交易日的收盘价均低于</w:t>
            </w:r>
          </w:p>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发行价，或者上市后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个月期末收盘价低于发行价，其持有的公司股票将在上述锁定</w:t>
            </w:r>
          </w:p>
          <w:p>
            <w:pPr>
              <w:pStyle w:val="TableParagraph"/>
              <w:spacing w:line="232" w:lineRule="auto"/>
              <w:ind w:left="103" w:right="10"/>
              <w:jc w:val="left"/>
              <w:rPr>
                <w:rFonts w:ascii="宋体" w:hAnsi="宋体" w:cs="宋体" w:eastAsia="宋体" w:hint="default"/>
                <w:sz w:val="18"/>
                <w:szCs w:val="18"/>
              </w:rPr>
            </w:pPr>
            <w:r>
              <w:rPr>
                <w:rFonts w:ascii="宋体" w:hAnsi="宋体" w:cs="宋体" w:eastAsia="宋体" w:hint="default"/>
                <w:sz w:val="18"/>
                <w:szCs w:val="18"/>
              </w:rPr>
              <w:t>期限届满后自动延长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个月的锁定期。 </w:t>
            </w:r>
            <w:r>
              <w:rPr>
                <w:rFonts w:ascii="宋体" w:hAnsi="宋体" w:cs="宋体" w:eastAsia="宋体" w:hint="default"/>
                <w:spacing w:val="-2"/>
                <w:sz w:val="18"/>
                <w:szCs w:val="18"/>
              </w:rPr>
              <w:t>除上述锁定期外，其在公司任职期间每年转让的股份不超过其所持有公司股份总数的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；离职后</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个月内，不转让其所持有的公司股份。其不因职务变更、离职等原因，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而放弃履行上述承诺。 </w:t>
            </w:r>
            <w:r>
              <w:rPr>
                <w:rFonts w:ascii="宋体" w:hAnsi="宋体" w:cs="宋体" w:eastAsia="宋体" w:hint="default"/>
                <w:spacing w:val="-2"/>
                <w:sz w:val="18"/>
                <w:szCs w:val="18"/>
              </w:rPr>
              <w:t>如违反上述承诺减持公司股份的，违规减持所得的收益归属公司所有，如其未将违规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减持所得的收益及时上缴公司的，公司有权将应付其现金分红中等额于违规减持所得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收益的部分扣留并归为公司所有。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both"/>
              <w:rPr>
                <w:rFonts w:ascii="宋体" w:hAnsi="宋体" w:cs="宋体" w:eastAsia="宋体" w:hint="default"/>
                <w:sz w:val="18"/>
                <w:szCs w:val="18"/>
              </w:rPr>
            </w:pPr>
            <w:r>
              <w:rPr>
                <w:rFonts w:ascii="宋体" w:hAnsi="宋体" w:cs="宋体" w:eastAsia="宋体" w:hint="default"/>
                <w:spacing w:val="32"/>
                <w:sz w:val="18"/>
                <w:szCs w:val="18"/>
              </w:rPr>
              <w:t>自上市</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2" w:lineRule="auto" w:before="5"/>
              <w:ind w:left="105" w:right="51"/>
              <w:jc w:val="both"/>
              <w:rPr>
                <w:rFonts w:ascii="宋体" w:hAnsi="宋体" w:cs="宋体" w:eastAsia="宋体" w:hint="default"/>
                <w:sz w:val="18"/>
                <w:szCs w:val="18"/>
              </w:rPr>
            </w:pPr>
            <w:r>
              <w:rPr>
                <w:rFonts w:ascii="宋体" w:hAnsi="宋体" w:cs="宋体" w:eastAsia="宋体" w:hint="default"/>
                <w:spacing w:val="32"/>
                <w:sz w:val="18"/>
                <w:szCs w:val="18"/>
              </w:rPr>
              <w:t>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w:t>
            </w:r>
            <w:r>
              <w:rPr>
                <w:rFonts w:ascii="宋体" w:hAnsi="宋体" w:cs="宋体" w:eastAsia="宋体" w:hint="default"/>
                <w:spacing w:val="2"/>
                <w:sz w:val="18"/>
                <w:szCs w:val="18"/>
              </w:rPr>
              <w:t> </w:t>
            </w:r>
            <w:r>
              <w:rPr>
                <w:rFonts w:ascii="宋体" w:hAnsi="宋体" w:cs="宋体" w:eastAsia="宋体" w:hint="default"/>
                <w:spacing w:val="-22"/>
                <w:sz w:val="18"/>
                <w:szCs w:val="18"/>
              </w:rPr>
              <w:t>内；自限</w:t>
            </w:r>
          </w:p>
          <w:p>
            <w:pPr>
              <w:pStyle w:val="TableParagraph"/>
              <w:spacing w:line="237" w:lineRule="auto"/>
              <w:ind w:left="105" w:right="51"/>
              <w:jc w:val="both"/>
              <w:rPr>
                <w:rFonts w:ascii="Times New Roman" w:hAnsi="Times New Roman" w:cs="Times New Roman" w:eastAsia="Times New Roman" w:hint="default"/>
                <w:sz w:val="18"/>
                <w:szCs w:val="18"/>
              </w:rPr>
            </w:pPr>
            <w:r>
              <w:rPr>
                <w:rFonts w:ascii="宋体" w:hAnsi="宋体" w:cs="宋体" w:eastAsia="宋体" w:hint="default"/>
                <w:spacing w:val="32"/>
                <w:sz w:val="18"/>
                <w:szCs w:val="18"/>
              </w:rPr>
              <w:t>售股份</w:t>
            </w:r>
            <w:r>
              <w:rPr>
                <w:rFonts w:ascii="宋体" w:hAnsi="宋体" w:cs="宋体" w:eastAsia="宋体" w:hint="default"/>
                <w:spacing w:val="-42"/>
                <w:sz w:val="18"/>
                <w:szCs w:val="18"/>
              </w:rPr>
              <w:t> </w:t>
            </w:r>
            <w:r>
              <w:rPr>
                <w:rFonts w:ascii="宋体" w:hAnsi="宋体" w:cs="宋体" w:eastAsia="宋体" w:hint="default"/>
                <w:spacing w:val="32"/>
                <w:sz w:val="18"/>
                <w:szCs w:val="18"/>
              </w:rPr>
              <w:t>锁定期</w:t>
            </w:r>
            <w:r>
              <w:rPr>
                <w:rFonts w:ascii="宋体" w:hAnsi="宋体" w:cs="宋体" w:eastAsia="宋体" w:hint="default"/>
                <w:spacing w:val="-42"/>
                <w:sz w:val="18"/>
                <w:szCs w:val="18"/>
              </w:rPr>
              <w:t> </w:t>
            </w:r>
            <w:r>
              <w:rPr>
                <w:rFonts w:ascii="宋体" w:hAnsi="宋体" w:cs="宋体" w:eastAsia="宋体" w:hint="default"/>
                <w:sz w:val="18"/>
                <w:szCs w:val="18"/>
              </w:rPr>
              <w:t>满后</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24</w:t>
            </w:r>
          </w:p>
          <w:p>
            <w:pPr>
              <w:pStyle w:val="TableParagraph"/>
              <w:spacing w:line="232" w:lineRule="exact" w:before="8"/>
              <w:ind w:left="105" w:right="15"/>
              <w:jc w:val="both"/>
              <w:rPr>
                <w:rFonts w:ascii="宋体" w:hAnsi="宋体" w:cs="宋体" w:eastAsia="宋体" w:hint="default"/>
                <w:sz w:val="18"/>
                <w:szCs w:val="18"/>
              </w:rPr>
            </w:pPr>
            <w:r>
              <w:rPr>
                <w:rFonts w:ascii="宋体" w:hAnsi="宋体" w:cs="宋体" w:eastAsia="宋体" w:hint="default"/>
                <w:sz w:val="18"/>
                <w:szCs w:val="18"/>
              </w:rPr>
              <w:t>个月内； </w:t>
            </w:r>
            <w:r>
              <w:rPr>
                <w:rFonts w:ascii="宋体" w:hAnsi="宋体" w:cs="宋体" w:eastAsia="宋体" w:hint="default"/>
                <w:spacing w:val="32"/>
                <w:sz w:val="18"/>
                <w:szCs w:val="18"/>
              </w:rPr>
              <w:t>自任职</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12" w:lineRule="exact"/>
              <w:ind w:left="105" w:right="0"/>
              <w:jc w:val="both"/>
              <w:rPr>
                <w:rFonts w:ascii="宋体" w:hAnsi="宋体" w:cs="宋体" w:eastAsia="宋体" w:hint="default"/>
                <w:sz w:val="18"/>
                <w:szCs w:val="18"/>
              </w:rPr>
            </w:pPr>
            <w:r>
              <w:rPr>
                <w:rFonts w:ascii="宋体" w:hAnsi="宋体" w:cs="宋体" w:eastAsia="宋体" w:hint="default"/>
                <w:spacing w:val="32"/>
                <w:sz w:val="18"/>
                <w:szCs w:val="18"/>
              </w:rPr>
              <w:t>之日起</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0" w:lineRule="auto" w:before="8"/>
              <w:ind w:left="105" w:right="48"/>
              <w:jc w:val="both"/>
              <w:rPr>
                <w:rFonts w:ascii="宋体" w:hAnsi="宋体" w:cs="宋体" w:eastAsia="宋体" w:hint="default"/>
                <w:sz w:val="18"/>
                <w:szCs w:val="18"/>
              </w:rPr>
            </w:pPr>
            <w:r>
              <w:rPr>
                <w:rFonts w:ascii="宋体" w:hAnsi="宋体" w:cs="宋体" w:eastAsia="宋体" w:hint="default"/>
                <w:spacing w:val="10"/>
                <w:sz w:val="18"/>
                <w:szCs w:val="18"/>
              </w:rPr>
              <w:t>至卸任</w:t>
            </w:r>
            <w:r>
              <w:rPr>
                <w:rFonts w:ascii="Times New Roman" w:hAnsi="Times New Roman" w:cs="Times New Roman" w:eastAsia="Times New Roman" w:hint="default"/>
                <w:spacing w:val="10"/>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pacing w:val="32"/>
                <w:sz w:val="18"/>
                <w:szCs w:val="18"/>
              </w:rPr>
              <w:t>离职后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pacing w:val="24"/>
                <w:sz w:val="18"/>
                <w:szCs w:val="18"/>
              </w:rPr>
              <w:t>个月</w:t>
            </w:r>
            <w:r>
              <w:rPr>
                <w:rFonts w:ascii="宋体" w:hAnsi="宋体" w:cs="宋体" w:eastAsia="宋体" w:hint="default"/>
                <w:spacing w:val="-42"/>
                <w:sz w:val="18"/>
                <w:szCs w:val="18"/>
              </w:rPr>
              <w:t> </w:t>
            </w:r>
            <w:r>
              <w:rPr>
                <w:rFonts w:ascii="宋体" w:hAnsi="宋体" w:cs="宋体" w:eastAsia="宋体" w:hint="default"/>
                <w:sz w:val="18"/>
                <w:szCs w:val="18"/>
              </w:rPr>
              <w:t>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110" w:hRule="exact"/>
        </w:trPr>
        <w:tc>
          <w:tcPr>
            <w:tcW w:w="1263"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股份</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任伟、范</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峰</w:t>
            </w:r>
          </w:p>
        </w:tc>
        <w:tc>
          <w:tcPr>
            <w:tcW w:w="680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除本次公开发售的股份外，自公司股票上市之日起</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个月内，不转让或者委托他人</w:t>
            </w:r>
          </w:p>
          <w:p>
            <w:pPr>
              <w:pStyle w:val="TableParagraph"/>
              <w:spacing w:line="235" w:lineRule="auto"/>
              <w:ind w:left="103" w:right="10"/>
              <w:jc w:val="left"/>
              <w:rPr>
                <w:rFonts w:ascii="宋体" w:hAnsi="宋体" w:cs="宋体" w:eastAsia="宋体" w:hint="default"/>
                <w:sz w:val="18"/>
                <w:szCs w:val="18"/>
              </w:rPr>
            </w:pPr>
            <w:r>
              <w:rPr>
                <w:rFonts w:ascii="宋体" w:hAnsi="宋体" w:cs="宋体" w:eastAsia="宋体" w:hint="default"/>
                <w:spacing w:val="-2"/>
                <w:sz w:val="18"/>
                <w:szCs w:val="18"/>
              </w:rPr>
              <w:t>管理其直接或间接持有的公司首次公开发行股票前已发行的股份，也不由公司回购该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部分股份。 </w:t>
            </w:r>
            <w:r>
              <w:rPr>
                <w:rFonts w:ascii="宋体" w:hAnsi="宋体" w:cs="宋体" w:eastAsia="宋体" w:hint="default"/>
                <w:spacing w:val="-2"/>
                <w:sz w:val="18"/>
                <w:szCs w:val="18"/>
              </w:rPr>
              <w:t>除上述锁定期外，其在公司任职期间每年转让的股份不超过其所持有公司股份总数的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；离职后</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个月内，不转让其所持有的公司股份。其不因职务变更、离职等原因，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而放弃履行上述承诺。 </w:t>
            </w:r>
            <w:r>
              <w:rPr>
                <w:rFonts w:ascii="宋体" w:hAnsi="宋体" w:cs="宋体" w:eastAsia="宋体" w:hint="default"/>
                <w:spacing w:val="-2"/>
                <w:sz w:val="18"/>
                <w:szCs w:val="18"/>
              </w:rPr>
              <w:t>如违反上述承诺减持公司股份的，违规减持所得的收益归属公司所有，如其未将违规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减持所得的收益及时上缴公司的，公司有权将应付其现金分红中等额于违规减持所得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收益的部分扣留并归为公司所有。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both"/>
              <w:rPr>
                <w:rFonts w:ascii="宋体" w:hAnsi="宋体" w:cs="宋体" w:eastAsia="宋体" w:hint="default"/>
                <w:sz w:val="18"/>
                <w:szCs w:val="18"/>
              </w:rPr>
            </w:pPr>
            <w:r>
              <w:rPr>
                <w:rFonts w:ascii="宋体" w:hAnsi="宋体" w:cs="宋体" w:eastAsia="宋体" w:hint="default"/>
                <w:spacing w:val="32"/>
                <w:sz w:val="18"/>
                <w:szCs w:val="18"/>
              </w:rPr>
              <w:t>自上市</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2" w:lineRule="auto" w:before="5"/>
              <w:ind w:left="105" w:right="51"/>
              <w:jc w:val="both"/>
              <w:rPr>
                <w:rFonts w:ascii="宋体" w:hAnsi="宋体" w:cs="宋体" w:eastAsia="宋体" w:hint="default"/>
                <w:sz w:val="18"/>
                <w:szCs w:val="18"/>
              </w:rPr>
            </w:pPr>
            <w:r>
              <w:rPr>
                <w:rFonts w:ascii="宋体" w:hAnsi="宋体" w:cs="宋体" w:eastAsia="宋体" w:hint="default"/>
                <w:spacing w:val="32"/>
                <w:sz w:val="18"/>
                <w:szCs w:val="18"/>
              </w:rPr>
              <w:t>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w:t>
            </w:r>
            <w:r>
              <w:rPr>
                <w:rFonts w:ascii="宋体" w:hAnsi="宋体" w:cs="宋体" w:eastAsia="宋体" w:hint="default"/>
                <w:spacing w:val="2"/>
                <w:sz w:val="18"/>
                <w:szCs w:val="18"/>
              </w:rPr>
              <w:t> </w:t>
            </w:r>
            <w:r>
              <w:rPr>
                <w:rFonts w:ascii="宋体" w:hAnsi="宋体" w:cs="宋体" w:eastAsia="宋体" w:hint="default"/>
                <w:spacing w:val="-22"/>
                <w:sz w:val="18"/>
                <w:szCs w:val="18"/>
              </w:rPr>
              <w:t>内；自任</w:t>
            </w:r>
          </w:p>
          <w:p>
            <w:pPr>
              <w:pStyle w:val="TableParagraph"/>
              <w:spacing w:line="230" w:lineRule="auto" w:before="6"/>
              <w:ind w:left="105" w:right="51"/>
              <w:jc w:val="both"/>
              <w:rPr>
                <w:rFonts w:ascii="宋体" w:hAnsi="宋体" w:cs="宋体" w:eastAsia="宋体" w:hint="default"/>
                <w:sz w:val="18"/>
                <w:szCs w:val="18"/>
              </w:rPr>
            </w:pPr>
            <w:r>
              <w:rPr>
                <w:rFonts w:ascii="宋体" w:hAnsi="宋体" w:cs="宋体" w:eastAsia="宋体" w:hint="default"/>
                <w:spacing w:val="32"/>
                <w:sz w:val="18"/>
                <w:szCs w:val="18"/>
              </w:rPr>
              <w:t>职之日</w:t>
            </w:r>
            <w:r>
              <w:rPr>
                <w:rFonts w:ascii="宋体" w:hAnsi="宋体" w:cs="宋体" w:eastAsia="宋体" w:hint="default"/>
                <w:spacing w:val="-42"/>
                <w:sz w:val="18"/>
                <w:szCs w:val="18"/>
              </w:rPr>
              <w:t> </w:t>
            </w:r>
            <w:r>
              <w:rPr>
                <w:rFonts w:ascii="宋体" w:hAnsi="宋体" w:cs="宋体" w:eastAsia="宋体" w:hint="default"/>
                <w:spacing w:val="32"/>
                <w:sz w:val="18"/>
                <w:szCs w:val="18"/>
              </w:rPr>
              <w:t>起至卸</w:t>
            </w:r>
            <w:r>
              <w:rPr>
                <w:rFonts w:ascii="宋体" w:hAnsi="宋体" w:cs="宋体" w:eastAsia="宋体" w:hint="default"/>
                <w:spacing w:val="-42"/>
                <w:sz w:val="18"/>
                <w:szCs w:val="18"/>
              </w:rPr>
              <w:t> </w:t>
            </w:r>
            <w:r>
              <w:rPr>
                <w:rFonts w:ascii="宋体" w:hAnsi="宋体" w:cs="宋体" w:eastAsia="宋体" w:hint="default"/>
                <w:spacing w:val="10"/>
                <w:sz w:val="18"/>
                <w:szCs w:val="18"/>
              </w:rPr>
              <w:t>任</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离职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后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 月内。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710" w:hRule="exact"/>
        </w:trPr>
        <w:tc>
          <w:tcPr>
            <w:tcW w:w="1263"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股份</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展荣投资</w:t>
            </w:r>
          </w:p>
        </w:tc>
        <w:tc>
          <w:tcPr>
            <w:tcW w:w="680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除本次公开发售的股份外，自公司股票上市之日起</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个月内，不转让或者委托他人</w:t>
            </w:r>
          </w:p>
          <w:p>
            <w:pPr>
              <w:pStyle w:val="TableParagraph"/>
              <w:spacing w:line="232" w:lineRule="exact" w:before="16"/>
              <w:ind w:left="103" w:right="99"/>
              <w:jc w:val="left"/>
              <w:rPr>
                <w:rFonts w:ascii="宋体" w:hAnsi="宋体" w:cs="宋体" w:eastAsia="宋体" w:hint="default"/>
                <w:sz w:val="18"/>
                <w:szCs w:val="18"/>
              </w:rPr>
            </w:pPr>
            <w:r>
              <w:rPr>
                <w:rFonts w:ascii="宋体" w:hAnsi="宋体" w:cs="宋体" w:eastAsia="宋体" w:hint="default"/>
                <w:spacing w:val="-2"/>
                <w:sz w:val="18"/>
                <w:szCs w:val="18"/>
              </w:rPr>
              <w:t>管理其直接或间接持有的公司首次公开发行股票前已发行的股份，也不由公司回购该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部分股份。若在前述锁定期满后两年内减持公司股票的，减持价格不低于发行价；若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32"/>
                <w:sz w:val="18"/>
                <w:szCs w:val="18"/>
              </w:rPr>
              <w:t>自上市</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3" w:lineRule="exact"/>
              <w:ind w:left="105" w:right="0"/>
              <w:jc w:val="left"/>
              <w:rPr>
                <w:rFonts w:ascii="宋体" w:hAnsi="宋体" w:cs="宋体" w:eastAsia="宋体" w:hint="default"/>
                <w:sz w:val="18"/>
                <w:szCs w:val="18"/>
              </w:rPr>
            </w:pPr>
            <w:r>
              <w:rPr>
                <w:rFonts w:ascii="宋体" w:hAnsi="宋体" w:cs="宋体" w:eastAsia="宋体" w:hint="default"/>
                <w:spacing w:val="32"/>
                <w:sz w:val="18"/>
                <w:szCs w:val="18"/>
              </w:rPr>
              <w:t>之日起</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48"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3" w:lineRule="exact"/>
        <w:jc w:val="left"/>
        <w:rPr>
          <w:rFonts w:ascii="宋体" w:hAnsi="宋体" w:cs="宋体" w:eastAsia="宋体" w:hint="default"/>
          <w:sz w:val="21"/>
          <w:szCs w:val="21"/>
        </w:rPr>
        <w:sectPr>
          <w:pgSz w:w="16840" w:h="11910" w:orient="landscape"/>
          <w:pgMar w:header="880" w:footer="1195" w:top="1120" w:bottom="1380" w:left="128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263"/>
        <w:gridCol w:w="708"/>
        <w:gridCol w:w="994"/>
        <w:gridCol w:w="6803"/>
        <w:gridCol w:w="853"/>
        <w:gridCol w:w="850"/>
        <w:gridCol w:w="852"/>
        <w:gridCol w:w="850"/>
        <w:gridCol w:w="936"/>
      </w:tblGrid>
      <w:tr>
        <w:trPr>
          <w:trHeight w:val="1176" w:hRule="exact"/>
        </w:trPr>
        <w:tc>
          <w:tcPr>
            <w:tcW w:w="1263" w:type="dxa"/>
            <w:vMerge w:val="restart"/>
            <w:tcBorders>
              <w:top w:val="single" w:sz="4" w:space="0" w:color="000000"/>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8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公司股票在锁定期内发生派息、送股、资本公积转增股本等除权除息事项，发行价应</w:t>
            </w:r>
          </w:p>
          <w:p>
            <w:pPr>
              <w:pStyle w:val="TableParagraph"/>
              <w:spacing w:line="237" w:lineRule="auto"/>
              <w:ind w:left="103" w:right="99"/>
              <w:jc w:val="left"/>
              <w:rPr>
                <w:rFonts w:ascii="宋体" w:hAnsi="宋体" w:cs="宋体" w:eastAsia="宋体" w:hint="default"/>
                <w:sz w:val="18"/>
                <w:szCs w:val="18"/>
              </w:rPr>
            </w:pPr>
            <w:r>
              <w:rPr>
                <w:rFonts w:ascii="宋体" w:hAnsi="宋体" w:cs="宋体" w:eastAsia="宋体" w:hint="default"/>
                <w:sz w:val="18"/>
                <w:szCs w:val="18"/>
              </w:rPr>
              <w:t>做相应除权除息处理。 </w:t>
            </w:r>
            <w:r>
              <w:rPr>
                <w:rFonts w:ascii="宋体" w:hAnsi="宋体" w:cs="宋体" w:eastAsia="宋体" w:hint="default"/>
                <w:spacing w:val="-2"/>
                <w:sz w:val="18"/>
                <w:szCs w:val="18"/>
              </w:rPr>
              <w:t>如违反上述承诺减持公司股份的，违规减持所得的收益归属公司所有，如其未将违规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减持所得的收益及时上缴公司的，公司有权将应付其现金分红中等额于违规减持所得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收益的部分扣留并归为公司所有。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both"/>
              <w:rPr>
                <w:rFonts w:ascii="宋体" w:hAnsi="宋体" w:cs="宋体" w:eastAsia="宋体" w:hint="default"/>
                <w:sz w:val="18"/>
                <w:szCs w:val="18"/>
              </w:rPr>
            </w:pPr>
            <w:r>
              <w:rPr>
                <w:rFonts w:ascii="宋体" w:hAnsi="宋体" w:cs="宋体" w:eastAsia="宋体" w:hint="default"/>
                <w:sz w:val="18"/>
                <w:szCs w:val="18"/>
              </w:rPr>
              <w:t>内</w:t>
            </w:r>
            <w:r>
              <w:rPr>
                <w:rFonts w:ascii="宋体" w:hAnsi="宋体" w:cs="宋体" w:eastAsia="宋体" w:hint="default"/>
                <w:spacing w:val="-85"/>
                <w:sz w:val="18"/>
                <w:szCs w:val="18"/>
              </w:rPr>
              <w:t>；</w:t>
            </w:r>
            <w:r>
              <w:rPr>
                <w:rFonts w:ascii="宋体" w:hAnsi="宋体" w:cs="宋体" w:eastAsia="宋体" w:hint="default"/>
                <w:sz w:val="18"/>
                <w:szCs w:val="18"/>
              </w:rPr>
              <w:t>自限</w:t>
            </w:r>
          </w:p>
          <w:p>
            <w:pPr>
              <w:pStyle w:val="TableParagraph"/>
              <w:spacing w:line="237" w:lineRule="auto"/>
              <w:ind w:left="105" w:right="51"/>
              <w:jc w:val="both"/>
              <w:rPr>
                <w:rFonts w:ascii="Times New Roman" w:hAnsi="Times New Roman" w:cs="Times New Roman" w:eastAsia="Times New Roman" w:hint="default"/>
                <w:sz w:val="18"/>
                <w:szCs w:val="18"/>
              </w:rPr>
            </w:pPr>
            <w:r>
              <w:rPr>
                <w:rFonts w:ascii="宋体" w:hAnsi="宋体" w:cs="宋体" w:eastAsia="宋体" w:hint="default"/>
                <w:spacing w:val="32"/>
                <w:sz w:val="18"/>
                <w:szCs w:val="18"/>
              </w:rPr>
              <w:t>售股份</w:t>
            </w:r>
            <w:r>
              <w:rPr>
                <w:rFonts w:ascii="宋体" w:hAnsi="宋体" w:cs="宋体" w:eastAsia="宋体" w:hint="default"/>
                <w:spacing w:val="-42"/>
                <w:sz w:val="18"/>
                <w:szCs w:val="18"/>
              </w:rPr>
              <w:t> </w:t>
            </w:r>
            <w:r>
              <w:rPr>
                <w:rFonts w:ascii="宋体" w:hAnsi="宋体" w:cs="宋体" w:eastAsia="宋体" w:hint="default"/>
                <w:spacing w:val="32"/>
                <w:sz w:val="18"/>
                <w:szCs w:val="18"/>
              </w:rPr>
              <w:t>锁定期</w:t>
            </w:r>
            <w:r>
              <w:rPr>
                <w:rFonts w:ascii="宋体" w:hAnsi="宋体" w:cs="宋体" w:eastAsia="宋体" w:hint="default"/>
                <w:spacing w:val="-42"/>
                <w:sz w:val="18"/>
                <w:szCs w:val="18"/>
              </w:rPr>
              <w:t> </w:t>
            </w:r>
            <w:r>
              <w:rPr>
                <w:rFonts w:ascii="宋体" w:hAnsi="宋体" w:cs="宋体" w:eastAsia="宋体" w:hint="default"/>
                <w:sz w:val="18"/>
                <w:szCs w:val="18"/>
              </w:rPr>
              <w:t>满后</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24</w:t>
            </w:r>
          </w:p>
          <w:p>
            <w:pPr>
              <w:pStyle w:val="TableParagraph"/>
              <w:spacing w:line="220" w:lineRule="exact"/>
              <w:ind w:left="105" w:right="0"/>
              <w:jc w:val="both"/>
              <w:rPr>
                <w:rFonts w:ascii="宋体" w:hAnsi="宋体" w:cs="宋体" w:eastAsia="宋体" w:hint="default"/>
                <w:sz w:val="18"/>
                <w:szCs w:val="18"/>
              </w:rPr>
            </w:pPr>
            <w:r>
              <w:rPr>
                <w:rFonts w:ascii="宋体" w:hAnsi="宋体" w:cs="宋体" w:eastAsia="宋体" w:hint="default"/>
                <w:sz w:val="18"/>
                <w:szCs w:val="18"/>
              </w:rPr>
              <w:t>个月内。</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1877" w:hRule="exact"/>
        </w:trPr>
        <w:tc>
          <w:tcPr>
            <w:tcW w:w="1263"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股份</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圣睿投资</w:t>
            </w:r>
          </w:p>
        </w:tc>
        <w:tc>
          <w:tcPr>
            <w:tcW w:w="680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除本次公开发售的股份外，自公司股票上市之日起</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个月内，不转让或者委托他人</w:t>
            </w:r>
          </w:p>
          <w:p>
            <w:pPr>
              <w:pStyle w:val="TableParagraph"/>
              <w:spacing w:line="237" w:lineRule="auto"/>
              <w:ind w:left="103" w:right="99"/>
              <w:jc w:val="left"/>
              <w:rPr>
                <w:rFonts w:ascii="宋体" w:hAnsi="宋体" w:cs="宋体" w:eastAsia="宋体" w:hint="default"/>
                <w:sz w:val="18"/>
                <w:szCs w:val="18"/>
              </w:rPr>
            </w:pPr>
            <w:r>
              <w:rPr>
                <w:rFonts w:ascii="宋体" w:hAnsi="宋体" w:cs="宋体" w:eastAsia="宋体" w:hint="default"/>
                <w:spacing w:val="-2"/>
                <w:sz w:val="18"/>
                <w:szCs w:val="18"/>
              </w:rPr>
              <w:t>管理其直接或间接持有的公司首次公开发行股票前已发行的股份，也不由公司回购该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部分股份。若在前述锁定期满后两年内减持公司股票的，减持价格不低于发行价；若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公司股票在锁定期内发生派息、送股、资本公积转增股本等除权除息事项，发行价应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做相应除权除息处理。 </w:t>
            </w:r>
            <w:r>
              <w:rPr>
                <w:rFonts w:ascii="宋体" w:hAnsi="宋体" w:cs="宋体" w:eastAsia="宋体" w:hint="default"/>
                <w:spacing w:val="-2"/>
                <w:sz w:val="18"/>
                <w:szCs w:val="18"/>
              </w:rPr>
              <w:t>如违反上述承诺减持公司股份的，违规减持所得的收益归属公司所有，如其未将违规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减持所得的收益及时上缴公司的，公司有权将应付其现金分红中等额于违规减持所得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收益的部分扣留并归为公司所有。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both"/>
              <w:rPr>
                <w:rFonts w:ascii="宋体" w:hAnsi="宋体" w:cs="宋体" w:eastAsia="宋体" w:hint="default"/>
                <w:sz w:val="18"/>
                <w:szCs w:val="18"/>
              </w:rPr>
            </w:pPr>
            <w:r>
              <w:rPr>
                <w:rFonts w:ascii="宋体" w:hAnsi="宋体" w:cs="宋体" w:eastAsia="宋体" w:hint="default"/>
                <w:spacing w:val="32"/>
                <w:sz w:val="18"/>
                <w:szCs w:val="18"/>
              </w:rPr>
              <w:t>自上市</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2" w:lineRule="exact" w:before="24"/>
              <w:ind w:left="105" w:right="51"/>
              <w:jc w:val="both"/>
              <w:rPr>
                <w:rFonts w:ascii="宋体" w:hAnsi="宋体" w:cs="宋体" w:eastAsia="宋体" w:hint="default"/>
                <w:sz w:val="18"/>
                <w:szCs w:val="18"/>
              </w:rPr>
            </w:pPr>
            <w:r>
              <w:rPr>
                <w:rFonts w:ascii="宋体" w:hAnsi="宋体" w:cs="宋体" w:eastAsia="宋体" w:hint="default"/>
                <w:spacing w:val="32"/>
                <w:sz w:val="18"/>
                <w:szCs w:val="18"/>
              </w:rPr>
              <w:t>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w:t>
            </w:r>
            <w:r>
              <w:rPr>
                <w:rFonts w:ascii="宋体" w:hAnsi="宋体" w:cs="宋体" w:eastAsia="宋体" w:hint="default"/>
                <w:spacing w:val="2"/>
                <w:sz w:val="18"/>
                <w:szCs w:val="18"/>
              </w:rPr>
              <w:t> </w:t>
            </w:r>
            <w:r>
              <w:rPr>
                <w:rFonts w:ascii="宋体" w:hAnsi="宋体" w:cs="宋体" w:eastAsia="宋体" w:hint="default"/>
                <w:spacing w:val="-22"/>
                <w:sz w:val="18"/>
                <w:szCs w:val="18"/>
              </w:rPr>
              <w:t>内；自限</w:t>
            </w:r>
          </w:p>
          <w:p>
            <w:pPr>
              <w:pStyle w:val="TableParagraph"/>
              <w:spacing w:line="212" w:lineRule="exact"/>
              <w:ind w:left="105" w:right="0"/>
              <w:jc w:val="both"/>
              <w:rPr>
                <w:rFonts w:ascii="宋体" w:hAnsi="宋体" w:cs="宋体" w:eastAsia="宋体" w:hint="default"/>
                <w:sz w:val="18"/>
                <w:szCs w:val="18"/>
              </w:rPr>
            </w:pPr>
            <w:r>
              <w:rPr>
                <w:rFonts w:ascii="宋体" w:hAnsi="宋体" w:cs="宋体" w:eastAsia="宋体" w:hint="default"/>
                <w:spacing w:val="32"/>
                <w:sz w:val="18"/>
                <w:szCs w:val="18"/>
              </w:rPr>
              <w:t>售股份</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2" w:lineRule="exact" w:before="25"/>
              <w:ind w:left="105" w:right="51"/>
              <w:jc w:val="both"/>
              <w:rPr>
                <w:rFonts w:ascii="Times New Roman" w:hAnsi="Times New Roman" w:cs="Times New Roman" w:eastAsia="Times New Roman" w:hint="default"/>
                <w:sz w:val="18"/>
                <w:szCs w:val="18"/>
              </w:rPr>
            </w:pPr>
            <w:r>
              <w:rPr>
                <w:rFonts w:ascii="宋体" w:hAnsi="宋体" w:cs="宋体" w:eastAsia="宋体" w:hint="default"/>
                <w:spacing w:val="32"/>
                <w:sz w:val="18"/>
                <w:szCs w:val="18"/>
              </w:rPr>
              <w:t>锁定期</w:t>
            </w:r>
            <w:r>
              <w:rPr>
                <w:rFonts w:ascii="宋体" w:hAnsi="宋体" w:cs="宋体" w:eastAsia="宋体" w:hint="default"/>
                <w:spacing w:val="-42"/>
                <w:sz w:val="18"/>
                <w:szCs w:val="18"/>
              </w:rPr>
              <w:t> </w:t>
            </w:r>
            <w:r>
              <w:rPr>
                <w:rFonts w:ascii="宋体" w:hAnsi="宋体" w:cs="宋体" w:eastAsia="宋体" w:hint="default"/>
                <w:sz w:val="18"/>
                <w:szCs w:val="18"/>
              </w:rPr>
              <w:t>满后</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24</w:t>
            </w:r>
          </w:p>
          <w:p>
            <w:pPr>
              <w:pStyle w:val="TableParagraph"/>
              <w:spacing w:line="212" w:lineRule="exact"/>
              <w:ind w:left="105" w:right="0"/>
              <w:jc w:val="both"/>
              <w:rPr>
                <w:rFonts w:ascii="宋体" w:hAnsi="宋体" w:cs="宋体" w:eastAsia="宋体" w:hint="default"/>
                <w:sz w:val="18"/>
                <w:szCs w:val="18"/>
              </w:rPr>
            </w:pPr>
            <w:r>
              <w:rPr>
                <w:rFonts w:ascii="宋体" w:hAnsi="宋体" w:cs="宋体" w:eastAsia="宋体" w:hint="default"/>
                <w:sz w:val="18"/>
                <w:szCs w:val="18"/>
              </w:rPr>
              <w:t>个月内。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644" w:hRule="exact"/>
        </w:trPr>
        <w:tc>
          <w:tcPr>
            <w:tcW w:w="1263"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股份</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除上述股</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auto" w:before="3"/>
              <w:ind w:left="103" w:right="62"/>
              <w:jc w:val="both"/>
              <w:rPr>
                <w:rFonts w:ascii="宋体" w:hAnsi="宋体" w:cs="宋体" w:eastAsia="宋体" w:hint="default"/>
                <w:sz w:val="18"/>
                <w:szCs w:val="18"/>
              </w:rPr>
            </w:pPr>
            <w:r>
              <w:rPr>
                <w:rFonts w:ascii="宋体" w:hAnsi="宋体" w:cs="宋体" w:eastAsia="宋体" w:hint="default"/>
                <w:spacing w:val="14"/>
                <w:sz w:val="18"/>
                <w:szCs w:val="18"/>
              </w:rPr>
              <w:t>东外，公</w:t>
            </w:r>
            <w:r>
              <w:rPr>
                <w:rFonts w:ascii="宋体" w:hAnsi="宋体" w:cs="宋体" w:eastAsia="宋体" w:hint="default"/>
                <w:spacing w:val="-71"/>
                <w:sz w:val="18"/>
                <w:szCs w:val="18"/>
              </w:rPr>
              <w:t> </w:t>
            </w:r>
            <w:r>
              <w:rPr>
                <w:rFonts w:ascii="宋体" w:hAnsi="宋体" w:cs="宋体" w:eastAsia="宋体" w:hint="default"/>
                <w:spacing w:val="14"/>
                <w:sz w:val="18"/>
                <w:szCs w:val="18"/>
              </w:rPr>
              <w:t>司公开发</w:t>
            </w:r>
            <w:r>
              <w:rPr>
                <w:rFonts w:ascii="宋体" w:hAnsi="宋体" w:cs="宋体" w:eastAsia="宋体" w:hint="default"/>
                <w:spacing w:val="-71"/>
                <w:sz w:val="18"/>
                <w:szCs w:val="18"/>
              </w:rPr>
              <w:t> </w:t>
            </w:r>
            <w:r>
              <w:rPr>
                <w:rFonts w:ascii="宋体" w:hAnsi="宋体" w:cs="宋体" w:eastAsia="宋体" w:hint="default"/>
                <w:spacing w:val="14"/>
                <w:sz w:val="18"/>
                <w:szCs w:val="18"/>
              </w:rPr>
              <w:t>行股票之</w:t>
            </w:r>
            <w:r>
              <w:rPr>
                <w:rFonts w:ascii="宋体" w:hAnsi="宋体" w:cs="宋体" w:eastAsia="宋体" w:hint="default"/>
                <w:spacing w:val="-71"/>
                <w:sz w:val="18"/>
                <w:szCs w:val="18"/>
              </w:rPr>
              <w:t> </w:t>
            </w:r>
            <w:r>
              <w:rPr>
                <w:rFonts w:ascii="宋体" w:hAnsi="宋体" w:cs="宋体" w:eastAsia="宋体" w:hint="default"/>
                <w:spacing w:val="14"/>
                <w:sz w:val="18"/>
                <w:szCs w:val="18"/>
              </w:rPr>
              <w:t>前的其它</w:t>
            </w:r>
            <w:r>
              <w:rPr>
                <w:rFonts w:ascii="宋体" w:hAnsi="宋体" w:cs="宋体" w:eastAsia="宋体" w:hint="default"/>
                <w:spacing w:val="-71"/>
                <w:sz w:val="18"/>
                <w:szCs w:val="18"/>
              </w:rPr>
              <w:t> </w:t>
            </w:r>
            <w:r>
              <w:rPr>
                <w:rFonts w:ascii="Times New Roman" w:hAnsi="Times New Roman" w:cs="Times New Roman" w:eastAsia="Times New Roman" w:hint="default"/>
                <w:spacing w:val="-4"/>
                <w:sz w:val="18"/>
                <w:szCs w:val="18"/>
              </w:rPr>
              <w:t>111</w:t>
            </w:r>
            <w:r>
              <w:rPr>
                <w:rFonts w:ascii="Times New Roman" w:hAnsi="Times New Roman" w:cs="Times New Roman" w:eastAsia="Times New Roman" w:hint="default"/>
                <w:spacing w:val="-1"/>
                <w:sz w:val="18"/>
                <w:szCs w:val="18"/>
              </w:rPr>
              <w:t> </w:t>
            </w:r>
            <w:r>
              <w:rPr>
                <w:rFonts w:ascii="宋体" w:hAnsi="宋体" w:cs="宋体" w:eastAsia="宋体" w:hint="default"/>
                <w:spacing w:val="18"/>
                <w:sz w:val="18"/>
                <w:szCs w:val="18"/>
              </w:rPr>
              <w:t>名自</w:t>
            </w:r>
            <w:r>
              <w:rPr>
                <w:rFonts w:ascii="宋体" w:hAnsi="宋体" w:cs="宋体" w:eastAsia="宋体" w:hint="default"/>
                <w:spacing w:val="-54"/>
                <w:sz w:val="18"/>
                <w:szCs w:val="18"/>
              </w:rPr>
              <w:t> </w:t>
            </w:r>
            <w:r>
              <w:rPr>
                <w:rFonts w:ascii="宋体" w:hAnsi="宋体" w:cs="宋体" w:eastAsia="宋体" w:hint="default"/>
                <w:sz w:val="18"/>
                <w:szCs w:val="18"/>
              </w:rPr>
              <w:t>然人股东</w:t>
            </w:r>
          </w:p>
        </w:tc>
        <w:tc>
          <w:tcPr>
            <w:tcW w:w="680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除本次公开发售的股份外，自公司股票上市之日起</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个月内，不转让或者委托他人</w:t>
            </w:r>
          </w:p>
          <w:p>
            <w:pPr>
              <w:pStyle w:val="TableParagraph"/>
              <w:spacing w:line="232" w:lineRule="exact" w:before="16"/>
              <w:ind w:left="103" w:right="99"/>
              <w:jc w:val="left"/>
              <w:rPr>
                <w:rFonts w:ascii="宋体" w:hAnsi="宋体" w:cs="宋体" w:eastAsia="宋体" w:hint="default"/>
                <w:sz w:val="18"/>
                <w:szCs w:val="18"/>
              </w:rPr>
            </w:pPr>
            <w:r>
              <w:rPr>
                <w:rFonts w:ascii="宋体" w:hAnsi="宋体" w:cs="宋体" w:eastAsia="宋体" w:hint="default"/>
                <w:spacing w:val="-2"/>
                <w:sz w:val="18"/>
                <w:szCs w:val="18"/>
              </w:rPr>
              <w:t>管理其直接或间接持有的公司首次公开发行股票前已发行的股份，也不由公司回购该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部分股份。</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both"/>
              <w:rPr>
                <w:rFonts w:ascii="宋体" w:hAnsi="宋体" w:cs="宋体" w:eastAsia="宋体" w:hint="default"/>
                <w:sz w:val="18"/>
                <w:szCs w:val="18"/>
              </w:rPr>
            </w:pPr>
            <w:r>
              <w:rPr>
                <w:rFonts w:ascii="宋体" w:hAnsi="宋体" w:cs="宋体" w:eastAsia="宋体" w:hint="default"/>
                <w:spacing w:val="32"/>
                <w:sz w:val="18"/>
                <w:szCs w:val="18"/>
              </w:rPr>
              <w:t>自上市</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2" w:lineRule="exact" w:before="23"/>
              <w:ind w:left="105" w:right="51"/>
              <w:jc w:val="both"/>
              <w:rPr>
                <w:rFonts w:ascii="宋体" w:hAnsi="宋体" w:cs="宋体" w:eastAsia="宋体" w:hint="default"/>
                <w:sz w:val="18"/>
                <w:szCs w:val="18"/>
              </w:rPr>
            </w:pPr>
            <w:r>
              <w:rPr>
                <w:rFonts w:ascii="宋体" w:hAnsi="宋体" w:cs="宋体" w:eastAsia="宋体" w:hint="default"/>
                <w:spacing w:val="32"/>
                <w:sz w:val="18"/>
                <w:szCs w:val="18"/>
              </w:rPr>
              <w:t>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w:t>
            </w:r>
            <w:r>
              <w:rPr>
                <w:rFonts w:ascii="宋体" w:hAnsi="宋体" w:cs="宋体" w:eastAsia="宋体" w:hint="default"/>
                <w:spacing w:val="2"/>
                <w:sz w:val="18"/>
                <w:szCs w:val="18"/>
              </w:rPr>
              <w:t> </w:t>
            </w:r>
            <w:r>
              <w:rPr>
                <w:rFonts w:ascii="宋体" w:hAnsi="宋体" w:cs="宋体" w:eastAsia="宋体" w:hint="default"/>
                <w:sz w:val="18"/>
                <w:szCs w:val="18"/>
              </w:rPr>
              <w:t>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412" w:hRule="exact"/>
        </w:trPr>
        <w:tc>
          <w:tcPr>
            <w:tcW w:w="1263"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股份</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孔令钢、</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3"/>
              <w:ind w:left="103" w:right="83"/>
              <w:jc w:val="both"/>
              <w:rPr>
                <w:rFonts w:ascii="宋体" w:hAnsi="宋体" w:cs="宋体" w:eastAsia="宋体" w:hint="default"/>
                <w:sz w:val="18"/>
                <w:szCs w:val="18"/>
              </w:rPr>
            </w:pPr>
            <w:r>
              <w:rPr>
                <w:rFonts w:ascii="宋体" w:hAnsi="宋体" w:cs="宋体" w:eastAsia="宋体" w:hint="default"/>
                <w:spacing w:val="14"/>
                <w:sz w:val="18"/>
                <w:szCs w:val="18"/>
              </w:rPr>
              <w:t>陆海天、</w:t>
            </w:r>
            <w:r>
              <w:rPr>
                <w:rFonts w:ascii="宋体" w:hAnsi="宋体" w:cs="宋体" w:eastAsia="宋体" w:hint="default"/>
                <w:spacing w:val="-71"/>
                <w:sz w:val="18"/>
                <w:szCs w:val="18"/>
              </w:rPr>
              <w:t> </w:t>
            </w:r>
            <w:r>
              <w:rPr>
                <w:rFonts w:ascii="宋体" w:hAnsi="宋体" w:cs="宋体" w:eastAsia="宋体" w:hint="default"/>
                <w:spacing w:val="14"/>
                <w:sz w:val="18"/>
                <w:szCs w:val="18"/>
              </w:rPr>
              <w:t>杨文山、</w:t>
            </w:r>
            <w:r>
              <w:rPr>
                <w:rFonts w:ascii="宋体" w:hAnsi="宋体" w:cs="宋体" w:eastAsia="宋体" w:hint="default"/>
                <w:spacing w:val="-71"/>
                <w:sz w:val="18"/>
                <w:szCs w:val="18"/>
              </w:rPr>
              <w:t> </w:t>
            </w:r>
            <w:r>
              <w:rPr>
                <w:rFonts w:ascii="宋体" w:hAnsi="宋体" w:cs="宋体" w:eastAsia="宋体" w:hint="default"/>
                <w:sz w:val="18"/>
                <w:szCs w:val="18"/>
              </w:rPr>
              <w:t>格尔实业</w:t>
            </w:r>
          </w:p>
        </w:tc>
        <w:tc>
          <w:tcPr>
            <w:tcW w:w="680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在所持有公司股票的锁定期满后两年内，其减持的股票数量不超过其持有公司股票数</w:t>
            </w:r>
          </w:p>
          <w:p>
            <w:pPr>
              <w:pStyle w:val="TableParagraph"/>
              <w:spacing w:line="235" w:lineRule="auto" w:before="3"/>
              <w:ind w:left="103" w:right="10"/>
              <w:jc w:val="left"/>
              <w:rPr>
                <w:rFonts w:ascii="宋体" w:hAnsi="宋体" w:cs="宋体" w:eastAsia="宋体" w:hint="default"/>
                <w:sz w:val="18"/>
                <w:szCs w:val="18"/>
              </w:rPr>
            </w:pPr>
            <w:r>
              <w:rPr>
                <w:rFonts w:ascii="宋体" w:hAnsi="宋体" w:cs="宋体" w:eastAsia="宋体" w:hint="default"/>
                <w:sz w:val="18"/>
                <w:szCs w:val="18"/>
              </w:rPr>
              <w:t>量的</w:t>
            </w:r>
            <w:r>
              <w:rPr>
                <w:rFonts w:ascii="宋体" w:hAnsi="宋体" w:cs="宋体" w:eastAsia="宋体" w:hint="default"/>
                <w:spacing w:val="-43"/>
                <w:sz w:val="18"/>
                <w:szCs w:val="18"/>
              </w:rPr>
              <w:t> </w:t>
            </w:r>
            <w:r>
              <w:rPr>
                <w:rFonts w:ascii="Times New Roman" w:hAnsi="Times New Roman" w:cs="Times New Roman" w:eastAsia="Times New Roman" w:hint="default"/>
                <w:spacing w:val="-7"/>
                <w:sz w:val="18"/>
                <w:szCs w:val="18"/>
              </w:rPr>
              <w:t>30%</w:t>
            </w:r>
            <w:r>
              <w:rPr>
                <w:rFonts w:ascii="宋体" w:hAnsi="宋体" w:cs="宋体" w:eastAsia="宋体" w:hint="default"/>
                <w:spacing w:val="-7"/>
                <w:sz w:val="18"/>
                <w:szCs w:val="18"/>
              </w:rPr>
              <w:t>；减持前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个交易日通过公司予以公告，减持价格（复权后）不低于发行价，</w:t>
            </w:r>
            <w:r>
              <w:rPr>
                <w:rFonts w:ascii="宋体" w:hAnsi="宋体" w:cs="宋体" w:eastAsia="宋体" w:hint="default"/>
                <w:sz w:val="18"/>
                <w:szCs w:val="18"/>
              </w:rPr>
              <w:t> 减持方式包括竞价交易和大宗交易。 </w:t>
            </w:r>
            <w:r>
              <w:rPr>
                <w:rFonts w:ascii="宋体" w:hAnsi="宋体" w:cs="宋体" w:eastAsia="宋体" w:hint="default"/>
                <w:spacing w:val="-2"/>
                <w:sz w:val="18"/>
                <w:szCs w:val="18"/>
              </w:rPr>
              <w:t>如违反上述承诺减持公司股份的，违规减持所得的收益归属公司所有，如其未将违规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减持所得的收益及时上缴公司的，公司有权将应付其现金分红中等额于违规减持所得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收益的部分扣留并归为公司所有。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5" w:right="0"/>
              <w:jc w:val="both"/>
              <w:rPr>
                <w:rFonts w:ascii="宋体" w:hAnsi="宋体" w:cs="宋体" w:eastAsia="宋体" w:hint="default"/>
                <w:sz w:val="18"/>
                <w:szCs w:val="18"/>
              </w:rPr>
            </w:pPr>
            <w:r>
              <w:rPr>
                <w:rFonts w:ascii="宋体" w:hAnsi="宋体" w:cs="宋体" w:eastAsia="宋体" w:hint="default"/>
                <w:spacing w:val="32"/>
                <w:sz w:val="18"/>
                <w:szCs w:val="18"/>
              </w:rPr>
              <w:t>自限售</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2" w:lineRule="auto" w:before="5"/>
              <w:ind w:left="105" w:right="51"/>
              <w:jc w:val="both"/>
              <w:rPr>
                <w:rFonts w:ascii="宋体" w:hAnsi="宋体" w:cs="宋体" w:eastAsia="宋体" w:hint="default"/>
                <w:sz w:val="18"/>
                <w:szCs w:val="18"/>
              </w:rPr>
            </w:pPr>
            <w:r>
              <w:rPr>
                <w:rFonts w:ascii="宋体" w:hAnsi="宋体" w:cs="宋体" w:eastAsia="宋体" w:hint="default"/>
                <w:spacing w:val="32"/>
                <w:sz w:val="18"/>
                <w:szCs w:val="18"/>
              </w:rPr>
              <w:t>股份锁</w:t>
            </w:r>
            <w:r>
              <w:rPr>
                <w:rFonts w:ascii="宋体" w:hAnsi="宋体" w:cs="宋体" w:eastAsia="宋体" w:hint="default"/>
                <w:spacing w:val="-42"/>
                <w:sz w:val="18"/>
                <w:szCs w:val="18"/>
              </w:rPr>
              <w:t> </w:t>
            </w:r>
            <w:r>
              <w:rPr>
                <w:rFonts w:ascii="宋体" w:hAnsi="宋体" w:cs="宋体" w:eastAsia="宋体" w:hint="default"/>
                <w:spacing w:val="32"/>
                <w:sz w:val="18"/>
                <w:szCs w:val="18"/>
              </w:rPr>
              <w:t>定期满</w:t>
            </w:r>
            <w:r>
              <w:rPr>
                <w:rFonts w:ascii="宋体" w:hAnsi="宋体" w:cs="宋体" w:eastAsia="宋体" w:hint="default"/>
                <w:spacing w:val="-42"/>
                <w:sz w:val="18"/>
                <w:szCs w:val="18"/>
              </w:rPr>
              <w:t> </w:t>
            </w:r>
            <w:r>
              <w:rPr>
                <w:rFonts w:ascii="宋体" w:hAnsi="宋体" w:cs="宋体" w:eastAsia="宋体" w:hint="default"/>
                <w:sz w:val="18"/>
                <w:szCs w:val="18"/>
              </w:rPr>
              <w:t>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 月内。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411" w:hRule="exact"/>
        </w:trPr>
        <w:tc>
          <w:tcPr>
            <w:tcW w:w="1263"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股份</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陈宁生</w:t>
            </w:r>
          </w:p>
        </w:tc>
        <w:tc>
          <w:tcPr>
            <w:tcW w:w="68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在所持有公司股票的锁定期满后两年内，其减持的股票数量不超过其持有公司股票数</w:t>
            </w:r>
          </w:p>
          <w:p>
            <w:pPr>
              <w:pStyle w:val="TableParagraph"/>
              <w:spacing w:line="235" w:lineRule="auto" w:before="4"/>
              <w:ind w:left="103" w:right="10"/>
              <w:jc w:val="left"/>
              <w:rPr>
                <w:rFonts w:ascii="宋体" w:hAnsi="宋体" w:cs="宋体" w:eastAsia="宋体" w:hint="default"/>
                <w:sz w:val="18"/>
                <w:szCs w:val="18"/>
              </w:rPr>
            </w:pPr>
            <w:r>
              <w:rPr>
                <w:rFonts w:ascii="宋体" w:hAnsi="宋体" w:cs="宋体" w:eastAsia="宋体" w:hint="default"/>
                <w:sz w:val="18"/>
                <w:szCs w:val="18"/>
              </w:rPr>
              <w:t>量的</w:t>
            </w:r>
            <w:r>
              <w:rPr>
                <w:rFonts w:ascii="宋体" w:hAnsi="宋体" w:cs="宋体" w:eastAsia="宋体" w:hint="default"/>
                <w:spacing w:val="-43"/>
                <w:sz w:val="18"/>
                <w:szCs w:val="18"/>
              </w:rPr>
              <w:t> </w:t>
            </w:r>
            <w:r>
              <w:rPr>
                <w:rFonts w:ascii="Times New Roman" w:hAnsi="Times New Roman" w:cs="Times New Roman" w:eastAsia="Times New Roman" w:hint="default"/>
                <w:spacing w:val="-7"/>
                <w:sz w:val="18"/>
                <w:szCs w:val="18"/>
              </w:rPr>
              <w:t>40%</w:t>
            </w:r>
            <w:r>
              <w:rPr>
                <w:rFonts w:ascii="宋体" w:hAnsi="宋体" w:cs="宋体" w:eastAsia="宋体" w:hint="default"/>
                <w:spacing w:val="-7"/>
                <w:sz w:val="18"/>
                <w:szCs w:val="18"/>
              </w:rPr>
              <w:t>；减持前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个交易日通过公司予以公告，减持价格（复权后）不低于发行价，</w:t>
            </w:r>
            <w:r>
              <w:rPr>
                <w:rFonts w:ascii="宋体" w:hAnsi="宋体" w:cs="宋体" w:eastAsia="宋体" w:hint="default"/>
                <w:sz w:val="18"/>
                <w:szCs w:val="18"/>
              </w:rPr>
              <w:t> 减持方式包括竞价交易和大宗交易。 </w:t>
            </w:r>
            <w:r>
              <w:rPr>
                <w:rFonts w:ascii="宋体" w:hAnsi="宋体" w:cs="宋体" w:eastAsia="宋体" w:hint="default"/>
                <w:spacing w:val="-2"/>
                <w:sz w:val="18"/>
                <w:szCs w:val="18"/>
              </w:rPr>
              <w:t>如违反上述承诺减持公司股份的，违规减持所得的收益归属公司所有，如其未将违规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减持所得的收益及时上缴公司的，公司有权将应付其现金分红中等额于违规减持所得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收益的部分扣留并归为公司所有。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both"/>
              <w:rPr>
                <w:rFonts w:ascii="宋体" w:hAnsi="宋体" w:cs="宋体" w:eastAsia="宋体" w:hint="default"/>
                <w:sz w:val="18"/>
                <w:szCs w:val="18"/>
              </w:rPr>
            </w:pPr>
            <w:r>
              <w:rPr>
                <w:rFonts w:ascii="宋体" w:hAnsi="宋体" w:cs="宋体" w:eastAsia="宋体" w:hint="default"/>
                <w:spacing w:val="32"/>
                <w:sz w:val="18"/>
                <w:szCs w:val="18"/>
              </w:rPr>
              <w:t>自限售</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2" w:lineRule="exact" w:before="24"/>
              <w:ind w:left="105" w:right="51"/>
              <w:jc w:val="both"/>
              <w:rPr>
                <w:rFonts w:ascii="宋体" w:hAnsi="宋体" w:cs="宋体" w:eastAsia="宋体" w:hint="default"/>
                <w:sz w:val="18"/>
                <w:szCs w:val="18"/>
              </w:rPr>
            </w:pPr>
            <w:r>
              <w:rPr>
                <w:rFonts w:ascii="宋体" w:hAnsi="宋体" w:cs="宋体" w:eastAsia="宋体" w:hint="default"/>
                <w:spacing w:val="32"/>
                <w:sz w:val="18"/>
                <w:szCs w:val="18"/>
              </w:rPr>
              <w:t>股份锁</w:t>
            </w:r>
            <w:r>
              <w:rPr>
                <w:rFonts w:ascii="宋体" w:hAnsi="宋体" w:cs="宋体" w:eastAsia="宋体" w:hint="default"/>
                <w:spacing w:val="-42"/>
                <w:sz w:val="18"/>
                <w:szCs w:val="18"/>
              </w:rPr>
              <w:t> </w:t>
            </w:r>
            <w:r>
              <w:rPr>
                <w:rFonts w:ascii="宋体" w:hAnsi="宋体" w:cs="宋体" w:eastAsia="宋体" w:hint="default"/>
                <w:spacing w:val="32"/>
                <w:sz w:val="18"/>
                <w:szCs w:val="18"/>
              </w:rPr>
              <w:t>定期满</w:t>
            </w:r>
            <w:r>
              <w:rPr>
                <w:rFonts w:ascii="宋体" w:hAnsi="宋体" w:cs="宋体" w:eastAsia="宋体" w:hint="default"/>
                <w:spacing w:val="-42"/>
                <w:sz w:val="18"/>
                <w:szCs w:val="18"/>
              </w:rPr>
              <w:t> </w:t>
            </w:r>
            <w:r>
              <w:rPr>
                <w:rFonts w:ascii="宋体" w:hAnsi="宋体" w:cs="宋体" w:eastAsia="宋体" w:hint="default"/>
                <w:sz w:val="18"/>
                <w:szCs w:val="18"/>
              </w:rPr>
              <w:t>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 月内。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179" w:hRule="exact"/>
        </w:trPr>
        <w:tc>
          <w:tcPr>
            <w:tcW w:w="1263"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股份</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圣 睿</w:t>
            </w:r>
            <w:r>
              <w:rPr>
                <w:rFonts w:ascii="宋体" w:hAnsi="宋体" w:cs="宋体" w:eastAsia="宋体" w:hint="default"/>
                <w:spacing w:val="54"/>
                <w:sz w:val="18"/>
                <w:szCs w:val="18"/>
              </w:rPr>
              <w:t> </w:t>
            </w:r>
            <w:r>
              <w:rPr>
                <w:rFonts w:ascii="宋体" w:hAnsi="宋体" w:cs="宋体" w:eastAsia="宋体" w:hint="default"/>
                <w:sz w:val="18"/>
                <w:szCs w:val="18"/>
              </w:rPr>
              <w:t>投</w:t>
            </w:r>
          </w:p>
          <w:p>
            <w:pPr>
              <w:pStyle w:val="TableParagraph"/>
              <w:spacing w:line="240" w:lineRule="auto"/>
              <w:ind w:left="103" w:right="83"/>
              <w:jc w:val="left"/>
              <w:rPr>
                <w:rFonts w:ascii="宋体" w:hAnsi="宋体" w:cs="宋体" w:eastAsia="宋体" w:hint="default"/>
                <w:sz w:val="18"/>
                <w:szCs w:val="18"/>
              </w:rPr>
            </w:pPr>
            <w:r>
              <w:rPr>
                <w:rFonts w:ascii="宋体" w:hAnsi="宋体" w:cs="宋体" w:eastAsia="宋体" w:hint="default"/>
                <w:spacing w:val="9"/>
                <w:sz w:val="18"/>
                <w:szCs w:val="18"/>
              </w:rPr>
              <w:t>资、</w:t>
            </w:r>
            <w:r>
              <w:rPr>
                <w:rFonts w:ascii="宋体" w:hAnsi="宋体" w:cs="宋体" w:eastAsia="宋体" w:hint="default"/>
                <w:spacing w:val="-71"/>
                <w:sz w:val="18"/>
                <w:szCs w:val="18"/>
              </w:rPr>
              <w:t> </w:t>
            </w:r>
            <w:r>
              <w:rPr>
                <w:rFonts w:ascii="宋体" w:hAnsi="宋体" w:cs="宋体" w:eastAsia="宋体" w:hint="default"/>
                <w:spacing w:val="9"/>
                <w:sz w:val="18"/>
                <w:szCs w:val="18"/>
              </w:rPr>
              <w:t>展荣</w:t>
            </w:r>
            <w:r>
              <w:rPr>
                <w:rFonts w:ascii="宋体" w:hAnsi="宋体" w:cs="宋体" w:eastAsia="宋体" w:hint="default"/>
                <w:spacing w:val="-71"/>
                <w:sz w:val="18"/>
                <w:szCs w:val="18"/>
              </w:rPr>
              <w:t> </w:t>
            </w:r>
            <w:r>
              <w:rPr>
                <w:rFonts w:ascii="宋体" w:hAnsi="宋体" w:cs="宋体" w:eastAsia="宋体" w:hint="default"/>
                <w:sz w:val="18"/>
                <w:szCs w:val="18"/>
              </w:rPr>
              <w:t>投资</w:t>
            </w:r>
          </w:p>
        </w:tc>
        <w:tc>
          <w:tcPr>
            <w:tcW w:w="68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在所持有公司股票的锁定期满后两年内，其减持公司股票通过竞价交易、大宗交易等</w:t>
            </w:r>
          </w:p>
          <w:p>
            <w:pPr>
              <w:pStyle w:val="TableParagraph"/>
              <w:spacing w:line="232" w:lineRule="auto" w:before="5"/>
              <w:ind w:left="103" w:right="98"/>
              <w:jc w:val="left"/>
              <w:rPr>
                <w:rFonts w:ascii="宋体" w:hAnsi="宋体" w:cs="宋体" w:eastAsia="宋体" w:hint="default"/>
                <w:sz w:val="18"/>
                <w:szCs w:val="18"/>
              </w:rPr>
            </w:pPr>
            <w:r>
              <w:rPr>
                <w:rFonts w:ascii="宋体" w:hAnsi="宋体" w:cs="宋体" w:eastAsia="宋体" w:hint="default"/>
                <w:sz w:val="18"/>
                <w:szCs w:val="18"/>
              </w:rPr>
              <w:t>上海证券交易所认可的方式进行，减持价格（复权后）不低于发行价，并在减持前</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个交易日通过公司予以公告。 </w:t>
            </w:r>
            <w:r>
              <w:rPr>
                <w:rFonts w:ascii="宋体" w:hAnsi="宋体" w:cs="宋体" w:eastAsia="宋体" w:hint="default"/>
                <w:spacing w:val="-2"/>
                <w:sz w:val="18"/>
                <w:szCs w:val="18"/>
              </w:rPr>
              <w:t>如违反上述承诺减持公司股份的，违规减持所得的收益归属公司所有，如其未将违规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减持所得的收益及时上缴公司的，公司有权将应付其现金分红中等额于违规减持所得</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both"/>
              <w:rPr>
                <w:rFonts w:ascii="宋体" w:hAnsi="宋体" w:cs="宋体" w:eastAsia="宋体" w:hint="default"/>
                <w:sz w:val="18"/>
                <w:szCs w:val="18"/>
              </w:rPr>
            </w:pPr>
            <w:r>
              <w:rPr>
                <w:rFonts w:ascii="宋体" w:hAnsi="宋体" w:cs="宋体" w:eastAsia="宋体" w:hint="default"/>
                <w:spacing w:val="32"/>
                <w:sz w:val="18"/>
                <w:szCs w:val="18"/>
              </w:rPr>
              <w:t>自限售</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2" w:lineRule="auto" w:before="5"/>
              <w:ind w:left="105" w:right="51"/>
              <w:jc w:val="both"/>
              <w:rPr>
                <w:rFonts w:ascii="宋体" w:hAnsi="宋体" w:cs="宋体" w:eastAsia="宋体" w:hint="default"/>
                <w:sz w:val="18"/>
                <w:szCs w:val="18"/>
              </w:rPr>
            </w:pPr>
            <w:r>
              <w:rPr>
                <w:rFonts w:ascii="宋体" w:hAnsi="宋体" w:cs="宋体" w:eastAsia="宋体" w:hint="default"/>
                <w:spacing w:val="32"/>
                <w:sz w:val="18"/>
                <w:szCs w:val="18"/>
              </w:rPr>
              <w:t>股份锁</w:t>
            </w:r>
            <w:r>
              <w:rPr>
                <w:rFonts w:ascii="宋体" w:hAnsi="宋体" w:cs="宋体" w:eastAsia="宋体" w:hint="default"/>
                <w:spacing w:val="-42"/>
                <w:sz w:val="18"/>
                <w:szCs w:val="18"/>
              </w:rPr>
              <w:t> </w:t>
            </w:r>
            <w:r>
              <w:rPr>
                <w:rFonts w:ascii="宋体" w:hAnsi="宋体" w:cs="宋体" w:eastAsia="宋体" w:hint="default"/>
                <w:spacing w:val="32"/>
                <w:sz w:val="18"/>
                <w:szCs w:val="18"/>
              </w:rPr>
              <w:t>定期满</w:t>
            </w:r>
            <w:r>
              <w:rPr>
                <w:rFonts w:ascii="宋体" w:hAnsi="宋体" w:cs="宋体" w:eastAsia="宋体" w:hint="default"/>
                <w:spacing w:val="-42"/>
                <w:sz w:val="18"/>
                <w:szCs w:val="18"/>
              </w:rPr>
              <w:t> </w:t>
            </w:r>
            <w:r>
              <w:rPr>
                <w:rFonts w:ascii="宋体" w:hAnsi="宋体" w:cs="宋体" w:eastAsia="宋体" w:hint="default"/>
                <w:sz w:val="18"/>
                <w:szCs w:val="18"/>
              </w:rPr>
              <w:t>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 月内。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28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263"/>
        <w:gridCol w:w="708"/>
        <w:gridCol w:w="994"/>
        <w:gridCol w:w="6803"/>
        <w:gridCol w:w="853"/>
        <w:gridCol w:w="850"/>
        <w:gridCol w:w="852"/>
        <w:gridCol w:w="850"/>
        <w:gridCol w:w="936"/>
      </w:tblGrid>
      <w:tr>
        <w:trPr>
          <w:trHeight w:val="242" w:hRule="exact"/>
        </w:trPr>
        <w:tc>
          <w:tcPr>
            <w:tcW w:w="1263" w:type="dxa"/>
            <w:vMerge w:val="restart"/>
            <w:tcBorders>
              <w:top w:val="single" w:sz="4" w:space="0" w:color="000000"/>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8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收益的部分扣留并归为公司所有。</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512" w:hRule="exact"/>
        </w:trPr>
        <w:tc>
          <w:tcPr>
            <w:tcW w:w="1263"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解决</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2" w:lineRule="exact" w:before="27"/>
              <w:ind w:left="103" w:right="26"/>
              <w:jc w:val="left"/>
              <w:rPr>
                <w:rFonts w:ascii="宋体" w:hAnsi="宋体" w:cs="宋体" w:eastAsia="宋体" w:hint="default"/>
                <w:sz w:val="21"/>
                <w:szCs w:val="21"/>
              </w:rPr>
            </w:pPr>
            <w:r>
              <w:rPr>
                <w:rFonts w:ascii="宋体" w:hAnsi="宋体" w:cs="宋体" w:eastAsia="宋体" w:hint="default"/>
                <w:spacing w:val="35"/>
                <w:sz w:val="21"/>
                <w:szCs w:val="21"/>
              </w:rPr>
              <w:t>同业</w:t>
            </w:r>
            <w:r>
              <w:rPr>
                <w:rFonts w:ascii="宋体" w:hAnsi="宋体" w:cs="宋体" w:eastAsia="宋体" w:hint="default"/>
                <w:spacing w:val="-101"/>
                <w:sz w:val="21"/>
                <w:szCs w:val="21"/>
              </w:rPr>
              <w:t> </w:t>
            </w:r>
            <w:r>
              <w:rPr>
                <w:rFonts w:ascii="宋体" w:hAnsi="宋体" w:cs="宋体" w:eastAsia="宋体" w:hint="default"/>
                <w:sz w:val="21"/>
                <w:szCs w:val="21"/>
              </w:rPr>
              <w:t>竞争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孔令钢、</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陆海天</w:t>
            </w:r>
          </w:p>
        </w:tc>
        <w:tc>
          <w:tcPr>
            <w:tcW w:w="68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为避免同业竞争，公司实际控制人孔令钢、陆海天向本公司出具了《避免同业竞争承</w:t>
            </w:r>
          </w:p>
          <w:p>
            <w:pPr>
              <w:pStyle w:val="TableParagraph"/>
              <w:spacing w:line="232" w:lineRule="auto" w:before="6"/>
              <w:ind w:left="103" w:right="11"/>
              <w:jc w:val="left"/>
              <w:rPr>
                <w:rFonts w:ascii="宋体" w:hAnsi="宋体" w:cs="宋体" w:eastAsia="宋体" w:hint="default"/>
                <w:sz w:val="18"/>
                <w:szCs w:val="18"/>
              </w:rPr>
            </w:pPr>
            <w:r>
              <w:rPr>
                <w:rFonts w:ascii="宋体" w:hAnsi="宋体" w:cs="宋体" w:eastAsia="宋体" w:hint="default"/>
                <w:spacing w:val="-11"/>
                <w:sz w:val="18"/>
                <w:szCs w:val="18"/>
              </w:rPr>
              <w:t>诺函》，承诺如下：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、本人将不在中国境内外直接或间接从事或参与任何在商业上对公司构成竞争的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业务及活动或拥有与公司存在竞争关系的任何经济实体、机构、经济组织的权益；或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以其他任何形式取得该经济实体、机构、经济组织的控制权；或在该经济实体、机构、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经济组织中担任高级管理人员或核心人员； </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、本人（包括本人所控制的公司）在今后的任何时间不会以任何方式经营或从事与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公司及其所控制的公司构成直接或间接竞争的业务或活动。凡本人（包括本人所控制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的公司）有任何商业机会可从事、参与或入股任何可能会与公司及其所控制的公司生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产经营构成竞争的业务，本人（包括本人所控制的公司）会将上述商业机会让予公司；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Times New Roman" w:hAnsi="Times New Roman" w:cs="Times New Roman" w:eastAsia="Times New Roman" w:hint="default"/>
                <w:sz w:val="18"/>
                <w:szCs w:val="18"/>
              </w:rPr>
              <w:t>3</w:t>
            </w:r>
            <w:r>
              <w:rPr>
                <w:rFonts w:ascii="宋体" w:hAnsi="宋体" w:cs="宋体" w:eastAsia="宋体" w:hint="default"/>
                <w:sz w:val="18"/>
                <w:szCs w:val="18"/>
              </w:rPr>
              <w:t>、截至本承诺函签署日，本人（包括本人控制的公司）未经营或从事任何在商业上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对公司及其所控制的公司构成直接或间接同业竞争的业务或活动； </w:t>
            </w:r>
            <w:r>
              <w:rPr>
                <w:rFonts w:ascii="Times New Roman" w:hAnsi="Times New Roman" w:cs="Times New Roman" w:eastAsia="Times New Roman" w:hint="default"/>
                <w:sz w:val="18"/>
                <w:szCs w:val="18"/>
              </w:rPr>
              <w:t>4</w:t>
            </w:r>
            <w:r>
              <w:rPr>
                <w:rFonts w:ascii="宋体" w:hAnsi="宋体" w:cs="宋体" w:eastAsia="宋体" w:hint="default"/>
                <w:sz w:val="18"/>
                <w:szCs w:val="18"/>
              </w:rPr>
              <w:t>、如果本人（包括本人所控制的公司）违反上述声明、保证与承诺，并造成公司经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济损失的，本人同意赔偿相应损失；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、本声明、承诺与保证将持续有效，直至本人不再作为公司的实际控制人。”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both"/>
              <w:rPr>
                <w:rFonts w:ascii="宋体" w:hAnsi="宋体" w:cs="宋体" w:eastAsia="宋体" w:hint="default"/>
                <w:sz w:val="18"/>
                <w:szCs w:val="18"/>
              </w:rPr>
            </w:pPr>
            <w:r>
              <w:rPr>
                <w:rFonts w:ascii="宋体" w:hAnsi="宋体" w:cs="宋体" w:eastAsia="宋体" w:hint="default"/>
                <w:sz w:val="18"/>
                <w:szCs w:val="18"/>
              </w:rPr>
              <w:t>本声明、</w:t>
            </w:r>
          </w:p>
          <w:p>
            <w:pPr>
              <w:pStyle w:val="TableParagraph"/>
              <w:spacing w:line="232" w:lineRule="exact" w:before="24"/>
              <w:ind w:left="105" w:right="51"/>
              <w:jc w:val="both"/>
              <w:rPr>
                <w:rFonts w:ascii="宋体" w:hAnsi="宋体" w:cs="宋体" w:eastAsia="宋体" w:hint="default"/>
                <w:sz w:val="18"/>
                <w:szCs w:val="18"/>
              </w:rPr>
            </w:pPr>
            <w:r>
              <w:rPr>
                <w:rFonts w:ascii="宋体" w:hAnsi="宋体" w:cs="宋体" w:eastAsia="宋体" w:hint="default"/>
                <w:spacing w:val="32"/>
                <w:sz w:val="18"/>
                <w:szCs w:val="18"/>
              </w:rPr>
              <w:t>承诺与</w:t>
            </w:r>
            <w:r>
              <w:rPr>
                <w:rFonts w:ascii="宋体" w:hAnsi="宋体" w:cs="宋体" w:eastAsia="宋体" w:hint="default"/>
                <w:spacing w:val="-42"/>
                <w:sz w:val="18"/>
                <w:szCs w:val="18"/>
              </w:rPr>
              <w:t> </w:t>
            </w:r>
            <w:r>
              <w:rPr>
                <w:rFonts w:ascii="宋体" w:hAnsi="宋体" w:cs="宋体" w:eastAsia="宋体" w:hint="default"/>
                <w:spacing w:val="32"/>
                <w:sz w:val="18"/>
                <w:szCs w:val="18"/>
              </w:rPr>
              <w:t>保证将</w:t>
            </w:r>
            <w:r>
              <w:rPr>
                <w:rFonts w:ascii="宋体" w:hAnsi="宋体" w:cs="宋体" w:eastAsia="宋体" w:hint="default"/>
                <w:spacing w:val="-42"/>
                <w:sz w:val="18"/>
                <w:szCs w:val="18"/>
              </w:rPr>
              <w:t> </w:t>
            </w:r>
            <w:r>
              <w:rPr>
                <w:rFonts w:ascii="宋体" w:hAnsi="宋体" w:cs="宋体" w:eastAsia="宋体" w:hint="default"/>
                <w:spacing w:val="32"/>
                <w:sz w:val="18"/>
                <w:szCs w:val="18"/>
              </w:rPr>
              <w:t>持续有</w:t>
            </w:r>
            <w:r>
              <w:rPr>
                <w:rFonts w:ascii="宋体" w:hAnsi="宋体" w:cs="宋体" w:eastAsia="宋体" w:hint="default"/>
                <w:spacing w:val="-42"/>
                <w:sz w:val="18"/>
                <w:szCs w:val="18"/>
              </w:rPr>
              <w:t> </w:t>
            </w:r>
            <w:r>
              <w:rPr>
                <w:rFonts w:ascii="宋体" w:hAnsi="宋体" w:cs="宋体" w:eastAsia="宋体" w:hint="default"/>
                <w:spacing w:val="-22"/>
                <w:sz w:val="18"/>
                <w:szCs w:val="18"/>
              </w:rPr>
              <w:t>效，直至</w:t>
            </w:r>
          </w:p>
          <w:p>
            <w:pPr>
              <w:pStyle w:val="TableParagraph"/>
              <w:spacing w:line="232" w:lineRule="exact" w:before="3"/>
              <w:ind w:left="105" w:right="51"/>
              <w:jc w:val="both"/>
              <w:rPr>
                <w:rFonts w:ascii="宋体" w:hAnsi="宋体" w:cs="宋体" w:eastAsia="宋体" w:hint="default"/>
                <w:sz w:val="18"/>
                <w:szCs w:val="18"/>
              </w:rPr>
            </w:pPr>
            <w:r>
              <w:rPr>
                <w:rFonts w:ascii="宋体" w:hAnsi="宋体" w:cs="宋体" w:eastAsia="宋体" w:hint="default"/>
                <w:spacing w:val="32"/>
                <w:sz w:val="18"/>
                <w:szCs w:val="18"/>
              </w:rPr>
              <w:t>孔令钢</w:t>
            </w:r>
            <w:r>
              <w:rPr>
                <w:rFonts w:ascii="宋体" w:hAnsi="宋体" w:cs="宋体" w:eastAsia="宋体" w:hint="default"/>
                <w:spacing w:val="-42"/>
                <w:sz w:val="18"/>
                <w:szCs w:val="18"/>
              </w:rPr>
              <w:t> </w:t>
            </w:r>
            <w:r>
              <w:rPr>
                <w:rFonts w:ascii="宋体" w:hAnsi="宋体" w:cs="宋体" w:eastAsia="宋体" w:hint="default"/>
                <w:spacing w:val="32"/>
                <w:sz w:val="18"/>
                <w:szCs w:val="18"/>
              </w:rPr>
              <w:t>先生和</w:t>
            </w:r>
            <w:r>
              <w:rPr>
                <w:rFonts w:ascii="宋体" w:hAnsi="宋体" w:cs="宋体" w:eastAsia="宋体" w:hint="default"/>
                <w:spacing w:val="-42"/>
                <w:sz w:val="18"/>
                <w:szCs w:val="18"/>
              </w:rPr>
              <w:t> </w:t>
            </w:r>
            <w:r>
              <w:rPr>
                <w:rFonts w:ascii="宋体" w:hAnsi="宋体" w:cs="宋体" w:eastAsia="宋体" w:hint="default"/>
                <w:spacing w:val="32"/>
                <w:sz w:val="18"/>
                <w:szCs w:val="18"/>
              </w:rPr>
              <w:t>陆海天</w:t>
            </w:r>
            <w:r>
              <w:rPr>
                <w:rFonts w:ascii="宋体" w:hAnsi="宋体" w:cs="宋体" w:eastAsia="宋体" w:hint="default"/>
                <w:spacing w:val="-42"/>
                <w:sz w:val="18"/>
                <w:szCs w:val="18"/>
              </w:rPr>
              <w:t> </w:t>
            </w:r>
            <w:r>
              <w:rPr>
                <w:rFonts w:ascii="宋体" w:hAnsi="宋体" w:cs="宋体" w:eastAsia="宋体" w:hint="default"/>
                <w:spacing w:val="24"/>
                <w:sz w:val="18"/>
                <w:szCs w:val="18"/>
              </w:rPr>
              <w:t>先生</w:t>
            </w:r>
            <w:r>
              <w:rPr>
                <w:rFonts w:ascii="宋体" w:hAnsi="宋体" w:cs="宋体" w:eastAsia="宋体" w:hint="default"/>
                <w:spacing w:val="-42"/>
                <w:sz w:val="18"/>
                <w:szCs w:val="18"/>
              </w:rPr>
              <w:t> </w:t>
            </w:r>
            <w:r>
              <w:rPr>
                <w:rFonts w:ascii="宋体" w:hAnsi="宋体" w:cs="宋体" w:eastAsia="宋体" w:hint="default"/>
                <w:sz w:val="18"/>
                <w:szCs w:val="18"/>
              </w:rPr>
              <w:t>不</w:t>
            </w:r>
          </w:p>
          <w:p>
            <w:pPr>
              <w:pStyle w:val="TableParagraph"/>
              <w:spacing w:line="232" w:lineRule="exact" w:before="4"/>
              <w:ind w:left="105" w:right="51"/>
              <w:jc w:val="both"/>
              <w:rPr>
                <w:rFonts w:ascii="宋体" w:hAnsi="宋体" w:cs="宋体" w:eastAsia="宋体" w:hint="default"/>
                <w:sz w:val="18"/>
                <w:szCs w:val="18"/>
              </w:rPr>
            </w:pPr>
            <w:r>
              <w:rPr>
                <w:rFonts w:ascii="宋体" w:hAnsi="宋体" w:cs="宋体" w:eastAsia="宋体" w:hint="default"/>
                <w:spacing w:val="32"/>
                <w:sz w:val="18"/>
                <w:szCs w:val="18"/>
              </w:rPr>
              <w:t>再作为</w:t>
            </w:r>
            <w:r>
              <w:rPr>
                <w:rFonts w:ascii="宋体" w:hAnsi="宋体" w:cs="宋体" w:eastAsia="宋体" w:hint="default"/>
                <w:spacing w:val="-42"/>
                <w:sz w:val="18"/>
                <w:szCs w:val="18"/>
              </w:rPr>
              <w:t> </w:t>
            </w:r>
            <w:r>
              <w:rPr>
                <w:rFonts w:ascii="宋体" w:hAnsi="宋体" w:cs="宋体" w:eastAsia="宋体" w:hint="default"/>
                <w:spacing w:val="32"/>
                <w:sz w:val="18"/>
                <w:szCs w:val="18"/>
              </w:rPr>
              <w:t>公司的</w:t>
            </w:r>
            <w:r>
              <w:rPr>
                <w:rFonts w:ascii="宋体" w:hAnsi="宋体" w:cs="宋体" w:eastAsia="宋体" w:hint="default"/>
                <w:spacing w:val="-42"/>
                <w:sz w:val="18"/>
                <w:szCs w:val="18"/>
              </w:rPr>
              <w:t> </w:t>
            </w:r>
            <w:r>
              <w:rPr>
                <w:rFonts w:ascii="宋体" w:hAnsi="宋体" w:cs="宋体" w:eastAsia="宋体" w:hint="default"/>
                <w:spacing w:val="32"/>
                <w:sz w:val="18"/>
                <w:szCs w:val="18"/>
              </w:rPr>
              <w:t>实际控</w:t>
            </w:r>
            <w:r>
              <w:rPr>
                <w:rFonts w:ascii="宋体" w:hAnsi="宋体" w:cs="宋体" w:eastAsia="宋体" w:hint="default"/>
                <w:spacing w:val="-42"/>
                <w:sz w:val="18"/>
                <w:szCs w:val="18"/>
              </w:rPr>
              <w:t> </w:t>
            </w:r>
            <w:r>
              <w:rPr>
                <w:rFonts w:ascii="宋体" w:hAnsi="宋体" w:cs="宋体" w:eastAsia="宋体" w:hint="default"/>
                <w:sz w:val="18"/>
                <w:szCs w:val="18"/>
              </w:rPr>
              <w:t>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644" w:hRule="exact"/>
        </w:trPr>
        <w:tc>
          <w:tcPr>
            <w:tcW w:w="1263"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其他</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公司、实</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z w:val="18"/>
                <w:szCs w:val="18"/>
              </w:rPr>
              <w:t>际 控</w:t>
            </w:r>
            <w:r>
              <w:rPr>
                <w:rFonts w:ascii="宋体" w:hAnsi="宋体" w:cs="宋体" w:eastAsia="宋体" w:hint="default"/>
                <w:spacing w:val="54"/>
                <w:sz w:val="18"/>
                <w:szCs w:val="18"/>
              </w:rPr>
              <w:t> </w:t>
            </w:r>
            <w:r>
              <w:rPr>
                <w:rFonts w:ascii="宋体" w:hAnsi="宋体" w:cs="宋体" w:eastAsia="宋体" w:hint="default"/>
                <w:sz w:val="18"/>
                <w:szCs w:val="18"/>
              </w:rPr>
              <w:t>制</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人、董事</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7" w:lineRule="auto"/>
              <w:ind w:left="103" w:right="70"/>
              <w:jc w:val="both"/>
              <w:rPr>
                <w:rFonts w:ascii="宋体" w:hAnsi="宋体" w:cs="宋体" w:eastAsia="宋体" w:hint="default"/>
                <w:sz w:val="18"/>
                <w:szCs w:val="18"/>
              </w:rPr>
            </w:pPr>
            <w:r>
              <w:rPr>
                <w:rFonts w:ascii="宋体" w:hAnsi="宋体" w:cs="宋体" w:eastAsia="宋体" w:hint="default"/>
                <w:spacing w:val="14"/>
                <w:sz w:val="18"/>
                <w:szCs w:val="18"/>
              </w:rPr>
              <w:t>（独立董</w:t>
            </w:r>
            <w:r>
              <w:rPr>
                <w:rFonts w:ascii="宋体" w:hAnsi="宋体" w:cs="宋体" w:eastAsia="宋体" w:hint="default"/>
                <w:spacing w:val="-71"/>
                <w:sz w:val="18"/>
                <w:szCs w:val="18"/>
              </w:rPr>
              <w:t> </w:t>
            </w:r>
            <w:r>
              <w:rPr>
                <w:rFonts w:ascii="宋体" w:hAnsi="宋体" w:cs="宋体" w:eastAsia="宋体" w:hint="default"/>
                <w:spacing w:val="-19"/>
                <w:sz w:val="18"/>
                <w:szCs w:val="18"/>
              </w:rPr>
              <w:t>事除外）、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4"/>
                <w:sz w:val="18"/>
                <w:szCs w:val="18"/>
              </w:rPr>
              <w:t>高级管理</w:t>
            </w:r>
            <w:r>
              <w:rPr>
                <w:rFonts w:ascii="宋体" w:hAnsi="宋体" w:cs="宋体" w:eastAsia="宋体" w:hint="default"/>
                <w:spacing w:val="-71"/>
                <w:sz w:val="18"/>
                <w:szCs w:val="18"/>
              </w:rPr>
              <w:t> </w:t>
            </w:r>
            <w:r>
              <w:rPr>
                <w:rFonts w:ascii="宋体" w:hAnsi="宋体" w:cs="宋体" w:eastAsia="宋体" w:hint="default"/>
                <w:sz w:val="18"/>
                <w:szCs w:val="18"/>
              </w:rPr>
              <w:t>人员</w:t>
            </w:r>
          </w:p>
        </w:tc>
        <w:tc>
          <w:tcPr>
            <w:tcW w:w="680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股价稳定措施，详见下文“注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both"/>
              <w:rPr>
                <w:rFonts w:ascii="宋体" w:hAnsi="宋体" w:cs="宋体" w:eastAsia="宋体" w:hint="default"/>
                <w:sz w:val="18"/>
                <w:szCs w:val="18"/>
              </w:rPr>
            </w:pPr>
            <w:r>
              <w:rPr>
                <w:rFonts w:ascii="宋体" w:hAnsi="宋体" w:cs="宋体" w:eastAsia="宋体" w:hint="default"/>
                <w:spacing w:val="32"/>
                <w:sz w:val="18"/>
                <w:szCs w:val="18"/>
              </w:rPr>
              <w:t>自上市</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2" w:lineRule="exact" w:before="24"/>
              <w:ind w:left="105" w:right="51"/>
              <w:jc w:val="both"/>
              <w:rPr>
                <w:rFonts w:ascii="宋体" w:hAnsi="宋体" w:cs="宋体" w:eastAsia="宋体" w:hint="default"/>
                <w:sz w:val="18"/>
                <w:szCs w:val="18"/>
              </w:rPr>
            </w:pPr>
            <w:r>
              <w:rPr>
                <w:rFonts w:ascii="宋体" w:hAnsi="宋体" w:cs="宋体" w:eastAsia="宋体" w:hint="default"/>
                <w:spacing w:val="32"/>
                <w:sz w:val="18"/>
                <w:szCs w:val="18"/>
              </w:rPr>
              <w:t>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w:t>
            </w:r>
            <w:r>
              <w:rPr>
                <w:rFonts w:ascii="宋体" w:hAnsi="宋体" w:cs="宋体" w:eastAsia="宋体" w:hint="default"/>
                <w:spacing w:val="2"/>
                <w:sz w:val="18"/>
                <w:szCs w:val="18"/>
              </w:rPr>
              <w:t> </w:t>
            </w:r>
            <w:r>
              <w:rPr>
                <w:rFonts w:ascii="宋体" w:hAnsi="宋体" w:cs="宋体" w:eastAsia="宋体" w:hint="default"/>
                <w:sz w:val="18"/>
                <w:szCs w:val="18"/>
              </w:rPr>
              <w:t>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644" w:hRule="exact"/>
        </w:trPr>
        <w:tc>
          <w:tcPr>
            <w:tcW w:w="1263"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其他</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 司</w:t>
            </w:r>
            <w:r>
              <w:rPr>
                <w:rFonts w:ascii="宋体" w:hAnsi="宋体" w:cs="宋体" w:eastAsia="宋体" w:hint="default"/>
                <w:spacing w:val="54"/>
                <w:sz w:val="18"/>
                <w:szCs w:val="18"/>
              </w:rPr>
              <w:t> </w:t>
            </w:r>
            <w:r>
              <w:rPr>
                <w:rFonts w:ascii="宋体" w:hAnsi="宋体" w:cs="宋体" w:eastAsia="宋体" w:hint="default"/>
                <w:sz w:val="18"/>
                <w:szCs w:val="18"/>
              </w:rPr>
              <w:t>董</w:t>
            </w:r>
          </w:p>
          <w:p>
            <w:pPr>
              <w:pStyle w:val="TableParagraph"/>
              <w:spacing w:line="232" w:lineRule="exact" w:before="24"/>
              <w:ind w:left="103" w:right="12"/>
              <w:jc w:val="left"/>
              <w:rPr>
                <w:rFonts w:ascii="宋体" w:hAnsi="宋体" w:cs="宋体" w:eastAsia="宋体" w:hint="default"/>
                <w:sz w:val="18"/>
                <w:szCs w:val="18"/>
              </w:rPr>
            </w:pPr>
            <w:r>
              <w:rPr>
                <w:rFonts w:ascii="宋体" w:hAnsi="宋体" w:cs="宋体" w:eastAsia="宋体" w:hint="default"/>
                <w:spacing w:val="-7"/>
                <w:sz w:val="18"/>
                <w:szCs w:val="18"/>
              </w:rPr>
              <w:t>事、监事、</w:t>
            </w:r>
            <w:r>
              <w:rPr>
                <w:rFonts w:ascii="宋体" w:hAnsi="宋体" w:cs="宋体" w:eastAsia="宋体" w:hint="default"/>
                <w:sz w:val="18"/>
                <w:szCs w:val="18"/>
              </w:rPr>
              <w:t> </w:t>
            </w:r>
            <w:r>
              <w:rPr>
                <w:rFonts w:ascii="宋体" w:hAnsi="宋体" w:cs="宋体" w:eastAsia="宋体" w:hint="default"/>
                <w:spacing w:val="14"/>
                <w:sz w:val="18"/>
                <w:szCs w:val="18"/>
              </w:rPr>
              <w:t>高级管理</w:t>
            </w:r>
            <w:r>
              <w:rPr>
                <w:rFonts w:ascii="宋体" w:hAnsi="宋体" w:cs="宋体" w:eastAsia="宋体" w:hint="default"/>
                <w:spacing w:val="-71"/>
                <w:sz w:val="18"/>
                <w:szCs w:val="18"/>
              </w:rPr>
              <w:t> </w:t>
            </w:r>
            <w:r>
              <w:rPr>
                <w:rFonts w:ascii="宋体" w:hAnsi="宋体" w:cs="宋体" w:eastAsia="宋体" w:hint="default"/>
                <w:sz w:val="18"/>
                <w:szCs w:val="18"/>
              </w:rPr>
              <w:t>人员</w:t>
            </w:r>
          </w:p>
        </w:tc>
        <w:tc>
          <w:tcPr>
            <w:tcW w:w="680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关于竞业禁止行为承诺如下：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）未经股东大会同意，本人及本人直系亲属不得为</w:t>
            </w:r>
          </w:p>
          <w:p>
            <w:pPr>
              <w:pStyle w:val="TableParagraph"/>
              <w:spacing w:line="230" w:lineRule="auto" w:before="1"/>
              <w:ind w:left="103" w:right="13"/>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本人或他人经营与公司同类的业务，或进行与公司利益发生冲突的对外投资；（</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w:t>
            </w:r>
            <w:r>
              <w:rPr>
                <w:rFonts w:ascii="宋体" w:hAnsi="宋体" w:cs="宋体" w:eastAsia="宋体" w:hint="default"/>
                <w:spacing w:val="-87"/>
                <w:sz w:val="18"/>
                <w:szCs w:val="18"/>
              </w:rPr>
              <w:t> </w:t>
            </w:r>
            <w:r>
              <w:rPr>
                <w:rFonts w:ascii="宋体" w:hAnsi="宋体" w:cs="宋体" w:eastAsia="宋体" w:hint="default"/>
                <w:spacing w:val="-5"/>
                <w:sz w:val="18"/>
                <w:szCs w:val="18"/>
              </w:rPr>
              <w:t>司章程未作规定，或未经股东大会同意，本人不得与公司签订合同（不包括聘任协议、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5"/>
                <w:sz w:val="18"/>
                <w:szCs w:val="18"/>
              </w:rPr>
              <w:t>劳动合同）或进行交易；（</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）未经股东大会同意，不得利用职务便利为本人及其近亲</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5"/>
                <w:sz w:val="18"/>
                <w:szCs w:val="18"/>
              </w:rPr>
              <w:t>属谋求属于公司的商业机会；（</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）本人无论是在职时或离任后，保证不泄露公司的商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业秘密，不自己使用、或允许他人使用、或利用公司的商业秘密与公司进行不正当的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竞争。</w:t>
            </w:r>
            <w:r>
              <w:rPr>
                <w:rFonts w:ascii="Times New Roman" w:hAnsi="Times New Roman" w:cs="Times New Roman" w:eastAsia="Times New Roman"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2"/>
                <w:sz w:val="21"/>
                <w:szCs w:val="21"/>
              </w:rPr>
              <w:t>长期有</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645" w:hRule="exact"/>
        </w:trPr>
        <w:tc>
          <w:tcPr>
            <w:tcW w:w="1263"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其他</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公司、实</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7" w:lineRule="auto" w:before="2"/>
              <w:ind w:left="103" w:right="12"/>
              <w:jc w:val="left"/>
              <w:rPr>
                <w:rFonts w:ascii="宋体" w:hAnsi="宋体" w:cs="宋体" w:eastAsia="宋体" w:hint="default"/>
                <w:sz w:val="18"/>
                <w:szCs w:val="18"/>
              </w:rPr>
            </w:pPr>
            <w:r>
              <w:rPr>
                <w:rFonts w:ascii="宋体" w:hAnsi="宋体" w:cs="宋体" w:eastAsia="宋体" w:hint="default"/>
                <w:sz w:val="18"/>
                <w:szCs w:val="18"/>
              </w:rPr>
              <w:t>际 控</w:t>
            </w:r>
            <w:r>
              <w:rPr>
                <w:rFonts w:ascii="宋体" w:hAnsi="宋体" w:cs="宋体" w:eastAsia="宋体" w:hint="default"/>
                <w:spacing w:val="54"/>
                <w:sz w:val="18"/>
                <w:szCs w:val="18"/>
              </w:rPr>
              <w:t> </w:t>
            </w:r>
            <w:r>
              <w:rPr>
                <w:rFonts w:ascii="宋体" w:hAnsi="宋体" w:cs="宋体" w:eastAsia="宋体" w:hint="default"/>
                <w:sz w:val="18"/>
                <w:szCs w:val="18"/>
              </w:rPr>
              <w:t>制</w:t>
            </w:r>
            <w:r>
              <w:rPr>
                <w:rFonts w:ascii="宋体" w:hAnsi="宋体" w:cs="宋体" w:eastAsia="宋体" w:hint="default"/>
                <w:sz w:val="18"/>
                <w:szCs w:val="18"/>
              </w:rPr>
              <w:t> </w:t>
            </w:r>
            <w:r>
              <w:rPr>
                <w:rFonts w:ascii="宋体" w:hAnsi="宋体" w:cs="宋体" w:eastAsia="宋体" w:hint="default"/>
                <w:spacing w:val="-7"/>
                <w:sz w:val="18"/>
                <w:szCs w:val="18"/>
              </w:rPr>
              <w:t>人、董事、</w:t>
            </w:r>
            <w:r>
              <w:rPr>
                <w:rFonts w:ascii="宋体" w:hAnsi="宋体" w:cs="宋体" w:eastAsia="宋体" w:hint="default"/>
                <w:sz w:val="18"/>
                <w:szCs w:val="18"/>
              </w:rPr>
              <w:t> </w:t>
            </w:r>
            <w:r>
              <w:rPr>
                <w:rFonts w:ascii="宋体" w:hAnsi="宋体" w:cs="宋体" w:eastAsia="宋体" w:hint="default"/>
                <w:spacing w:val="14"/>
                <w:sz w:val="18"/>
                <w:szCs w:val="18"/>
              </w:rPr>
              <w:t>监事、高</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4"/>
              <w:ind w:left="103" w:right="83"/>
              <w:jc w:val="left"/>
              <w:rPr>
                <w:rFonts w:ascii="宋体" w:hAnsi="宋体" w:cs="宋体" w:eastAsia="宋体" w:hint="default"/>
                <w:sz w:val="18"/>
                <w:szCs w:val="18"/>
              </w:rPr>
            </w:pPr>
            <w:r>
              <w:rPr>
                <w:rFonts w:ascii="宋体" w:hAnsi="宋体" w:cs="宋体" w:eastAsia="宋体" w:hint="default"/>
                <w:spacing w:val="14"/>
                <w:sz w:val="18"/>
                <w:szCs w:val="18"/>
              </w:rPr>
              <w:t>级管理人</w:t>
            </w:r>
            <w:r>
              <w:rPr>
                <w:rFonts w:ascii="宋体" w:hAnsi="宋体" w:cs="宋体" w:eastAsia="宋体" w:hint="default"/>
                <w:spacing w:val="-71"/>
                <w:sz w:val="18"/>
                <w:szCs w:val="18"/>
              </w:rPr>
              <w:t> </w:t>
            </w:r>
            <w:r>
              <w:rPr>
                <w:rFonts w:ascii="宋体" w:hAnsi="宋体" w:cs="宋体" w:eastAsia="宋体" w:hint="default"/>
                <w:sz w:val="18"/>
                <w:szCs w:val="18"/>
              </w:rPr>
              <w:t>员</w:t>
            </w:r>
          </w:p>
        </w:tc>
        <w:tc>
          <w:tcPr>
            <w:tcW w:w="68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如果公司招股说明书存在虚假记载、误导性陈述或者重大遗漏，对判断公司是否符合</w:t>
            </w:r>
          </w:p>
          <w:p>
            <w:pPr>
              <w:pStyle w:val="TableParagraph"/>
              <w:spacing w:line="237" w:lineRule="auto" w:before="2"/>
              <w:ind w:left="103" w:right="99"/>
              <w:jc w:val="left"/>
              <w:rPr>
                <w:rFonts w:ascii="宋体" w:hAnsi="宋体" w:cs="宋体" w:eastAsia="宋体" w:hint="default"/>
                <w:sz w:val="18"/>
                <w:szCs w:val="18"/>
              </w:rPr>
            </w:pPr>
            <w:r>
              <w:rPr>
                <w:rFonts w:ascii="宋体" w:hAnsi="宋体" w:cs="宋体" w:eastAsia="宋体" w:hint="default"/>
                <w:spacing w:val="-2"/>
                <w:sz w:val="18"/>
                <w:szCs w:val="18"/>
              </w:rPr>
              <w:t>法律规定的发行条件构成重大、实质影响的，将依法启动回购首次公开发行的全部新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股的相关程序，回购价格为市价；同时，公司实际控制人以市价购回已转让的原限售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 </w:t>
            </w:r>
            <w:r>
              <w:rPr>
                <w:rFonts w:ascii="宋体" w:hAnsi="宋体" w:cs="宋体" w:eastAsia="宋体" w:hint="default"/>
                <w:spacing w:val="-3"/>
                <w:sz w:val="18"/>
                <w:szCs w:val="18"/>
              </w:rPr>
              <w:t>公司及其实际控制人，公司董事、监事、高级管理人员承诺：如果公司招股说明书存</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2"/>
                <w:sz w:val="18"/>
                <w:szCs w:val="18"/>
              </w:rPr>
              <w:t>在虚假记载、误导性陈述或者重大遗漏，致使投资者在证券交易中遭受损失的，将依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法赔偿投资者损失，并按照司法程序履行相关义务。</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2"/>
                <w:sz w:val="21"/>
                <w:szCs w:val="21"/>
              </w:rPr>
              <w:t>长期有</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28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263"/>
        <w:gridCol w:w="708"/>
        <w:gridCol w:w="994"/>
        <w:gridCol w:w="6803"/>
        <w:gridCol w:w="853"/>
        <w:gridCol w:w="850"/>
        <w:gridCol w:w="852"/>
        <w:gridCol w:w="850"/>
        <w:gridCol w:w="936"/>
      </w:tblGrid>
      <w:tr>
        <w:trPr>
          <w:trHeight w:val="710" w:hRule="exact"/>
        </w:trPr>
        <w:tc>
          <w:tcPr>
            <w:tcW w:w="1263" w:type="dxa"/>
            <w:vMerge w:val="restart"/>
            <w:tcBorders>
              <w:top w:val="single" w:sz="4" w:space="0" w:color="000000"/>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8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保荐机构、公司律师、公司会计师承诺：如因其为公司首次公开发行股票并上市而制</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3"/>
                <w:sz w:val="18"/>
                <w:szCs w:val="18"/>
              </w:rPr>
              <w:t>作、出具的文件有虚假记载、误导性陈述或者重大遗漏，给投资者造成损失的，将依</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法赔偿投资者损失，并按照司法程序履行相关义务。</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1877" w:hRule="exact"/>
        </w:trPr>
        <w:tc>
          <w:tcPr>
            <w:tcW w:w="1263"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其他</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董事、高</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3"/>
              <w:ind w:left="103" w:right="83"/>
              <w:jc w:val="left"/>
              <w:rPr>
                <w:rFonts w:ascii="宋体" w:hAnsi="宋体" w:cs="宋体" w:eastAsia="宋体" w:hint="default"/>
                <w:sz w:val="18"/>
                <w:szCs w:val="18"/>
              </w:rPr>
            </w:pPr>
            <w:r>
              <w:rPr>
                <w:rFonts w:ascii="宋体" w:hAnsi="宋体" w:cs="宋体" w:eastAsia="宋体" w:hint="default"/>
                <w:spacing w:val="14"/>
                <w:sz w:val="18"/>
                <w:szCs w:val="18"/>
              </w:rPr>
              <w:t>级管理人</w:t>
            </w:r>
            <w:r>
              <w:rPr>
                <w:rFonts w:ascii="宋体" w:hAnsi="宋体" w:cs="宋体" w:eastAsia="宋体" w:hint="default"/>
                <w:spacing w:val="-71"/>
                <w:sz w:val="18"/>
                <w:szCs w:val="18"/>
              </w:rPr>
              <w:t> </w:t>
            </w:r>
            <w:r>
              <w:rPr>
                <w:rFonts w:ascii="宋体" w:hAnsi="宋体" w:cs="宋体" w:eastAsia="宋体" w:hint="default"/>
                <w:sz w:val="18"/>
                <w:szCs w:val="18"/>
              </w:rPr>
              <w:t>员</w:t>
            </w:r>
          </w:p>
        </w:tc>
        <w:tc>
          <w:tcPr>
            <w:tcW w:w="68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对公司填补回报措施能够得到切实履行作出承诺，具体如下：</w:t>
            </w:r>
          </w:p>
          <w:p>
            <w:pPr>
              <w:pStyle w:val="TableParagraph"/>
              <w:spacing w:line="232" w:lineRule="exact" w:before="23"/>
              <w:ind w:left="103" w:right="10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）不无偿或以不公平条件向其他单位或者个人输送利益，也不采用其他方式损害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公司利益；</w:t>
            </w:r>
          </w:p>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）对董事和高级管理人员的职务消费行为进行约束；</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）不动用公司资产从事与其履行职责无关的投资、消费活动；</w:t>
            </w:r>
          </w:p>
          <w:p>
            <w:pPr>
              <w:pStyle w:val="TableParagraph"/>
              <w:spacing w:line="232" w:lineRule="exact" w:before="16"/>
              <w:ind w:left="103" w:right="10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）由董事会或薪酬与考核委员会制定的薪酬制度与公司填补回报措施的执行情况</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相挂钩；</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）拟公布的公司股权激励的行权条件与公司填补回报措施的执行情况相挂钩。</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2"/>
                <w:sz w:val="21"/>
                <w:szCs w:val="21"/>
              </w:rPr>
              <w:t>长期有</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578" w:hRule="exact"/>
        </w:trPr>
        <w:tc>
          <w:tcPr>
            <w:tcW w:w="1263"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其他</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公司、实</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z w:val="18"/>
                <w:szCs w:val="18"/>
              </w:rPr>
              <w:t>际 控</w:t>
            </w:r>
            <w:r>
              <w:rPr>
                <w:rFonts w:ascii="宋体" w:hAnsi="宋体" w:cs="宋体" w:eastAsia="宋体" w:hint="default"/>
                <w:spacing w:val="54"/>
                <w:sz w:val="18"/>
                <w:szCs w:val="18"/>
              </w:rPr>
              <w:t> </w:t>
            </w:r>
            <w:r>
              <w:rPr>
                <w:rFonts w:ascii="宋体" w:hAnsi="宋体" w:cs="宋体" w:eastAsia="宋体" w:hint="default"/>
                <w:sz w:val="18"/>
                <w:szCs w:val="18"/>
              </w:rPr>
              <w:t>制</w:t>
            </w:r>
          </w:p>
          <w:p>
            <w:pPr>
              <w:pStyle w:val="TableParagraph"/>
              <w:spacing w:line="235" w:lineRule="auto" w:before="4"/>
              <w:ind w:left="103" w:right="83"/>
              <w:jc w:val="both"/>
              <w:rPr>
                <w:rFonts w:ascii="宋体" w:hAnsi="宋体" w:cs="宋体" w:eastAsia="宋体" w:hint="default"/>
                <w:sz w:val="18"/>
                <w:szCs w:val="18"/>
              </w:rPr>
            </w:pPr>
            <w:r>
              <w:rPr>
                <w:rFonts w:ascii="宋体" w:hAnsi="宋体" w:cs="宋体" w:eastAsia="宋体" w:hint="default"/>
                <w:spacing w:val="14"/>
                <w:sz w:val="18"/>
                <w:szCs w:val="18"/>
              </w:rPr>
              <w:t>人、持有</w:t>
            </w:r>
            <w:r>
              <w:rPr>
                <w:rFonts w:ascii="宋体" w:hAnsi="宋体" w:cs="宋体" w:eastAsia="宋体" w:hint="default"/>
                <w:spacing w:val="-71"/>
                <w:sz w:val="18"/>
                <w:szCs w:val="18"/>
              </w:rPr>
              <w:t> </w:t>
            </w:r>
            <w:r>
              <w:rPr>
                <w:rFonts w:ascii="宋体" w:hAnsi="宋体" w:cs="宋体" w:eastAsia="宋体" w:hint="default"/>
                <w:spacing w:val="21"/>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以上股份</w:t>
            </w:r>
            <w:r>
              <w:rPr>
                <w:rFonts w:ascii="宋体" w:hAnsi="宋体" w:cs="宋体" w:eastAsia="宋体" w:hint="default"/>
                <w:spacing w:val="-71"/>
                <w:sz w:val="18"/>
                <w:szCs w:val="18"/>
              </w:rPr>
              <w:t> </w:t>
            </w:r>
            <w:r>
              <w:rPr>
                <w:rFonts w:ascii="宋体" w:hAnsi="宋体" w:cs="宋体" w:eastAsia="宋体" w:hint="default"/>
                <w:spacing w:val="14"/>
                <w:sz w:val="18"/>
                <w:szCs w:val="18"/>
              </w:rPr>
              <w:t>的主要股</w:t>
            </w:r>
            <w:r>
              <w:rPr>
                <w:rFonts w:ascii="宋体" w:hAnsi="宋体" w:cs="宋体" w:eastAsia="宋体" w:hint="default"/>
                <w:spacing w:val="-71"/>
                <w:sz w:val="18"/>
                <w:szCs w:val="18"/>
              </w:rPr>
              <w:t> </w:t>
            </w:r>
            <w:r>
              <w:rPr>
                <w:rFonts w:ascii="宋体" w:hAnsi="宋体" w:cs="宋体" w:eastAsia="宋体" w:hint="default"/>
                <w:spacing w:val="14"/>
                <w:sz w:val="18"/>
                <w:szCs w:val="18"/>
              </w:rPr>
              <w:t>东以及作</w:t>
            </w:r>
            <w:r>
              <w:rPr>
                <w:rFonts w:ascii="宋体" w:hAnsi="宋体" w:cs="宋体" w:eastAsia="宋体" w:hint="default"/>
                <w:spacing w:val="-71"/>
                <w:sz w:val="18"/>
                <w:szCs w:val="18"/>
              </w:rPr>
              <w:t> </w:t>
            </w:r>
            <w:r>
              <w:rPr>
                <w:rFonts w:ascii="宋体" w:hAnsi="宋体" w:cs="宋体" w:eastAsia="宋体" w:hint="default"/>
                <w:spacing w:val="14"/>
                <w:sz w:val="18"/>
                <w:szCs w:val="18"/>
              </w:rPr>
              <w:t>为股东的</w:t>
            </w:r>
            <w:r>
              <w:rPr>
                <w:rFonts w:ascii="宋体" w:hAnsi="宋体" w:cs="宋体" w:eastAsia="宋体" w:hint="default"/>
                <w:spacing w:val="-71"/>
                <w:sz w:val="18"/>
                <w:szCs w:val="18"/>
              </w:rPr>
              <w:t> </w:t>
            </w:r>
            <w:r>
              <w:rPr>
                <w:rFonts w:ascii="宋体" w:hAnsi="宋体" w:cs="宋体" w:eastAsia="宋体" w:hint="default"/>
                <w:spacing w:val="14"/>
                <w:sz w:val="18"/>
                <w:szCs w:val="18"/>
              </w:rPr>
              <w:t>董事、监</w:t>
            </w:r>
            <w:r>
              <w:rPr>
                <w:rFonts w:ascii="宋体" w:hAnsi="宋体" w:cs="宋体" w:eastAsia="宋体" w:hint="default"/>
                <w:spacing w:val="-71"/>
                <w:sz w:val="18"/>
                <w:szCs w:val="18"/>
              </w:rPr>
              <w:t> </w:t>
            </w:r>
            <w:r>
              <w:rPr>
                <w:rFonts w:ascii="宋体" w:hAnsi="宋体" w:cs="宋体" w:eastAsia="宋体" w:hint="default"/>
                <w:spacing w:val="14"/>
                <w:sz w:val="18"/>
                <w:szCs w:val="18"/>
              </w:rPr>
              <w:t>事、高级</w:t>
            </w:r>
            <w:r>
              <w:rPr>
                <w:rFonts w:ascii="宋体" w:hAnsi="宋体" w:cs="宋体" w:eastAsia="宋体" w:hint="default"/>
                <w:spacing w:val="-71"/>
                <w:sz w:val="18"/>
                <w:szCs w:val="18"/>
              </w:rPr>
              <w:t> </w:t>
            </w:r>
            <w:r>
              <w:rPr>
                <w:rFonts w:ascii="宋体" w:hAnsi="宋体" w:cs="宋体" w:eastAsia="宋体" w:hint="default"/>
                <w:sz w:val="18"/>
                <w:szCs w:val="18"/>
              </w:rPr>
              <w:t>管理人员</w:t>
            </w:r>
          </w:p>
        </w:tc>
        <w:tc>
          <w:tcPr>
            <w:tcW w:w="68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若未履行相关承诺事项，将在股东大会及中国证监会指定报刊上公开说明未履行承诺</w:t>
            </w: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pacing w:val="-2"/>
                <w:sz w:val="18"/>
                <w:szCs w:val="18"/>
              </w:rPr>
              <w:t>的具体原因并向股东和社会公众投资者道歉；若因未履行相关承诺事项，致使投资者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在证券交易中遭受损失的，将依法向投资者赔偿损失。</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2"/>
                <w:sz w:val="21"/>
                <w:szCs w:val="21"/>
              </w:rPr>
              <w:t>长期有</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52" w:hRule="exact"/>
        </w:trPr>
        <w:tc>
          <w:tcPr>
            <w:tcW w:w="1263" w:type="dxa"/>
            <w:vMerge w:val="restart"/>
            <w:tcBorders>
              <w:top w:val="single" w:sz="4" w:space="0" w:color="000000"/>
              <w:left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49"/>
                <w:sz w:val="21"/>
                <w:szCs w:val="21"/>
              </w:rPr>
              <w:t>与再融资</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2" w:lineRule="exact" w:before="27"/>
              <w:ind w:left="105" w:right="33"/>
              <w:jc w:val="left"/>
              <w:rPr>
                <w:rFonts w:ascii="宋体" w:hAnsi="宋体" w:cs="宋体" w:eastAsia="宋体" w:hint="default"/>
                <w:sz w:val="21"/>
                <w:szCs w:val="21"/>
              </w:rPr>
            </w:pPr>
            <w:r>
              <w:rPr>
                <w:rFonts w:ascii="宋体" w:hAnsi="宋体" w:cs="宋体" w:eastAsia="宋体" w:hint="default"/>
                <w:spacing w:val="49"/>
                <w:sz w:val="21"/>
                <w:szCs w:val="21"/>
              </w:rPr>
              <w:t>相关的承</w:t>
            </w:r>
            <w:r>
              <w:rPr>
                <w:rFonts w:ascii="宋体" w:hAnsi="宋体" w:cs="宋体" w:eastAsia="宋体" w:hint="default"/>
                <w:spacing w:val="-96"/>
                <w:sz w:val="21"/>
                <w:szCs w:val="21"/>
              </w:rPr>
              <w:t> </w:t>
            </w:r>
            <w:r>
              <w:rPr>
                <w:rFonts w:ascii="宋体" w:hAnsi="宋体" w:cs="宋体" w:eastAsia="宋体" w:hint="default"/>
                <w:sz w:val="21"/>
                <w:szCs w:val="21"/>
              </w:rPr>
              <w:t>诺</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80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576" w:hRule="exact"/>
        </w:trPr>
        <w:tc>
          <w:tcPr>
            <w:tcW w:w="1263"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80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263" w:type="dxa"/>
            <w:vMerge w:val="restart"/>
            <w:tcBorders>
              <w:top w:val="single" w:sz="4" w:space="0" w:color="000000"/>
              <w:left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49"/>
                <w:sz w:val="21"/>
                <w:szCs w:val="21"/>
              </w:rPr>
              <w:t>与股权激</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ind w:left="105" w:right="33"/>
              <w:jc w:val="left"/>
              <w:rPr>
                <w:rFonts w:ascii="宋体" w:hAnsi="宋体" w:cs="宋体" w:eastAsia="宋体" w:hint="default"/>
                <w:sz w:val="21"/>
                <w:szCs w:val="21"/>
              </w:rPr>
            </w:pPr>
            <w:r>
              <w:rPr>
                <w:rFonts w:ascii="宋体" w:hAnsi="宋体" w:cs="宋体" w:eastAsia="宋体" w:hint="default"/>
                <w:spacing w:val="49"/>
                <w:sz w:val="21"/>
                <w:szCs w:val="21"/>
              </w:rPr>
              <w:t>励相关的</w:t>
            </w:r>
            <w:r>
              <w:rPr>
                <w:rFonts w:ascii="宋体" w:hAnsi="宋体" w:cs="宋体" w:eastAsia="宋体" w:hint="default"/>
                <w:spacing w:val="-96"/>
                <w:sz w:val="21"/>
                <w:szCs w:val="21"/>
              </w:rPr>
              <w:t> </w:t>
            </w:r>
            <w:r>
              <w:rPr>
                <w:rFonts w:ascii="宋体" w:hAnsi="宋体" w:cs="宋体" w:eastAsia="宋体" w:hint="default"/>
                <w:sz w:val="21"/>
                <w:szCs w:val="21"/>
              </w:rPr>
              <w:t>承诺</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80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576" w:hRule="exact"/>
        </w:trPr>
        <w:tc>
          <w:tcPr>
            <w:tcW w:w="1263"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80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263" w:type="dxa"/>
            <w:vMerge w:val="restart"/>
            <w:tcBorders>
              <w:top w:val="single" w:sz="4" w:space="0" w:color="000000"/>
              <w:left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pacing w:val="49"/>
                <w:sz w:val="21"/>
                <w:szCs w:val="21"/>
              </w:rPr>
              <w:t>其他对公</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37" w:lineRule="auto" w:before="2"/>
              <w:ind w:left="105" w:right="33"/>
              <w:jc w:val="both"/>
              <w:rPr>
                <w:rFonts w:ascii="宋体" w:hAnsi="宋体" w:cs="宋体" w:eastAsia="宋体" w:hint="default"/>
                <w:sz w:val="21"/>
                <w:szCs w:val="21"/>
              </w:rPr>
            </w:pPr>
            <w:r>
              <w:rPr>
                <w:rFonts w:ascii="宋体" w:hAnsi="宋体" w:cs="宋体" w:eastAsia="宋体" w:hint="default"/>
                <w:spacing w:val="49"/>
                <w:sz w:val="21"/>
                <w:szCs w:val="21"/>
              </w:rPr>
              <w:t>司中小股</w:t>
            </w:r>
            <w:r>
              <w:rPr>
                <w:rFonts w:ascii="宋体" w:hAnsi="宋体" w:cs="宋体" w:eastAsia="宋体" w:hint="default"/>
                <w:spacing w:val="-96"/>
                <w:sz w:val="21"/>
                <w:szCs w:val="21"/>
              </w:rPr>
              <w:t> </w:t>
            </w:r>
            <w:r>
              <w:rPr>
                <w:rFonts w:ascii="宋体" w:hAnsi="宋体" w:cs="宋体" w:eastAsia="宋体" w:hint="default"/>
                <w:spacing w:val="44"/>
                <w:sz w:val="21"/>
                <w:szCs w:val="21"/>
              </w:rPr>
              <w:t>东所作</w:t>
            </w:r>
            <w:r>
              <w:rPr>
                <w:rFonts w:ascii="宋体" w:hAnsi="宋体" w:cs="宋体" w:eastAsia="宋体" w:hint="default"/>
                <w:spacing w:val="-35"/>
                <w:sz w:val="21"/>
                <w:szCs w:val="21"/>
              </w:rPr>
              <w:t> </w:t>
            </w:r>
            <w:r>
              <w:rPr>
                <w:rFonts w:ascii="宋体" w:hAnsi="宋体" w:cs="宋体" w:eastAsia="宋体" w:hint="default"/>
                <w:sz w:val="21"/>
                <w:szCs w:val="21"/>
              </w:rPr>
              <w:t>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诺</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80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848" w:hRule="exact"/>
        </w:trPr>
        <w:tc>
          <w:tcPr>
            <w:tcW w:w="1263"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80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其他承诺</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80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其他承诺</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80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80" w:right="1220"/>
        </w:sectPr>
      </w:pPr>
    </w:p>
    <w:p>
      <w:pPr>
        <w:pStyle w:val="BodyText"/>
        <w:spacing w:line="283" w:lineRule="exact" w:before="120"/>
        <w:ind w:left="144" w:right="107"/>
        <w:jc w:val="left"/>
      </w:pPr>
      <w:r>
        <w:rPr/>
        <w:t>注</w:t>
      </w:r>
      <w:r>
        <w:rPr>
          <w:spacing w:val="-49"/>
        </w:rPr>
        <w:t> </w:t>
      </w:r>
      <w:r>
        <w:rPr>
          <w:rFonts w:ascii="Times New Roman" w:hAnsi="Times New Roman" w:cs="Times New Roman" w:eastAsia="Times New Roman" w:hint="default"/>
        </w:rPr>
        <w:t>1</w:t>
      </w:r>
      <w:r>
        <w:rPr/>
        <w:t>：</w:t>
      </w:r>
    </w:p>
    <w:p>
      <w:pPr>
        <w:spacing w:line="233" w:lineRule="exact" w:before="0"/>
        <w:ind w:left="504" w:right="107"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w:t>
      </w:r>
      <w:r>
        <w:rPr>
          <w:rFonts w:ascii="宋体" w:hAnsi="宋体" w:cs="宋体" w:eastAsia="宋体" w:hint="default"/>
          <w:spacing w:val="-3"/>
          <w:sz w:val="18"/>
          <w:szCs w:val="18"/>
        </w:rPr>
        <w:t>大</w:t>
      </w:r>
      <w:r>
        <w:rPr>
          <w:rFonts w:ascii="宋体" w:hAnsi="宋体" w:cs="宋体" w:eastAsia="宋体" w:hint="default"/>
          <w:sz w:val="18"/>
          <w:szCs w:val="18"/>
        </w:rPr>
        <w:t>会审议并通过《上海格尔软件股份有限公司稳定股价预案</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预案主要内容如下：</w:t>
      </w:r>
    </w:p>
    <w:p>
      <w:pPr>
        <w:spacing w:line="234" w:lineRule="exact" w:before="0"/>
        <w:ind w:left="504" w:right="1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、触发和停止股价稳定方案的条件</w:t>
      </w:r>
    </w:p>
    <w:p>
      <w:pPr>
        <w:spacing w:line="234" w:lineRule="exact" w:before="0"/>
        <w:ind w:left="504" w:right="10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）触发股价稳定方案的条件</w:t>
      </w:r>
    </w:p>
    <w:p>
      <w:pPr>
        <w:spacing w:line="232" w:lineRule="exact" w:before="16"/>
        <w:ind w:left="144" w:right="107" w:firstLine="360"/>
        <w:jc w:val="left"/>
        <w:rPr>
          <w:rFonts w:ascii="宋体" w:hAnsi="宋体" w:cs="宋体" w:eastAsia="宋体" w:hint="default"/>
          <w:sz w:val="18"/>
          <w:szCs w:val="18"/>
        </w:rPr>
      </w:pPr>
      <w:r>
        <w:rPr>
          <w:rFonts w:ascii="宋体" w:hAnsi="宋体" w:cs="宋体" w:eastAsia="宋体" w:hint="default"/>
          <w:sz w:val="18"/>
          <w:szCs w:val="18"/>
        </w:rPr>
        <w:t>公司上市后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个月内，如出现连续</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个交易日收盘价低于上个会计年度经审计的每股净资产时，触发股价稳定方案。自股价稳定方案触发之日起，公司董事会应在</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个工 </w:t>
      </w:r>
      <w:r>
        <w:rPr>
          <w:rFonts w:ascii="宋体" w:hAnsi="宋体" w:cs="宋体" w:eastAsia="宋体" w:hint="default"/>
          <w:sz w:val="18"/>
          <w:szCs w:val="18"/>
        </w:rPr>
        <w:t>作日内召开董事会会议并告知稳定方案履行义务人。董事会决议公告后，相关履行增持义务人将按顺序启动股票增持方案。</w:t>
      </w:r>
    </w:p>
    <w:p>
      <w:pPr>
        <w:spacing w:line="218" w:lineRule="exact" w:before="0"/>
        <w:ind w:left="504" w:right="10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）停止股价稳定方案的条件</w:t>
      </w:r>
    </w:p>
    <w:p>
      <w:pPr>
        <w:spacing w:line="229" w:lineRule="exact" w:before="0"/>
        <w:ind w:left="504" w:right="0" w:firstLine="0"/>
        <w:jc w:val="left"/>
        <w:rPr>
          <w:rFonts w:ascii="宋体" w:hAnsi="宋体" w:cs="宋体" w:eastAsia="宋体" w:hint="default"/>
          <w:sz w:val="18"/>
          <w:szCs w:val="18"/>
        </w:rPr>
      </w:pPr>
      <w:r>
        <w:rPr>
          <w:rFonts w:ascii="宋体" w:hAnsi="宋体" w:cs="宋体" w:eastAsia="宋体" w:hint="default"/>
          <w:sz w:val="18"/>
          <w:szCs w:val="18"/>
        </w:rPr>
        <w:t>如触发股价稳定方案时点至股价稳定方案尚未正式实施前或股价稳定方案实施后，公司股票某日的收盘价高于上个会计年度经审计的每股净资产时，则停止实施股价稳定方</w:t>
      </w:r>
    </w:p>
    <w:p>
      <w:pPr>
        <w:spacing w:line="231" w:lineRule="exact" w:before="0"/>
        <w:ind w:left="144" w:right="107" w:firstLine="0"/>
        <w:jc w:val="left"/>
        <w:rPr>
          <w:rFonts w:ascii="宋体" w:hAnsi="宋体" w:cs="宋体" w:eastAsia="宋体" w:hint="default"/>
          <w:sz w:val="18"/>
          <w:szCs w:val="18"/>
        </w:rPr>
      </w:pPr>
      <w:r>
        <w:rPr>
          <w:rFonts w:ascii="宋体" w:hAnsi="宋体" w:cs="宋体" w:eastAsia="宋体" w:hint="default"/>
          <w:sz w:val="18"/>
          <w:szCs w:val="18"/>
        </w:rPr>
        <w:t>案。</w:t>
      </w:r>
    </w:p>
    <w:p>
      <w:pPr>
        <w:spacing w:line="232" w:lineRule="auto" w:before="5"/>
        <w:ind w:left="504" w:right="1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、股价稳定方案的执行顺序 </w:t>
      </w:r>
      <w:r>
        <w:rPr>
          <w:rFonts w:ascii="宋体" w:hAnsi="宋体" w:cs="宋体" w:eastAsia="宋体" w:hint="default"/>
          <w:spacing w:val="-2"/>
          <w:sz w:val="18"/>
          <w:szCs w:val="18"/>
        </w:rPr>
        <w:t>执行股价稳定方案时，公司回购公司股票为第一顺位，实际控制人增持股票为第二顺位，公司董事（独立董事除外）、高级管理人员增持股票为第三顺位。</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公司使用了承诺的最大限度资金回购公司股份后，公司股价仍未达到停止股价稳定方案的条件的，则由实际控制人增持公司股份；实际控制人增持了承诺的最大数量股份后，</w:t>
      </w:r>
    </w:p>
    <w:p>
      <w:pPr>
        <w:spacing w:line="232" w:lineRule="exact" w:before="0"/>
        <w:ind w:left="144" w:right="107" w:firstLine="0"/>
        <w:jc w:val="left"/>
        <w:rPr>
          <w:rFonts w:ascii="宋体" w:hAnsi="宋体" w:cs="宋体" w:eastAsia="宋体" w:hint="default"/>
          <w:sz w:val="18"/>
          <w:szCs w:val="18"/>
        </w:rPr>
      </w:pPr>
      <w:r>
        <w:rPr>
          <w:rFonts w:ascii="宋体" w:hAnsi="宋体" w:cs="宋体" w:eastAsia="宋体" w:hint="default"/>
          <w:sz w:val="18"/>
          <w:szCs w:val="18"/>
        </w:rPr>
        <w:t>公司股价仍未达到停止股价稳定方案的条</w:t>
      </w:r>
      <w:r>
        <w:rPr>
          <w:rFonts w:ascii="宋体" w:hAnsi="宋体" w:cs="宋体" w:eastAsia="宋体" w:hint="default"/>
          <w:spacing w:val="1"/>
          <w:sz w:val="18"/>
          <w:szCs w:val="18"/>
        </w:rPr>
        <w:t>件</w:t>
      </w:r>
      <w:r>
        <w:rPr>
          <w:rFonts w:ascii="宋体" w:hAnsi="宋体" w:cs="宋体" w:eastAsia="宋体" w:hint="default"/>
          <w:sz w:val="18"/>
          <w:szCs w:val="18"/>
        </w:rPr>
        <w:t>的，则由公司董事（独立董事除外</w:t>
      </w:r>
      <w:r>
        <w:rPr>
          <w:rFonts w:ascii="宋体" w:hAnsi="宋体" w:cs="宋体" w:eastAsia="宋体" w:hint="default"/>
          <w:spacing w:val="-92"/>
          <w:sz w:val="18"/>
          <w:szCs w:val="18"/>
        </w:rPr>
        <w:t>）</w:t>
      </w:r>
      <w:r>
        <w:rPr>
          <w:rFonts w:ascii="宋体" w:hAnsi="宋体" w:cs="宋体" w:eastAsia="宋体" w:hint="default"/>
          <w:sz w:val="18"/>
          <w:szCs w:val="18"/>
        </w:rPr>
        <w:t>、高级管</w:t>
      </w:r>
      <w:r>
        <w:rPr>
          <w:rFonts w:ascii="宋体" w:hAnsi="宋体" w:cs="宋体" w:eastAsia="宋体" w:hint="default"/>
          <w:spacing w:val="2"/>
          <w:sz w:val="18"/>
          <w:szCs w:val="18"/>
        </w:rPr>
        <w:t>理</w:t>
      </w:r>
      <w:r>
        <w:rPr>
          <w:rFonts w:ascii="宋体" w:hAnsi="宋体" w:cs="宋体" w:eastAsia="宋体" w:hint="default"/>
          <w:sz w:val="18"/>
          <w:szCs w:val="18"/>
        </w:rPr>
        <w:t>人员承担增持义务。</w:t>
      </w:r>
    </w:p>
    <w:p>
      <w:pPr>
        <w:spacing w:line="241" w:lineRule="exact" w:before="0"/>
        <w:ind w:left="504" w:right="1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、股价稳定方案的具体措施</w:t>
      </w:r>
    </w:p>
    <w:p>
      <w:pPr>
        <w:spacing w:line="232" w:lineRule="exact" w:before="17"/>
        <w:ind w:left="504" w:right="2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）公司回购公司股票 公司股东大会对回购股份作出决议，须经出席会议的股东所持表决权的三分之二以上通过，公司实际控制人孔令钢、陆海天承诺就该等回购事宜在股东大会中投赞成票。 公司为稳定股价之目的进行股份回购的，除应符合相关法律法规之要求之外，还应符合下列各项：</w:t>
      </w:r>
    </w:p>
    <w:p>
      <w:pPr>
        <w:spacing w:line="212" w:lineRule="exact" w:before="0"/>
        <w:ind w:left="504" w:right="107" w:firstLine="0"/>
        <w:jc w:val="left"/>
        <w:rPr>
          <w:rFonts w:ascii="宋体" w:hAnsi="宋体" w:cs="宋体" w:eastAsia="宋体" w:hint="default"/>
          <w:sz w:val="18"/>
          <w:szCs w:val="18"/>
        </w:rPr>
      </w:pPr>
      <w:r>
        <w:rPr>
          <w:rFonts w:ascii="宋体" w:hAnsi="宋体" w:cs="宋体" w:eastAsia="宋体" w:hint="default"/>
          <w:sz w:val="18"/>
          <w:szCs w:val="18"/>
        </w:rPr>
        <w:t>①公司累计用于回购股份的资金总额累计不超过公司首次公开发行新股所募集资金的总额；</w:t>
      </w:r>
    </w:p>
    <w:p>
      <w:pPr>
        <w:spacing w:line="241" w:lineRule="exact" w:before="0"/>
        <w:ind w:left="504" w:right="107" w:firstLine="0"/>
        <w:jc w:val="left"/>
        <w:rPr>
          <w:rFonts w:ascii="宋体" w:hAnsi="宋体" w:cs="宋体" w:eastAsia="宋体" w:hint="default"/>
          <w:sz w:val="18"/>
          <w:szCs w:val="18"/>
        </w:rPr>
      </w:pPr>
      <w:r>
        <w:rPr>
          <w:rFonts w:ascii="宋体" w:hAnsi="宋体" w:cs="宋体" w:eastAsia="宋体" w:hint="default"/>
          <w:sz w:val="18"/>
          <w:szCs w:val="18"/>
        </w:rPr>
        <w:t>②公司上市之日起每十二个月内用于回购股份的资金不得低于人民币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万元或最近一年实现的可供分配利润的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p>
      <w:pPr>
        <w:spacing w:line="233" w:lineRule="exact" w:before="0"/>
        <w:ind w:left="504" w:right="107" w:firstLine="0"/>
        <w:jc w:val="left"/>
        <w:rPr>
          <w:rFonts w:ascii="宋体" w:hAnsi="宋体" w:cs="宋体" w:eastAsia="宋体" w:hint="default"/>
          <w:sz w:val="18"/>
          <w:szCs w:val="18"/>
        </w:rPr>
      </w:pPr>
      <w:r>
        <w:rPr>
          <w:rFonts w:ascii="宋体" w:hAnsi="宋体" w:cs="宋体" w:eastAsia="宋体" w:hint="default"/>
          <w:sz w:val="18"/>
          <w:szCs w:val="18"/>
        </w:rPr>
        <w:t>③公司单次回购股份不超过公司总股本的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或连续十二个月累计回购股份不超过公司总股本的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；如达到本项要求的，可不再执行第②项。</w:t>
      </w:r>
    </w:p>
    <w:p>
      <w:pPr>
        <w:spacing w:line="234" w:lineRule="exact" w:before="15"/>
        <w:ind w:left="504" w:right="109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）实际控制人增持公司股票 实际控制人孔令钢、陆海天承诺：</w:t>
      </w:r>
    </w:p>
    <w:p>
      <w:pPr>
        <w:spacing w:line="219" w:lineRule="exact" w:before="0"/>
        <w:ind w:left="504" w:right="107" w:firstLine="0"/>
        <w:jc w:val="left"/>
        <w:rPr>
          <w:rFonts w:ascii="宋体" w:hAnsi="宋体" w:cs="宋体" w:eastAsia="宋体" w:hint="default"/>
          <w:sz w:val="18"/>
          <w:szCs w:val="18"/>
        </w:rPr>
      </w:pPr>
      <w:r>
        <w:rPr>
          <w:rFonts w:ascii="宋体" w:hAnsi="宋体" w:cs="宋体" w:eastAsia="宋体" w:hint="default"/>
          <w:sz w:val="18"/>
          <w:szCs w:val="18"/>
        </w:rPr>
        <w:t>①公司上市之日起每十二个月内为稳定股价增持公司股票使用的资金总额不应少于人民币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w:t>
      </w:r>
    </w:p>
    <w:p>
      <w:pPr>
        <w:spacing w:line="233" w:lineRule="exact" w:before="0"/>
        <w:ind w:left="504" w:right="107" w:firstLine="0"/>
        <w:jc w:val="left"/>
        <w:rPr>
          <w:rFonts w:ascii="宋体" w:hAnsi="宋体" w:cs="宋体" w:eastAsia="宋体" w:hint="default"/>
          <w:sz w:val="18"/>
          <w:szCs w:val="18"/>
        </w:rPr>
      </w:pPr>
      <w:r>
        <w:rPr>
          <w:rFonts w:ascii="宋体" w:hAnsi="宋体" w:cs="宋体" w:eastAsia="宋体" w:hint="default"/>
          <w:sz w:val="18"/>
          <w:szCs w:val="18"/>
        </w:rPr>
        <w:t>②单次及</w:t>
      </w:r>
      <w:r>
        <w:rPr>
          <w:rFonts w:ascii="Times New Roman" w:hAnsi="Times New Roman" w:cs="Times New Roman" w:eastAsia="Times New Roman" w:hint="default"/>
          <w:sz w:val="18"/>
          <w:szCs w:val="18"/>
        </w:rPr>
        <w:t>/</w:t>
      </w:r>
      <w:r>
        <w:rPr>
          <w:rFonts w:ascii="宋体" w:hAnsi="宋体" w:cs="宋体" w:eastAsia="宋体" w:hint="default"/>
          <w:sz w:val="18"/>
          <w:szCs w:val="18"/>
        </w:rPr>
        <w:t>或连续十二个月累计增持公司股份数量不超过公司总股本的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；如达到本项要求的，可不再执行第①项。</w:t>
      </w:r>
    </w:p>
    <w:p>
      <w:pPr>
        <w:spacing w:line="236" w:lineRule="exact" w:before="13"/>
        <w:ind w:left="504" w:right="10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）董事、高级管理人员增持公司股票 </w:t>
      </w:r>
      <w:r>
        <w:rPr>
          <w:rFonts w:ascii="宋体" w:hAnsi="宋体" w:cs="宋体" w:eastAsia="宋体" w:hint="default"/>
          <w:spacing w:val="-5"/>
          <w:sz w:val="18"/>
          <w:szCs w:val="18"/>
        </w:rPr>
        <w:t>领取薪酬的董事（独立董事除外）、高级管理人员，以不低于股价稳定方案启动时上一年度从公司处领取的薪酬，在二级市场增持流通股份。对于本次发行后新聘任的董事（独</w:t>
      </w:r>
    </w:p>
    <w:p>
      <w:pPr>
        <w:spacing w:line="210" w:lineRule="exact" w:before="0"/>
        <w:ind w:left="144" w:right="107" w:firstLine="0"/>
        <w:jc w:val="left"/>
        <w:rPr>
          <w:rFonts w:ascii="宋体" w:hAnsi="宋体" w:cs="宋体" w:eastAsia="宋体" w:hint="default"/>
          <w:sz w:val="18"/>
          <w:szCs w:val="18"/>
        </w:rPr>
      </w:pPr>
      <w:r>
        <w:rPr>
          <w:rFonts w:ascii="宋体" w:hAnsi="宋体" w:cs="宋体" w:eastAsia="宋体" w:hint="default"/>
          <w:sz w:val="18"/>
          <w:szCs w:val="18"/>
        </w:rPr>
        <w:t>立董事除外</w:t>
      </w:r>
      <w:r>
        <w:rPr>
          <w:rFonts w:ascii="宋体" w:hAnsi="宋体" w:cs="宋体" w:eastAsia="宋体" w:hint="default"/>
          <w:spacing w:val="-92"/>
          <w:sz w:val="18"/>
          <w:szCs w:val="18"/>
        </w:rPr>
        <w:t>）</w:t>
      </w:r>
      <w:r>
        <w:rPr>
          <w:rFonts w:ascii="宋体" w:hAnsi="宋体" w:cs="宋体" w:eastAsia="宋体" w:hint="default"/>
          <w:sz w:val="18"/>
          <w:szCs w:val="18"/>
        </w:rPr>
        <w:t>、高级管理人员</w:t>
      </w:r>
      <w:r>
        <w:rPr>
          <w:rFonts w:ascii="宋体" w:hAnsi="宋体" w:cs="宋体" w:eastAsia="宋体" w:hint="default"/>
          <w:spacing w:val="2"/>
          <w:sz w:val="18"/>
          <w:szCs w:val="18"/>
        </w:rPr>
        <w:t>，</w:t>
      </w:r>
      <w:r>
        <w:rPr>
          <w:rFonts w:ascii="宋体" w:hAnsi="宋体" w:cs="宋体" w:eastAsia="宋体" w:hint="default"/>
          <w:sz w:val="18"/>
          <w:szCs w:val="18"/>
        </w:rPr>
        <w:t>公司将要求其签署上述承诺并要求履行。</w:t>
      </w:r>
    </w:p>
    <w:p>
      <w:pPr>
        <w:spacing w:line="232" w:lineRule="exact" w:before="23"/>
        <w:ind w:left="504" w:right="443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）增持或回购股票的限定条件 以上股价稳定方案的任何措施均以不影响《上海证券交易所股票上市规则》中对于上市公司股权分布的要求为前提。</w:t>
      </w:r>
    </w:p>
    <w:p>
      <w:pPr>
        <w:spacing w:line="220" w:lineRule="exact" w:before="0"/>
        <w:ind w:left="504" w:right="10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）回购或增持股票方案的启动时点</w:t>
      </w:r>
    </w:p>
    <w:p>
      <w:pPr>
        <w:spacing w:line="233" w:lineRule="exact" w:before="0"/>
        <w:ind w:left="504" w:right="107" w:firstLine="0"/>
        <w:jc w:val="left"/>
        <w:rPr>
          <w:rFonts w:ascii="宋体" w:hAnsi="宋体" w:cs="宋体" w:eastAsia="宋体" w:hint="default"/>
          <w:sz w:val="18"/>
          <w:szCs w:val="18"/>
        </w:rPr>
      </w:pPr>
      <w:r>
        <w:rPr>
          <w:rFonts w:ascii="宋体" w:hAnsi="宋体" w:cs="宋体" w:eastAsia="宋体" w:hint="default"/>
          <w:sz w:val="18"/>
          <w:szCs w:val="18"/>
        </w:rPr>
        <w:t>自股价稳定方案触发之日起，公司董事会应在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个工作日内召开董事会会议并告知股价稳定方案履行义务人。</w:t>
      </w:r>
    </w:p>
    <w:p>
      <w:pPr>
        <w:spacing w:line="233" w:lineRule="exact" w:before="0"/>
        <w:ind w:left="504" w:right="107" w:firstLine="0"/>
        <w:jc w:val="left"/>
        <w:rPr>
          <w:rFonts w:ascii="宋体" w:hAnsi="宋体" w:cs="宋体" w:eastAsia="宋体" w:hint="default"/>
          <w:sz w:val="18"/>
          <w:szCs w:val="18"/>
        </w:rPr>
      </w:pPr>
      <w:r>
        <w:rPr>
          <w:rFonts w:ascii="宋体" w:hAnsi="宋体" w:cs="宋体" w:eastAsia="宋体" w:hint="default"/>
          <w:sz w:val="18"/>
          <w:szCs w:val="18"/>
        </w:rPr>
        <w:t>董事会决议公告后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个交易日内，公司根据制定的回购方案，实施公司股份回购。</w:t>
      </w:r>
    </w:p>
    <w:p>
      <w:pPr>
        <w:spacing w:line="234" w:lineRule="exact" w:before="0"/>
        <w:ind w:left="504" w:right="107" w:firstLine="0"/>
        <w:jc w:val="left"/>
        <w:rPr>
          <w:rFonts w:ascii="宋体" w:hAnsi="宋体" w:cs="宋体" w:eastAsia="宋体" w:hint="default"/>
          <w:sz w:val="18"/>
          <w:szCs w:val="18"/>
        </w:rPr>
      </w:pPr>
      <w:r>
        <w:rPr>
          <w:rFonts w:ascii="宋体" w:hAnsi="宋体" w:cs="宋体" w:eastAsia="宋体" w:hint="default"/>
          <w:sz w:val="18"/>
          <w:szCs w:val="18"/>
        </w:rPr>
        <w:t>公司履行完回购义务，仍未达到停止股价稳定方案的条件，实际控制人于董事会决议公告后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个交易日内启动股票增持方案。</w:t>
      </w:r>
    </w:p>
    <w:p>
      <w:pPr>
        <w:spacing w:line="232" w:lineRule="exact" w:before="17"/>
        <w:ind w:left="144" w:right="102" w:firstLine="360"/>
        <w:jc w:val="left"/>
        <w:rPr>
          <w:rFonts w:ascii="宋体" w:hAnsi="宋体" w:cs="宋体" w:eastAsia="宋体" w:hint="default"/>
          <w:sz w:val="18"/>
          <w:szCs w:val="18"/>
        </w:rPr>
      </w:pPr>
      <w:r>
        <w:rPr>
          <w:rFonts w:ascii="宋体" w:hAnsi="宋体" w:cs="宋体" w:eastAsia="宋体" w:hint="default"/>
          <w:spacing w:val="-2"/>
          <w:sz w:val="18"/>
          <w:szCs w:val="18"/>
        </w:rPr>
        <w:t>公司、实际控制人履行完回购及增持义务后，仍未达到停止股价稳定方案的条件，公司董事（独立董事除外）、高级管理人员于董事会决议公告后</w:t>
      </w:r>
      <w:r>
        <w:rPr>
          <w:rFonts w:ascii="宋体" w:hAnsi="宋体" w:cs="宋体" w:eastAsia="宋体" w:hint="default"/>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个交易日内启动股票增 持方案。</w:t>
      </w:r>
    </w:p>
    <w:p>
      <w:pPr>
        <w:spacing w:line="210" w:lineRule="exact" w:before="0"/>
        <w:ind w:left="504" w:right="107" w:firstLine="0"/>
        <w:jc w:val="left"/>
        <w:rPr>
          <w:rFonts w:ascii="宋体" w:hAnsi="宋体" w:cs="宋体" w:eastAsia="宋体" w:hint="default"/>
          <w:sz w:val="18"/>
          <w:szCs w:val="18"/>
        </w:rPr>
      </w:pPr>
      <w:r>
        <w:rPr>
          <w:rFonts w:ascii="宋体" w:hAnsi="宋体" w:cs="宋体" w:eastAsia="宋体" w:hint="default"/>
          <w:sz w:val="18"/>
          <w:szCs w:val="18"/>
        </w:rPr>
        <w:t>公司及相关责任人在执行股价稳定方案时不得违反中国证监会及上海证券交易所关于增持或回购股票的时点限制。</w:t>
      </w:r>
    </w:p>
    <w:p>
      <w:pPr>
        <w:spacing w:line="248" w:lineRule="exact" w:before="0"/>
        <w:ind w:left="504" w:right="1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、未履行股价稳定方案承诺的约束措施</w:t>
      </w:r>
    </w:p>
    <w:p>
      <w:pPr>
        <w:spacing w:after="0" w:line="248" w:lineRule="exact"/>
        <w:jc w:val="left"/>
        <w:rPr>
          <w:rFonts w:ascii="宋体" w:hAnsi="宋体" w:cs="宋体" w:eastAsia="宋体" w:hint="default"/>
          <w:sz w:val="18"/>
          <w:szCs w:val="18"/>
        </w:rPr>
        <w:sectPr>
          <w:pgSz w:w="16840" w:h="11910" w:orient="landscape"/>
          <w:pgMar w:header="880" w:footer="1195" w:top="1120" w:bottom="1380" w:left="1380" w:right="1320"/>
        </w:sectPr>
      </w:pPr>
    </w:p>
    <w:p>
      <w:pPr>
        <w:spacing w:line="232" w:lineRule="exact" w:before="148"/>
        <w:ind w:left="144" w:right="107"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）公司将及时对稳定股价的措施和实施方案进行公告，并将在定期报告中披露公司、股东以及董事（独立董事除外）、高级管理人员关于股价稳定措施的履行情况，及未</w:t>
      </w:r>
      <w:r>
        <w:rPr>
          <w:rFonts w:ascii="宋体" w:hAnsi="宋体" w:cs="宋体" w:eastAsia="宋体" w:hint="default"/>
          <w:sz w:val="18"/>
          <w:szCs w:val="18"/>
        </w:rPr>
        <w:t> 履行股价稳定措施时的补救及改正情况。就稳定股价相关事项的履行，公司愿意接受有权主管机关的监督，并承担法律责任。</w:t>
      </w:r>
    </w:p>
    <w:p>
      <w:pPr>
        <w:spacing w:line="232" w:lineRule="exact" w:before="1"/>
        <w:ind w:left="144" w:right="107"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）孔令钢、陆海天负有增持股票义务，但未按规定提出增持计划和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或未实际实施增持计划的，公司有权责令其在限期内履行增持股票义务，孔令钢、陆海天仍不履行的，</w:t>
      </w:r>
      <w:r>
        <w:rPr>
          <w:rFonts w:ascii="宋体" w:hAnsi="宋体" w:cs="宋体" w:eastAsia="宋体" w:hint="default"/>
          <w:sz w:val="18"/>
          <w:szCs w:val="18"/>
        </w:rPr>
        <w:t> 应向公司按如下公式支付现金补偿：</w:t>
      </w:r>
    </w:p>
    <w:p>
      <w:pPr>
        <w:spacing w:line="232" w:lineRule="exact" w:before="3"/>
        <w:ind w:left="504" w:right="3354" w:firstLine="0"/>
        <w:jc w:val="left"/>
        <w:rPr>
          <w:rFonts w:ascii="宋体" w:hAnsi="宋体" w:cs="宋体" w:eastAsia="宋体" w:hint="default"/>
          <w:sz w:val="18"/>
          <w:szCs w:val="18"/>
        </w:rPr>
      </w:pPr>
      <w:r>
        <w:rPr>
          <w:rFonts w:ascii="宋体" w:hAnsi="宋体" w:cs="宋体" w:eastAsia="宋体" w:hint="default"/>
          <w:sz w:val="18"/>
          <w:szCs w:val="18"/>
        </w:rPr>
        <w:t>最低增持金额（即人民币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pacing w:val="-5"/>
          <w:sz w:val="18"/>
          <w:szCs w:val="18"/>
        </w:rPr>
        <w:t>万元）减去其实际用于增持股票金额（如有）。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如其拒不支付现金补偿的，公司有权扣减其应向其支付的分红。若孔令钢、陆海天多次违反上述规定的，现金补偿金额累计计算。</w:t>
      </w:r>
    </w:p>
    <w:p>
      <w:pPr>
        <w:spacing w:line="218" w:lineRule="exact" w:before="0"/>
        <w:ind w:left="504" w:right="0" w:firstLine="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8"/>
          <w:sz w:val="18"/>
          <w:szCs w:val="18"/>
        </w:rPr>
        <w:t>）</w:t>
      </w:r>
      <w:r>
        <w:rPr>
          <w:rFonts w:ascii="宋体" w:hAnsi="宋体" w:cs="宋体" w:eastAsia="宋体" w:hint="default"/>
          <w:sz w:val="18"/>
          <w:szCs w:val="18"/>
        </w:rPr>
        <w:t>公司董</w:t>
      </w:r>
      <w:r>
        <w:rPr>
          <w:rFonts w:ascii="宋体" w:hAnsi="宋体" w:cs="宋体" w:eastAsia="宋体" w:hint="default"/>
          <w:spacing w:val="-8"/>
          <w:sz w:val="18"/>
          <w:szCs w:val="18"/>
        </w:rPr>
        <w:t>事</w:t>
      </w:r>
      <w:r>
        <w:rPr>
          <w:rFonts w:ascii="宋体" w:hAnsi="宋体" w:cs="宋体" w:eastAsia="宋体" w:hint="default"/>
          <w:sz w:val="18"/>
          <w:szCs w:val="18"/>
        </w:rPr>
        <w:t>（独立董事除外</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高级管理人员负有增持股</w:t>
      </w:r>
      <w:r>
        <w:rPr>
          <w:rFonts w:ascii="宋体" w:hAnsi="宋体" w:cs="宋体" w:eastAsia="宋体" w:hint="default"/>
          <w:spacing w:val="2"/>
          <w:sz w:val="18"/>
          <w:szCs w:val="18"/>
        </w:rPr>
        <w:t>票</w:t>
      </w:r>
      <w:r>
        <w:rPr>
          <w:rFonts w:ascii="宋体" w:hAnsi="宋体" w:cs="宋体" w:eastAsia="宋体" w:hint="default"/>
          <w:sz w:val="18"/>
          <w:szCs w:val="18"/>
        </w:rPr>
        <w:t>义务</w:t>
      </w:r>
      <w:r>
        <w:rPr>
          <w:rFonts w:ascii="宋体" w:hAnsi="宋体" w:cs="宋体" w:eastAsia="宋体" w:hint="default"/>
          <w:spacing w:val="-8"/>
          <w:sz w:val="18"/>
          <w:szCs w:val="18"/>
        </w:rPr>
        <w:t>，</w:t>
      </w:r>
      <w:r>
        <w:rPr>
          <w:rFonts w:ascii="宋体" w:hAnsi="宋体" w:cs="宋体" w:eastAsia="宋体" w:hint="default"/>
          <w:sz w:val="18"/>
          <w:szCs w:val="18"/>
        </w:rPr>
        <w:t>但未按规定提出增持</w:t>
      </w:r>
      <w:r>
        <w:rPr>
          <w:rFonts w:ascii="宋体" w:hAnsi="宋体" w:cs="宋体" w:eastAsia="宋体" w:hint="default"/>
          <w:spacing w:val="2"/>
          <w:sz w:val="18"/>
          <w:szCs w:val="18"/>
        </w:rPr>
        <w:t>计</w:t>
      </w:r>
      <w:r>
        <w:rPr>
          <w:rFonts w:ascii="宋体" w:hAnsi="宋体" w:cs="宋体" w:eastAsia="宋体" w:hint="default"/>
          <w:sz w:val="18"/>
          <w:szCs w:val="18"/>
        </w:rPr>
        <w:t>划</w:t>
      </w:r>
      <w:r>
        <w:rPr>
          <w:rFonts w:ascii="宋体" w:hAnsi="宋体" w:cs="宋体" w:eastAsia="宋体" w:hint="default"/>
          <w:spacing w:val="1"/>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或未实际实施增持计划的</w:t>
      </w:r>
      <w:r>
        <w:rPr>
          <w:rFonts w:ascii="宋体" w:hAnsi="宋体" w:cs="宋体" w:eastAsia="宋体" w:hint="default"/>
          <w:spacing w:val="-8"/>
          <w:sz w:val="18"/>
          <w:szCs w:val="18"/>
        </w:rPr>
        <w:t>，</w:t>
      </w:r>
      <w:r>
        <w:rPr>
          <w:rFonts w:ascii="宋体" w:hAnsi="宋体" w:cs="宋体" w:eastAsia="宋体" w:hint="default"/>
          <w:sz w:val="18"/>
          <w:szCs w:val="18"/>
        </w:rPr>
        <w:t>公司有权责令董事</w:t>
      </w:r>
      <w:r>
        <w:rPr>
          <w:rFonts w:ascii="宋体" w:hAnsi="宋体" w:cs="宋体" w:eastAsia="宋体" w:hint="default"/>
          <w:spacing w:val="-8"/>
          <w:sz w:val="18"/>
          <w:szCs w:val="18"/>
        </w:rPr>
        <w:t>、</w:t>
      </w:r>
      <w:r>
        <w:rPr>
          <w:rFonts w:ascii="宋体" w:hAnsi="宋体" w:cs="宋体" w:eastAsia="宋体" w:hint="default"/>
          <w:sz w:val="18"/>
          <w:szCs w:val="18"/>
        </w:rPr>
        <w:t>高级</w:t>
      </w:r>
      <w:r>
        <w:rPr>
          <w:rFonts w:ascii="宋体" w:hAnsi="宋体" w:cs="宋体" w:eastAsia="宋体" w:hint="default"/>
          <w:spacing w:val="2"/>
          <w:sz w:val="18"/>
          <w:szCs w:val="18"/>
        </w:rPr>
        <w:t>管</w:t>
      </w:r>
      <w:r>
        <w:rPr>
          <w:rFonts w:ascii="宋体" w:hAnsi="宋体" w:cs="宋体" w:eastAsia="宋体" w:hint="default"/>
          <w:sz w:val="18"/>
          <w:szCs w:val="18"/>
        </w:rPr>
        <w:t>理人员在限期内履行</w:t>
      </w:r>
    </w:p>
    <w:p>
      <w:pPr>
        <w:spacing w:line="232" w:lineRule="exact" w:before="17"/>
        <w:ind w:left="504" w:right="107" w:hanging="361"/>
        <w:jc w:val="left"/>
        <w:rPr>
          <w:rFonts w:ascii="宋体" w:hAnsi="宋体" w:cs="宋体" w:eastAsia="宋体" w:hint="default"/>
          <w:sz w:val="18"/>
          <w:szCs w:val="18"/>
        </w:rPr>
      </w:pPr>
      <w:r>
        <w:rPr>
          <w:rFonts w:ascii="宋体" w:hAnsi="宋体" w:cs="宋体" w:eastAsia="宋体" w:hint="default"/>
          <w:sz w:val="18"/>
          <w:szCs w:val="18"/>
        </w:rPr>
        <w:t>增持股票义务，董事（独立董事除外</w:t>
      </w:r>
      <w:r>
        <w:rPr>
          <w:rFonts w:ascii="宋体" w:hAnsi="宋体" w:cs="宋体" w:eastAsia="宋体" w:hint="default"/>
          <w:spacing w:val="-92"/>
          <w:sz w:val="18"/>
          <w:szCs w:val="18"/>
        </w:rPr>
        <w:t>）</w:t>
      </w:r>
      <w:r>
        <w:rPr>
          <w:rFonts w:ascii="宋体" w:hAnsi="宋体" w:cs="宋体" w:eastAsia="宋体" w:hint="default"/>
          <w:sz w:val="18"/>
          <w:szCs w:val="18"/>
        </w:rPr>
        <w:t>、高级管理人员仍不</w:t>
      </w:r>
      <w:r>
        <w:rPr>
          <w:rFonts w:ascii="宋体" w:hAnsi="宋体" w:cs="宋体" w:eastAsia="宋体" w:hint="default"/>
          <w:spacing w:val="2"/>
          <w:sz w:val="18"/>
          <w:szCs w:val="18"/>
        </w:rPr>
        <w:t>履</w:t>
      </w:r>
      <w:r>
        <w:rPr>
          <w:rFonts w:ascii="宋体" w:hAnsi="宋体" w:cs="宋体" w:eastAsia="宋体" w:hint="default"/>
          <w:sz w:val="18"/>
          <w:szCs w:val="18"/>
        </w:rPr>
        <w:t>行，应向公司按如下公式支付现金补偿：</w:t>
      </w:r>
      <w:r>
        <w:rPr>
          <w:rFonts w:ascii="宋体" w:hAnsi="宋体" w:cs="宋体" w:eastAsia="宋体" w:hint="default"/>
          <w:sz w:val="18"/>
          <w:szCs w:val="18"/>
        </w:rPr>
        <w:t> 每名董事（独立董事除外</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高</w:t>
      </w:r>
      <w:r>
        <w:rPr>
          <w:rFonts w:ascii="宋体" w:hAnsi="宋体" w:cs="宋体" w:eastAsia="宋体" w:hint="default"/>
          <w:sz w:val="18"/>
          <w:szCs w:val="18"/>
        </w:rPr>
        <w:t>级管理人员最低增持金额（即其上年度税后薪酬总和</w:t>
      </w:r>
      <w:r>
        <w:rPr>
          <w:rFonts w:ascii="宋体" w:hAnsi="宋体" w:cs="宋体" w:eastAsia="宋体" w:hint="default"/>
          <w:spacing w:val="1"/>
          <w:sz w:val="18"/>
          <w:szCs w:val="18"/>
        </w:rPr>
        <w:t>）</w:t>
      </w:r>
      <w:r>
        <w:rPr>
          <w:rFonts w:ascii="宋体" w:hAnsi="宋体" w:cs="宋体" w:eastAsia="宋体" w:hint="default"/>
          <w:sz w:val="18"/>
          <w:szCs w:val="18"/>
        </w:rPr>
        <w:t>减去其实际用于增持股票金额（如有</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z w:val="18"/>
          <w:szCs w:val="18"/>
        </w:rPr>
        <w:t> 董事（独立董事除外</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高级</w:t>
      </w:r>
      <w:r>
        <w:rPr>
          <w:rFonts w:ascii="宋体" w:hAnsi="宋体" w:cs="宋体" w:eastAsia="宋体" w:hint="default"/>
          <w:spacing w:val="2"/>
          <w:sz w:val="18"/>
          <w:szCs w:val="18"/>
        </w:rPr>
        <w:t>管</w:t>
      </w:r>
      <w:r>
        <w:rPr>
          <w:rFonts w:ascii="宋体" w:hAnsi="宋体" w:cs="宋体" w:eastAsia="宋体" w:hint="default"/>
          <w:sz w:val="18"/>
          <w:szCs w:val="18"/>
        </w:rPr>
        <w:t>理拒不支付现金补偿的，公司有权扣减其应向董事、高级管理人员支付的分红、报酬。</w:t>
      </w:r>
      <w:r>
        <w:rPr>
          <w:rFonts w:ascii="宋体" w:hAnsi="宋体" w:cs="宋体" w:eastAsia="宋体" w:hint="default"/>
          <w:sz w:val="18"/>
          <w:szCs w:val="18"/>
        </w:rPr>
        <w:t> 公司董</w:t>
      </w:r>
      <w:r>
        <w:rPr>
          <w:rFonts w:ascii="宋体" w:hAnsi="宋体" w:cs="宋体" w:eastAsia="宋体" w:hint="default"/>
          <w:spacing w:val="-13"/>
          <w:sz w:val="18"/>
          <w:szCs w:val="18"/>
        </w:rPr>
        <w:t>事</w:t>
      </w:r>
      <w:r>
        <w:rPr>
          <w:rFonts w:ascii="宋体" w:hAnsi="宋体" w:cs="宋体" w:eastAsia="宋体" w:hint="default"/>
          <w:sz w:val="18"/>
          <w:szCs w:val="18"/>
        </w:rPr>
        <w:t>（独立董事除外</w:t>
      </w:r>
      <w:r>
        <w:rPr>
          <w:rFonts w:ascii="宋体" w:hAnsi="宋体" w:cs="宋体" w:eastAsia="宋体" w:hint="default"/>
          <w:spacing w:val="-92"/>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高级管理人员拒不履行股票增持义务情节严重的</w:t>
      </w:r>
      <w:r>
        <w:rPr>
          <w:rFonts w:ascii="宋体" w:hAnsi="宋体" w:cs="宋体" w:eastAsia="宋体" w:hint="default"/>
          <w:spacing w:val="-13"/>
          <w:sz w:val="18"/>
          <w:szCs w:val="18"/>
        </w:rPr>
        <w:t>，</w:t>
      </w:r>
      <w:r>
        <w:rPr>
          <w:rFonts w:ascii="宋体" w:hAnsi="宋体" w:cs="宋体" w:eastAsia="宋体" w:hint="default"/>
          <w:sz w:val="18"/>
          <w:szCs w:val="18"/>
        </w:rPr>
        <w:t>实际控制人或董事会</w:t>
      </w:r>
      <w:r>
        <w:rPr>
          <w:rFonts w:ascii="宋体" w:hAnsi="宋体" w:cs="宋体" w:eastAsia="宋体" w:hint="default"/>
          <w:spacing w:val="-13"/>
          <w:sz w:val="18"/>
          <w:szCs w:val="18"/>
        </w:rPr>
        <w:t>、</w:t>
      </w:r>
      <w:r>
        <w:rPr>
          <w:rFonts w:ascii="宋体" w:hAnsi="宋体" w:cs="宋体" w:eastAsia="宋体" w:hint="default"/>
          <w:sz w:val="18"/>
          <w:szCs w:val="18"/>
        </w:rPr>
        <w:t>监事会</w:t>
      </w:r>
      <w:r>
        <w:rPr>
          <w:rFonts w:ascii="宋体" w:hAnsi="宋体" w:cs="宋体" w:eastAsia="宋体" w:hint="default"/>
          <w:spacing w:val="-13"/>
          <w:sz w:val="18"/>
          <w:szCs w:val="18"/>
        </w:rPr>
        <w:t>、</w:t>
      </w:r>
      <w:r>
        <w:rPr>
          <w:rFonts w:ascii="宋体" w:hAnsi="宋体" w:cs="宋体" w:eastAsia="宋体" w:hint="default"/>
          <w:sz w:val="18"/>
          <w:szCs w:val="18"/>
        </w:rPr>
        <w:t>半数以</w:t>
      </w:r>
      <w:r>
        <w:rPr>
          <w:rFonts w:ascii="宋体" w:hAnsi="宋体" w:cs="宋体" w:eastAsia="宋体" w:hint="default"/>
          <w:spacing w:val="-3"/>
          <w:sz w:val="18"/>
          <w:szCs w:val="18"/>
        </w:rPr>
        <w:t>上</w:t>
      </w:r>
      <w:r>
        <w:rPr>
          <w:rFonts w:ascii="宋体" w:hAnsi="宋体" w:cs="宋体" w:eastAsia="宋体" w:hint="default"/>
          <w:sz w:val="18"/>
          <w:szCs w:val="18"/>
        </w:rPr>
        <w:t>的独立董事有权提请股东大会同意更换相关董事</w:t>
      </w:r>
      <w:r>
        <w:rPr>
          <w:rFonts w:ascii="宋体" w:hAnsi="宋体" w:cs="宋体" w:eastAsia="宋体" w:hint="default"/>
          <w:spacing w:val="-13"/>
          <w:sz w:val="18"/>
          <w:szCs w:val="18"/>
        </w:rPr>
        <w:t>，</w:t>
      </w:r>
      <w:r>
        <w:rPr>
          <w:rFonts w:ascii="宋体" w:hAnsi="宋体" w:cs="宋体" w:eastAsia="宋体" w:hint="default"/>
          <w:sz w:val="18"/>
          <w:szCs w:val="18"/>
        </w:rPr>
        <w:t>公</w:t>
      </w:r>
    </w:p>
    <w:p>
      <w:pPr>
        <w:spacing w:line="232" w:lineRule="exact" w:before="4"/>
        <w:ind w:left="144" w:right="107" w:firstLine="0"/>
        <w:jc w:val="left"/>
        <w:rPr>
          <w:rFonts w:ascii="宋体" w:hAnsi="宋体" w:cs="宋体" w:eastAsia="宋体" w:hint="default"/>
          <w:sz w:val="18"/>
          <w:szCs w:val="18"/>
        </w:rPr>
      </w:pPr>
      <w:r>
        <w:rPr>
          <w:rFonts w:ascii="宋体" w:hAnsi="宋体" w:cs="宋体" w:eastAsia="宋体" w:hint="default"/>
          <w:sz w:val="18"/>
          <w:szCs w:val="18"/>
        </w:rPr>
        <w:t>司董事会有权解聘相关高级管理人员。 </w:t>
      </w:r>
      <w:r>
        <w:rPr>
          <w:rFonts w:ascii="宋体" w:hAnsi="宋体" w:cs="宋体" w:eastAsia="宋体" w:hint="default"/>
          <w:spacing w:val="-3"/>
          <w:sz w:val="18"/>
          <w:szCs w:val="18"/>
        </w:rPr>
        <w:t>公司未来新聘任的董事（独立董事除外）、高级管理人员也应履行公司发行上市时董事（独立董事除外）、高级管理人员已作出的关于股价稳定措施的相应承诺要求</w:t>
      </w:r>
    </w:p>
    <w:p>
      <w:pPr>
        <w:spacing w:after="0" w:line="232" w:lineRule="exact"/>
        <w:jc w:val="left"/>
        <w:rPr>
          <w:rFonts w:ascii="宋体" w:hAnsi="宋体" w:cs="宋体" w:eastAsia="宋体" w:hint="default"/>
          <w:sz w:val="18"/>
          <w:szCs w:val="18"/>
        </w:rPr>
        <w:sectPr>
          <w:pgSz w:w="16840" w:h="11910" w:orient="landscape"/>
          <w:pgMar w:header="880" w:footer="1195" w:top="1120" w:bottom="1380" w:left="1380" w:right="1320"/>
        </w:sectPr>
      </w:pPr>
    </w:p>
    <w:p>
      <w:pPr>
        <w:spacing w:line="240" w:lineRule="auto" w:before="11"/>
        <w:rPr>
          <w:rFonts w:ascii="宋体" w:hAnsi="宋体" w:cs="宋体" w:eastAsia="宋体" w:hint="default"/>
          <w:sz w:val="29"/>
          <w:szCs w:val="29"/>
        </w:rPr>
      </w:pPr>
    </w:p>
    <w:p>
      <w:pPr>
        <w:pStyle w:val="Heading2"/>
        <w:tabs>
          <w:tab w:pos="784" w:val="left" w:leader="none"/>
        </w:tabs>
        <w:spacing w:line="266" w:lineRule="auto" w:before="36"/>
        <w:ind w:right="909"/>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4"/>
        </w:rPr>
        <w:t> </w:t>
      </w:r>
      <w:r>
        <w:rPr>
          <w:spacing w:val="-74"/>
        </w:rPr>
      </w:r>
      <w:r>
        <w:rPr/>
        <w:t>是否达到原盈利预测及其原因作出说明</w:t>
      </w:r>
      <w:r>
        <w:rPr>
          <w:b w:val="0"/>
          <w:bCs w:val="0"/>
        </w:rPr>
      </w:r>
    </w:p>
    <w:p>
      <w:pPr>
        <w:pStyle w:val="BodyText"/>
        <w:spacing w:line="248" w:lineRule="exact"/>
        <w:ind w:right="0"/>
        <w:jc w:val="both"/>
      </w:pPr>
      <w:r>
        <w:rPr/>
        <w:t>□已达到□未达到√不适用</w:t>
      </w:r>
    </w:p>
    <w:p>
      <w:pPr>
        <w:spacing w:line="240" w:lineRule="auto" w:before="11"/>
        <w:rPr>
          <w:rFonts w:ascii="宋体" w:hAnsi="宋体" w:cs="宋体" w:eastAsia="宋体" w:hint="default"/>
          <w:sz w:val="22"/>
          <w:szCs w:val="22"/>
        </w:rPr>
      </w:pPr>
    </w:p>
    <w:p>
      <w:pPr>
        <w:pStyle w:val="Heading2"/>
        <w:spacing w:line="240" w:lineRule="auto"/>
        <w:ind w:right="0"/>
        <w:jc w:val="both"/>
        <w:rPr>
          <w:b w:val="0"/>
          <w:bCs w:val="0"/>
        </w:rPr>
      </w:pPr>
      <w:r>
        <w:rPr/>
        <w:t>三、报告期内资金被占用情况及清欠进展情况</w:t>
      </w:r>
      <w:r>
        <w:rPr>
          <w:b w:val="0"/>
          <w:bCs w:val="0"/>
        </w:rPr>
      </w:r>
    </w:p>
    <w:p>
      <w:pPr>
        <w:spacing w:line="290" w:lineRule="auto" w:before="58"/>
        <w:ind w:left="218" w:right="2465"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40" w:lineRule="auto" w:before="14"/>
        <w:ind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r>
        <w:rPr/>
        <w:t>五、公司对会计政策、会计估计变更或重大会计差错更正原因和影响的分析说明</w:t>
      </w:r>
      <w:r>
        <w:rPr>
          <w:b w:val="0"/>
          <w:bCs w:val="0"/>
        </w:rPr>
      </w:r>
    </w:p>
    <w:p>
      <w:pPr>
        <w:pStyle w:val="Heading2"/>
        <w:spacing w:line="240" w:lineRule="auto" w:before="56"/>
        <w:ind w:right="0"/>
        <w:jc w:val="both"/>
        <w:rPr>
          <w:b w:val="0"/>
          <w:bCs w:val="0"/>
        </w:rPr>
      </w:pPr>
      <w:r>
        <w:rPr/>
        <w:t>（一）</w:t>
      </w:r>
      <w:r>
        <w:rPr>
          <w:spacing w:val="98"/>
        </w:rPr>
        <w:t> </w:t>
      </w:r>
      <w:r>
        <w:rPr/>
        <w:t>公司对会计政策、会计估计变更原因及影响的分析说明</w:t>
      </w:r>
      <w:r>
        <w:rPr>
          <w:b w:val="0"/>
          <w:bCs w:val="0"/>
        </w:rPr>
      </w:r>
    </w:p>
    <w:p>
      <w:pPr>
        <w:pStyle w:val="BodyText"/>
        <w:spacing w:line="273" w:lineRule="exact" w:before="59"/>
        <w:ind w:right="0"/>
        <w:jc w:val="both"/>
      </w:pPr>
      <w:r>
        <w:rPr/>
        <w:t>√适用□不适用</w:t>
      </w:r>
    </w:p>
    <w:p>
      <w:pPr>
        <w:pStyle w:val="BodyText"/>
        <w:spacing w:line="230" w:lineRule="auto" w:before="8"/>
        <w:ind w:right="228"/>
        <w:jc w:val="both"/>
      </w:pPr>
      <w:r>
        <w:rPr/>
        <w:t>《企业会计准则第 </w:t>
      </w:r>
      <w:r>
        <w:rPr>
          <w:rFonts w:ascii="Times New Roman" w:hAnsi="Times New Roman" w:cs="Times New Roman" w:eastAsia="Times New Roman" w:hint="default"/>
        </w:rPr>
        <w:t>42 </w:t>
      </w:r>
      <w:r>
        <w:rPr>
          <w:spacing w:val="-5"/>
        </w:rPr>
        <w:t>号——持有待售的非流动资产、处置组和终止经营》准则规范了持有待售的</w:t>
      </w:r>
      <w:r>
        <w:rPr>
          <w:spacing w:val="-94"/>
        </w:rPr>
        <w:t> </w:t>
      </w:r>
      <w:r>
        <w:rPr>
          <w:spacing w:val="-94"/>
        </w:rPr>
      </w:r>
      <w:r>
        <w:rPr>
          <w:spacing w:val="-1"/>
        </w:rPr>
        <w:t>非流动资产或处置组的分类、计量和列报，以及终止经营的列报。本财务报表已按该准则对实施</w:t>
      </w:r>
      <w:r>
        <w:rPr>
          <w:spacing w:val="-55"/>
        </w:rPr>
        <w:t> </w:t>
      </w:r>
      <w:r>
        <w:rPr>
          <w:spacing w:val="-55"/>
        </w:rPr>
      </w:r>
      <w:r>
        <w:rPr>
          <w:spacing w:val="-13"/>
        </w:rPr>
        <w:t>日（</w:t>
      </w:r>
      <w:r>
        <w:rPr>
          <w:rFonts w:ascii="Times New Roman" w:hAnsi="Times New Roman" w:cs="Times New Roman" w:eastAsia="Times New Roman" w:hint="default"/>
          <w:spacing w:val="-13"/>
        </w:rPr>
        <w:t>2017</w:t>
      </w:r>
      <w:r>
        <w:rPr>
          <w:rFonts w:ascii="Times New Roman" w:hAnsi="Times New Roman" w:cs="Times New Roman" w:eastAsia="Times New Roman" w:hint="default"/>
          <w:spacing w:val="9"/>
        </w:rPr>
        <w:t> </w:t>
      </w:r>
      <w:r>
        <w:rPr/>
        <w:t>年</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w:t>
      </w:r>
      <w:r>
        <w:rPr>
          <w:spacing w:val="-41"/>
        </w:rPr>
        <w:t> </w:t>
      </w:r>
      <w:r>
        <w:rPr>
          <w:rFonts w:ascii="Times New Roman" w:hAnsi="Times New Roman" w:cs="Times New Roman" w:eastAsia="Times New Roman" w:hint="default"/>
        </w:rPr>
        <w:t>28</w:t>
      </w:r>
      <w:r>
        <w:rPr>
          <w:rFonts w:ascii="Times New Roman" w:hAnsi="Times New Roman" w:cs="Times New Roman" w:eastAsia="Times New Roman" w:hint="default"/>
          <w:spacing w:val="9"/>
        </w:rPr>
        <w:t> </w:t>
      </w:r>
      <w:r>
        <w:rPr>
          <w:spacing w:val="-4"/>
        </w:rPr>
        <w:t>日）存在的终止经营对可比年度财务报表列报和附注的披露进行了相应调整。</w:t>
      </w:r>
      <w:r>
        <w:rPr>
          <w:spacing w:val="-100"/>
        </w:rPr>
        <w:t> </w:t>
      </w:r>
      <w:r>
        <w:rPr>
          <w:spacing w:val="-100"/>
        </w:rPr>
      </w:r>
      <w:r>
        <w:rPr/>
        <w:t>该政策变更对财务状况、经营成果和现金流量无重大影响。</w:t>
      </w:r>
    </w:p>
    <w:p>
      <w:pPr>
        <w:pStyle w:val="BodyText"/>
        <w:spacing w:line="280" w:lineRule="exact"/>
        <w:ind w:right="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日，财政部颁布了财会</w:t>
      </w:r>
      <w:r>
        <w:rPr>
          <w:rFonts w:ascii="Times New Roman" w:hAnsi="Times New Roman" w:cs="Times New Roman" w:eastAsia="Times New Roman" w:hint="default"/>
        </w:rPr>
        <w:t>[2017]15</w:t>
      </w:r>
      <w:r>
        <w:rPr>
          <w:rFonts w:ascii="Times New Roman" w:hAnsi="Times New Roman" w:cs="Times New Roman" w:eastAsia="Times New Roman" w:hint="default"/>
          <w:spacing w:val="-1"/>
        </w:rPr>
        <w:t> </w:t>
      </w:r>
      <w:r>
        <w:rPr>
          <w:spacing w:val="-3"/>
        </w:rPr>
        <w:t>号关于印发修订《企业会计准则第</w:t>
      </w:r>
      <w:r>
        <w:rPr>
          <w:spacing w:val="-49"/>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政府补</w:t>
      </w:r>
    </w:p>
    <w:p>
      <w:pPr>
        <w:pStyle w:val="BodyText"/>
        <w:spacing w:line="228" w:lineRule="auto" w:before="3"/>
        <w:ind w:right="228"/>
        <w:jc w:val="both"/>
      </w:pPr>
      <w:r>
        <w:rPr>
          <w:spacing w:val="-10"/>
        </w:rPr>
        <w:t>助》的通知，自</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5"/>
        </w:rPr>
        <w:t>日起施行。公司据此对</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日至新政府补助准则施行日</w:t>
      </w:r>
      <w:r>
        <w:rPr>
          <w:w w:val="100"/>
        </w:rPr>
        <w:t> </w:t>
      </w:r>
      <w:r>
        <w:rPr>
          <w:spacing w:val="-1"/>
        </w:rPr>
        <w:t>之间新增的政府补助根据新政府补助准则进行调整，对以往年度的财务报表不进行追溯调整，由</w:t>
      </w:r>
      <w:r>
        <w:rPr>
          <w:spacing w:val="-55"/>
        </w:rPr>
        <w:t> </w:t>
      </w:r>
      <w:r>
        <w:rPr>
          <w:spacing w:val="-55"/>
        </w:rPr>
      </w:r>
      <w:r>
        <w:rPr/>
        <w:t>原</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调整至</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科目。本次会计政策变更对公司本期的财务状况、经营成果和</w:t>
      </w:r>
      <w:r>
        <w:rPr>
          <w:spacing w:val="-49"/>
        </w:rPr>
        <w:t> </w:t>
      </w:r>
      <w:r>
        <w:rPr>
          <w:spacing w:val="-49"/>
        </w:rPr>
      </w:r>
      <w:r>
        <w:rPr/>
        <w:t>现金流量不产生影响。</w:t>
      </w:r>
    </w:p>
    <w:p>
      <w:pPr>
        <w:pStyle w:val="BodyText"/>
        <w:spacing w:line="235" w:lineRule="auto" w:before="5"/>
        <w:ind w:right="227"/>
        <w:jc w:val="both"/>
      </w:pPr>
      <w:r>
        <w:rPr/>
        <w:t>公司于</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日召开的第六届董事会第七次会议和第六届监事会第六次会议，审议通过</w:t>
      </w:r>
      <w:r>
        <w:rPr>
          <w:w w:val="100"/>
        </w:rPr>
        <w:t> </w:t>
      </w:r>
      <w:r>
        <w:rPr>
          <w:spacing w:val="-6"/>
          <w:w w:val="100"/>
        </w:rPr>
        <w:t>了《上海格尔软件股份有限公司关于会计政策变更的议案》，董事会对本次会计政策变更合理性进</w:t>
      </w:r>
      <w:r>
        <w:rPr>
          <w:w w:val="100"/>
        </w:rPr>
        <w:t> </w:t>
      </w:r>
      <w:r>
        <w:rPr>
          <w:spacing w:val="-1"/>
        </w:rPr>
        <w:t>行了说明，独立董事和监事会对本次会计政策变更发表同意意见，保荐机构国融证券股份有限公</w:t>
      </w:r>
      <w:r>
        <w:rPr>
          <w:spacing w:val="-56"/>
        </w:rPr>
        <w:t> </w:t>
      </w:r>
      <w:r>
        <w:rPr>
          <w:spacing w:val="-56"/>
        </w:rPr>
      </w:r>
      <w:r>
        <w:rPr>
          <w:spacing w:val="-2"/>
        </w:rPr>
        <w:t>司也出具了专项核查意见。详见公司刊登于上海证券交所网站的《格尔软件关于会计政策变更的</w:t>
      </w:r>
      <w:r>
        <w:rPr>
          <w:spacing w:val="-15"/>
        </w:rPr>
        <w:t> </w:t>
      </w:r>
      <w:r>
        <w:rPr>
          <w:spacing w:val="-15"/>
        </w:rPr>
      </w:r>
      <w:r>
        <w:rPr/>
        <w:t>公告》公告编号：临</w:t>
      </w:r>
      <w:r>
        <w:rPr>
          <w:spacing w:val="-53"/>
        </w:rPr>
        <w:t> </w:t>
      </w:r>
      <w:r>
        <w:rPr>
          <w:rFonts w:ascii="Times New Roman" w:hAnsi="Times New Roman" w:cs="Times New Roman" w:eastAsia="Times New Roman" w:hint="default"/>
        </w:rPr>
        <w:t>2017-023</w:t>
      </w:r>
      <w:r>
        <w:rPr/>
        <w:t>。</w:t>
      </w:r>
    </w:p>
    <w:p>
      <w:pPr>
        <w:pStyle w:val="BodyText"/>
        <w:spacing w:line="256" w:lineRule="exact"/>
        <w:ind w:right="0"/>
        <w:jc w:val="both"/>
      </w:pPr>
      <w:r>
        <w:rPr/>
        <w:t>本报告期公司主要会计估计未发生变更。</w:t>
      </w:r>
    </w:p>
    <w:p>
      <w:pPr>
        <w:spacing w:line="240" w:lineRule="auto" w:before="11"/>
        <w:rPr>
          <w:rFonts w:ascii="宋体" w:hAnsi="宋体" w:cs="宋体" w:eastAsia="宋体" w:hint="default"/>
          <w:sz w:val="22"/>
          <w:szCs w:val="22"/>
        </w:rPr>
      </w:pPr>
    </w:p>
    <w:p>
      <w:pPr>
        <w:pStyle w:val="Heading2"/>
        <w:spacing w:line="240" w:lineRule="auto"/>
        <w:ind w:right="0"/>
        <w:jc w:val="both"/>
        <w:rPr>
          <w:b w:val="0"/>
          <w:bCs w:val="0"/>
        </w:rPr>
      </w:pPr>
      <w:r>
        <w:rPr/>
        <w:t>（二）</w:t>
      </w:r>
      <w:r>
        <w:rPr>
          <w:spacing w:val="99"/>
        </w:rPr>
        <w:t> </w:t>
      </w:r>
      <w:r>
        <w:rPr/>
        <w:t>公司对重大会计差错更正原因及影响的分析说明</w:t>
      </w:r>
      <w:r>
        <w:rPr>
          <w:b w:val="0"/>
          <w:bCs w:val="0"/>
        </w:rPr>
      </w:r>
    </w:p>
    <w:p>
      <w:pPr>
        <w:pStyle w:val="BodyText"/>
        <w:spacing w:line="240" w:lineRule="auto" w:before="58"/>
        <w:ind w:right="0"/>
        <w:jc w:val="both"/>
      </w:pPr>
      <w:r>
        <w:rPr/>
        <w:t>□适用√不适用</w:t>
      </w:r>
    </w:p>
    <w:p>
      <w:pPr>
        <w:spacing w:line="240" w:lineRule="auto" w:before="11"/>
        <w:rPr>
          <w:rFonts w:ascii="宋体" w:hAnsi="宋体" w:cs="宋体" w:eastAsia="宋体" w:hint="default"/>
          <w:sz w:val="22"/>
          <w:szCs w:val="22"/>
        </w:rPr>
      </w:pPr>
    </w:p>
    <w:p>
      <w:pPr>
        <w:pStyle w:val="Heading2"/>
        <w:spacing w:line="240" w:lineRule="auto"/>
        <w:ind w:right="0"/>
        <w:jc w:val="both"/>
        <w:rPr>
          <w:b w:val="0"/>
          <w:bCs w:val="0"/>
        </w:rPr>
      </w:pPr>
      <w:r>
        <w:rPr/>
        <w:t>（三）</w:t>
      </w:r>
      <w:r>
        <w:rPr>
          <w:spacing w:val="101"/>
        </w:rPr>
        <w:t> </w:t>
      </w:r>
      <w:r>
        <w:rPr/>
        <w:t>与前任会计师事务所进行的沟通情况</w:t>
      </w:r>
      <w:r>
        <w:rPr>
          <w:b w:val="0"/>
          <w:bCs w:val="0"/>
        </w:rPr>
      </w:r>
    </w:p>
    <w:p>
      <w:pPr>
        <w:pStyle w:val="BodyText"/>
        <w:spacing w:line="240" w:lineRule="auto" w:before="56"/>
        <w:ind w:right="0"/>
        <w:jc w:val="both"/>
      </w:pPr>
      <w:r>
        <w:rPr/>
        <w:t>□适用√不适用</w:t>
      </w:r>
    </w:p>
    <w:p>
      <w:pPr>
        <w:spacing w:line="240" w:lineRule="auto" w:before="12"/>
        <w:rPr>
          <w:rFonts w:ascii="宋体" w:hAnsi="宋体" w:cs="宋体" w:eastAsia="宋体" w:hint="default"/>
          <w:sz w:val="22"/>
          <w:szCs w:val="22"/>
        </w:rPr>
      </w:pPr>
    </w:p>
    <w:p>
      <w:pPr>
        <w:pStyle w:val="Heading2"/>
        <w:spacing w:line="240" w:lineRule="auto"/>
        <w:ind w:right="0"/>
        <w:jc w:val="both"/>
        <w:rPr>
          <w:b w:val="0"/>
          <w:bCs w:val="0"/>
        </w:rPr>
      </w:pPr>
      <w:r>
        <w:rPr/>
        <w:t>（四）</w:t>
      </w:r>
      <w:r>
        <w:rPr>
          <w:spacing w:val="102"/>
        </w:rPr>
        <w:t> </w:t>
      </w:r>
      <w:r>
        <w:rPr/>
        <w:t>其他说明</w:t>
      </w:r>
      <w:r>
        <w:rPr>
          <w:b w:val="0"/>
          <w:bCs w:val="0"/>
        </w:rPr>
      </w:r>
    </w:p>
    <w:p>
      <w:pPr>
        <w:pStyle w:val="BodyText"/>
        <w:spacing w:line="240" w:lineRule="auto" w:before="58"/>
        <w:ind w:right="0"/>
        <w:jc w:val="both"/>
      </w:pPr>
      <w:r>
        <w:rPr/>
        <w:t>□适用√不适用</w:t>
      </w:r>
    </w:p>
    <w:p>
      <w:pPr>
        <w:spacing w:line="240" w:lineRule="auto" w:before="1"/>
        <w:rPr>
          <w:rFonts w:ascii="宋体" w:hAnsi="宋体" w:cs="宋体" w:eastAsia="宋体" w:hint="default"/>
          <w:sz w:val="20"/>
          <w:szCs w:val="20"/>
        </w:rPr>
      </w:pPr>
    </w:p>
    <w:p>
      <w:pPr>
        <w:pStyle w:val="Heading2"/>
        <w:spacing w:line="240" w:lineRule="auto" w:before="36"/>
        <w:ind w:right="2465"/>
        <w:jc w:val="left"/>
        <w:rPr>
          <w:b w:val="0"/>
          <w:bCs w:val="0"/>
        </w:rPr>
      </w:pPr>
      <w:r>
        <w:rPr/>
        <w:t>六、聘任、解聘会计师事务所情况</w:t>
      </w:r>
      <w:r>
        <w:rPr>
          <w:b w:val="0"/>
          <w:bCs w:val="0"/>
        </w:rPr>
      </w:r>
    </w:p>
    <w:p>
      <w:pPr>
        <w:pStyle w:val="BodyText"/>
        <w:spacing w:line="240" w:lineRule="auto" w:before="56"/>
        <w:ind w:left="0" w:right="230"/>
        <w:jc w:val="right"/>
      </w:pPr>
      <w:r>
        <w:rPr>
          <w:spacing w:val="-2"/>
        </w:rPr>
        <w:t>单位：万元币种：人民币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上会会计师事务所（特殊普通合伙）</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55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4</w:t>
            </w:r>
          </w:p>
        </w:tc>
      </w:tr>
    </w:tbl>
    <w:p>
      <w:pPr>
        <w:spacing w:line="240" w:lineRule="auto" w:before="4"/>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5"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上会会计师事务所（特殊普通</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sz w:val="21"/>
              </w:rPr>
              <w:t>20</w:t>
            </w:r>
          </w:p>
        </w:tc>
      </w:tr>
    </w:tbl>
    <w:p>
      <w:pPr>
        <w:spacing w:after="0" w:line="235" w:lineRule="exact"/>
        <w:jc w:val="center"/>
        <w:rPr>
          <w:rFonts w:ascii="Times New Roman" w:hAnsi="Times New Roman" w:cs="Times New Roman" w:eastAsia="Times New Roman" w:hint="default"/>
          <w:sz w:val="21"/>
          <w:szCs w:val="21"/>
        </w:rPr>
        <w:sectPr>
          <w:headerReference w:type="default" r:id="rId28"/>
          <w:footerReference w:type="default" r:id="rId29"/>
          <w:pgSz w:w="11910" w:h="16840"/>
          <w:pgMar w:header="880" w:footer="1195" w:top="1120" w:bottom="1380" w:left="1580" w:right="1040"/>
          <w:pgNumType w:start="38"/>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国融证券股份有限公司</w:t>
            </w:r>
          </w:p>
        </w:tc>
        <w:tc>
          <w:tcPr>
            <w:tcW w:w="3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73" w:lineRule="exact" w:before="36"/>
        <w:ind w:right="2465"/>
        <w:jc w:val="left"/>
      </w:pPr>
      <w:r>
        <w:rPr/>
        <w:t>聘任、解聘会计师事务所的情况说明</w:t>
      </w:r>
    </w:p>
    <w:p>
      <w:pPr>
        <w:pStyle w:val="BodyText"/>
        <w:spacing w:line="273" w:lineRule="exact"/>
        <w:ind w:right="2465"/>
        <w:jc w:val="left"/>
      </w:pPr>
      <w:r>
        <w:rPr/>
        <w:t>□适用√不适用</w:t>
      </w:r>
    </w:p>
    <w:p>
      <w:pPr>
        <w:spacing w:line="240" w:lineRule="auto" w:before="3"/>
        <w:rPr>
          <w:rFonts w:ascii="宋体" w:hAnsi="宋体" w:cs="宋体" w:eastAsia="宋体" w:hint="default"/>
          <w:sz w:val="18"/>
          <w:szCs w:val="18"/>
        </w:rPr>
      </w:pPr>
    </w:p>
    <w:p>
      <w:pPr>
        <w:pStyle w:val="BodyText"/>
        <w:spacing w:line="274" w:lineRule="exact"/>
        <w:ind w:right="2465"/>
        <w:jc w:val="left"/>
      </w:pPr>
      <w:r>
        <w:rPr/>
        <w:t>审计期间改聘会计师事务所的情况说明</w:t>
      </w:r>
    </w:p>
    <w:p>
      <w:pPr>
        <w:pStyle w:val="BodyText"/>
        <w:spacing w:line="290" w:lineRule="exact"/>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tabs>
          <w:tab w:pos="1057" w:val="left" w:leader="none"/>
        </w:tabs>
        <w:spacing w:line="290" w:lineRule="auto"/>
        <w:ind w:right="632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spacing w:line="240" w:lineRule="auto" w:before="14"/>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p>
      <w:pPr>
        <w:pStyle w:val="Heading2"/>
        <w:tabs>
          <w:tab w:pos="1057" w:val="left" w:leader="none"/>
        </w:tabs>
        <w:spacing w:line="240" w:lineRule="auto"/>
        <w:ind w:right="246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pStyle w:val="BodyText"/>
        <w:spacing w:line="240" w:lineRule="auto" w:before="58"/>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right="2465"/>
        <w:jc w:val="left"/>
        <w:rPr>
          <w:b w:val="0"/>
          <w:bCs w:val="0"/>
        </w:rPr>
      </w:pPr>
      <w:r>
        <w:rPr/>
        <w:t>八、面临终止上市的情况和原因</w:t>
      </w:r>
      <w:r>
        <w:rPr>
          <w:b w:val="0"/>
          <w:bCs w:val="0"/>
        </w:rPr>
      </w:r>
    </w:p>
    <w:p>
      <w:pPr>
        <w:pStyle w:val="BodyText"/>
        <w:spacing w:line="240" w:lineRule="auto" w:before="56"/>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right="2465"/>
        <w:jc w:val="left"/>
        <w:rPr>
          <w:b w:val="0"/>
          <w:bCs w:val="0"/>
        </w:rPr>
      </w:pPr>
      <w:r>
        <w:rPr/>
        <w:t>九、破产重整相关事项</w:t>
      </w:r>
      <w:r>
        <w:rPr>
          <w:b w:val="0"/>
          <w:bCs w:val="0"/>
        </w:rPr>
      </w:r>
    </w:p>
    <w:p>
      <w:pPr>
        <w:pStyle w:val="BodyText"/>
        <w:spacing w:line="240" w:lineRule="auto" w:before="58"/>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right="2465"/>
        <w:jc w:val="left"/>
        <w:rPr>
          <w:b w:val="0"/>
          <w:bCs w:val="0"/>
        </w:rPr>
      </w:pPr>
      <w:r>
        <w:rPr/>
        <w:t>十、重大诉讼、仲裁事项</w:t>
      </w:r>
      <w:r>
        <w:rPr>
          <w:b w:val="0"/>
          <w:bCs w:val="0"/>
        </w:rPr>
      </w:r>
    </w:p>
    <w:p>
      <w:pPr>
        <w:pStyle w:val="BodyText"/>
        <w:spacing w:line="240" w:lineRule="auto" w:before="56"/>
        <w:ind w:right="2465"/>
        <w:jc w:val="left"/>
      </w:pPr>
      <w:r>
        <w:rPr>
          <w:rFonts w:ascii="Times New Roman" w:hAnsi="Times New Roman" w:cs="Times New Roman" w:eastAsia="Times New Roman" w:hint="default"/>
        </w:rPr>
        <w:t>□</w:t>
      </w:r>
      <w:r>
        <w:rPr/>
        <w:t>本年度公司有重大诉讼、仲裁事项</w:t>
      </w:r>
      <w:r>
        <w:rPr>
          <w:rFonts w:ascii="Times New Roman" w:hAnsi="Times New Roman" w:cs="Times New Roman" w:eastAsia="Times New Roman" w:hint="default"/>
        </w:rPr>
        <w:t>√</w:t>
      </w:r>
      <w:r>
        <w:rPr/>
        <w:t>本年度公司无重大诉讼、仲裁事项</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0"/>
          <w:szCs w:val="20"/>
        </w:rPr>
      </w:pPr>
    </w:p>
    <w:p>
      <w:pPr>
        <w:pStyle w:val="Heading2"/>
        <w:spacing w:line="272" w:lineRule="exact"/>
        <w:ind w:left="638" w:right="65"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34"/>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right="2465"/>
        <w:jc w:val="left"/>
        <w:rPr>
          <w:b w:val="0"/>
          <w:bCs w:val="0"/>
        </w:rPr>
      </w:pPr>
      <w:r>
        <w:rPr/>
        <w:t>十二、报告期内公司及其控股股东、实际控制人诚信状况的说明</w:t>
      </w:r>
      <w:r>
        <w:rPr>
          <w:b w:val="0"/>
          <w:bCs w:val="0"/>
        </w:rPr>
      </w:r>
    </w:p>
    <w:p>
      <w:pPr>
        <w:pStyle w:val="BodyText"/>
        <w:spacing w:line="230" w:lineRule="auto" w:before="66"/>
        <w:ind w:right="227"/>
        <w:jc w:val="left"/>
      </w:pPr>
      <w:r>
        <w:rPr/>
        <w:t>√适用</w:t>
      </w:r>
      <w:r>
        <w:rPr>
          <w:rFonts w:ascii="Times New Roman" w:hAnsi="Times New Roman" w:cs="Times New Roman" w:eastAsia="Times New Roman" w:hint="default"/>
        </w:rPr>
        <w:t>□</w:t>
      </w:r>
      <w:r>
        <w:rPr/>
        <w:t>不适用</w:t>
      </w:r>
      <w:r>
        <w:rPr>
          <w:w w:val="100"/>
        </w:rPr>
        <w:t> </w:t>
      </w:r>
      <w:r>
        <w:rPr>
          <w:spacing w:val="-1"/>
        </w:rPr>
        <w:t>报告期内，公司及其控股股东、实际控制人严格遵守证监会、交易所发布的各项法律法规及其他</w:t>
      </w:r>
      <w:r>
        <w:rPr>
          <w:spacing w:val="-55"/>
        </w:rPr>
        <w:t> </w:t>
      </w:r>
      <w:r>
        <w:rPr>
          <w:spacing w:val="-55"/>
        </w:rPr>
      </w:r>
      <w:r>
        <w:rPr>
          <w:spacing w:val="-2"/>
        </w:rPr>
        <w:t>应当遵守的法律法规，公司及其控股股东、实际控制人诚信情况良好，并无相关的不诚信记录。</w:t>
      </w:r>
    </w:p>
    <w:p>
      <w:pPr>
        <w:spacing w:line="240" w:lineRule="auto" w:before="13"/>
        <w:rPr>
          <w:rFonts w:ascii="宋体" w:hAnsi="宋体" w:cs="宋体" w:eastAsia="宋体" w:hint="default"/>
          <w:sz w:val="22"/>
          <w:szCs w:val="22"/>
        </w:rPr>
      </w:pPr>
    </w:p>
    <w:p>
      <w:pPr>
        <w:pStyle w:val="Heading2"/>
        <w:spacing w:line="290" w:lineRule="auto"/>
        <w:ind w:right="153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2"/>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90" w:lineRule="auto" w:before="43"/>
        <w:ind w:left="218" w:right="46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45" w:lineRule="exact"/>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3" w:lineRule="exact"/>
        <w:ind w:right="2465"/>
        <w:jc w:val="left"/>
      </w:pPr>
      <w:r>
        <w:rPr/>
        <w:t>其他说明</w:t>
      </w:r>
    </w:p>
    <w:p>
      <w:pPr>
        <w:pStyle w:val="BodyText"/>
        <w:spacing w:line="289" w:lineRule="exact"/>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17"/>
          <w:szCs w:val="17"/>
        </w:rPr>
      </w:pPr>
    </w:p>
    <w:p>
      <w:pPr>
        <w:pStyle w:val="BodyText"/>
        <w:spacing w:line="273" w:lineRule="exact"/>
        <w:ind w:right="2465"/>
        <w:jc w:val="left"/>
      </w:pPr>
      <w:r>
        <w:rPr/>
        <w:t>员工持股计划情况</w:t>
      </w:r>
    </w:p>
    <w:p>
      <w:pPr>
        <w:pStyle w:val="BodyText"/>
        <w:spacing w:line="289" w:lineRule="exact"/>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40" w:lineRule="auto"/>
        <w:ind w:right="2465"/>
        <w:jc w:val="left"/>
      </w:pPr>
      <w:r>
        <w:rPr/>
        <w:t>其他激励措施</w:t>
      </w:r>
    </w:p>
    <w:p>
      <w:pPr>
        <w:spacing w:after="0" w:line="240" w:lineRule="auto"/>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240" w:lineRule="auto" w:before="36"/>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2"/>
        <w:spacing w:line="240" w:lineRule="auto"/>
        <w:ind w:left="138" w:right="0"/>
        <w:jc w:val="left"/>
        <w:rPr>
          <w:b w:val="0"/>
          <w:bCs w:val="0"/>
        </w:rPr>
      </w:pPr>
      <w:r>
        <w:rPr/>
        <w:t>十四、重大关联交易</w:t>
      </w:r>
      <w:r>
        <w:rPr>
          <w:b w:val="0"/>
          <w:bCs w:val="0"/>
        </w:rPr>
      </w:r>
    </w:p>
    <w:p>
      <w:pPr>
        <w:pStyle w:val="Heading2"/>
        <w:spacing w:line="240" w:lineRule="auto" w:before="56"/>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29"/>
        <w:ind w:left="13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left="138" w:right="0"/>
        <w:jc w:val="left"/>
      </w:pPr>
      <w:r>
        <w:rPr/>
        <w:t>□适用√不适用</w:t>
      </w:r>
    </w:p>
    <w:p>
      <w:pPr>
        <w:pStyle w:val="Heading2"/>
        <w:spacing w:line="240" w:lineRule="auto" w:before="56"/>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73" w:lineRule="exact" w:before="58"/>
        <w:ind w:left="138" w:right="0"/>
        <w:jc w:val="left"/>
      </w:pPr>
      <w:r>
        <w:rPr/>
        <w:t>□适用√不适用</w:t>
      </w:r>
    </w:p>
    <w:p>
      <w:pPr>
        <w:pStyle w:val="BodyText"/>
        <w:spacing w:line="225" w:lineRule="auto" w:before="13"/>
        <w:ind w:left="138" w:right="127" w:firstLine="419"/>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spacing w:val="-6"/>
        </w:rPr>
        <w:t>日，经公司</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spacing w:val="-3"/>
        </w:rPr>
        <w:t>年年度股东大会审议通过了《关于上海格尔软件股份有限公</w:t>
      </w:r>
      <w:r>
        <w:rPr>
          <w:w w:val="100"/>
        </w:rPr>
        <w:t> 司 </w:t>
      </w:r>
      <w:r>
        <w:rPr>
          <w:rFonts w:ascii="Times New Roman" w:hAnsi="Times New Roman" w:cs="Times New Roman" w:eastAsia="Times New Roman" w:hint="default"/>
          <w:w w:val="100"/>
        </w:rPr>
        <w:t>2017 </w:t>
      </w:r>
      <w:r>
        <w:rPr>
          <w:spacing w:val="-8"/>
          <w:w w:val="100"/>
        </w:rPr>
        <w:t>年度关联交易的议案》。</w:t>
      </w:r>
      <w:r>
        <w:rPr>
          <w:rFonts w:ascii="Times New Roman" w:hAnsi="Times New Roman" w:cs="Times New Roman" w:eastAsia="Times New Roman" w:hint="default"/>
          <w:spacing w:val="-8"/>
          <w:w w:val="100"/>
        </w:rPr>
        <w:t>2017</w:t>
      </w:r>
      <w:r>
        <w:rPr>
          <w:rFonts w:ascii="Times New Roman" w:hAnsi="Times New Roman" w:cs="Times New Roman" w:eastAsia="Times New Roman" w:hint="default"/>
          <w:spacing w:val="-15"/>
          <w:w w:val="100"/>
        </w:rPr>
        <w:t> </w:t>
      </w:r>
      <w:r>
        <w:rPr>
          <w:spacing w:val="-2"/>
          <w:w w:val="100"/>
        </w:rPr>
        <w:t>年度，公司预计与新疆数字证书认证中心</w:t>
      </w:r>
      <w:r>
        <w:rPr>
          <w:rFonts w:ascii="Times New Roman" w:hAnsi="Times New Roman" w:cs="Times New Roman" w:eastAsia="Times New Roman" w:hint="default"/>
          <w:spacing w:val="-2"/>
          <w:w w:val="100"/>
        </w:rPr>
        <w:t>(</w:t>
      </w:r>
      <w:r>
        <w:rPr>
          <w:spacing w:val="-2"/>
          <w:w w:val="100"/>
        </w:rPr>
        <w:t>有限公司</w:t>
      </w:r>
      <w:r>
        <w:rPr>
          <w:rFonts w:ascii="Times New Roman" w:hAnsi="Times New Roman" w:cs="Times New Roman" w:eastAsia="Times New Roman" w:hint="default"/>
          <w:spacing w:val="-2"/>
          <w:w w:val="100"/>
        </w:rPr>
        <w:t>)</w:t>
      </w:r>
      <w:r>
        <w:rPr>
          <w:spacing w:val="-2"/>
          <w:w w:val="100"/>
        </w:rPr>
        <w:t>（以下</w:t>
      </w:r>
      <w:r>
        <w:rPr>
          <w:w w:val="100"/>
        </w:rPr>
        <w:t> </w:t>
      </w:r>
      <w:r>
        <w:rPr/>
        <w:t>简称</w:t>
      </w:r>
      <w:r>
        <w:rPr>
          <w:rFonts w:ascii="Times New Roman" w:hAnsi="Times New Roman" w:cs="Times New Roman" w:eastAsia="Times New Roman" w:hint="default"/>
        </w:rPr>
        <w:t>“</w:t>
      </w:r>
      <w:r>
        <w:rPr/>
        <w:t>新疆</w:t>
      </w:r>
      <w:r>
        <w:rPr>
          <w:spacing w:val="-57"/>
        </w:rPr>
        <w:t> </w:t>
      </w:r>
      <w:r>
        <w:rPr>
          <w:rFonts w:ascii="Times New Roman" w:hAnsi="Times New Roman" w:cs="Times New Roman" w:eastAsia="Times New Roman" w:hint="default"/>
        </w:rPr>
        <w:t>CA”</w:t>
      </w:r>
      <w:r>
        <w:rPr/>
        <w:t>）和浙江省数字安全证书管理有限公司（以下简称</w:t>
      </w:r>
      <w:r>
        <w:rPr>
          <w:rFonts w:ascii="Times New Roman" w:hAnsi="Times New Roman" w:cs="Times New Roman" w:eastAsia="Times New Roman" w:hint="default"/>
        </w:rPr>
        <w:t>“</w:t>
      </w:r>
      <w:r>
        <w:rPr/>
        <w:t>浙江</w:t>
      </w:r>
      <w:r>
        <w:rPr>
          <w:spacing w:val="-57"/>
        </w:rPr>
        <w:t> </w:t>
      </w:r>
      <w:r>
        <w:rPr>
          <w:rFonts w:ascii="Times New Roman" w:hAnsi="Times New Roman" w:cs="Times New Roman" w:eastAsia="Times New Roman" w:hint="default"/>
        </w:rPr>
        <w:t>CA”</w:t>
      </w:r>
      <w:r>
        <w:rPr/>
        <w:t>）等关联公司发生相</w:t>
      </w:r>
      <w:r>
        <w:rPr>
          <w:w w:val="100"/>
        </w:rPr>
        <w:t> </w:t>
      </w:r>
      <w:r>
        <w:rPr/>
        <w:t>关交易，主要为销售商品，预计交易情况如下：</w:t>
      </w:r>
    </w:p>
    <w:p>
      <w:pPr>
        <w:pStyle w:val="BodyText"/>
        <w:spacing w:line="280" w:lineRule="exact"/>
        <w:ind w:left="138" w:right="0"/>
        <w:jc w:val="left"/>
      </w:pPr>
      <w:r>
        <w:rPr/>
        <w:t>（</w:t>
      </w:r>
      <w:r>
        <w:rPr>
          <w:rFonts w:ascii="Times New Roman" w:hAnsi="Times New Roman" w:cs="Times New Roman" w:eastAsia="Times New Roman" w:hint="default"/>
        </w:rPr>
        <w:t>1</w:t>
      </w:r>
      <w:r>
        <w:rPr/>
        <w:t>）向新疆</w:t>
      </w:r>
      <w:r>
        <w:rPr>
          <w:spacing w:val="-54"/>
        </w:rPr>
        <w:t> </w:t>
      </w:r>
      <w:r>
        <w:rPr>
          <w:rFonts w:ascii="Times New Roman" w:hAnsi="Times New Roman" w:cs="Times New Roman" w:eastAsia="Times New Roman" w:hint="default"/>
        </w:rPr>
        <w:t>CA</w:t>
      </w:r>
      <w:r>
        <w:rPr>
          <w:rFonts w:ascii="Times New Roman" w:hAnsi="Times New Roman" w:cs="Times New Roman" w:eastAsia="Times New Roman" w:hint="default"/>
          <w:spacing w:val="-2"/>
        </w:rPr>
        <w:t> </w:t>
      </w:r>
      <w:r>
        <w:rPr/>
        <w:t>出售商品，实现收入人民币</w:t>
      </w:r>
      <w:r>
        <w:rPr>
          <w:spacing w:val="-53"/>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万元。</w:t>
      </w:r>
    </w:p>
    <w:p>
      <w:pPr>
        <w:pStyle w:val="BodyText"/>
        <w:spacing w:line="272" w:lineRule="exact" w:before="19"/>
        <w:ind w:left="138" w:right="3081"/>
        <w:jc w:val="left"/>
      </w:pPr>
      <w:r>
        <w:rPr/>
        <w:t>（</w:t>
      </w:r>
      <w:r>
        <w:rPr>
          <w:rFonts w:ascii="Times New Roman" w:hAnsi="Times New Roman" w:cs="Times New Roman" w:eastAsia="Times New Roman" w:hint="default"/>
        </w:rPr>
        <w:t>2</w:t>
      </w:r>
      <w:r>
        <w:rPr/>
        <w:t>）向浙江</w:t>
      </w:r>
      <w:r>
        <w:rPr>
          <w:spacing w:val="-54"/>
        </w:rPr>
        <w:t> </w:t>
      </w:r>
      <w:r>
        <w:rPr>
          <w:rFonts w:ascii="Times New Roman" w:hAnsi="Times New Roman" w:cs="Times New Roman" w:eastAsia="Times New Roman" w:hint="default"/>
        </w:rPr>
        <w:t>CA</w:t>
      </w:r>
      <w:r>
        <w:rPr>
          <w:rFonts w:ascii="Times New Roman" w:hAnsi="Times New Roman" w:cs="Times New Roman" w:eastAsia="Times New Roman" w:hint="default"/>
          <w:spacing w:val="-2"/>
        </w:rPr>
        <w:t> </w:t>
      </w:r>
      <w:r>
        <w:rPr/>
        <w:t>出售商品，实现收入人民币</w:t>
      </w:r>
      <w:r>
        <w:rPr>
          <w:spacing w:val="-53"/>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万元。</w:t>
      </w:r>
      <w:r>
        <w:rPr>
          <w:w w:val="100"/>
        </w:rPr>
        <w:t> </w:t>
      </w:r>
      <w:r>
        <w:rPr/>
        <w:t>本报报告期内，公司向“新疆</w:t>
      </w:r>
      <w:r>
        <w:rPr>
          <w:spacing w:val="-56"/>
        </w:rPr>
        <w:t> </w:t>
      </w:r>
      <w:r>
        <w:rPr>
          <w:rFonts w:ascii="Times New Roman" w:hAnsi="Times New Roman" w:cs="Times New Roman" w:eastAsia="Times New Roman" w:hint="default"/>
        </w:rPr>
        <w:t>CA”</w:t>
      </w:r>
      <w:r>
        <w:rPr/>
        <w:t>和浙江</w:t>
      </w:r>
      <w:r>
        <w:rPr>
          <w:spacing w:val="-56"/>
        </w:rPr>
        <w:t> </w:t>
      </w:r>
      <w:r>
        <w:rPr>
          <w:rFonts w:ascii="Times New Roman" w:hAnsi="Times New Roman" w:cs="Times New Roman" w:eastAsia="Times New Roman" w:hint="default"/>
        </w:rPr>
        <w:t>CA </w:t>
      </w:r>
      <w:r>
        <w:rPr/>
        <w:t>销售商品情况如下</w:t>
      </w:r>
    </w:p>
    <w:p>
      <w:pPr>
        <w:spacing w:line="240" w:lineRule="auto" w:before="12"/>
        <w:rPr>
          <w:rFonts w:ascii="宋体" w:hAnsi="宋体" w:cs="宋体" w:eastAsia="宋体" w:hint="default"/>
          <w:sz w:val="18"/>
          <w:szCs w:val="18"/>
        </w:rPr>
      </w:pPr>
    </w:p>
    <w:tbl>
      <w:tblPr>
        <w:tblW w:w="0" w:type="auto"/>
        <w:jc w:val="left"/>
        <w:tblInd w:w="128" w:type="dxa"/>
        <w:tblLayout w:type="fixed"/>
        <w:tblCellMar>
          <w:top w:w="0" w:type="dxa"/>
          <w:left w:w="0" w:type="dxa"/>
          <w:bottom w:w="0" w:type="dxa"/>
          <w:right w:w="0" w:type="dxa"/>
        </w:tblCellMar>
        <w:tblLook w:val="01E0"/>
      </w:tblPr>
      <w:tblGrid>
        <w:gridCol w:w="1752"/>
        <w:gridCol w:w="2230"/>
        <w:gridCol w:w="2542"/>
        <w:gridCol w:w="2158"/>
      </w:tblGrid>
      <w:tr>
        <w:trPr>
          <w:trHeight w:val="487"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8" w:right="0"/>
              <w:jc w:val="left"/>
              <w:rPr>
                <w:rFonts w:ascii="宋体" w:hAnsi="宋体" w:cs="宋体" w:eastAsia="宋体" w:hint="default"/>
                <w:sz w:val="18"/>
                <w:szCs w:val="18"/>
              </w:rPr>
            </w:pPr>
            <w:r>
              <w:rPr>
                <w:rFonts w:ascii="宋体" w:hAnsi="宋体" w:cs="宋体" w:eastAsia="宋体" w:hint="default"/>
                <w:b/>
                <w:bCs/>
                <w:sz w:val="18"/>
                <w:szCs w:val="18"/>
              </w:rPr>
              <w:t>关联交易类别</w:t>
            </w:r>
            <w:r>
              <w:rPr>
                <w:rFonts w:ascii="宋体" w:hAnsi="宋体" w:cs="宋体" w:eastAsia="宋体" w:hint="default"/>
                <w:sz w:val="18"/>
                <w:szCs w:val="18"/>
              </w:rPr>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38"/>
              <w:jc w:val="right"/>
              <w:rPr>
                <w:rFonts w:ascii="宋体" w:hAnsi="宋体" w:cs="宋体" w:eastAsia="宋体" w:hint="default"/>
                <w:sz w:val="18"/>
                <w:szCs w:val="18"/>
              </w:rPr>
            </w:pPr>
            <w:r>
              <w:rPr>
                <w:rFonts w:ascii="宋体" w:hAnsi="宋体" w:cs="宋体" w:eastAsia="宋体" w:hint="default"/>
                <w:b/>
                <w:bCs/>
                <w:w w:val="95"/>
                <w:sz w:val="18"/>
                <w:szCs w:val="18"/>
              </w:rPr>
              <w:t>关联方</w:t>
            </w:r>
            <w:r>
              <w:rPr>
                <w:rFonts w:ascii="宋体" w:hAnsi="宋体" w:cs="宋体" w:eastAsia="宋体" w:hint="default"/>
                <w:sz w:val="18"/>
                <w:szCs w:val="18"/>
              </w:rPr>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b/>
                <w:bCs/>
                <w:sz w:val="18"/>
                <w:szCs w:val="18"/>
              </w:rPr>
              <w:t>2017</w:t>
            </w:r>
            <w:r>
              <w:rPr>
                <w:rFonts w:ascii="宋体" w:hAnsi="宋体" w:cs="宋体" w:eastAsia="宋体" w:hint="default"/>
                <w:b/>
                <w:bCs/>
                <w:spacing w:val="-47"/>
                <w:sz w:val="18"/>
                <w:szCs w:val="18"/>
              </w:rPr>
              <w:t> </w:t>
            </w:r>
            <w:r>
              <w:rPr>
                <w:rFonts w:ascii="宋体" w:hAnsi="宋体" w:cs="宋体" w:eastAsia="宋体" w:hint="default"/>
                <w:b/>
                <w:bCs/>
                <w:sz w:val="18"/>
                <w:szCs w:val="18"/>
              </w:rPr>
              <w:t>年日常关联交易实际发</w:t>
            </w:r>
            <w:r>
              <w:rPr>
                <w:rFonts w:ascii="宋体" w:hAnsi="宋体" w:cs="宋体" w:eastAsia="宋体" w:hint="default"/>
                <w:sz w:val="18"/>
                <w:szCs w:val="18"/>
              </w:rPr>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生金额（元）</w:t>
            </w:r>
            <w:r>
              <w:rPr>
                <w:rFonts w:ascii="宋体" w:hAnsi="宋体" w:cs="宋体" w:eastAsia="宋体" w:hint="default"/>
                <w:sz w:val="18"/>
                <w:szCs w:val="18"/>
              </w:rPr>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b/>
                <w:bCs/>
                <w:sz w:val="18"/>
                <w:szCs w:val="18"/>
              </w:rPr>
              <w:t>内容</w:t>
            </w:r>
            <w:r>
              <w:rPr>
                <w:rFonts w:ascii="宋体" w:hAnsi="宋体" w:cs="宋体" w:eastAsia="宋体" w:hint="default"/>
                <w:sz w:val="18"/>
                <w:szCs w:val="18"/>
              </w:rPr>
            </w:r>
          </w:p>
        </w:tc>
      </w:tr>
      <w:tr>
        <w:trPr>
          <w:trHeight w:val="485" w:hRule="exact"/>
        </w:trPr>
        <w:tc>
          <w:tcPr>
            <w:tcW w:w="17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8" w:right="0"/>
              <w:jc w:val="left"/>
              <w:rPr>
                <w:rFonts w:ascii="宋体" w:hAnsi="宋体" w:cs="宋体" w:eastAsia="宋体" w:hint="default"/>
                <w:sz w:val="18"/>
                <w:szCs w:val="18"/>
              </w:rPr>
            </w:pPr>
            <w:r>
              <w:rPr>
                <w:rFonts w:ascii="宋体" w:hAnsi="宋体" w:cs="宋体" w:eastAsia="宋体" w:hint="default"/>
                <w:b/>
                <w:bCs/>
                <w:sz w:val="18"/>
                <w:szCs w:val="18"/>
              </w:rPr>
              <w:t>销售商品</w:t>
            </w:r>
            <w:r>
              <w:rPr>
                <w:rFonts w:ascii="宋体" w:hAnsi="宋体" w:cs="宋体" w:eastAsia="宋体" w:hint="default"/>
                <w:sz w:val="18"/>
                <w:szCs w:val="18"/>
              </w:rPr>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2"/>
              <w:jc w:val="center"/>
              <w:rPr>
                <w:rFonts w:ascii="宋体" w:hAnsi="宋体" w:cs="宋体" w:eastAsia="宋体" w:hint="default"/>
                <w:sz w:val="18"/>
                <w:szCs w:val="18"/>
              </w:rPr>
            </w:pPr>
            <w:r>
              <w:rPr>
                <w:rFonts w:ascii="宋体" w:hAnsi="宋体" w:cs="宋体" w:eastAsia="宋体" w:hint="default"/>
                <w:sz w:val="18"/>
                <w:szCs w:val="18"/>
              </w:rPr>
              <w:t>新疆数字证书认证中心</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6" w:right="0"/>
              <w:jc w:val="left"/>
              <w:rPr>
                <w:rFonts w:ascii="宋体" w:hAnsi="宋体" w:cs="宋体" w:eastAsia="宋体" w:hint="default"/>
                <w:sz w:val="18"/>
                <w:szCs w:val="18"/>
              </w:rPr>
            </w:pPr>
            <w:r>
              <w:rPr>
                <w:rFonts w:ascii="宋体"/>
                <w:sz w:val="18"/>
              </w:rPr>
              <w:t>242,307.69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商品销售（</w:t>
            </w:r>
            <w:r>
              <w:rPr>
                <w:rFonts w:ascii="宋体" w:hAnsi="宋体" w:cs="宋体" w:eastAsia="宋体" w:hint="default"/>
                <w:sz w:val="18"/>
                <w:szCs w:val="18"/>
              </w:rPr>
              <w:t>PKI</w:t>
            </w:r>
            <w:r>
              <w:rPr>
                <w:rFonts w:ascii="宋体" w:hAnsi="宋体" w:cs="宋体" w:eastAsia="宋体" w:hint="default"/>
                <w:spacing w:val="-45"/>
                <w:sz w:val="18"/>
                <w:szCs w:val="18"/>
              </w:rPr>
              <w:t> </w:t>
            </w:r>
            <w:r>
              <w:rPr>
                <w:rFonts w:ascii="宋体" w:hAnsi="宋体" w:cs="宋体" w:eastAsia="宋体" w:hint="default"/>
                <w:sz w:val="18"/>
                <w:szCs w:val="18"/>
              </w:rPr>
              <w:t>产品、网</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关等）</w:t>
            </w:r>
          </w:p>
        </w:tc>
      </w:tr>
      <w:tr>
        <w:trPr>
          <w:trHeight w:val="487" w:hRule="exact"/>
        </w:trPr>
        <w:tc>
          <w:tcPr>
            <w:tcW w:w="1752" w:type="dxa"/>
            <w:vMerge/>
            <w:tcBorders>
              <w:left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3"/>
              <w:jc w:val="center"/>
              <w:rPr>
                <w:rFonts w:ascii="宋体" w:hAnsi="宋体" w:cs="宋体" w:eastAsia="宋体" w:hint="default"/>
                <w:sz w:val="18"/>
                <w:szCs w:val="18"/>
              </w:rPr>
            </w:pPr>
            <w:r>
              <w:rPr>
                <w:rFonts w:ascii="宋体" w:hAnsi="宋体" w:cs="宋体" w:eastAsia="宋体" w:hint="default"/>
                <w:sz w:val="18"/>
                <w:szCs w:val="18"/>
              </w:rPr>
              <w:t>浙江省数字安全证书管理</w:t>
            </w: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9" w:right="0"/>
              <w:jc w:val="left"/>
              <w:rPr>
                <w:rFonts w:ascii="宋体" w:hAnsi="宋体" w:cs="宋体" w:eastAsia="宋体" w:hint="default"/>
                <w:sz w:val="18"/>
                <w:szCs w:val="18"/>
              </w:rPr>
            </w:pPr>
            <w:r>
              <w:rPr>
                <w:rFonts w:ascii="宋体"/>
                <w:sz w:val="18"/>
              </w:rPr>
              <w:t>34,188.03</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72" w:right="0" w:hanging="68"/>
              <w:jc w:val="left"/>
              <w:rPr>
                <w:rFonts w:ascii="宋体" w:hAnsi="宋体" w:cs="宋体" w:eastAsia="宋体" w:hint="default"/>
                <w:sz w:val="18"/>
                <w:szCs w:val="18"/>
              </w:rPr>
            </w:pPr>
            <w:r>
              <w:rPr>
                <w:rFonts w:ascii="宋体" w:hAnsi="宋体" w:cs="宋体" w:eastAsia="宋体" w:hint="default"/>
                <w:sz w:val="18"/>
                <w:szCs w:val="18"/>
              </w:rPr>
              <w:t>商品销售（</w:t>
            </w:r>
            <w:r>
              <w:rPr>
                <w:rFonts w:ascii="宋体" w:hAnsi="宋体" w:cs="宋体" w:eastAsia="宋体" w:hint="default"/>
                <w:sz w:val="18"/>
                <w:szCs w:val="18"/>
              </w:rPr>
              <w:t>PKI</w:t>
            </w:r>
            <w:r>
              <w:rPr>
                <w:rFonts w:ascii="宋体" w:hAnsi="宋体" w:cs="宋体" w:eastAsia="宋体" w:hint="default"/>
                <w:spacing w:val="-45"/>
                <w:sz w:val="18"/>
                <w:szCs w:val="18"/>
              </w:rPr>
              <w:t> </w:t>
            </w:r>
            <w:r>
              <w:rPr>
                <w:rFonts w:ascii="宋体" w:hAnsi="宋体" w:cs="宋体" w:eastAsia="宋体" w:hint="default"/>
                <w:sz w:val="18"/>
                <w:szCs w:val="18"/>
              </w:rPr>
              <w:t>产品、数</w:t>
            </w: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字认证系统、网关等）</w:t>
            </w:r>
          </w:p>
        </w:tc>
      </w:tr>
      <w:tr>
        <w:trPr>
          <w:trHeight w:val="264" w:hRule="exact"/>
        </w:trPr>
        <w:tc>
          <w:tcPr>
            <w:tcW w:w="1752" w:type="dxa"/>
            <w:vMerge/>
            <w:tcBorders>
              <w:left w:val="single" w:sz="4" w:space="0" w:color="000000"/>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839"/>
              <w:jc w:val="right"/>
              <w:rPr>
                <w:rFonts w:ascii="宋体" w:hAnsi="宋体" w:cs="宋体" w:eastAsia="宋体" w:hint="default"/>
                <w:sz w:val="18"/>
                <w:szCs w:val="18"/>
              </w:rPr>
            </w:pPr>
            <w:r>
              <w:rPr>
                <w:rFonts w:ascii="宋体" w:hAnsi="宋体" w:cs="宋体" w:eastAsia="宋体" w:hint="default"/>
                <w:b/>
                <w:bCs/>
                <w:w w:val="95"/>
                <w:sz w:val="18"/>
                <w:szCs w:val="18"/>
              </w:rPr>
              <w:t>小计</w:t>
            </w:r>
            <w:r>
              <w:rPr>
                <w:rFonts w:ascii="宋体" w:hAnsi="宋体" w:cs="宋体" w:eastAsia="宋体" w:hint="default"/>
                <w:sz w:val="18"/>
                <w:szCs w:val="18"/>
              </w:rPr>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811" w:right="0"/>
              <w:jc w:val="left"/>
              <w:rPr>
                <w:rFonts w:ascii="宋体" w:hAnsi="宋体" w:cs="宋体" w:eastAsia="宋体" w:hint="default"/>
                <w:sz w:val="18"/>
                <w:szCs w:val="18"/>
              </w:rPr>
            </w:pPr>
            <w:r>
              <w:rPr>
                <w:rFonts w:ascii="宋体"/>
                <w:b/>
                <w:sz w:val="18"/>
              </w:rPr>
              <w:t>276,495.72</w:t>
            </w:r>
            <w:r>
              <w:rPr>
                <w:rFonts w:ascii="宋体"/>
                <w:sz w:val="18"/>
              </w:rPr>
            </w:r>
          </w:p>
        </w:tc>
        <w:tc>
          <w:tcPr>
            <w:tcW w:w="21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7"/>
          <w:szCs w:val="17"/>
        </w:rPr>
      </w:pPr>
    </w:p>
    <w:p>
      <w:pPr>
        <w:pStyle w:val="Heading2"/>
        <w:spacing w:line="240" w:lineRule="auto" w:before="36"/>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spacing w:line="290" w:lineRule="auto" w:before="58"/>
        <w:ind w:left="138" w:right="4942"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2"/>
        <w:spacing w:line="240" w:lineRule="auto" w:before="14"/>
        <w:ind w:left="13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138" w:right="0"/>
        <w:jc w:val="left"/>
      </w:pPr>
      <w:r>
        <w:rPr/>
        <w:t>□适用√不适用</w:t>
      </w:r>
    </w:p>
    <w:p>
      <w:pPr>
        <w:pStyle w:val="Heading2"/>
        <w:spacing w:line="240" w:lineRule="auto" w:before="58"/>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6"/>
        <w:ind w:left="138" w:right="0"/>
        <w:jc w:val="left"/>
      </w:pPr>
      <w:r>
        <w:rPr/>
        <w:t>□适用√不适用</w:t>
      </w:r>
    </w:p>
    <w:p>
      <w:pPr>
        <w:spacing w:line="240" w:lineRule="auto" w:before="11"/>
        <w:rPr>
          <w:rFonts w:ascii="宋体" w:hAnsi="宋体" w:cs="宋体" w:eastAsia="宋体" w:hint="default"/>
          <w:sz w:val="22"/>
          <w:szCs w:val="22"/>
        </w:rPr>
      </w:pPr>
    </w:p>
    <w:p>
      <w:pPr>
        <w:pStyle w:val="Heading2"/>
        <w:spacing w:line="240" w:lineRule="auto"/>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left="138" w:right="0"/>
        <w:jc w:val="left"/>
      </w:pPr>
      <w:r>
        <w:rPr/>
        <w:t>□适用√不适用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2"/>
        <w:spacing w:line="240" w:lineRule="auto"/>
        <w:ind w:left="138" w:right="0"/>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spacing w:line="240" w:lineRule="auto" w:before="58"/>
        <w:ind w:left="138" w:right="0"/>
        <w:jc w:val="left"/>
      </w:pPr>
      <w:r>
        <w:rPr/>
        <w:t>□适用√不适用</w:t>
      </w:r>
    </w:p>
    <w:p>
      <w:pPr>
        <w:spacing w:line="240" w:lineRule="auto" w:before="11"/>
        <w:rPr>
          <w:rFonts w:ascii="宋体" w:hAnsi="宋体" w:cs="宋体" w:eastAsia="宋体" w:hint="default"/>
          <w:sz w:val="22"/>
          <w:szCs w:val="22"/>
        </w:rPr>
      </w:pPr>
    </w:p>
    <w:p>
      <w:pPr>
        <w:pStyle w:val="Heading2"/>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2"/>
        <w:spacing w:line="240" w:lineRule="auto" w:before="29"/>
        <w:ind w:left="13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left="138" w:right="0"/>
        <w:jc w:val="left"/>
      </w:pPr>
      <w:r>
        <w:rPr/>
        <w:t>□适用√不适用</w:t>
      </w:r>
    </w:p>
    <w:p>
      <w:pPr>
        <w:pStyle w:val="Heading2"/>
        <w:spacing w:line="240" w:lineRule="auto" w:before="56"/>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8"/>
        <w:ind w:left="138" w:right="0"/>
        <w:jc w:val="left"/>
      </w:pPr>
      <w:r>
        <w:rPr/>
        <w:t>□适用√不适用</w:t>
      </w:r>
    </w:p>
    <w:p>
      <w:pPr>
        <w:spacing w:line="240" w:lineRule="auto" w:before="11"/>
        <w:rPr>
          <w:rFonts w:ascii="宋体" w:hAnsi="宋体" w:cs="宋体" w:eastAsia="宋体" w:hint="default"/>
          <w:sz w:val="22"/>
          <w:szCs w:val="22"/>
        </w:rPr>
      </w:pPr>
    </w:p>
    <w:p>
      <w:pPr>
        <w:pStyle w:val="Heading2"/>
        <w:spacing w:line="240" w:lineRule="auto"/>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left="138" w:right="0"/>
        <w:jc w:val="left"/>
      </w:pPr>
      <w:r>
        <w:rPr/>
        <w:t>□适用√不适用</w:t>
      </w:r>
    </w:p>
    <w:p>
      <w:pPr>
        <w:spacing w:after="0" w:line="240" w:lineRule="auto"/>
        <w:jc w:val="left"/>
        <w:sectPr>
          <w:footerReference w:type="default" r:id="rId30"/>
          <w:pgSz w:w="11910" w:h="16840"/>
          <w:pgMar w:footer="1195" w:header="880" w:top="1120" w:bottom="1380" w:left="1660" w:right="1140"/>
          <w:pgNumType w:start="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2"/>
        <w:spacing w:line="240" w:lineRule="auto" w:before="36"/>
        <w:ind w:right="246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2"/>
        <w:spacing w:line="240" w:lineRule="auto" w:before="29"/>
        <w:ind w:right="246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right="2465"/>
        <w:jc w:val="left"/>
      </w:pPr>
      <w:r>
        <w:rPr/>
        <w:t>□适用√不适用</w:t>
      </w:r>
    </w:p>
    <w:p>
      <w:pPr>
        <w:pStyle w:val="Heading2"/>
        <w:spacing w:line="240" w:lineRule="auto" w:before="56"/>
        <w:ind w:right="246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8"/>
        <w:ind w:right="2465"/>
        <w:jc w:val="left"/>
      </w:pPr>
      <w:r>
        <w:rPr/>
        <w:t>□适用√不适用</w:t>
      </w:r>
    </w:p>
    <w:p>
      <w:pPr>
        <w:spacing w:line="240" w:lineRule="auto" w:before="11"/>
        <w:rPr>
          <w:rFonts w:ascii="宋体" w:hAnsi="宋体" w:cs="宋体" w:eastAsia="宋体" w:hint="default"/>
          <w:sz w:val="22"/>
          <w:szCs w:val="22"/>
        </w:rPr>
      </w:pPr>
    </w:p>
    <w:p>
      <w:pPr>
        <w:pStyle w:val="Heading2"/>
        <w:spacing w:line="240" w:lineRule="auto"/>
        <w:ind w:right="246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right="2465"/>
        <w:jc w:val="left"/>
      </w:pPr>
      <w:r>
        <w:rPr/>
        <w:t>□适用√不适用</w:t>
      </w:r>
    </w:p>
    <w:p>
      <w:pPr>
        <w:pStyle w:val="Heading2"/>
        <w:spacing w:line="240" w:lineRule="auto" w:before="58"/>
        <w:ind w:right="2465"/>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spacing w:line="240" w:lineRule="auto" w:before="30"/>
        <w:ind w:right="2465"/>
        <w:jc w:val="left"/>
      </w:pPr>
      <w:r>
        <w:rPr/>
        <w:t>□适用√不适用</w:t>
      </w:r>
    </w:p>
    <w:p>
      <w:pPr>
        <w:spacing w:line="240" w:lineRule="auto" w:before="11"/>
        <w:rPr>
          <w:rFonts w:ascii="宋体" w:hAnsi="宋体" w:cs="宋体" w:eastAsia="宋体" w:hint="default"/>
          <w:sz w:val="22"/>
          <w:szCs w:val="22"/>
        </w:rPr>
      </w:pPr>
    </w:p>
    <w:p>
      <w:pPr>
        <w:pStyle w:val="Heading2"/>
        <w:tabs>
          <w:tab w:pos="1057" w:val="left" w:leader="none"/>
        </w:tabs>
        <w:spacing w:line="290" w:lineRule="auto"/>
        <w:ind w:right="6116"/>
        <w:jc w:val="left"/>
        <w:rPr>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14"/>
        <w:ind w:right="2465"/>
        <w:jc w:val="left"/>
      </w:pPr>
      <w:r>
        <w:rPr/>
        <w:t>□适用√不适用</w:t>
      </w:r>
    </w:p>
    <w:p>
      <w:pPr>
        <w:spacing w:line="240" w:lineRule="auto" w:before="11"/>
        <w:rPr>
          <w:rFonts w:ascii="宋体" w:hAnsi="宋体" w:cs="宋体" w:eastAsia="宋体" w:hint="default"/>
          <w:sz w:val="22"/>
          <w:szCs w:val="22"/>
        </w:rPr>
      </w:pPr>
    </w:p>
    <w:p>
      <w:pPr>
        <w:pStyle w:val="Heading2"/>
        <w:spacing w:line="240" w:lineRule="auto"/>
        <w:ind w:right="2465"/>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56"/>
        <w:ind w:right="2465"/>
        <w:jc w:val="left"/>
      </w:pPr>
      <w:r>
        <w:rPr/>
        <w:t>□适用√不适用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2"/>
        <w:spacing w:line="240" w:lineRule="auto"/>
        <w:ind w:right="2465"/>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74" w:lineRule="exact" w:before="56"/>
        <w:ind w:right="2465"/>
        <w:jc w:val="left"/>
      </w:pPr>
      <w:r>
        <w:rPr/>
        <w:t>□适用√不适用</w:t>
      </w:r>
    </w:p>
    <w:p>
      <w:pPr>
        <w:pStyle w:val="BodyText"/>
        <w:spacing w:line="274" w:lineRule="exact"/>
        <w:ind w:right="65"/>
        <w:jc w:val="left"/>
      </w:pPr>
      <w:r>
        <w:rPr/>
        <w:t>公司于</w:t>
      </w:r>
      <w:r>
        <w:rPr>
          <w:spacing w:val="-73"/>
        </w:rPr>
        <w:t> </w:t>
      </w:r>
      <w:r>
        <w:rPr>
          <w:rFonts w:ascii="宋体" w:hAnsi="宋体" w:cs="宋体" w:eastAsia="宋体" w:hint="default"/>
        </w:rPr>
        <w:t>2017</w:t>
      </w:r>
      <w:r>
        <w:rPr>
          <w:rFonts w:ascii="宋体" w:hAnsi="宋体" w:cs="宋体" w:eastAsia="宋体" w:hint="default"/>
          <w:spacing w:val="-75"/>
        </w:rPr>
        <w:t> </w:t>
      </w:r>
      <w:r>
        <w:rPr/>
        <w:t>年</w:t>
      </w:r>
      <w:r>
        <w:rPr>
          <w:spacing w:val="-75"/>
        </w:rPr>
        <w:t> </w:t>
      </w:r>
      <w:r>
        <w:rPr>
          <w:rFonts w:ascii="宋体" w:hAnsi="宋体" w:cs="宋体" w:eastAsia="宋体" w:hint="default"/>
        </w:rPr>
        <w:t>9</w:t>
      </w:r>
      <w:r>
        <w:rPr>
          <w:rFonts w:ascii="宋体" w:hAnsi="宋体" w:cs="宋体" w:eastAsia="宋体" w:hint="default"/>
          <w:spacing w:val="-73"/>
        </w:rPr>
        <w:t> </w:t>
      </w:r>
      <w:r>
        <w:rPr/>
        <w:t>月租赁中铁中环时代广场</w:t>
      </w:r>
      <w:r>
        <w:rPr>
          <w:spacing w:val="-73"/>
        </w:rPr>
        <w:t> </w:t>
      </w:r>
      <w:r>
        <w:rPr>
          <w:rFonts w:ascii="宋体" w:hAnsi="宋体" w:cs="宋体" w:eastAsia="宋体" w:hint="default"/>
        </w:rPr>
        <w:t>4</w:t>
      </w:r>
      <w:r>
        <w:rPr>
          <w:rFonts w:ascii="宋体" w:hAnsi="宋体" w:cs="宋体" w:eastAsia="宋体" w:hint="default"/>
          <w:spacing w:val="-75"/>
        </w:rPr>
        <w:t> </w:t>
      </w:r>
      <w:r>
        <w:rPr/>
        <w:t>号楼</w:t>
      </w:r>
      <w:r>
        <w:rPr>
          <w:spacing w:val="-73"/>
        </w:rPr>
        <w:t> </w:t>
      </w:r>
      <w:r>
        <w:rPr>
          <w:rFonts w:ascii="宋体" w:hAnsi="宋体" w:cs="宋体" w:eastAsia="宋体" w:hint="default"/>
        </w:rPr>
        <w:t>5</w:t>
      </w:r>
      <w:r>
        <w:rPr>
          <w:rFonts w:ascii="宋体" w:hAnsi="宋体" w:cs="宋体" w:eastAsia="宋体" w:hint="default"/>
          <w:spacing w:val="-75"/>
        </w:rPr>
        <w:t> </w:t>
      </w:r>
      <w:r>
        <w:rPr/>
        <w:t>层</w:t>
      </w:r>
      <w:r>
        <w:rPr>
          <w:spacing w:val="-73"/>
        </w:rPr>
        <w:t> </w:t>
      </w:r>
      <w:r>
        <w:rPr>
          <w:rFonts w:ascii="宋体" w:hAnsi="宋体" w:cs="宋体" w:eastAsia="宋体" w:hint="default"/>
        </w:rPr>
        <w:t>570</w:t>
      </w:r>
      <w:r>
        <w:rPr>
          <w:rFonts w:ascii="宋体" w:hAnsi="宋体" w:cs="宋体" w:eastAsia="宋体" w:hint="default"/>
          <w:spacing w:val="-73"/>
        </w:rPr>
        <w:t> </w:t>
      </w:r>
      <w:r>
        <w:rPr/>
        <w:t>平方米办公用房用于扩大公司办公场地。</w:t>
      </w:r>
    </w:p>
    <w:p>
      <w:pPr>
        <w:spacing w:line="240" w:lineRule="auto" w:before="11"/>
        <w:rPr>
          <w:rFonts w:ascii="宋体" w:hAnsi="宋体" w:cs="宋体" w:eastAsia="宋体" w:hint="default"/>
          <w:sz w:val="22"/>
          <w:szCs w:val="22"/>
        </w:rPr>
      </w:pPr>
    </w:p>
    <w:p>
      <w:pPr>
        <w:pStyle w:val="Heading2"/>
        <w:tabs>
          <w:tab w:pos="1057" w:val="left" w:leader="none"/>
        </w:tabs>
        <w:spacing w:line="240" w:lineRule="auto"/>
        <w:ind w:right="246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6"/>
        <w:ind w:right="2465"/>
        <w:jc w:val="left"/>
      </w:pPr>
      <w:r>
        <w:rPr/>
        <w:t>□适用√不适用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2"/>
        <w:tabs>
          <w:tab w:pos="1057" w:val="left" w:leader="none"/>
        </w:tabs>
        <w:spacing w:line="290" w:lineRule="auto" w:before="36"/>
        <w:ind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pStyle w:val="Heading2"/>
        <w:spacing w:line="275" w:lineRule="exact" w:before="12"/>
        <w:ind w:right="0"/>
        <w:jc w:val="left"/>
        <w:rPr>
          <w:b w:val="0"/>
          <w:bCs w:val="0"/>
        </w:rPr>
      </w:pPr>
      <w:r>
        <w:rPr>
          <w:rFonts w:ascii="宋体" w:hAnsi="宋体" w:cs="宋体" w:eastAsia="宋体" w:hint="default"/>
        </w:rPr>
        <w:t>(1).</w:t>
      </w:r>
      <w:r>
        <w:rPr/>
        <w:t>委托理财总体情况</w:t>
      </w:r>
      <w:r>
        <w:rPr>
          <w:b w:val="0"/>
          <w:bCs w:val="0"/>
        </w:rPr>
      </w:r>
    </w:p>
    <w:p>
      <w:pPr>
        <w:pStyle w:val="BodyText"/>
        <w:tabs>
          <w:tab w:pos="1163" w:val="left" w:leader="none"/>
        </w:tabs>
        <w:spacing w:line="275" w:lineRule="exact"/>
        <w:ind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480"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4222" w:space="2089"/>
            <w:col w:w="297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557"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闲置募集资金及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48" w:right="0"/>
              <w:jc w:val="left"/>
              <w:rPr>
                <w:rFonts w:ascii="Times New Roman" w:hAnsi="Times New Roman" w:cs="Times New Roman" w:eastAsia="Times New Roman" w:hint="default"/>
                <w:sz w:val="21"/>
                <w:szCs w:val="21"/>
              </w:rPr>
            </w:pPr>
            <w:r>
              <w:rPr>
                <w:rFonts w:ascii="Times New Roman"/>
                <w:sz w:val="21"/>
              </w:rPr>
              <w:t>13,968.00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48" w:right="0"/>
              <w:jc w:val="left"/>
              <w:rPr>
                <w:rFonts w:ascii="Times New Roman" w:hAnsi="Times New Roman" w:cs="Times New Roman" w:eastAsia="Times New Roman" w:hint="default"/>
                <w:sz w:val="21"/>
                <w:szCs w:val="21"/>
              </w:rPr>
            </w:pPr>
            <w:r>
              <w:rPr>
                <w:rFonts w:ascii="Times New Roman"/>
                <w:sz w:val="21"/>
              </w:rPr>
              <w:t>10,218.00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2"/>
        <w:spacing w:line="273" w:lineRule="exact"/>
        <w:ind w:right="2465"/>
        <w:jc w:val="left"/>
        <w:rPr>
          <w:b w:val="0"/>
          <w:bCs w:val="0"/>
        </w:rPr>
      </w:pPr>
      <w:r>
        <w:rPr/>
        <w:t>其他情况</w:t>
      </w:r>
      <w:r>
        <w:rPr>
          <w:b w:val="0"/>
          <w:bCs w:val="0"/>
        </w:rPr>
      </w:r>
    </w:p>
    <w:p>
      <w:pPr>
        <w:pStyle w:val="BodyText"/>
        <w:spacing w:line="273" w:lineRule="exact"/>
        <w:ind w:right="2465"/>
        <w:jc w:val="left"/>
      </w:pPr>
      <w:r>
        <w:rPr/>
        <w:t>□适用√不适用</w:t>
      </w:r>
    </w:p>
    <w:p>
      <w:pPr>
        <w:spacing w:after="0" w:line="273" w:lineRule="exact"/>
        <w:jc w:val="left"/>
        <w:sectPr>
          <w:type w:val="continuous"/>
          <w:pgSz w:w="11910" w:h="16840"/>
          <w:pgMar w:top="1120" w:bottom="1380" w:left="1580" w:right="1040"/>
        </w:sectPr>
      </w:pPr>
    </w:p>
    <w:p>
      <w:pPr>
        <w:pStyle w:val="Heading2"/>
        <w:spacing w:line="273" w:lineRule="exact" w:before="120"/>
        <w:ind w:left="224" w:right="-15"/>
        <w:jc w:val="left"/>
        <w:rPr>
          <w:b w:val="0"/>
          <w:bCs w:val="0"/>
        </w:rPr>
      </w:pPr>
      <w:r>
        <w:rPr>
          <w:rFonts w:ascii="宋体" w:hAnsi="宋体" w:cs="宋体" w:eastAsia="宋体" w:hint="default"/>
        </w:rPr>
        <w:t>(2).</w:t>
      </w:r>
      <w:r>
        <w:rPr/>
        <w:t>单项委托理财情况</w:t>
      </w:r>
      <w:r>
        <w:rPr>
          <w:b w:val="0"/>
          <w:bCs w:val="0"/>
        </w:rPr>
      </w:r>
    </w:p>
    <w:p>
      <w:pPr>
        <w:pStyle w:val="BodyText"/>
        <w:spacing w:line="289" w:lineRule="exact"/>
        <w:ind w:left="224" w:right="-15"/>
        <w:jc w:val="left"/>
      </w:pP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41"/>
        <w:ind w:left="224" w:right="0"/>
        <w:jc w:val="left"/>
      </w:pPr>
      <w:r>
        <w:rPr/>
        <w:t>单位：万元币种：人民币</w:t>
      </w:r>
    </w:p>
    <w:p>
      <w:pPr>
        <w:spacing w:after="0" w:line="240" w:lineRule="auto"/>
        <w:jc w:val="left"/>
        <w:sectPr>
          <w:headerReference w:type="default" r:id="rId31"/>
          <w:footerReference w:type="default" r:id="rId32"/>
          <w:pgSz w:w="16840" w:h="11910" w:orient="landscape"/>
          <w:pgMar w:header="880" w:footer="1195" w:top="1120" w:bottom="1380" w:left="1300" w:right="1220"/>
          <w:pgNumType w:start="42"/>
          <w:cols w:num="2" w:equalWidth="0">
            <w:col w:w="2339" w:space="9223"/>
            <w:col w:w="2758"/>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388"/>
        <w:gridCol w:w="708"/>
        <w:gridCol w:w="708"/>
        <w:gridCol w:w="1138"/>
        <w:gridCol w:w="1135"/>
        <w:gridCol w:w="708"/>
        <w:gridCol w:w="2547"/>
        <w:gridCol w:w="566"/>
        <w:gridCol w:w="1136"/>
        <w:gridCol w:w="708"/>
        <w:gridCol w:w="708"/>
        <w:gridCol w:w="427"/>
        <w:gridCol w:w="706"/>
        <w:gridCol w:w="713"/>
        <w:gridCol w:w="794"/>
      </w:tblGrid>
      <w:tr>
        <w:trPr>
          <w:trHeight w:val="1411"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sz w:val="18"/>
                <w:szCs w:val="18"/>
              </w:rPr>
              <w:t>受托人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67" w:right="168"/>
              <w:jc w:val="both"/>
              <w:rPr>
                <w:rFonts w:ascii="宋体" w:hAnsi="宋体" w:cs="宋体" w:eastAsia="宋体" w:hint="default"/>
                <w:sz w:val="18"/>
                <w:szCs w:val="18"/>
              </w:rPr>
            </w:pPr>
            <w:r>
              <w:rPr>
                <w:rFonts w:ascii="宋体" w:hAnsi="宋体" w:cs="宋体" w:eastAsia="宋体" w:hint="default"/>
                <w:sz w:val="18"/>
                <w:szCs w:val="18"/>
              </w:rPr>
              <w:t>委托 理财 类型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67" w:right="168"/>
              <w:jc w:val="both"/>
              <w:rPr>
                <w:rFonts w:ascii="宋体" w:hAnsi="宋体" w:cs="宋体" w:eastAsia="宋体" w:hint="default"/>
                <w:sz w:val="18"/>
                <w:szCs w:val="18"/>
              </w:rPr>
            </w:pPr>
            <w:r>
              <w:rPr>
                <w:rFonts w:ascii="宋体" w:hAnsi="宋体" w:cs="宋体" w:eastAsia="宋体" w:hint="default"/>
                <w:sz w:val="18"/>
                <w:szCs w:val="18"/>
              </w:rPr>
              <w:t>委托 理财 金额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292" w:right="113" w:hanging="180"/>
              <w:jc w:val="left"/>
              <w:rPr>
                <w:rFonts w:ascii="宋体" w:hAnsi="宋体" w:cs="宋体" w:eastAsia="宋体" w:hint="default"/>
                <w:sz w:val="18"/>
                <w:szCs w:val="18"/>
              </w:rPr>
            </w:pPr>
            <w:r>
              <w:rPr>
                <w:rFonts w:ascii="宋体" w:hAnsi="宋体" w:cs="宋体" w:eastAsia="宋体" w:hint="default"/>
                <w:sz w:val="18"/>
                <w:szCs w:val="18"/>
              </w:rPr>
              <w:t>委托理财起 始日期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292" w:right="110" w:hanging="180"/>
              <w:jc w:val="left"/>
              <w:rPr>
                <w:rFonts w:ascii="宋体" w:hAnsi="宋体" w:cs="宋体" w:eastAsia="宋体" w:hint="default"/>
                <w:sz w:val="18"/>
                <w:szCs w:val="18"/>
              </w:rPr>
            </w:pPr>
            <w:r>
              <w:rPr>
                <w:rFonts w:ascii="宋体" w:hAnsi="宋体" w:cs="宋体" w:eastAsia="宋体" w:hint="default"/>
                <w:sz w:val="18"/>
                <w:szCs w:val="18"/>
              </w:rPr>
              <w:t>委托理财终 止日期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67" w:right="168"/>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087" w:right="1087"/>
              <w:jc w:val="center"/>
              <w:rPr>
                <w:rFonts w:ascii="宋体" w:hAnsi="宋体" w:cs="宋体" w:eastAsia="宋体" w:hint="default"/>
                <w:sz w:val="18"/>
                <w:szCs w:val="18"/>
              </w:rPr>
            </w:pPr>
            <w:r>
              <w:rPr>
                <w:rFonts w:ascii="宋体" w:hAnsi="宋体" w:cs="宋体" w:eastAsia="宋体" w:hint="default"/>
                <w:sz w:val="18"/>
                <w:szCs w:val="18"/>
              </w:rPr>
              <w:t>资金 投向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报</w:t>
            </w:r>
          </w:p>
          <w:p>
            <w:pPr>
              <w:pStyle w:val="TableParagraph"/>
              <w:spacing w:line="237" w:lineRule="auto" w:before="2"/>
              <w:ind w:left="187" w:right="187"/>
              <w:jc w:val="both"/>
              <w:rPr>
                <w:rFonts w:ascii="宋体" w:hAnsi="宋体" w:cs="宋体" w:eastAsia="宋体" w:hint="default"/>
                <w:sz w:val="18"/>
                <w:szCs w:val="18"/>
              </w:rPr>
            </w:pPr>
            <w:r>
              <w:rPr>
                <w:rFonts w:ascii="宋体" w:hAnsi="宋体" w:cs="宋体" w:eastAsia="宋体" w:hint="default"/>
                <w:sz w:val="18"/>
                <w:szCs w:val="18"/>
              </w:rPr>
              <w:t>酬 确 定 方 式</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23"/>
              <w:ind w:left="292" w:right="291" w:firstLine="88"/>
              <w:jc w:val="left"/>
              <w:rPr>
                <w:rFonts w:ascii="宋体" w:hAnsi="宋体" w:cs="宋体" w:eastAsia="宋体" w:hint="default"/>
                <w:sz w:val="18"/>
                <w:szCs w:val="18"/>
              </w:rPr>
            </w:pPr>
            <w:r>
              <w:rPr>
                <w:rFonts w:ascii="宋体" w:hAnsi="宋体" w:cs="宋体" w:eastAsia="宋体" w:hint="default"/>
                <w:sz w:val="18"/>
                <w:szCs w:val="18"/>
              </w:rPr>
              <w:t>年化 收益率</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37" w:lineRule="auto"/>
              <w:ind w:left="107" w:right="108" w:firstLine="60"/>
              <w:jc w:val="both"/>
              <w:rPr>
                <w:rFonts w:ascii="Times New Roman" w:hAnsi="Times New Roman" w:cs="Times New Roman" w:eastAsia="Times New Roman" w:hint="default"/>
                <w:sz w:val="18"/>
                <w:szCs w:val="18"/>
              </w:rPr>
            </w:pPr>
            <w:r>
              <w:rPr>
                <w:rFonts w:ascii="宋体" w:hAnsi="宋体" w:cs="宋体" w:eastAsia="宋体" w:hint="default"/>
                <w:sz w:val="18"/>
                <w:szCs w:val="18"/>
              </w:rPr>
              <w:t>预期 收益 </w:t>
            </w:r>
            <w:r>
              <w:rPr>
                <w:rFonts w:ascii="Times New Roman" w:hAnsi="Times New Roman" w:cs="Times New Roman" w:eastAsia="Times New Roman" w:hint="default"/>
                <w:sz w:val="18"/>
                <w:szCs w:val="18"/>
              </w:rPr>
              <w:t>(</w:t>
            </w: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70" w:right="167"/>
              <w:jc w:val="both"/>
              <w:rPr>
                <w:rFonts w:ascii="宋体" w:hAnsi="宋体" w:cs="宋体" w:eastAsia="宋体" w:hint="default"/>
                <w:sz w:val="18"/>
                <w:szCs w:val="18"/>
              </w:rPr>
            </w:pPr>
            <w:r>
              <w:rPr>
                <w:rFonts w:ascii="宋体" w:hAnsi="宋体" w:cs="宋体" w:eastAsia="宋体" w:hint="default"/>
                <w:sz w:val="18"/>
                <w:szCs w:val="18"/>
              </w:rPr>
              <w:t>实际 收益 或损 失</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0" w:right="0"/>
              <w:jc w:val="both"/>
              <w:rPr>
                <w:rFonts w:ascii="宋体" w:hAnsi="宋体" w:cs="宋体" w:eastAsia="宋体" w:hint="default"/>
                <w:sz w:val="18"/>
                <w:szCs w:val="18"/>
              </w:rPr>
            </w:pPr>
            <w:r>
              <w:rPr>
                <w:rFonts w:ascii="宋体" w:hAnsi="宋体" w:cs="宋体" w:eastAsia="宋体" w:hint="default"/>
                <w:sz w:val="18"/>
                <w:szCs w:val="18"/>
              </w:rPr>
              <w:t>实</w:t>
            </w:r>
          </w:p>
          <w:p>
            <w:pPr>
              <w:pStyle w:val="TableParagraph"/>
              <w:spacing w:line="237" w:lineRule="auto" w:before="2"/>
              <w:ind w:left="120" w:right="115"/>
              <w:jc w:val="both"/>
              <w:rPr>
                <w:rFonts w:ascii="宋体" w:hAnsi="宋体" w:cs="宋体" w:eastAsia="宋体" w:hint="default"/>
                <w:sz w:val="18"/>
                <w:szCs w:val="18"/>
              </w:rPr>
            </w:pPr>
            <w:r>
              <w:rPr>
                <w:rFonts w:ascii="宋体" w:hAnsi="宋体" w:cs="宋体" w:eastAsia="宋体" w:hint="default"/>
                <w:sz w:val="18"/>
                <w:szCs w:val="18"/>
              </w:rPr>
              <w:t>际 收 回 情 况</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68" w:right="167"/>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both"/>
              <w:rPr>
                <w:rFonts w:ascii="宋体" w:hAnsi="宋体" w:cs="宋体" w:eastAsia="宋体" w:hint="default"/>
                <w:sz w:val="18"/>
                <w:szCs w:val="18"/>
              </w:rPr>
            </w:pPr>
            <w:r>
              <w:rPr>
                <w:rFonts w:ascii="宋体" w:hAnsi="宋体" w:cs="宋体" w:eastAsia="宋体" w:hint="default"/>
                <w:sz w:val="18"/>
                <w:szCs w:val="18"/>
              </w:rPr>
              <w:t>未来</w:t>
            </w:r>
          </w:p>
          <w:p>
            <w:pPr>
              <w:pStyle w:val="TableParagraph"/>
              <w:spacing w:line="237" w:lineRule="auto" w:before="2"/>
              <w:ind w:left="170" w:right="171"/>
              <w:jc w:val="both"/>
              <w:rPr>
                <w:rFonts w:ascii="宋体" w:hAnsi="宋体" w:cs="宋体" w:eastAsia="宋体" w:hint="default"/>
                <w:sz w:val="18"/>
                <w:szCs w:val="18"/>
              </w:rPr>
            </w:pPr>
            <w:r>
              <w:rPr>
                <w:rFonts w:ascii="宋体" w:hAnsi="宋体" w:cs="宋体" w:eastAsia="宋体" w:hint="default"/>
                <w:sz w:val="18"/>
                <w:szCs w:val="18"/>
              </w:rPr>
              <w:t>是否 有委 托理 财计 划</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24" w:right="119"/>
              <w:jc w:val="center"/>
              <w:rPr>
                <w:rFonts w:ascii="Times New Roman" w:hAnsi="Times New Roman" w:cs="Times New Roman" w:eastAsia="Times New Roman" w:hint="default"/>
                <w:sz w:val="18"/>
                <w:szCs w:val="18"/>
              </w:rPr>
            </w:pPr>
            <w:r>
              <w:rPr>
                <w:rFonts w:ascii="宋体" w:hAnsi="宋体" w:cs="宋体" w:eastAsia="宋体" w:hint="default"/>
                <w:sz w:val="18"/>
                <w:szCs w:val="18"/>
              </w:rPr>
              <w:t>减值准 备计提 金额 </w:t>
            </w:r>
            <w:r>
              <w:rPr>
                <w:rFonts w:ascii="Times New Roman" w:hAnsi="Times New Roman" w:cs="Times New Roman" w:eastAsia="Times New Roman" w:hint="default"/>
                <w:sz w:val="18"/>
                <w:szCs w:val="18"/>
              </w:rPr>
              <w:t>(</w:t>
            </w: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p>
        </w:tc>
      </w:tr>
      <w:tr>
        <w:trPr>
          <w:trHeight w:val="164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48" w:right="146"/>
              <w:jc w:val="both"/>
              <w:rPr>
                <w:rFonts w:ascii="宋体" w:hAnsi="宋体" w:cs="宋体" w:eastAsia="宋体" w:hint="default"/>
                <w:sz w:val="18"/>
                <w:szCs w:val="18"/>
              </w:rPr>
            </w:pPr>
            <w:r>
              <w:rPr>
                <w:rFonts w:ascii="宋体" w:hAnsi="宋体" w:cs="宋体" w:eastAsia="宋体" w:hint="default"/>
                <w:sz w:val="18"/>
                <w:szCs w:val="18"/>
              </w:rPr>
              <w:t>农商银行保本 理财恒通安鑫 </w:t>
            </w:r>
            <w:r>
              <w:rPr>
                <w:rFonts w:ascii="Times New Roman" w:hAnsi="Times New Roman" w:cs="Times New Roman" w:eastAsia="Times New Roman" w:hint="default"/>
                <w:sz w:val="18"/>
                <w:szCs w:val="18"/>
              </w:rPr>
              <w:t>2014001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167" w:right="168"/>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z w:val="18"/>
              </w:rPr>
              <w:t>1,000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2017.7.5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2017.9.20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167" w:right="168"/>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投资级以上债权资产；货币市</w:t>
            </w:r>
          </w:p>
          <w:p>
            <w:pPr>
              <w:pStyle w:val="TableParagraph"/>
              <w:spacing w:line="237" w:lineRule="auto" w:before="1"/>
              <w:ind w:left="103" w:right="101"/>
              <w:jc w:val="left"/>
              <w:rPr>
                <w:rFonts w:ascii="宋体" w:hAnsi="宋体" w:cs="宋体" w:eastAsia="宋体" w:hint="default"/>
                <w:sz w:val="18"/>
                <w:szCs w:val="18"/>
              </w:rPr>
            </w:pPr>
            <w:r>
              <w:rPr>
                <w:rFonts w:ascii="宋体" w:hAnsi="宋体" w:cs="宋体" w:eastAsia="宋体" w:hint="default"/>
                <w:spacing w:val="-1"/>
                <w:sz w:val="18"/>
                <w:szCs w:val="18"/>
              </w:rPr>
              <w:t>场工具；信托公司设立的信托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计划，证券公司（含证券资产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管理公司）、基金公司（含基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金资产管理公司）设立的资产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管理计划，保险资产管理公司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设立的资产管理计划。</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3.32%</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37" w:lineRule="auto"/>
              <w:ind w:left="120" w:right="115"/>
              <w:jc w:val="both"/>
              <w:rPr>
                <w:rFonts w:ascii="宋体" w:hAnsi="宋体" w:cs="宋体" w:eastAsia="宋体" w:hint="default"/>
                <w:sz w:val="18"/>
                <w:szCs w:val="18"/>
              </w:rPr>
            </w:pPr>
            <w:r>
              <w:rPr>
                <w:rFonts w:ascii="宋体" w:hAnsi="宋体" w:cs="宋体" w:eastAsia="宋体" w:hint="default"/>
                <w:sz w:val="18"/>
                <w:szCs w:val="18"/>
              </w:rPr>
              <w:t>已 赎 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48" w:right="146"/>
              <w:jc w:val="center"/>
              <w:rPr>
                <w:rFonts w:ascii="宋体" w:hAnsi="宋体" w:cs="宋体" w:eastAsia="宋体" w:hint="default"/>
                <w:sz w:val="18"/>
                <w:szCs w:val="18"/>
              </w:rPr>
            </w:pPr>
            <w:r>
              <w:rPr>
                <w:rFonts w:ascii="宋体" w:hAnsi="宋体" w:cs="宋体" w:eastAsia="宋体" w:hint="default"/>
                <w:sz w:val="18"/>
                <w:szCs w:val="18"/>
              </w:rPr>
              <w:t>农商银行保本 理财恒通 </w:t>
            </w:r>
            <w:r>
              <w:rPr>
                <w:rFonts w:ascii="Times New Roman" w:hAnsi="Times New Roman" w:cs="Times New Roman" w:eastAsia="Times New Roman" w:hint="default"/>
                <w:sz w:val="18"/>
                <w:szCs w:val="18"/>
              </w:rPr>
              <w:t>BM17034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167" w:right="168"/>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700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2017.7.14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2017.10.17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167" w:right="168"/>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投资级以上债权资产；货币市</w:t>
            </w:r>
          </w:p>
          <w:p>
            <w:pPr>
              <w:pStyle w:val="TableParagraph"/>
              <w:spacing w:line="237" w:lineRule="auto"/>
              <w:ind w:left="103" w:right="101"/>
              <w:jc w:val="left"/>
              <w:rPr>
                <w:rFonts w:ascii="宋体" w:hAnsi="宋体" w:cs="宋体" w:eastAsia="宋体" w:hint="default"/>
                <w:sz w:val="18"/>
                <w:szCs w:val="18"/>
              </w:rPr>
            </w:pPr>
            <w:r>
              <w:rPr>
                <w:rFonts w:ascii="宋体" w:hAnsi="宋体" w:cs="宋体" w:eastAsia="宋体" w:hint="default"/>
                <w:spacing w:val="-1"/>
                <w:sz w:val="18"/>
                <w:szCs w:val="18"/>
              </w:rPr>
              <w:t>场工具；信托公司设立的信托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计划，证券公司（含证券资产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管理公司）、基金公司（含基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金资产管理公司）设立的资产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管理计划，保险资产管理公司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设立的资产管理计划。</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4.15%</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7.56</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37" w:lineRule="auto"/>
              <w:ind w:left="120" w:right="115"/>
              <w:jc w:val="both"/>
              <w:rPr>
                <w:rFonts w:ascii="宋体" w:hAnsi="宋体" w:cs="宋体" w:eastAsia="宋体" w:hint="default"/>
                <w:sz w:val="18"/>
                <w:szCs w:val="18"/>
              </w:rPr>
            </w:pPr>
            <w:r>
              <w:rPr>
                <w:rFonts w:ascii="宋体" w:hAnsi="宋体" w:cs="宋体" w:eastAsia="宋体" w:hint="default"/>
                <w:sz w:val="18"/>
                <w:szCs w:val="18"/>
              </w:rPr>
              <w:t>已 赎 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48" w:right="146"/>
              <w:jc w:val="center"/>
              <w:rPr>
                <w:rFonts w:ascii="宋体" w:hAnsi="宋体" w:cs="宋体" w:eastAsia="宋体" w:hint="default"/>
                <w:sz w:val="18"/>
                <w:szCs w:val="18"/>
              </w:rPr>
            </w:pPr>
            <w:r>
              <w:rPr>
                <w:rFonts w:ascii="宋体" w:hAnsi="宋体" w:cs="宋体" w:eastAsia="宋体" w:hint="default"/>
                <w:sz w:val="18"/>
                <w:szCs w:val="18"/>
              </w:rPr>
              <w:t>农商银行保本 理财恒通 </w:t>
            </w:r>
            <w:r>
              <w:rPr>
                <w:rFonts w:ascii="Times New Roman" w:hAnsi="Times New Roman" w:cs="Times New Roman" w:eastAsia="Times New Roman" w:hint="default"/>
                <w:sz w:val="18"/>
                <w:szCs w:val="18"/>
              </w:rPr>
              <w:t>BM17041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67" w:right="168"/>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700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2017.8.28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2017.11.27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67" w:right="168"/>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投资级以上债权资产；货币市</w:t>
            </w:r>
          </w:p>
          <w:p>
            <w:pPr>
              <w:pStyle w:val="TableParagraph"/>
              <w:spacing w:line="237" w:lineRule="auto"/>
              <w:ind w:left="103" w:right="101"/>
              <w:jc w:val="left"/>
              <w:rPr>
                <w:rFonts w:ascii="宋体" w:hAnsi="宋体" w:cs="宋体" w:eastAsia="宋体" w:hint="default"/>
                <w:sz w:val="18"/>
                <w:szCs w:val="18"/>
              </w:rPr>
            </w:pPr>
            <w:r>
              <w:rPr>
                <w:rFonts w:ascii="宋体" w:hAnsi="宋体" w:cs="宋体" w:eastAsia="宋体" w:hint="default"/>
                <w:spacing w:val="-1"/>
                <w:sz w:val="18"/>
                <w:szCs w:val="18"/>
              </w:rPr>
              <w:t>场工具；信托公司设立的信托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计划，证券公司（含证券资产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管理公司）、基金公司（含基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金资产管理公司）设立的资产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管理计划，保险资产管理公司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设立的资产管理计划。</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4.15%</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7.24</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37" w:lineRule="auto"/>
              <w:ind w:left="120" w:right="115"/>
              <w:jc w:val="both"/>
              <w:rPr>
                <w:rFonts w:ascii="宋体" w:hAnsi="宋体" w:cs="宋体" w:eastAsia="宋体" w:hint="default"/>
                <w:sz w:val="18"/>
                <w:szCs w:val="18"/>
              </w:rPr>
            </w:pPr>
            <w:r>
              <w:rPr>
                <w:rFonts w:ascii="宋体" w:hAnsi="宋体" w:cs="宋体" w:eastAsia="宋体" w:hint="default"/>
                <w:sz w:val="18"/>
                <w:szCs w:val="18"/>
              </w:rPr>
              <w:t>已 赎 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48" w:right="146"/>
              <w:jc w:val="both"/>
              <w:rPr>
                <w:rFonts w:ascii="宋体" w:hAnsi="宋体" w:cs="宋体" w:eastAsia="宋体" w:hint="default"/>
                <w:sz w:val="18"/>
                <w:szCs w:val="18"/>
              </w:rPr>
            </w:pPr>
            <w:r>
              <w:rPr>
                <w:rFonts w:ascii="宋体" w:hAnsi="宋体" w:cs="宋体" w:eastAsia="宋体" w:hint="default"/>
                <w:sz w:val="18"/>
                <w:szCs w:val="18"/>
              </w:rPr>
              <w:t>农商银行保本 理财恒通安鑫 </w:t>
            </w:r>
            <w:r>
              <w:rPr>
                <w:rFonts w:ascii="Times New Roman" w:hAnsi="Times New Roman" w:cs="Times New Roman" w:eastAsia="Times New Roman" w:hint="default"/>
                <w:sz w:val="18"/>
                <w:szCs w:val="18"/>
              </w:rPr>
              <w:t>2014001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67" w:right="168"/>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250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2017.10.18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2017.11.30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67" w:right="168"/>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投资级以上债权资产；货币市</w:t>
            </w:r>
          </w:p>
          <w:p>
            <w:pPr>
              <w:pStyle w:val="TableParagraph"/>
              <w:spacing w:line="237" w:lineRule="auto"/>
              <w:ind w:left="103" w:right="101"/>
              <w:jc w:val="left"/>
              <w:rPr>
                <w:rFonts w:ascii="宋体" w:hAnsi="宋体" w:cs="宋体" w:eastAsia="宋体" w:hint="default"/>
                <w:sz w:val="18"/>
                <w:szCs w:val="18"/>
              </w:rPr>
            </w:pPr>
            <w:r>
              <w:rPr>
                <w:rFonts w:ascii="宋体" w:hAnsi="宋体" w:cs="宋体" w:eastAsia="宋体" w:hint="default"/>
                <w:spacing w:val="-1"/>
                <w:sz w:val="18"/>
                <w:szCs w:val="18"/>
              </w:rPr>
              <w:t>场工具；信托公司设立的信托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计划，证券公司（含证券资产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管理公司）、基金公司（含基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金资产管理公司）设立的资产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管理计划，保险资产管理公司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设立的资产管理计划。</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3.40%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0.94</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20" w:right="115"/>
              <w:jc w:val="both"/>
              <w:rPr>
                <w:rFonts w:ascii="宋体" w:hAnsi="宋体" w:cs="宋体" w:eastAsia="宋体" w:hint="default"/>
                <w:sz w:val="18"/>
                <w:szCs w:val="18"/>
              </w:rPr>
            </w:pPr>
            <w:r>
              <w:rPr>
                <w:rFonts w:ascii="宋体" w:hAnsi="宋体" w:cs="宋体" w:eastAsia="宋体" w:hint="default"/>
                <w:sz w:val="18"/>
                <w:szCs w:val="18"/>
              </w:rPr>
              <w:t>已 赎 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9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8"/>
        <w:gridCol w:w="708"/>
        <w:gridCol w:w="708"/>
        <w:gridCol w:w="1138"/>
        <w:gridCol w:w="1135"/>
        <w:gridCol w:w="708"/>
        <w:gridCol w:w="2547"/>
        <w:gridCol w:w="566"/>
        <w:gridCol w:w="1136"/>
        <w:gridCol w:w="708"/>
        <w:gridCol w:w="708"/>
        <w:gridCol w:w="427"/>
        <w:gridCol w:w="706"/>
        <w:gridCol w:w="713"/>
        <w:gridCol w:w="794"/>
      </w:tblGrid>
      <w:tr>
        <w:trPr>
          <w:trHeight w:val="164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7" w:lineRule="auto"/>
              <w:ind w:left="148" w:right="146"/>
              <w:jc w:val="both"/>
              <w:rPr>
                <w:rFonts w:ascii="宋体" w:hAnsi="宋体" w:cs="宋体" w:eastAsia="宋体" w:hint="default"/>
                <w:sz w:val="18"/>
                <w:szCs w:val="18"/>
              </w:rPr>
            </w:pPr>
            <w:r>
              <w:rPr>
                <w:rFonts w:ascii="宋体" w:hAnsi="宋体" w:cs="宋体" w:eastAsia="宋体" w:hint="default"/>
                <w:sz w:val="18"/>
                <w:szCs w:val="18"/>
              </w:rPr>
              <w:t>农商银行保本 理财恒通安鑫 </w:t>
            </w:r>
            <w:r>
              <w:rPr>
                <w:rFonts w:ascii="Times New Roman" w:hAnsi="Times New Roman" w:cs="Times New Roman" w:eastAsia="Times New Roman" w:hint="default"/>
                <w:sz w:val="18"/>
                <w:szCs w:val="18"/>
              </w:rPr>
              <w:t>2014001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32" w:lineRule="exact"/>
              <w:ind w:left="167" w:right="168"/>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700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2017.11.29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T+1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32" w:lineRule="exact"/>
              <w:ind w:left="167" w:right="168"/>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投资级以上债权资产；货币市</w:t>
            </w:r>
          </w:p>
          <w:p>
            <w:pPr>
              <w:pStyle w:val="TableParagraph"/>
              <w:spacing w:line="237" w:lineRule="auto"/>
              <w:ind w:left="103" w:right="101"/>
              <w:jc w:val="left"/>
              <w:rPr>
                <w:rFonts w:ascii="宋体" w:hAnsi="宋体" w:cs="宋体" w:eastAsia="宋体" w:hint="default"/>
                <w:sz w:val="18"/>
                <w:szCs w:val="18"/>
              </w:rPr>
            </w:pPr>
            <w:r>
              <w:rPr>
                <w:rFonts w:ascii="宋体" w:hAnsi="宋体" w:cs="宋体" w:eastAsia="宋体" w:hint="default"/>
                <w:spacing w:val="-1"/>
                <w:sz w:val="18"/>
                <w:szCs w:val="18"/>
              </w:rPr>
              <w:t>场工具；信托公司设立的信托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计划，证券公司（含证券资产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管理公司）、基金公司（含基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金资产管理公司）设立的资产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管理计划，保险资产管理公司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设立的资产管理计划。</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3.40%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20"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已 赎 回 </w:t>
            </w:r>
            <w:r>
              <w:rPr>
                <w:rFonts w:ascii="Times New Roman" w:hAnsi="Times New Roman" w:cs="Times New Roman" w:eastAsia="Times New Roman" w:hint="default"/>
                <w:sz w:val="18"/>
                <w:szCs w:val="18"/>
              </w:rPr>
              <w:t>65</w:t>
            </w:r>
          </w:p>
          <w:p>
            <w:pPr>
              <w:pStyle w:val="TableParagraph"/>
              <w:spacing w:line="187" w:lineRule="exact"/>
              <w:ind w:right="1"/>
              <w:jc w:val="center"/>
              <w:rPr>
                <w:rFonts w:ascii="Times New Roman" w:hAnsi="Times New Roman" w:cs="Times New Roman" w:eastAsia="Times New Roman" w:hint="default"/>
                <w:sz w:val="18"/>
                <w:szCs w:val="18"/>
              </w:rPr>
            </w:pPr>
            <w:r>
              <w:rPr>
                <w:rFonts w:ascii="Times New Roman"/>
                <w:sz w:val="18"/>
              </w:rPr>
              <w:t>0</w:t>
            </w:r>
          </w:p>
          <w:p>
            <w:pPr>
              <w:pStyle w:val="TableParagraph"/>
              <w:spacing w:line="232" w:lineRule="exact" w:before="11"/>
              <w:ind w:left="120" w:right="115"/>
              <w:jc w:val="both"/>
              <w:rPr>
                <w:rFonts w:ascii="宋体" w:hAnsi="宋体" w:cs="宋体" w:eastAsia="宋体" w:hint="default"/>
                <w:sz w:val="18"/>
                <w:szCs w:val="18"/>
              </w:rPr>
            </w:pPr>
            <w:r>
              <w:rPr>
                <w:rFonts w:ascii="宋体" w:hAnsi="宋体" w:cs="宋体" w:eastAsia="宋体" w:hint="default"/>
                <w:sz w:val="18"/>
                <w:szCs w:val="18"/>
              </w:rPr>
              <w:t>万 元</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7" w:lineRule="auto"/>
              <w:ind w:left="148" w:right="146"/>
              <w:jc w:val="center"/>
              <w:rPr>
                <w:rFonts w:ascii="宋体" w:hAnsi="宋体" w:cs="宋体" w:eastAsia="宋体" w:hint="default"/>
                <w:sz w:val="18"/>
                <w:szCs w:val="18"/>
              </w:rPr>
            </w:pPr>
            <w:r>
              <w:rPr>
                <w:rFonts w:ascii="宋体" w:hAnsi="宋体" w:cs="宋体" w:eastAsia="宋体" w:hint="default"/>
                <w:sz w:val="18"/>
                <w:szCs w:val="18"/>
              </w:rPr>
              <w:t>农商银行保本 理财恒通 </w:t>
            </w:r>
            <w:r>
              <w:rPr>
                <w:rFonts w:ascii="Times New Roman" w:hAnsi="Times New Roman" w:cs="Times New Roman" w:eastAsia="Times New Roman" w:hint="default"/>
                <w:sz w:val="18"/>
                <w:szCs w:val="18"/>
              </w:rPr>
              <w:t>BM17048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34" w:lineRule="exact"/>
              <w:ind w:left="167" w:right="168"/>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450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2017.10.20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2017.12.15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34" w:lineRule="exact"/>
              <w:ind w:left="167" w:right="168"/>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投资级以上债权资产；货币市</w:t>
            </w:r>
          </w:p>
          <w:p>
            <w:pPr>
              <w:pStyle w:val="TableParagraph"/>
              <w:spacing w:line="237" w:lineRule="auto"/>
              <w:ind w:left="103" w:right="101"/>
              <w:jc w:val="left"/>
              <w:rPr>
                <w:rFonts w:ascii="宋体" w:hAnsi="宋体" w:cs="宋体" w:eastAsia="宋体" w:hint="default"/>
                <w:sz w:val="18"/>
                <w:szCs w:val="18"/>
              </w:rPr>
            </w:pPr>
            <w:r>
              <w:rPr>
                <w:rFonts w:ascii="宋体" w:hAnsi="宋体" w:cs="宋体" w:eastAsia="宋体" w:hint="default"/>
                <w:spacing w:val="-1"/>
                <w:sz w:val="18"/>
                <w:szCs w:val="18"/>
              </w:rPr>
              <w:t>场工具；信托公司设立的信托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计划，证券公司（含证券资产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管理公司）、基金公司（含基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金资产管理公司）设立的资产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管理计划，保险资产管理公司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设立的资产管理计划。</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4.10%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2.83</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7" w:lineRule="auto"/>
              <w:ind w:left="120" w:right="115"/>
              <w:jc w:val="both"/>
              <w:rPr>
                <w:rFonts w:ascii="宋体" w:hAnsi="宋体" w:cs="宋体" w:eastAsia="宋体" w:hint="default"/>
                <w:sz w:val="18"/>
                <w:szCs w:val="18"/>
              </w:rPr>
            </w:pPr>
            <w:r>
              <w:rPr>
                <w:rFonts w:ascii="宋体" w:hAnsi="宋体" w:cs="宋体" w:eastAsia="宋体" w:hint="default"/>
                <w:sz w:val="18"/>
                <w:szCs w:val="18"/>
              </w:rPr>
              <w:t>已 赎 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7" w:lineRule="auto"/>
              <w:ind w:left="148" w:right="146"/>
              <w:jc w:val="center"/>
              <w:rPr>
                <w:rFonts w:ascii="宋体" w:hAnsi="宋体" w:cs="宋体" w:eastAsia="宋体" w:hint="default"/>
                <w:sz w:val="18"/>
                <w:szCs w:val="18"/>
              </w:rPr>
            </w:pPr>
            <w:r>
              <w:rPr>
                <w:rFonts w:ascii="宋体" w:hAnsi="宋体" w:cs="宋体" w:eastAsia="宋体" w:hint="default"/>
                <w:sz w:val="18"/>
                <w:szCs w:val="18"/>
              </w:rPr>
              <w:t>农商银行保本 理财恒通 </w:t>
            </w:r>
            <w:r>
              <w:rPr>
                <w:rFonts w:ascii="Times New Roman" w:hAnsi="Times New Roman" w:cs="Times New Roman" w:eastAsia="Times New Roman" w:hint="default"/>
                <w:sz w:val="18"/>
                <w:szCs w:val="18"/>
              </w:rPr>
              <w:t>BM17057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32" w:lineRule="exact"/>
              <w:ind w:left="167" w:right="168"/>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500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2017.12.4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2018.3.5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32" w:lineRule="exact"/>
              <w:ind w:left="167" w:right="168"/>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投资级以上债权资产；货币市</w:t>
            </w:r>
          </w:p>
          <w:p>
            <w:pPr>
              <w:pStyle w:val="TableParagraph"/>
              <w:spacing w:line="237" w:lineRule="auto"/>
              <w:ind w:left="103" w:right="101"/>
              <w:jc w:val="left"/>
              <w:rPr>
                <w:rFonts w:ascii="宋体" w:hAnsi="宋体" w:cs="宋体" w:eastAsia="宋体" w:hint="default"/>
                <w:sz w:val="18"/>
                <w:szCs w:val="18"/>
              </w:rPr>
            </w:pPr>
            <w:r>
              <w:rPr>
                <w:rFonts w:ascii="宋体" w:hAnsi="宋体" w:cs="宋体" w:eastAsia="宋体" w:hint="default"/>
                <w:spacing w:val="-1"/>
                <w:sz w:val="18"/>
                <w:szCs w:val="18"/>
              </w:rPr>
              <w:t>场工具；信托公司设立的信托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计划，证券公司（含证券资产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管理公司）、基金公司（含基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金资产管理公司）设立的资产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管理计划，保险资产管理公司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设立的资产管理计划。</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15"/>
              <w:ind w:left="120" w:right="115"/>
              <w:jc w:val="both"/>
              <w:rPr>
                <w:rFonts w:ascii="宋体" w:hAnsi="宋体" w:cs="宋体" w:eastAsia="宋体" w:hint="default"/>
                <w:sz w:val="18"/>
                <w:szCs w:val="18"/>
              </w:rPr>
            </w:pPr>
            <w:r>
              <w:rPr>
                <w:rFonts w:ascii="宋体" w:hAnsi="宋体" w:cs="宋体" w:eastAsia="宋体" w:hint="default"/>
                <w:sz w:val="18"/>
                <w:szCs w:val="18"/>
              </w:rPr>
              <w:t>尚 未 赎 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7" w:lineRule="auto"/>
              <w:ind w:left="148" w:right="146"/>
              <w:jc w:val="both"/>
              <w:rPr>
                <w:rFonts w:ascii="宋体" w:hAnsi="宋体" w:cs="宋体" w:eastAsia="宋体" w:hint="default"/>
                <w:sz w:val="18"/>
                <w:szCs w:val="18"/>
              </w:rPr>
            </w:pPr>
            <w:r>
              <w:rPr>
                <w:rFonts w:ascii="宋体" w:hAnsi="宋体" w:cs="宋体" w:eastAsia="宋体" w:hint="default"/>
                <w:sz w:val="18"/>
                <w:szCs w:val="18"/>
              </w:rPr>
              <w:t>农商银行保本 理财恒通安鑫 </w:t>
            </w:r>
            <w:r>
              <w:rPr>
                <w:rFonts w:ascii="Times New Roman" w:hAnsi="Times New Roman" w:cs="Times New Roman" w:eastAsia="Times New Roman" w:hint="default"/>
                <w:sz w:val="18"/>
                <w:szCs w:val="18"/>
              </w:rPr>
              <w:t>2014001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32" w:lineRule="exact"/>
              <w:ind w:left="167" w:right="168"/>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450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2017.12.18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T+1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32" w:lineRule="exact"/>
              <w:ind w:left="167" w:right="168"/>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投资级以上债权资产；货币市</w:t>
            </w:r>
          </w:p>
          <w:p>
            <w:pPr>
              <w:pStyle w:val="TableParagraph"/>
              <w:spacing w:line="237" w:lineRule="auto"/>
              <w:ind w:left="103" w:right="101"/>
              <w:jc w:val="left"/>
              <w:rPr>
                <w:rFonts w:ascii="宋体" w:hAnsi="宋体" w:cs="宋体" w:eastAsia="宋体" w:hint="default"/>
                <w:sz w:val="18"/>
                <w:szCs w:val="18"/>
              </w:rPr>
            </w:pPr>
            <w:r>
              <w:rPr>
                <w:rFonts w:ascii="宋体" w:hAnsi="宋体" w:cs="宋体" w:eastAsia="宋体" w:hint="default"/>
                <w:spacing w:val="-1"/>
                <w:sz w:val="18"/>
                <w:szCs w:val="18"/>
              </w:rPr>
              <w:t>场工具；信托公司设立的信托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计划，证券公司（含证券资产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管理公司）、基金公司（含基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金资产管理公司）设立的资产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管理计划，保险资产管理公司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设立的资产管理计划。</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3.40%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15"/>
              <w:ind w:left="120" w:right="115"/>
              <w:jc w:val="both"/>
              <w:rPr>
                <w:rFonts w:ascii="宋体" w:hAnsi="宋体" w:cs="宋体" w:eastAsia="宋体" w:hint="default"/>
                <w:sz w:val="18"/>
                <w:szCs w:val="18"/>
              </w:rPr>
            </w:pPr>
            <w:r>
              <w:rPr>
                <w:rFonts w:ascii="宋体" w:hAnsi="宋体" w:cs="宋体" w:eastAsia="宋体" w:hint="default"/>
                <w:sz w:val="18"/>
                <w:szCs w:val="18"/>
              </w:rPr>
              <w:t>尚 未 赎 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2110"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15"/>
              <w:ind w:left="112" w:right="113" w:firstLine="2"/>
              <w:jc w:val="center"/>
              <w:rPr>
                <w:rFonts w:ascii="宋体" w:hAnsi="宋体" w:cs="宋体" w:eastAsia="宋体" w:hint="default"/>
                <w:sz w:val="18"/>
                <w:szCs w:val="18"/>
              </w:rPr>
            </w:pPr>
            <w:r>
              <w:rPr>
                <w:rFonts w:ascii="宋体" w:hAnsi="宋体" w:cs="宋体" w:eastAsia="宋体" w:hint="default"/>
                <w:sz w:val="18"/>
                <w:szCs w:val="18"/>
              </w:rPr>
              <w:t>民生银行非凡 资产管理增增 日上收益递增 理财产品对公 款（代码： </w:t>
            </w:r>
            <w:r>
              <w:rPr>
                <w:rFonts w:ascii="Times New Roman" w:hAnsi="Times New Roman" w:cs="Times New Roman" w:eastAsia="Times New Roman" w:hint="default"/>
                <w:sz w:val="18"/>
                <w:szCs w:val="18"/>
              </w:rPr>
              <w:t>GAD17001A</w:t>
            </w: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67" w:right="168"/>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43"/>
              <w:jc w:val="right"/>
              <w:rPr>
                <w:rFonts w:ascii="Times New Roman" w:hAnsi="Times New Roman" w:cs="Times New Roman" w:eastAsia="Times New Roman" w:hint="default"/>
                <w:sz w:val="18"/>
                <w:szCs w:val="18"/>
              </w:rPr>
            </w:pPr>
            <w:r>
              <w:rPr>
                <w:rFonts w:ascii="Times New Roman"/>
                <w:sz w:val="18"/>
              </w:rPr>
              <w:t>2,018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03" w:right="0"/>
              <w:jc w:val="left"/>
              <w:rPr>
                <w:rFonts w:ascii="Times New Roman" w:hAnsi="Times New Roman" w:cs="Times New Roman" w:eastAsia="Times New Roman" w:hint="default"/>
                <w:sz w:val="18"/>
                <w:szCs w:val="18"/>
              </w:rPr>
            </w:pPr>
            <w:r>
              <w:rPr>
                <w:rFonts w:ascii="Times New Roman"/>
                <w:sz w:val="18"/>
              </w:rPr>
              <w:t>2017.7.28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5"/>
              <w:jc w:val="center"/>
              <w:rPr>
                <w:rFonts w:ascii="Times New Roman" w:hAnsi="Times New Roman" w:cs="Times New Roman" w:eastAsia="Times New Roman" w:hint="default"/>
                <w:sz w:val="18"/>
                <w:szCs w:val="18"/>
              </w:rPr>
            </w:pPr>
            <w:r>
              <w:rPr>
                <w:rFonts w:ascii="Times New Roman"/>
                <w:sz w:val="18"/>
              </w:rPr>
              <w:t>T+1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67" w:right="16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存款、债券回购、资金拆借等</w:t>
            </w:r>
          </w:p>
          <w:p>
            <w:pPr>
              <w:pStyle w:val="TableParagraph"/>
              <w:spacing w:line="237" w:lineRule="auto"/>
              <w:ind w:left="103" w:right="93"/>
              <w:jc w:val="left"/>
              <w:rPr>
                <w:rFonts w:ascii="宋体" w:hAnsi="宋体" w:cs="宋体" w:eastAsia="宋体" w:hint="default"/>
                <w:sz w:val="18"/>
                <w:szCs w:val="18"/>
              </w:rPr>
            </w:pPr>
            <w:r>
              <w:rPr>
                <w:rFonts w:ascii="宋体" w:hAnsi="宋体" w:cs="宋体" w:eastAsia="宋体" w:hint="default"/>
                <w:sz w:val="18"/>
                <w:szCs w:val="18"/>
              </w:rPr>
              <w:t>货币市场工具，债券、理财直 接融资工具、货币市场基金、 债券基金、主要投资方向为债 券的基金专户、符合监管要求 的资产管理计划等投资工具， 以及符合监管要求的债券类 资产、权益类资产、其他资产 或资产组合。</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 w:right="0"/>
              <w:jc w:val="center"/>
              <w:rPr>
                <w:rFonts w:ascii="Times New Roman" w:hAnsi="Times New Roman" w:cs="Times New Roman" w:eastAsia="Times New Roman" w:hint="default"/>
                <w:sz w:val="18"/>
                <w:szCs w:val="18"/>
              </w:rPr>
            </w:pPr>
            <w:r>
              <w:rPr>
                <w:rFonts w:ascii="Times New Roman"/>
                <w:sz w:val="18"/>
              </w:rPr>
              <w:t>3.5%-4.7%</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41"/>
              <w:ind w:left="120" w:right="115"/>
              <w:jc w:val="both"/>
              <w:rPr>
                <w:rFonts w:ascii="宋体" w:hAnsi="宋体" w:cs="宋体" w:eastAsia="宋体" w:hint="default"/>
                <w:sz w:val="18"/>
                <w:szCs w:val="18"/>
              </w:rPr>
            </w:pPr>
            <w:r>
              <w:rPr>
                <w:rFonts w:ascii="宋体" w:hAnsi="宋体" w:cs="宋体" w:eastAsia="宋体" w:hint="default"/>
                <w:sz w:val="18"/>
                <w:szCs w:val="18"/>
              </w:rPr>
              <w:t>尚 未 赎 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8"/>
        <w:gridCol w:w="708"/>
        <w:gridCol w:w="708"/>
        <w:gridCol w:w="1138"/>
        <w:gridCol w:w="1135"/>
        <w:gridCol w:w="708"/>
        <w:gridCol w:w="2547"/>
        <w:gridCol w:w="566"/>
        <w:gridCol w:w="1136"/>
        <w:gridCol w:w="708"/>
        <w:gridCol w:w="708"/>
        <w:gridCol w:w="427"/>
        <w:gridCol w:w="706"/>
        <w:gridCol w:w="713"/>
        <w:gridCol w:w="794"/>
      </w:tblGrid>
      <w:tr>
        <w:trPr>
          <w:trHeight w:val="2110"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15"/>
              <w:ind w:left="112" w:right="113" w:firstLine="2"/>
              <w:jc w:val="center"/>
              <w:rPr>
                <w:rFonts w:ascii="宋体" w:hAnsi="宋体" w:cs="宋体" w:eastAsia="宋体" w:hint="default"/>
                <w:sz w:val="18"/>
                <w:szCs w:val="18"/>
              </w:rPr>
            </w:pPr>
            <w:r>
              <w:rPr>
                <w:rFonts w:ascii="宋体" w:hAnsi="宋体" w:cs="宋体" w:eastAsia="宋体" w:hint="default"/>
                <w:sz w:val="18"/>
                <w:szCs w:val="18"/>
              </w:rPr>
              <w:t>民生银行非凡 资产管理增增 日上收益递增 理财产品对公 款（代码： </w:t>
            </w:r>
            <w:r>
              <w:rPr>
                <w:rFonts w:ascii="Times New Roman" w:hAnsi="Times New Roman" w:cs="Times New Roman" w:eastAsia="Times New Roman" w:hint="default"/>
                <w:sz w:val="18"/>
                <w:szCs w:val="18"/>
              </w:rPr>
              <w:t>GAD17001A</w:t>
            </w: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67" w:right="168"/>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Times New Roman" w:hAnsi="Times New Roman" w:cs="Times New Roman" w:eastAsia="Times New Roman" w:hint="default"/>
                <w:sz w:val="18"/>
                <w:szCs w:val="18"/>
              </w:rPr>
            </w:pPr>
            <w:r>
              <w:rPr>
                <w:rFonts w:ascii="Times New Roman"/>
                <w:sz w:val="18"/>
              </w:rPr>
              <w:t>1,000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03" w:right="0"/>
              <w:jc w:val="left"/>
              <w:rPr>
                <w:rFonts w:ascii="Times New Roman" w:hAnsi="Times New Roman" w:cs="Times New Roman" w:eastAsia="Times New Roman" w:hint="default"/>
                <w:sz w:val="18"/>
                <w:szCs w:val="18"/>
              </w:rPr>
            </w:pPr>
            <w:r>
              <w:rPr>
                <w:rFonts w:ascii="Times New Roman"/>
                <w:sz w:val="18"/>
              </w:rPr>
              <w:t>2017.8.14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5"/>
              <w:jc w:val="center"/>
              <w:rPr>
                <w:rFonts w:ascii="Times New Roman" w:hAnsi="Times New Roman" w:cs="Times New Roman" w:eastAsia="Times New Roman" w:hint="default"/>
                <w:sz w:val="18"/>
                <w:szCs w:val="18"/>
              </w:rPr>
            </w:pPr>
            <w:r>
              <w:rPr>
                <w:rFonts w:ascii="Times New Roman"/>
                <w:sz w:val="18"/>
              </w:rPr>
              <w:t>T+1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67" w:right="16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存款、债券回购、资金拆借等</w:t>
            </w:r>
          </w:p>
          <w:p>
            <w:pPr>
              <w:pStyle w:val="TableParagraph"/>
              <w:spacing w:line="237" w:lineRule="auto"/>
              <w:ind w:left="103" w:right="93"/>
              <w:jc w:val="left"/>
              <w:rPr>
                <w:rFonts w:ascii="宋体" w:hAnsi="宋体" w:cs="宋体" w:eastAsia="宋体" w:hint="default"/>
                <w:sz w:val="18"/>
                <w:szCs w:val="18"/>
              </w:rPr>
            </w:pPr>
            <w:r>
              <w:rPr>
                <w:rFonts w:ascii="宋体" w:hAnsi="宋体" w:cs="宋体" w:eastAsia="宋体" w:hint="default"/>
                <w:sz w:val="18"/>
                <w:szCs w:val="18"/>
              </w:rPr>
              <w:t>货币市场工具，债券、理财直 接融资工具、货币市场基金、 债券基金、主要投资方向为债 券的基金专户、符合监管要求 的资产管理计划等投资工具， 以及符合监管要求的债券类 资产、权益类资产、其他资产 或资产组合。</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Times New Roman" w:hAnsi="Times New Roman" w:cs="Times New Roman" w:eastAsia="Times New Roman" w:hint="default"/>
                <w:sz w:val="18"/>
                <w:szCs w:val="18"/>
              </w:rPr>
            </w:pPr>
            <w:r>
              <w:rPr>
                <w:rFonts w:ascii="Times New Roman"/>
                <w:sz w:val="18"/>
              </w:rPr>
              <w:t>3.5%-4.7%</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41"/>
              <w:ind w:left="120" w:right="115"/>
              <w:jc w:val="both"/>
              <w:rPr>
                <w:rFonts w:ascii="宋体" w:hAnsi="宋体" w:cs="宋体" w:eastAsia="宋体" w:hint="default"/>
                <w:sz w:val="18"/>
                <w:szCs w:val="18"/>
              </w:rPr>
            </w:pPr>
            <w:r>
              <w:rPr>
                <w:rFonts w:ascii="宋体" w:hAnsi="宋体" w:cs="宋体" w:eastAsia="宋体" w:hint="default"/>
                <w:sz w:val="18"/>
                <w:szCs w:val="18"/>
              </w:rPr>
              <w:t>尚 未 赎 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211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16"/>
              <w:ind w:left="112" w:right="113" w:firstLine="2"/>
              <w:jc w:val="center"/>
              <w:rPr>
                <w:rFonts w:ascii="宋体" w:hAnsi="宋体" w:cs="宋体" w:eastAsia="宋体" w:hint="default"/>
                <w:sz w:val="18"/>
                <w:szCs w:val="18"/>
              </w:rPr>
            </w:pPr>
            <w:r>
              <w:rPr>
                <w:rFonts w:ascii="宋体" w:hAnsi="宋体" w:cs="宋体" w:eastAsia="宋体" w:hint="default"/>
                <w:sz w:val="18"/>
                <w:szCs w:val="18"/>
              </w:rPr>
              <w:t>民生银行非凡 资产管理增增 日上收益递增 理财产品对公 款（代码： </w:t>
            </w:r>
            <w:r>
              <w:rPr>
                <w:rFonts w:ascii="Times New Roman" w:hAnsi="Times New Roman" w:cs="Times New Roman" w:eastAsia="Times New Roman" w:hint="default"/>
                <w:sz w:val="18"/>
                <w:szCs w:val="18"/>
              </w:rPr>
              <w:t>GAD17001A</w:t>
            </w: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32" w:lineRule="exact"/>
              <w:ind w:left="167" w:right="168"/>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1,500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03" w:right="0"/>
              <w:jc w:val="left"/>
              <w:rPr>
                <w:rFonts w:ascii="Times New Roman" w:hAnsi="Times New Roman" w:cs="Times New Roman" w:eastAsia="Times New Roman" w:hint="default"/>
                <w:sz w:val="18"/>
                <w:szCs w:val="18"/>
              </w:rPr>
            </w:pPr>
            <w:r>
              <w:rPr>
                <w:rFonts w:ascii="Times New Roman"/>
                <w:sz w:val="18"/>
              </w:rPr>
              <w:t>2017.9.15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5"/>
              <w:jc w:val="center"/>
              <w:rPr>
                <w:rFonts w:ascii="Times New Roman" w:hAnsi="Times New Roman" w:cs="Times New Roman" w:eastAsia="Times New Roman" w:hint="default"/>
                <w:sz w:val="18"/>
                <w:szCs w:val="18"/>
              </w:rPr>
            </w:pPr>
            <w:r>
              <w:rPr>
                <w:rFonts w:ascii="Times New Roman"/>
                <w:sz w:val="18"/>
              </w:rPr>
              <w:t>T+1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32" w:lineRule="exact"/>
              <w:ind w:left="167" w:right="16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存款、债券回购、资金拆借等</w:t>
            </w:r>
          </w:p>
          <w:p>
            <w:pPr>
              <w:pStyle w:val="TableParagraph"/>
              <w:spacing w:line="237" w:lineRule="auto" w:before="2"/>
              <w:ind w:left="103" w:right="93"/>
              <w:jc w:val="left"/>
              <w:rPr>
                <w:rFonts w:ascii="宋体" w:hAnsi="宋体" w:cs="宋体" w:eastAsia="宋体" w:hint="default"/>
                <w:sz w:val="18"/>
                <w:szCs w:val="18"/>
              </w:rPr>
            </w:pPr>
            <w:r>
              <w:rPr>
                <w:rFonts w:ascii="宋体" w:hAnsi="宋体" w:cs="宋体" w:eastAsia="宋体" w:hint="default"/>
                <w:sz w:val="18"/>
                <w:szCs w:val="18"/>
              </w:rPr>
              <w:t>货币市场工具，债券、理财直 接融资工具、货币市场基金、 债券基金、主要投资方向为债 券的基金专户、符合监管要求 的资产管理计划等投资工具， 以及符合监管要求的债券类 资产、权益类资产、其他资产 或资产组合。</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 w:right="0"/>
              <w:jc w:val="center"/>
              <w:rPr>
                <w:rFonts w:ascii="Times New Roman" w:hAnsi="Times New Roman" w:cs="Times New Roman" w:eastAsia="Times New Roman" w:hint="default"/>
                <w:sz w:val="18"/>
                <w:szCs w:val="18"/>
              </w:rPr>
            </w:pPr>
            <w:r>
              <w:rPr>
                <w:rFonts w:ascii="Times New Roman"/>
                <w:sz w:val="18"/>
              </w:rPr>
              <w:t>3.5%-4.7%</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32" w:lineRule="exact"/>
              <w:ind w:left="120" w:right="115"/>
              <w:jc w:val="both"/>
              <w:rPr>
                <w:rFonts w:ascii="宋体" w:hAnsi="宋体" w:cs="宋体" w:eastAsia="宋体" w:hint="default"/>
                <w:sz w:val="18"/>
                <w:szCs w:val="18"/>
              </w:rPr>
            </w:pPr>
            <w:r>
              <w:rPr>
                <w:rFonts w:ascii="宋体" w:hAnsi="宋体" w:cs="宋体" w:eastAsia="宋体" w:hint="default"/>
                <w:sz w:val="18"/>
                <w:szCs w:val="18"/>
              </w:rPr>
              <w:t>尚 未 赎 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2110"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15"/>
              <w:ind w:left="112" w:right="113" w:firstLine="2"/>
              <w:jc w:val="center"/>
              <w:rPr>
                <w:rFonts w:ascii="宋体" w:hAnsi="宋体" w:cs="宋体" w:eastAsia="宋体" w:hint="default"/>
                <w:sz w:val="18"/>
                <w:szCs w:val="18"/>
              </w:rPr>
            </w:pPr>
            <w:r>
              <w:rPr>
                <w:rFonts w:ascii="宋体" w:hAnsi="宋体" w:cs="宋体" w:eastAsia="宋体" w:hint="default"/>
                <w:sz w:val="18"/>
                <w:szCs w:val="18"/>
              </w:rPr>
              <w:t>民生银行非凡 资产管理增增 日上收益递增 理财产品对公 款（代码： </w:t>
            </w:r>
            <w:r>
              <w:rPr>
                <w:rFonts w:ascii="Times New Roman" w:hAnsi="Times New Roman" w:cs="Times New Roman" w:eastAsia="Times New Roman" w:hint="default"/>
                <w:sz w:val="18"/>
                <w:szCs w:val="18"/>
              </w:rPr>
              <w:t>GAD17001A</w:t>
            </w: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67" w:right="168"/>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sz w:val="18"/>
              </w:rPr>
              <w:t>1,000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60" w:right="0"/>
              <w:jc w:val="left"/>
              <w:rPr>
                <w:rFonts w:ascii="Times New Roman" w:hAnsi="Times New Roman" w:cs="Times New Roman" w:eastAsia="Times New Roman" w:hint="default"/>
                <w:sz w:val="18"/>
                <w:szCs w:val="18"/>
              </w:rPr>
            </w:pPr>
            <w:r>
              <w:rPr>
                <w:rFonts w:ascii="Times New Roman"/>
                <w:sz w:val="18"/>
              </w:rPr>
              <w:t>2017.11.23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5"/>
              <w:jc w:val="center"/>
              <w:rPr>
                <w:rFonts w:ascii="Times New Roman" w:hAnsi="Times New Roman" w:cs="Times New Roman" w:eastAsia="Times New Roman" w:hint="default"/>
                <w:sz w:val="18"/>
                <w:szCs w:val="18"/>
              </w:rPr>
            </w:pPr>
            <w:r>
              <w:rPr>
                <w:rFonts w:ascii="Times New Roman"/>
                <w:sz w:val="18"/>
              </w:rPr>
              <w:t>T+1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67" w:right="16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存款、债券回购、资金拆借等</w:t>
            </w:r>
          </w:p>
          <w:p>
            <w:pPr>
              <w:pStyle w:val="TableParagraph"/>
              <w:spacing w:line="237" w:lineRule="auto"/>
              <w:ind w:left="103" w:right="93"/>
              <w:jc w:val="left"/>
              <w:rPr>
                <w:rFonts w:ascii="宋体" w:hAnsi="宋体" w:cs="宋体" w:eastAsia="宋体" w:hint="default"/>
                <w:sz w:val="18"/>
                <w:szCs w:val="18"/>
              </w:rPr>
            </w:pPr>
            <w:r>
              <w:rPr>
                <w:rFonts w:ascii="宋体" w:hAnsi="宋体" w:cs="宋体" w:eastAsia="宋体" w:hint="default"/>
                <w:sz w:val="18"/>
                <w:szCs w:val="18"/>
              </w:rPr>
              <w:t>货币市场工具，债券、理财直 接融资工具、货币市场基金、 债券基金、主要投资方向为债 券的基金专户、符合监管要求 的资产管理计划等投资工具， 以及符合监管要求的债券类 资产、权益类资产、其他资产 或资产组合。</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sz w:val="18"/>
              </w:rPr>
              <w:t>3.5%-4.7%</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41"/>
              <w:ind w:left="120" w:right="115"/>
              <w:jc w:val="both"/>
              <w:rPr>
                <w:rFonts w:ascii="宋体" w:hAnsi="宋体" w:cs="宋体" w:eastAsia="宋体" w:hint="default"/>
                <w:sz w:val="18"/>
                <w:szCs w:val="18"/>
              </w:rPr>
            </w:pPr>
            <w:r>
              <w:rPr>
                <w:rFonts w:ascii="宋体" w:hAnsi="宋体" w:cs="宋体" w:eastAsia="宋体" w:hint="default"/>
                <w:sz w:val="18"/>
                <w:szCs w:val="18"/>
              </w:rPr>
              <w:t>尚 未 赎 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211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15"/>
              <w:ind w:left="112" w:right="113" w:firstLine="2"/>
              <w:jc w:val="center"/>
              <w:rPr>
                <w:rFonts w:ascii="宋体" w:hAnsi="宋体" w:cs="宋体" w:eastAsia="宋体" w:hint="default"/>
                <w:sz w:val="18"/>
                <w:szCs w:val="18"/>
              </w:rPr>
            </w:pPr>
            <w:r>
              <w:rPr>
                <w:rFonts w:ascii="宋体" w:hAnsi="宋体" w:cs="宋体" w:eastAsia="宋体" w:hint="default"/>
                <w:sz w:val="18"/>
                <w:szCs w:val="18"/>
              </w:rPr>
              <w:t>民生银行非凡 资产管理增增 日上收益递增 理财产品对公 款（代码： </w:t>
            </w:r>
            <w:r>
              <w:rPr>
                <w:rFonts w:ascii="Times New Roman" w:hAnsi="Times New Roman" w:cs="Times New Roman" w:eastAsia="Times New Roman" w:hint="default"/>
                <w:sz w:val="18"/>
                <w:szCs w:val="18"/>
              </w:rPr>
              <w:t>GAD17001A</w:t>
            </w: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32" w:lineRule="exact"/>
              <w:ind w:left="167" w:right="168"/>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sz w:val="18"/>
              </w:rPr>
              <w:t>1,000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58" w:right="0"/>
              <w:jc w:val="left"/>
              <w:rPr>
                <w:rFonts w:ascii="Times New Roman" w:hAnsi="Times New Roman" w:cs="Times New Roman" w:eastAsia="Times New Roman" w:hint="default"/>
                <w:sz w:val="18"/>
                <w:szCs w:val="18"/>
              </w:rPr>
            </w:pPr>
            <w:r>
              <w:rPr>
                <w:rFonts w:ascii="Times New Roman"/>
                <w:sz w:val="18"/>
              </w:rPr>
              <w:t>2017.12.18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5"/>
              <w:jc w:val="center"/>
              <w:rPr>
                <w:rFonts w:ascii="Times New Roman" w:hAnsi="Times New Roman" w:cs="Times New Roman" w:eastAsia="Times New Roman" w:hint="default"/>
                <w:sz w:val="18"/>
                <w:szCs w:val="18"/>
              </w:rPr>
            </w:pPr>
            <w:r>
              <w:rPr>
                <w:rFonts w:ascii="Times New Roman"/>
                <w:sz w:val="18"/>
              </w:rPr>
              <w:t>T+1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32" w:lineRule="exact"/>
              <w:ind w:left="167" w:right="16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存款、债券回购、资金拆借等</w:t>
            </w:r>
          </w:p>
          <w:p>
            <w:pPr>
              <w:pStyle w:val="TableParagraph"/>
              <w:spacing w:line="237" w:lineRule="auto"/>
              <w:ind w:left="103" w:right="93"/>
              <w:jc w:val="left"/>
              <w:rPr>
                <w:rFonts w:ascii="宋体" w:hAnsi="宋体" w:cs="宋体" w:eastAsia="宋体" w:hint="default"/>
                <w:sz w:val="18"/>
                <w:szCs w:val="18"/>
              </w:rPr>
            </w:pPr>
            <w:r>
              <w:rPr>
                <w:rFonts w:ascii="宋体" w:hAnsi="宋体" w:cs="宋体" w:eastAsia="宋体" w:hint="default"/>
                <w:sz w:val="18"/>
                <w:szCs w:val="18"/>
              </w:rPr>
              <w:t>货币市场工具，债券、理财直 接融资工具、货币市场基金、 债券基金、主要投资方向为债 券的基金专户、符合监管要求 的资产管理计划等投资工具， 以及符合监管要求的债券类 资产、权益类资产、其他资产 或资产组合。</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sz w:val="18"/>
              </w:rPr>
              <w:t>3.5%-4.7%</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43"/>
              <w:ind w:left="120" w:right="115"/>
              <w:jc w:val="both"/>
              <w:rPr>
                <w:rFonts w:ascii="宋体" w:hAnsi="宋体" w:cs="宋体" w:eastAsia="宋体" w:hint="default"/>
                <w:sz w:val="18"/>
                <w:szCs w:val="18"/>
              </w:rPr>
            </w:pPr>
            <w:r>
              <w:rPr>
                <w:rFonts w:ascii="宋体" w:hAnsi="宋体" w:cs="宋体" w:eastAsia="宋体" w:hint="default"/>
                <w:sz w:val="18"/>
                <w:szCs w:val="18"/>
              </w:rPr>
              <w:t>尚 未 赎 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上海银行理财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1,000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3" w:right="0"/>
              <w:jc w:val="left"/>
              <w:rPr>
                <w:rFonts w:ascii="Times New Roman" w:hAnsi="Times New Roman" w:cs="Times New Roman" w:eastAsia="Times New Roman" w:hint="default"/>
                <w:sz w:val="18"/>
                <w:szCs w:val="18"/>
              </w:rPr>
            </w:pPr>
            <w:r>
              <w:rPr>
                <w:rFonts w:ascii="Times New Roman"/>
                <w:sz w:val="18"/>
              </w:rPr>
              <w:t>2017.7.19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
              <w:jc w:val="center"/>
              <w:rPr>
                <w:rFonts w:ascii="Times New Roman" w:hAnsi="Times New Roman" w:cs="Times New Roman" w:eastAsia="Times New Roman" w:hint="default"/>
                <w:sz w:val="18"/>
                <w:szCs w:val="18"/>
              </w:rPr>
            </w:pPr>
            <w:r>
              <w:rPr>
                <w:rFonts w:ascii="Times New Roman"/>
                <w:sz w:val="18"/>
              </w:rPr>
              <w:t>T+1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hAnsi="宋体" w:cs="宋体" w:eastAsia="宋体" w:hint="default"/>
                <w:sz w:val="18"/>
                <w:szCs w:val="18"/>
              </w:rPr>
              <w:t>银行间或交易所流通的固定</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4.00%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0" w:right="0"/>
              <w:jc w:val="left"/>
              <w:rPr>
                <w:rFonts w:ascii="宋体" w:hAnsi="宋体" w:cs="宋体" w:eastAsia="宋体" w:hint="default"/>
                <w:sz w:val="18"/>
                <w:szCs w:val="18"/>
              </w:rPr>
            </w:pPr>
            <w:r>
              <w:rPr>
                <w:rFonts w:ascii="宋体" w:hAnsi="宋体" w:cs="宋体" w:eastAsia="宋体" w:hint="default"/>
                <w:sz w:val="18"/>
                <w:szCs w:val="18"/>
              </w:rPr>
              <w:t>尚</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8"/>
        <w:gridCol w:w="708"/>
        <w:gridCol w:w="708"/>
        <w:gridCol w:w="1138"/>
        <w:gridCol w:w="1135"/>
        <w:gridCol w:w="708"/>
        <w:gridCol w:w="2547"/>
        <w:gridCol w:w="566"/>
        <w:gridCol w:w="1136"/>
        <w:gridCol w:w="708"/>
        <w:gridCol w:w="708"/>
        <w:gridCol w:w="427"/>
        <w:gridCol w:w="706"/>
        <w:gridCol w:w="713"/>
        <w:gridCol w:w="794"/>
      </w:tblGrid>
      <w:tr>
        <w:trPr>
          <w:trHeight w:val="2578"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易精灵</w:t>
            </w:r>
          </w:p>
          <w:p>
            <w:pPr>
              <w:pStyle w:val="TableParagraph"/>
              <w:spacing w:line="248"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GKF12001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收益工具、存款等，包括但不</w:t>
            </w:r>
          </w:p>
          <w:p>
            <w:pPr>
              <w:pStyle w:val="TableParagraph"/>
              <w:spacing w:line="235" w:lineRule="auto" w:before="3"/>
              <w:ind w:left="103" w:right="12" w:hanging="80"/>
              <w:jc w:val="center"/>
              <w:rPr>
                <w:rFonts w:ascii="宋体" w:hAnsi="宋体" w:cs="宋体" w:eastAsia="宋体" w:hint="default"/>
                <w:sz w:val="18"/>
                <w:szCs w:val="18"/>
              </w:rPr>
            </w:pPr>
            <w:r>
              <w:rPr>
                <w:rFonts w:ascii="宋体" w:hAnsi="宋体" w:cs="宋体" w:eastAsia="宋体" w:hint="default"/>
                <w:sz w:val="18"/>
                <w:szCs w:val="18"/>
              </w:rPr>
              <w:t>限于各类投资级以上的债券、 回购、拆借、借款、存款、现 </w:t>
            </w:r>
            <w:r>
              <w:rPr>
                <w:rFonts w:ascii="宋体" w:hAnsi="宋体" w:cs="宋体" w:eastAsia="宋体" w:hint="default"/>
                <w:spacing w:val="-8"/>
                <w:sz w:val="18"/>
                <w:szCs w:val="18"/>
              </w:rPr>
              <w:t>金、资产支持证券、债券远期、</w:t>
            </w:r>
            <w:r>
              <w:rPr>
                <w:rFonts w:ascii="宋体" w:hAnsi="宋体" w:cs="宋体" w:eastAsia="宋体" w:hint="default"/>
                <w:sz w:val="18"/>
                <w:szCs w:val="18"/>
              </w:rPr>
              <w:t> 利率衍生品、理财直接融资工 </w:t>
            </w:r>
            <w:r>
              <w:rPr>
                <w:rFonts w:ascii="宋体" w:hAnsi="宋体" w:cs="宋体" w:eastAsia="宋体" w:hint="default"/>
                <w:spacing w:val="-5"/>
                <w:sz w:val="18"/>
                <w:szCs w:val="18"/>
              </w:rPr>
              <w:t>具等</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各类信托计划、债权投资</w:t>
            </w:r>
            <w:r>
              <w:rPr>
                <w:rFonts w:ascii="宋体" w:hAnsi="宋体" w:cs="宋体" w:eastAsia="宋体" w:hint="default"/>
                <w:sz w:val="18"/>
                <w:szCs w:val="18"/>
              </w:rPr>
              <w:t> 计划、资产管理计划（包括但 </w:t>
            </w:r>
            <w:r>
              <w:rPr>
                <w:rFonts w:ascii="宋体" w:hAnsi="宋体" w:cs="宋体" w:eastAsia="宋体" w:hint="default"/>
                <w:spacing w:val="-8"/>
                <w:sz w:val="18"/>
                <w:szCs w:val="18"/>
              </w:rPr>
              <w:t>不限于券商、保险、基金等）、</w:t>
            </w:r>
            <w:r>
              <w:rPr>
                <w:rFonts w:ascii="宋体" w:hAnsi="宋体" w:cs="宋体" w:eastAsia="宋体" w:hint="default"/>
                <w:sz w:val="18"/>
                <w:szCs w:val="18"/>
              </w:rPr>
              <w:t> 货币市场基金、债券型基金、 其他公募基金及其他投资工 具，获得持有期间收益。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z w:val="18"/>
                <w:szCs w:val="18"/>
              </w:rPr>
              <w:t>未</w:t>
            </w:r>
          </w:p>
          <w:p>
            <w:pPr>
              <w:pStyle w:val="TableParagraph"/>
              <w:spacing w:line="232" w:lineRule="exact" w:before="23"/>
              <w:ind w:left="120" w:right="115"/>
              <w:jc w:val="left"/>
              <w:rPr>
                <w:rFonts w:ascii="宋体" w:hAnsi="宋体" w:cs="宋体" w:eastAsia="宋体" w:hint="default"/>
                <w:sz w:val="18"/>
                <w:szCs w:val="18"/>
              </w:rPr>
            </w:pPr>
            <w:r>
              <w:rPr>
                <w:rFonts w:ascii="宋体" w:hAnsi="宋体" w:cs="宋体" w:eastAsia="宋体" w:hint="default"/>
                <w:sz w:val="18"/>
                <w:szCs w:val="18"/>
              </w:rPr>
              <w:t>赎 回</w:t>
            </w:r>
          </w:p>
        </w:tc>
        <w:tc>
          <w:tcPr>
            <w:tcW w:w="70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411"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48" w:right="147"/>
              <w:jc w:val="left"/>
              <w:rPr>
                <w:rFonts w:ascii="宋体" w:hAnsi="宋体" w:cs="宋体" w:eastAsia="宋体" w:hint="default"/>
                <w:sz w:val="18"/>
                <w:szCs w:val="18"/>
              </w:rPr>
            </w:pPr>
            <w:r>
              <w:rPr>
                <w:rFonts w:ascii="宋体" w:hAnsi="宋体" w:cs="宋体" w:eastAsia="宋体" w:hint="default"/>
                <w:sz w:val="18"/>
                <w:szCs w:val="18"/>
              </w:rPr>
              <w:t>招商银行淬金 池（日日盈）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67" w:right="168"/>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1,700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2017.11.20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67" w:right="16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银行间和交易所市场发行的</w:t>
            </w:r>
          </w:p>
          <w:p>
            <w:pPr>
              <w:pStyle w:val="TableParagraph"/>
              <w:spacing w:line="237" w:lineRule="auto"/>
              <w:ind w:left="103" w:right="101"/>
              <w:jc w:val="center"/>
              <w:rPr>
                <w:rFonts w:ascii="宋体" w:hAnsi="宋体" w:cs="宋体" w:eastAsia="宋体" w:hint="default"/>
                <w:sz w:val="18"/>
                <w:szCs w:val="18"/>
              </w:rPr>
            </w:pPr>
            <w:r>
              <w:rPr>
                <w:rFonts w:ascii="宋体" w:hAnsi="宋体" w:cs="宋体" w:eastAsia="宋体" w:hint="default"/>
                <w:spacing w:val="-1"/>
                <w:sz w:val="18"/>
                <w:szCs w:val="18"/>
              </w:rPr>
              <w:t>各类债券，以及资金拆借、逆</w:t>
            </w:r>
            <w:r>
              <w:rPr>
                <w:rFonts w:ascii="宋体" w:hAnsi="宋体" w:cs="宋体" w:eastAsia="宋体" w:hint="default"/>
                <w:sz w:val="18"/>
                <w:szCs w:val="18"/>
              </w:rPr>
              <w:t> </w:t>
            </w:r>
            <w:r>
              <w:rPr>
                <w:rFonts w:ascii="宋体" w:hAnsi="宋体" w:cs="宋体" w:eastAsia="宋体" w:hint="default"/>
                <w:spacing w:val="-1"/>
                <w:sz w:val="18"/>
                <w:szCs w:val="18"/>
              </w:rPr>
              <w:t>回购、银行存款、券商受益凭</w:t>
            </w:r>
            <w:r>
              <w:rPr>
                <w:rFonts w:ascii="宋体" w:hAnsi="宋体" w:cs="宋体" w:eastAsia="宋体" w:hint="default"/>
                <w:sz w:val="18"/>
                <w:szCs w:val="18"/>
              </w:rPr>
              <w:t> </w:t>
            </w:r>
            <w:r>
              <w:rPr>
                <w:rFonts w:ascii="宋体" w:hAnsi="宋体" w:cs="宋体" w:eastAsia="宋体" w:hint="default"/>
                <w:spacing w:val="-1"/>
                <w:sz w:val="18"/>
                <w:szCs w:val="18"/>
              </w:rPr>
              <w:t>证、信托计划、资产管理计划</w:t>
            </w:r>
            <w:r>
              <w:rPr>
                <w:rFonts w:ascii="宋体" w:hAnsi="宋体" w:cs="宋体" w:eastAsia="宋体" w:hint="default"/>
                <w:sz w:val="18"/>
                <w:szCs w:val="18"/>
              </w:rPr>
              <w:t> 等其他符合监管机构要求的 金融资产。</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3.94%</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7" w:lineRule="auto"/>
              <w:ind w:left="120" w:right="115"/>
              <w:jc w:val="both"/>
              <w:rPr>
                <w:rFonts w:ascii="宋体" w:hAnsi="宋体" w:cs="宋体" w:eastAsia="宋体" w:hint="default"/>
                <w:sz w:val="18"/>
                <w:szCs w:val="18"/>
              </w:rPr>
            </w:pPr>
            <w:r>
              <w:rPr>
                <w:rFonts w:ascii="宋体" w:hAnsi="宋体" w:cs="宋体" w:eastAsia="宋体" w:hint="default"/>
                <w:sz w:val="18"/>
                <w:szCs w:val="18"/>
              </w:rPr>
              <w:t>尚 未 赎 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Times New Roman" w:hAnsi="Times New Roman" w:cs="Times New Roman" w:eastAsia="Times New Roman" w:hint="default"/>
          <w:sz w:val="14"/>
          <w:szCs w:val="14"/>
        </w:rPr>
      </w:pPr>
    </w:p>
    <w:p>
      <w:pPr>
        <w:pStyle w:val="Heading2"/>
        <w:spacing w:line="274" w:lineRule="exact" w:before="36"/>
        <w:ind w:left="224" w:right="0"/>
        <w:jc w:val="left"/>
        <w:rPr>
          <w:b w:val="0"/>
          <w:bCs w:val="0"/>
        </w:rPr>
      </w:pPr>
      <w:r>
        <w:rPr/>
        <w:t>其他情况</w:t>
      </w:r>
      <w:r>
        <w:rPr>
          <w:b w:val="0"/>
          <w:bCs w:val="0"/>
        </w:rPr>
      </w:r>
    </w:p>
    <w:p>
      <w:pPr>
        <w:pStyle w:val="BodyText"/>
        <w:spacing w:line="272" w:lineRule="exact"/>
        <w:ind w:left="224" w:right="0"/>
        <w:jc w:val="left"/>
      </w:pPr>
      <w:r>
        <w:rPr/>
        <w:t>√适用□不适用</w:t>
      </w:r>
    </w:p>
    <w:p>
      <w:pPr>
        <w:pStyle w:val="BodyText"/>
        <w:spacing w:line="289" w:lineRule="exact"/>
        <w:ind w:left="224" w:right="0"/>
        <w:jc w:val="left"/>
      </w:pPr>
      <w:r>
        <w:rPr/>
        <w:t>上述到期日为</w:t>
      </w:r>
      <w:r>
        <w:rPr>
          <w:spacing w:val="-56"/>
        </w:rPr>
        <w:t> </w:t>
      </w:r>
      <w:r>
        <w:rPr>
          <w:rFonts w:ascii="Times New Roman" w:hAnsi="Times New Roman" w:cs="Times New Roman" w:eastAsia="Times New Roman" w:hint="default"/>
        </w:rPr>
        <w:t>T+1</w:t>
      </w:r>
      <w:r>
        <w:rPr>
          <w:rFonts w:ascii="Times New Roman" w:hAnsi="Times New Roman" w:cs="Times New Roman" w:eastAsia="Times New Roman" w:hint="default"/>
          <w:spacing w:val="-1"/>
        </w:rPr>
        <w:t> </w:t>
      </w:r>
      <w:r>
        <w:rPr/>
        <w:t>是开放式理财产品，</w:t>
      </w:r>
      <w:r>
        <w:rPr>
          <w:rFonts w:ascii="Times New Roman" w:hAnsi="Times New Roman" w:cs="Times New Roman" w:eastAsia="Times New Roman" w:hint="default"/>
        </w:rPr>
        <w:t>T+1</w:t>
      </w:r>
      <w:r>
        <w:rPr>
          <w:rFonts w:ascii="Times New Roman" w:hAnsi="Times New Roman" w:cs="Times New Roman" w:eastAsia="Times New Roman" w:hint="default"/>
          <w:spacing w:val="-1"/>
        </w:rPr>
        <w:t> </w:t>
      </w:r>
      <w:r>
        <w:rPr/>
        <w:t>赎回</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淬金池（日日盈）产品为</w:t>
      </w:r>
      <w:r>
        <w:rPr>
          <w:spacing w:val="-56"/>
        </w:rPr>
        <w:t> </w:t>
      </w:r>
      <w:r>
        <w:rPr>
          <w:rFonts w:ascii="Times New Roman" w:hAnsi="Times New Roman" w:cs="Times New Roman" w:eastAsia="Times New Roman" w:hint="default"/>
        </w:rPr>
        <w:t>T+0</w:t>
      </w:r>
      <w:r>
        <w:rPr>
          <w:rFonts w:ascii="Times New Roman" w:hAnsi="Times New Roman" w:cs="Times New Roman" w:eastAsia="Times New Roman" w:hint="default"/>
          <w:spacing w:val="-1"/>
        </w:rPr>
        <w:t> </w:t>
      </w:r>
      <w:r>
        <w:rPr/>
        <w:t>赎回产品。</w:t>
      </w:r>
    </w:p>
    <w:p>
      <w:pPr>
        <w:spacing w:after="0" w:line="289" w:lineRule="exact"/>
        <w:jc w:val="left"/>
        <w:sectPr>
          <w:pgSz w:w="16840" w:h="11910" w:orient="landscape"/>
          <w:pgMar w:header="880"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2"/>
        <w:spacing w:line="274" w:lineRule="exact" w:before="36"/>
        <w:ind w:left="138" w:right="0"/>
        <w:jc w:val="left"/>
        <w:rPr>
          <w:b w:val="0"/>
          <w:bCs w:val="0"/>
        </w:rPr>
      </w:pPr>
      <w:r>
        <w:rPr>
          <w:rFonts w:ascii="宋体" w:hAnsi="宋体" w:cs="宋体" w:eastAsia="宋体" w:hint="default"/>
        </w:rPr>
        <w:t>(3).</w:t>
      </w:r>
      <w:r>
        <w:rPr/>
        <w:t>委托理财减值准备</w:t>
      </w:r>
      <w:r>
        <w:rPr>
          <w:b w:val="0"/>
          <w:bCs w:val="0"/>
        </w:rPr>
      </w:r>
    </w:p>
    <w:p>
      <w:pPr>
        <w:pStyle w:val="BodyText"/>
        <w:spacing w:line="274" w:lineRule="exact"/>
        <w:ind w:left="138" w:right="0"/>
        <w:jc w:val="left"/>
      </w:pPr>
      <w:r>
        <w:rPr/>
        <w:t>□适用√不适用</w:t>
      </w:r>
    </w:p>
    <w:p>
      <w:pPr>
        <w:spacing w:line="240" w:lineRule="auto" w:before="11"/>
        <w:rPr>
          <w:rFonts w:ascii="宋体" w:hAnsi="宋体" w:cs="宋体" w:eastAsia="宋体" w:hint="default"/>
          <w:sz w:val="22"/>
          <w:szCs w:val="22"/>
        </w:rPr>
      </w:pPr>
    </w:p>
    <w:p>
      <w:pPr>
        <w:pStyle w:val="Heading2"/>
        <w:spacing w:line="290" w:lineRule="auto"/>
        <w:ind w:left="138" w:right="6838"/>
        <w:jc w:val="left"/>
        <w:rPr>
          <w:b w:val="0"/>
          <w:bCs w:val="0"/>
        </w:rPr>
      </w:pPr>
      <w:r>
        <w:rPr>
          <w:rFonts w:ascii="宋体" w:hAnsi="宋体" w:cs="宋体" w:eastAsia="宋体" w:hint="default"/>
        </w:rPr>
        <w:t>2</w:t>
      </w:r>
      <w:r>
        <w:rPr/>
        <w:t>、</w:t>
      </w:r>
      <w:r>
        <w:rPr>
          <w:spacing w:val="-3"/>
        </w:rPr>
        <w:t> </w:t>
      </w:r>
      <w:r>
        <w:rPr/>
        <w:t>委托贷款情况</w:t>
      </w:r>
      <w:r>
        <w:rPr>
          <w:w w:val="100"/>
        </w:rPr>
        <w:t> </w:t>
      </w:r>
      <w:r>
        <w:rPr>
          <w:rFonts w:ascii="宋体" w:hAnsi="宋体" w:cs="宋体" w:eastAsia="宋体" w:hint="default"/>
        </w:rPr>
        <w:t>(1).</w:t>
      </w:r>
      <w:r>
        <w:rPr/>
        <w:t>委托贷款总体情况</w:t>
      </w:r>
      <w:r>
        <w:rPr>
          <w:b w:val="0"/>
          <w:bCs w:val="0"/>
        </w:rPr>
      </w:r>
    </w:p>
    <w:p>
      <w:pPr>
        <w:pStyle w:val="BodyText"/>
        <w:spacing w:line="228" w:lineRule="exact"/>
        <w:ind w:left="138" w:right="0"/>
        <w:jc w:val="left"/>
      </w:pPr>
      <w:r>
        <w:rPr/>
        <w:t>□适用√不适用</w:t>
      </w:r>
    </w:p>
    <w:p>
      <w:pPr>
        <w:pStyle w:val="Heading2"/>
        <w:spacing w:line="272" w:lineRule="exact"/>
        <w:ind w:left="138" w:right="0"/>
        <w:jc w:val="left"/>
        <w:rPr>
          <w:b w:val="0"/>
          <w:bCs w:val="0"/>
        </w:rPr>
      </w:pPr>
      <w:r>
        <w:rPr/>
        <w:t>其他情况</w:t>
      </w:r>
      <w:r>
        <w:rPr>
          <w:b w:val="0"/>
          <w:bCs w:val="0"/>
        </w:rPr>
      </w:r>
    </w:p>
    <w:p>
      <w:pPr>
        <w:pStyle w:val="BodyText"/>
        <w:spacing w:line="274" w:lineRule="exact"/>
        <w:ind w:left="138" w:right="0"/>
        <w:jc w:val="left"/>
      </w:pPr>
      <w:r>
        <w:rPr/>
        <w:t>□适用√不适用</w:t>
      </w:r>
    </w:p>
    <w:p>
      <w:pPr>
        <w:spacing w:line="240" w:lineRule="auto" w:before="3"/>
        <w:rPr>
          <w:rFonts w:ascii="宋体" w:hAnsi="宋体" w:cs="宋体" w:eastAsia="宋体" w:hint="default"/>
          <w:sz w:val="18"/>
          <w:szCs w:val="18"/>
        </w:rPr>
      </w:pPr>
    </w:p>
    <w:p>
      <w:pPr>
        <w:pStyle w:val="Heading2"/>
        <w:spacing w:line="273" w:lineRule="exact"/>
        <w:ind w:left="138" w:right="0"/>
        <w:jc w:val="left"/>
        <w:rPr>
          <w:b w:val="0"/>
          <w:bCs w:val="0"/>
        </w:rPr>
      </w:pPr>
      <w:r>
        <w:rPr>
          <w:rFonts w:ascii="宋体" w:hAnsi="宋体" w:cs="宋体" w:eastAsia="宋体" w:hint="default"/>
        </w:rPr>
        <w:t>(2).</w:t>
      </w:r>
      <w:r>
        <w:rPr/>
        <w:t>单项委托贷款情况</w:t>
      </w:r>
      <w:r>
        <w:rPr>
          <w:b w:val="0"/>
          <w:bCs w:val="0"/>
        </w:rPr>
      </w:r>
    </w:p>
    <w:p>
      <w:pPr>
        <w:spacing w:before="0"/>
        <w:ind w:left="138" w:right="7485" w:firstLine="0"/>
        <w:jc w:val="left"/>
        <w:rPr>
          <w:rFonts w:ascii="宋体" w:hAnsi="宋体" w:cs="宋体" w:eastAsia="宋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spacing w:line="271" w:lineRule="exact"/>
        <w:ind w:left="138" w:right="0"/>
        <w:jc w:val="left"/>
      </w:pPr>
      <w:r>
        <w:rPr/>
        <w:t>□适用√不适用</w:t>
      </w:r>
    </w:p>
    <w:p>
      <w:pPr>
        <w:spacing w:line="240" w:lineRule="auto" w:before="3"/>
        <w:rPr>
          <w:rFonts w:ascii="宋体" w:hAnsi="宋体" w:cs="宋体" w:eastAsia="宋体" w:hint="default"/>
          <w:sz w:val="18"/>
          <w:szCs w:val="18"/>
        </w:rPr>
      </w:pPr>
    </w:p>
    <w:p>
      <w:pPr>
        <w:pStyle w:val="Heading2"/>
        <w:spacing w:line="274" w:lineRule="exact"/>
        <w:ind w:left="138" w:right="0"/>
        <w:jc w:val="left"/>
        <w:rPr>
          <w:b w:val="0"/>
          <w:bCs w:val="0"/>
        </w:rPr>
      </w:pPr>
      <w:r>
        <w:rPr>
          <w:rFonts w:ascii="宋体" w:hAnsi="宋体" w:cs="宋体" w:eastAsia="宋体" w:hint="default"/>
        </w:rPr>
        <w:t>(3).</w:t>
      </w:r>
      <w:r>
        <w:rPr/>
        <w:t>委托贷款减值准备</w:t>
      </w:r>
      <w:r>
        <w:rPr>
          <w:b w:val="0"/>
          <w:bCs w:val="0"/>
        </w:rPr>
      </w:r>
    </w:p>
    <w:p>
      <w:pPr>
        <w:pStyle w:val="BodyText"/>
        <w:spacing w:line="274" w:lineRule="exact"/>
        <w:ind w:left="138" w:right="0"/>
        <w:jc w:val="left"/>
      </w:pPr>
      <w:r>
        <w:rPr/>
        <w:t>□适用√不适用</w:t>
      </w:r>
    </w:p>
    <w:p>
      <w:pPr>
        <w:spacing w:line="240" w:lineRule="auto" w:before="11"/>
        <w:rPr>
          <w:rFonts w:ascii="宋体" w:hAnsi="宋体" w:cs="宋体" w:eastAsia="宋体" w:hint="default"/>
          <w:sz w:val="22"/>
          <w:szCs w:val="22"/>
        </w:rPr>
      </w:pPr>
    </w:p>
    <w:p>
      <w:pPr>
        <w:pStyle w:val="Heading2"/>
        <w:spacing w:line="240" w:lineRule="auto"/>
        <w:ind w:left="138" w:right="0"/>
        <w:jc w:val="left"/>
        <w:rPr>
          <w:b w:val="0"/>
          <w:bCs w:val="0"/>
        </w:rPr>
      </w:pPr>
      <w:r>
        <w:rPr>
          <w:rFonts w:ascii="宋体" w:hAnsi="宋体" w:cs="宋体" w:eastAsia="宋体" w:hint="default"/>
        </w:rPr>
        <w:t>3</w:t>
      </w:r>
      <w:r>
        <w:rPr/>
        <w:t>、</w:t>
      </w:r>
      <w:r>
        <w:rPr>
          <w:spacing w:val="-2"/>
        </w:rPr>
        <w:t> </w:t>
      </w:r>
      <w:r>
        <w:rPr/>
        <w:t>其他情况</w:t>
      </w:r>
      <w:r>
        <w:rPr>
          <w:b w:val="0"/>
          <w:bCs w:val="0"/>
        </w:rPr>
      </w:r>
    </w:p>
    <w:p>
      <w:pPr>
        <w:pStyle w:val="BodyText"/>
        <w:spacing w:line="240" w:lineRule="auto" w:before="56"/>
        <w:ind w:left="138" w:right="0"/>
        <w:jc w:val="left"/>
      </w:pPr>
      <w:r>
        <w:rPr/>
        <w:t>□适用√不适用</w:t>
      </w:r>
    </w:p>
    <w:p>
      <w:pPr>
        <w:spacing w:line="240" w:lineRule="auto" w:before="11"/>
        <w:rPr>
          <w:rFonts w:ascii="宋体" w:hAnsi="宋体" w:cs="宋体" w:eastAsia="宋体" w:hint="default"/>
          <w:sz w:val="22"/>
          <w:szCs w:val="22"/>
        </w:rPr>
      </w:pPr>
    </w:p>
    <w:p>
      <w:pPr>
        <w:pStyle w:val="Heading2"/>
        <w:tabs>
          <w:tab w:pos="977" w:val="left" w:leader="none"/>
        </w:tabs>
        <w:spacing w:line="240" w:lineRule="auto"/>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spacing w:line="240" w:lineRule="auto" w:before="58"/>
        <w:ind w:left="138" w:right="0"/>
        <w:jc w:val="left"/>
      </w:pPr>
      <w:r>
        <w:rPr/>
        <w:t>□适用√不适用</w:t>
      </w:r>
    </w:p>
    <w:p>
      <w:pPr>
        <w:spacing w:line="240" w:lineRule="auto" w:before="11"/>
        <w:rPr>
          <w:rFonts w:ascii="宋体" w:hAnsi="宋体" w:cs="宋体" w:eastAsia="宋体" w:hint="default"/>
          <w:sz w:val="22"/>
          <w:szCs w:val="22"/>
        </w:rPr>
      </w:pPr>
    </w:p>
    <w:p>
      <w:pPr>
        <w:pStyle w:val="Heading2"/>
        <w:spacing w:line="240" w:lineRule="auto"/>
        <w:ind w:left="138" w:right="0"/>
        <w:jc w:val="left"/>
        <w:rPr>
          <w:b w:val="0"/>
          <w:bCs w:val="0"/>
        </w:rPr>
      </w:pPr>
      <w:r>
        <w:rPr/>
        <w:t>十六、其他重大事项的说明</w:t>
      </w:r>
      <w:r>
        <w:rPr>
          <w:b w:val="0"/>
          <w:bCs w:val="0"/>
        </w:rPr>
      </w:r>
    </w:p>
    <w:p>
      <w:pPr>
        <w:pStyle w:val="BodyText"/>
        <w:spacing w:line="240" w:lineRule="auto" w:before="56"/>
        <w:ind w:left="138" w:right="0"/>
        <w:jc w:val="left"/>
      </w:pPr>
      <w:r>
        <w:rPr/>
        <w:t>□适用√不适用</w:t>
      </w:r>
    </w:p>
    <w:p>
      <w:pPr>
        <w:spacing w:line="240" w:lineRule="auto" w:before="11"/>
        <w:rPr>
          <w:rFonts w:ascii="宋体" w:hAnsi="宋体" w:cs="宋体" w:eastAsia="宋体" w:hint="default"/>
          <w:sz w:val="22"/>
          <w:szCs w:val="22"/>
        </w:rPr>
      </w:pPr>
    </w:p>
    <w:p>
      <w:pPr>
        <w:pStyle w:val="Heading2"/>
        <w:tabs>
          <w:tab w:pos="781" w:val="left" w:leader="none"/>
        </w:tabs>
        <w:spacing w:line="290" w:lineRule="auto"/>
        <w:ind w:left="138" w:right="559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40" w:lineRule="auto" w:before="12"/>
        <w:ind w:left="138" w:right="0"/>
        <w:jc w:val="left"/>
      </w:pPr>
      <w:r>
        <w:rPr/>
        <w:t>□适用√不适用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2"/>
        <w:tabs>
          <w:tab w:pos="781" w:val="left" w:leader="none"/>
        </w:tabs>
        <w:spacing w:line="240" w:lineRule="auto"/>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spacing w:line="273" w:lineRule="exact" w:before="58"/>
        <w:ind w:left="138" w:right="0"/>
        <w:jc w:val="left"/>
      </w:pPr>
      <w:r>
        <w:rPr/>
        <w:t>√适用□不适用</w:t>
      </w:r>
    </w:p>
    <w:p>
      <w:pPr>
        <w:pStyle w:val="BodyText"/>
        <w:spacing w:line="279" w:lineRule="exact"/>
        <w:ind w:left="138" w:right="0"/>
        <w:jc w:val="left"/>
      </w:pPr>
      <w:r>
        <w:rPr>
          <w:spacing w:val="7"/>
        </w:rPr>
        <w:t>公司披露了 </w:t>
      </w:r>
      <w:r>
        <w:rPr>
          <w:rFonts w:ascii="Times New Roman" w:hAnsi="Times New Roman" w:cs="Times New Roman" w:eastAsia="Times New Roman" w:hint="default"/>
        </w:rPr>
        <w:t>2017   </w:t>
      </w:r>
      <w:r>
        <w:rPr>
          <w:rFonts w:ascii="Times New Roman" w:hAnsi="Times New Roman" w:cs="Times New Roman" w:eastAsia="Times New Roman" w:hint="default"/>
          <w:spacing w:val="4"/>
        </w:rPr>
        <w:t> </w:t>
      </w:r>
      <w:r>
        <w:rPr>
          <w:spacing w:val="8"/>
        </w:rPr>
        <w:t>年度企业社会责任报告，具体内容请详见公司刊登于上海证券交易所网站</w:t>
      </w:r>
    </w:p>
    <w:p>
      <w:pPr>
        <w:pStyle w:val="BodyText"/>
        <w:spacing w:line="274" w:lineRule="exact" w:before="16"/>
        <w:ind w:left="138" w:right="0"/>
        <w:jc w:val="left"/>
      </w:pPr>
      <w:r>
        <w:rPr>
          <w:spacing w:val="-13"/>
          <w:w w:val="100"/>
        </w:rPr>
        <w:t>（</w:t>
      </w:r>
      <w:hyperlink r:id="rId8">
        <w:r>
          <w:rPr>
            <w:rFonts w:ascii="Times New Roman" w:hAnsi="Times New Roman" w:cs="Times New Roman" w:eastAsia="Times New Roman" w:hint="default"/>
            <w:spacing w:val="-13"/>
            <w:w w:val="100"/>
          </w:rPr>
          <w:t>www.sse.com.cn</w:t>
        </w:r>
      </w:hyperlink>
      <w:r>
        <w:rPr>
          <w:spacing w:val="-13"/>
          <w:w w:val="100"/>
        </w:rPr>
        <w:t>）及公司指定信息披露媒体《中国证券报》、《上海证券报》、《证券日报》、《证</w:t>
      </w:r>
      <w:r>
        <w:rPr>
          <w:spacing w:val="-68"/>
          <w:w w:val="100"/>
        </w:rPr>
        <w:t> </w:t>
      </w:r>
      <w:r>
        <w:rPr>
          <w:spacing w:val="-68"/>
          <w:w w:val="100"/>
        </w:rPr>
      </w:r>
      <w:r>
        <w:rPr/>
        <w:t>券时报》同日刊登的《上海格尔软件</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年度企业社会责任报告》</w:t>
      </w:r>
    </w:p>
    <w:p>
      <w:pPr>
        <w:spacing w:line="240" w:lineRule="auto" w:before="12"/>
        <w:rPr>
          <w:rFonts w:ascii="宋体" w:hAnsi="宋体" w:cs="宋体" w:eastAsia="宋体" w:hint="default"/>
          <w:sz w:val="20"/>
          <w:szCs w:val="20"/>
        </w:rPr>
      </w:pPr>
    </w:p>
    <w:p>
      <w:pPr>
        <w:pStyle w:val="Heading2"/>
        <w:tabs>
          <w:tab w:pos="781" w:val="left" w:leader="none"/>
        </w:tabs>
        <w:spacing w:line="240" w:lineRule="auto"/>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2"/>
        <w:tabs>
          <w:tab w:pos="562" w:val="left" w:leader="none"/>
        </w:tabs>
        <w:spacing w:line="240" w:lineRule="auto" w:before="58"/>
        <w:ind w:left="138" w:right="0"/>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pStyle w:val="BodyText"/>
        <w:spacing w:line="232" w:lineRule="auto" w:before="63"/>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spacing w:val="-1"/>
        </w:rPr>
        <w:t>公司在生产经营活动过程中高度重视环境保护工作，并严格执行相关法律法规的具体规定。作为</w:t>
      </w:r>
      <w:r>
        <w:rPr>
          <w:spacing w:val="-55"/>
        </w:rPr>
        <w:t> </w:t>
      </w:r>
      <w:r>
        <w:rPr>
          <w:spacing w:val="-55"/>
        </w:rPr>
      </w:r>
      <w:r>
        <w:rPr>
          <w:spacing w:val="-1"/>
        </w:rPr>
        <w:t>软件企业，公司在经营过程中无生产性废水，亦无废气、工业废料等污染物，产生的微小噪声主</w:t>
      </w:r>
      <w:r>
        <w:rPr>
          <w:spacing w:val="-55"/>
        </w:rPr>
        <w:t> </w:t>
      </w:r>
      <w:r>
        <w:rPr>
          <w:spacing w:val="-55"/>
        </w:rPr>
      </w:r>
      <w:r>
        <w:rPr/>
        <w:t>要来源于安装在办公场所的中央空调机组等相关设备，噪声等级远小于允许的厂房噪声标准。</w:t>
      </w:r>
    </w:p>
    <w:p>
      <w:pPr>
        <w:pStyle w:val="Heading2"/>
        <w:tabs>
          <w:tab w:pos="562" w:val="left" w:leader="none"/>
        </w:tabs>
        <w:spacing w:line="240" w:lineRule="auto" w:before="59"/>
        <w:ind w:left="138" w:right="0"/>
        <w:jc w:val="left"/>
        <w:rPr>
          <w:b w:val="0"/>
          <w:bCs w:val="0"/>
        </w:rPr>
      </w:pPr>
      <w:r>
        <w:rPr>
          <w:rFonts w:ascii="宋体" w:hAnsi="宋体" w:cs="宋体" w:eastAsia="宋体" w:hint="default"/>
          <w:w w:val="95"/>
        </w:rPr>
        <w:t>2.</w:t>
        <w:tab/>
      </w:r>
      <w:r>
        <w:rPr/>
        <w:t>重点排污单位之外的公司</w:t>
      </w:r>
      <w:r>
        <w:rPr>
          <w:b w:val="0"/>
          <w:bCs w:val="0"/>
        </w:rPr>
      </w:r>
    </w:p>
    <w:p>
      <w:pPr>
        <w:pStyle w:val="BodyText"/>
        <w:spacing w:line="240" w:lineRule="auto" w:before="56"/>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headerReference w:type="default" r:id="rId33"/>
          <w:footerReference w:type="default" r:id="rId34"/>
          <w:pgSz w:w="11910" w:h="16840"/>
          <w:pgMar w:header="880" w:footer="1195" w:top="1120" w:bottom="1380" w:left="1660" w:right="1140"/>
          <w:pgNumType w:start="46"/>
        </w:sectPr>
      </w:pPr>
    </w:p>
    <w:p>
      <w:pPr>
        <w:spacing w:line="240" w:lineRule="auto" w:before="4"/>
        <w:rPr>
          <w:rFonts w:ascii="宋体" w:hAnsi="宋体" w:cs="宋体" w:eastAsia="宋体" w:hint="default"/>
          <w:sz w:val="25"/>
          <w:szCs w:val="25"/>
        </w:rPr>
      </w:pPr>
    </w:p>
    <w:p>
      <w:pPr>
        <w:pStyle w:val="Heading2"/>
        <w:tabs>
          <w:tab w:pos="562" w:val="left" w:leader="none"/>
        </w:tabs>
        <w:spacing w:line="240" w:lineRule="auto" w:before="36"/>
        <w:ind w:left="138" w:right="0"/>
        <w:jc w:val="left"/>
        <w:rPr>
          <w:b w:val="0"/>
          <w:bCs w:val="0"/>
        </w:rPr>
      </w:pPr>
      <w:r>
        <w:rPr>
          <w:rFonts w:ascii="宋体" w:hAnsi="宋体" w:cs="宋体" w:eastAsia="宋体" w:hint="default"/>
          <w:w w:val="95"/>
        </w:rPr>
        <w:t>3.</w:t>
        <w:tab/>
      </w:r>
      <w:r>
        <w:rPr/>
        <w:t>其他说明</w:t>
      </w:r>
      <w:r>
        <w:rPr>
          <w:b w:val="0"/>
          <w:bCs w:val="0"/>
        </w:rPr>
      </w:r>
    </w:p>
    <w:p>
      <w:pPr>
        <w:pStyle w:val="BodyText"/>
        <w:spacing w:line="240" w:lineRule="auto" w:before="58"/>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tabs>
          <w:tab w:pos="781" w:val="left" w:leader="none"/>
        </w:tabs>
        <w:spacing w:line="240" w:lineRule="auto"/>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spacing w:line="240" w:lineRule="auto" w:before="56"/>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2"/>
        <w:spacing w:line="240" w:lineRule="auto"/>
        <w:ind w:left="138" w:right="0"/>
        <w:jc w:val="left"/>
        <w:rPr>
          <w:b w:val="0"/>
          <w:bCs w:val="0"/>
        </w:rPr>
      </w:pPr>
      <w:r>
        <w:rPr/>
        <w:t>十八、可转换公司债券情况</w:t>
      </w:r>
      <w:r>
        <w:rPr>
          <w:b w:val="0"/>
          <w:bCs w:val="0"/>
        </w:rPr>
      </w:r>
    </w:p>
    <w:p>
      <w:pPr>
        <w:pStyle w:val="Heading2"/>
        <w:spacing w:line="240" w:lineRule="auto" w:before="56"/>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spacing w:line="240" w:lineRule="auto" w:before="32"/>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1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30"/>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2"/>
        <w:spacing w:line="240" w:lineRule="auto" w:before="43"/>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74" w:lineRule="exact" w:before="55"/>
        <w:ind w:left="138" w:right="5591"/>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spacing w:val="-2"/>
        </w:rPr>
        <w:t>报告期转债累计转股情况</w:t>
      </w:r>
    </w:p>
    <w:p>
      <w:pPr>
        <w:pStyle w:val="BodyText"/>
        <w:spacing w:line="262" w:lineRule="exact"/>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2"/>
        <w:spacing w:line="240" w:lineRule="auto" w:before="40"/>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32"/>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2"/>
        <w:spacing w:line="240" w:lineRule="auto" w:before="40"/>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spacing w:line="240" w:lineRule="auto" w:before="32"/>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2"/>
        <w:spacing w:line="240" w:lineRule="auto" w:before="40"/>
        <w:ind w:left="138" w:right="0"/>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spacing w:line="240" w:lineRule="auto" w:before="32"/>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Heading1"/>
        <w:tabs>
          <w:tab w:pos="3576" w:val="left" w:leader="none"/>
        </w:tabs>
        <w:spacing w:line="240" w:lineRule="auto"/>
        <w:ind w:left="2316" w:right="227"/>
        <w:jc w:val="left"/>
        <w:rPr>
          <w:b w:val="0"/>
          <w:bCs w:val="0"/>
        </w:rPr>
      </w:pPr>
      <w:bookmarkStart w:name="_TOC_250006" w:id="6"/>
      <w:r>
        <w:rPr>
          <w:w w:val="95"/>
        </w:rPr>
        <w:t>第六节</w:t>
        <w:tab/>
      </w:r>
      <w:r>
        <w:rPr/>
        <w:t>普通股股份变动及股东情况</w:t>
      </w:r>
      <w:bookmarkEnd w:id="6"/>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0" w:footer="1195" w:top="1120" w:bottom="1380" w:left="1580" w:right="1040"/>
        </w:sectPr>
      </w:pPr>
    </w:p>
    <w:p>
      <w:pPr>
        <w:pStyle w:val="Heading2"/>
        <w:tabs>
          <w:tab w:pos="784" w:val="left" w:leader="none"/>
        </w:tabs>
        <w:spacing w:line="278" w:lineRule="auto" w:before="36"/>
        <w:ind w:right="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w:t>
      </w:r>
      <w:r>
        <w:rPr>
          <w:spacing w:val="-3"/>
        </w:rPr>
        <w:t> </w:t>
      </w:r>
      <w:r>
        <w:rPr/>
        <w:t>普通股股份变动情况表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right="0"/>
        <w:jc w:val="left"/>
      </w:pPr>
      <w:r>
        <w:rPr/>
        <w:t>单位：万股</w:t>
      </w:r>
    </w:p>
    <w:p>
      <w:pPr>
        <w:spacing w:after="0" w:line="240" w:lineRule="auto"/>
        <w:jc w:val="left"/>
        <w:sectPr>
          <w:type w:val="continuous"/>
          <w:pgSz w:w="11910" w:h="16840"/>
          <w:pgMar w:top="1120" w:bottom="1380" w:left="1580" w:right="1040"/>
          <w:cols w:num="2" w:equalWidth="0">
            <w:col w:w="2895" w:space="4888"/>
            <w:col w:w="150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63"/>
        <w:gridCol w:w="689"/>
        <w:gridCol w:w="794"/>
        <w:gridCol w:w="807"/>
        <w:gridCol w:w="427"/>
        <w:gridCol w:w="974"/>
        <w:gridCol w:w="545"/>
        <w:gridCol w:w="807"/>
        <w:gridCol w:w="751"/>
        <w:gridCol w:w="792"/>
      </w:tblGrid>
      <w:tr>
        <w:trPr>
          <w:trHeight w:val="283" w:hRule="exact"/>
        </w:trPr>
        <w:tc>
          <w:tcPr>
            <w:tcW w:w="2463" w:type="dxa"/>
            <w:vMerge w:val="restart"/>
            <w:tcBorders>
              <w:top w:val="single" w:sz="4" w:space="0" w:color="000000"/>
              <w:left w:val="single" w:sz="4" w:space="0" w:color="000000"/>
              <w:right w:val="single" w:sz="4" w:space="0" w:color="000000"/>
            </w:tcBorders>
          </w:tcPr>
          <w:p>
            <w:pPr/>
          </w:p>
        </w:tc>
        <w:tc>
          <w:tcPr>
            <w:tcW w:w="14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5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9"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9"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554" w:hRule="exact"/>
        </w:trPr>
        <w:tc>
          <w:tcPr>
            <w:tcW w:w="2463" w:type="dxa"/>
            <w:vMerge/>
            <w:tcBorders>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9"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235" w:right="0"/>
              <w:jc w:val="left"/>
              <w:rPr>
                <w:rFonts w:ascii="宋体" w:hAnsi="宋体" w:cs="宋体" w:eastAsia="宋体" w:hint="default"/>
                <w:sz w:val="21"/>
                <w:szCs w:val="21"/>
              </w:rPr>
            </w:pPr>
            <w:r>
              <w:rPr>
                <w:rFonts w:ascii="宋体"/>
                <w:sz w:val="21"/>
              </w:rPr>
              <w:t>(%)</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left="187"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3" w:lineRule="exact"/>
              <w:ind w:left="160"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8"/>
              <w:jc w:val="right"/>
              <w:rPr>
                <w:rFonts w:ascii="宋体" w:hAnsi="宋体" w:cs="宋体" w:eastAsia="宋体" w:hint="default"/>
                <w:sz w:val="21"/>
                <w:szCs w:val="21"/>
              </w:rPr>
            </w:pPr>
            <w:r>
              <w:rPr>
                <w:rFonts w:ascii="宋体" w:hAnsi="宋体" w:cs="宋体" w:eastAsia="宋体" w:hint="default"/>
                <w:sz w:val="21"/>
                <w:szCs w:val="21"/>
              </w:rPr>
              <w:t>数量</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232" w:right="0"/>
              <w:jc w:val="left"/>
              <w:rPr>
                <w:rFonts w:ascii="宋体" w:hAnsi="宋体" w:cs="宋体" w:eastAsia="宋体" w:hint="default"/>
                <w:sz w:val="21"/>
                <w:szCs w:val="21"/>
              </w:rPr>
            </w:pPr>
            <w:r>
              <w:rPr>
                <w:rFonts w:ascii="宋体"/>
                <w:sz w:val="21"/>
              </w:rPr>
              <w:t>(%)</w:t>
            </w:r>
          </w:p>
        </w:tc>
      </w:tr>
      <w:tr>
        <w:trPr>
          <w:trHeight w:val="281"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4,575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100.00</w:t>
            </w:r>
          </w:p>
        </w:tc>
        <w:tc>
          <w:tcPr>
            <w:tcW w:w="80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4,575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75.00</w:t>
            </w:r>
          </w:p>
        </w:tc>
      </w:tr>
      <w:tr>
        <w:trPr>
          <w:trHeight w:val="28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68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68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4,575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100.00</w:t>
            </w:r>
          </w:p>
        </w:tc>
        <w:tc>
          <w:tcPr>
            <w:tcW w:w="80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4,575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75.00</w:t>
            </w:r>
          </w:p>
        </w:tc>
      </w:tr>
      <w:tr>
        <w:trPr>
          <w:trHeight w:val="55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其中：境内非国有法人持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1,345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8" w:right="0"/>
              <w:jc w:val="center"/>
              <w:rPr>
                <w:rFonts w:ascii="Times New Roman" w:hAnsi="Times New Roman" w:cs="Times New Roman" w:eastAsia="Times New Roman" w:hint="default"/>
                <w:sz w:val="21"/>
                <w:szCs w:val="21"/>
              </w:rPr>
            </w:pPr>
            <w:r>
              <w:rPr>
                <w:rFonts w:ascii="Times New Roman"/>
                <w:sz w:val="21"/>
              </w:rPr>
              <w:t>29.40</w:t>
            </w:r>
          </w:p>
        </w:tc>
        <w:tc>
          <w:tcPr>
            <w:tcW w:w="80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1,345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22.05</w:t>
            </w:r>
          </w:p>
        </w:tc>
      </w:tr>
      <w:tr>
        <w:trPr>
          <w:trHeight w:val="283"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3,230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8" w:right="0"/>
              <w:jc w:val="center"/>
              <w:rPr>
                <w:rFonts w:ascii="Times New Roman" w:hAnsi="Times New Roman" w:cs="Times New Roman" w:eastAsia="Times New Roman" w:hint="default"/>
                <w:sz w:val="21"/>
                <w:szCs w:val="21"/>
              </w:rPr>
            </w:pPr>
            <w:r>
              <w:rPr>
                <w:rFonts w:ascii="Times New Roman"/>
                <w:sz w:val="21"/>
              </w:rPr>
              <w:t>70.60</w:t>
            </w:r>
          </w:p>
        </w:tc>
        <w:tc>
          <w:tcPr>
            <w:tcW w:w="80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3,230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52.95</w:t>
            </w:r>
          </w:p>
        </w:tc>
      </w:tr>
      <w:tr>
        <w:trPr>
          <w:trHeight w:val="283"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68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68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68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二、无限售条件流通股份</w:t>
            </w:r>
          </w:p>
        </w:tc>
        <w:tc>
          <w:tcPr>
            <w:tcW w:w="68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+1,525</w:t>
            </w:r>
          </w:p>
        </w:tc>
        <w:tc>
          <w:tcPr>
            <w:tcW w:w="42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+1,525</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1,525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25.00</w:t>
            </w:r>
          </w:p>
        </w:tc>
      </w:tr>
      <w:tr>
        <w:trPr>
          <w:trHeight w:val="281"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68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+1,525</w:t>
            </w:r>
          </w:p>
        </w:tc>
        <w:tc>
          <w:tcPr>
            <w:tcW w:w="42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+1,525</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1,525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25.00</w:t>
            </w:r>
          </w:p>
        </w:tc>
      </w:tr>
      <w:tr>
        <w:trPr>
          <w:trHeight w:val="28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、境内上市的外资股</w:t>
            </w:r>
          </w:p>
        </w:tc>
        <w:tc>
          <w:tcPr>
            <w:tcW w:w="68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、境外上市的外资股</w:t>
            </w:r>
          </w:p>
        </w:tc>
        <w:tc>
          <w:tcPr>
            <w:tcW w:w="68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三、普通股股份总数</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4,575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100.00</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+1,525</w:t>
            </w:r>
          </w:p>
        </w:tc>
        <w:tc>
          <w:tcPr>
            <w:tcW w:w="42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+1,525</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61"/>
              <w:jc w:val="right"/>
              <w:rPr>
                <w:rFonts w:ascii="Times New Roman" w:hAnsi="Times New Roman" w:cs="Times New Roman" w:eastAsia="Times New Roman" w:hint="default"/>
                <w:sz w:val="21"/>
                <w:szCs w:val="21"/>
              </w:rPr>
            </w:pPr>
            <w:r>
              <w:rPr>
                <w:rFonts w:ascii="Times New Roman"/>
                <w:sz w:val="21"/>
              </w:rPr>
              <w:t>6,100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10"/>
        <w:rPr>
          <w:rFonts w:ascii="宋体" w:hAnsi="宋体" w:cs="宋体" w:eastAsia="宋体" w:hint="default"/>
          <w:sz w:val="17"/>
          <w:szCs w:val="17"/>
        </w:rPr>
      </w:pPr>
    </w:p>
    <w:p>
      <w:pPr>
        <w:pStyle w:val="Heading2"/>
        <w:spacing w:line="240" w:lineRule="auto" w:before="36"/>
        <w:ind w:right="2465"/>
        <w:jc w:val="left"/>
        <w:rPr>
          <w:b w:val="0"/>
          <w:bCs w:val="0"/>
        </w:rPr>
      </w:pPr>
      <w:r>
        <w:rPr>
          <w:rFonts w:ascii="宋体" w:hAnsi="宋体" w:cs="宋体" w:eastAsia="宋体" w:hint="default"/>
        </w:rPr>
        <w:t>2</w:t>
      </w:r>
      <w:r>
        <w:rPr/>
        <w:t>、</w:t>
      </w:r>
      <w:r>
        <w:rPr>
          <w:spacing w:val="-2"/>
        </w:rPr>
        <w:t> </w:t>
      </w:r>
      <w:r>
        <w:rPr/>
        <w:t>普通股股份变动情况说明</w:t>
      </w:r>
      <w:r>
        <w:rPr>
          <w:b w:val="0"/>
          <w:bCs w:val="0"/>
        </w:rPr>
      </w:r>
    </w:p>
    <w:p>
      <w:pPr>
        <w:pStyle w:val="BodyText"/>
        <w:spacing w:line="282" w:lineRule="exact" w:before="56"/>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72" w:lineRule="exact" w:before="19"/>
        <w:ind w:right="225" w:firstLine="489"/>
        <w:jc w:val="left"/>
      </w:pPr>
      <w:r>
        <w:rPr/>
        <w:t>根据中国证监会证监许可</w:t>
      </w:r>
      <w:r>
        <w:rPr>
          <w:rFonts w:ascii="Times New Roman" w:hAnsi="Times New Roman" w:cs="Times New Roman" w:eastAsia="Times New Roman" w:hint="default"/>
        </w:rPr>
        <w:t>[2017]431</w:t>
      </w:r>
      <w:r>
        <w:rPr>
          <w:rFonts w:ascii="Times New Roman" w:hAnsi="Times New Roman" w:cs="Times New Roman" w:eastAsia="Times New Roman" w:hint="default"/>
          <w:spacing w:val="7"/>
        </w:rPr>
        <w:t> </w:t>
      </w:r>
      <w:r>
        <w:rPr/>
        <w:t>号《关于核准上海格尔软件股份有限公司首次公开发行</w:t>
      </w:r>
      <w:r>
        <w:rPr>
          <w:w w:val="100"/>
        </w:rPr>
        <w:t> </w:t>
      </w:r>
      <w:r>
        <w:rPr/>
        <w:t>股票的批复》核准，上海格尔软件股份有限公司获准向社会公开发行人民币普通股 </w:t>
      </w:r>
      <w:r>
        <w:rPr>
          <w:rFonts w:ascii="Times New Roman" w:hAnsi="Times New Roman" w:cs="Times New Roman" w:eastAsia="Times New Roman" w:hint="default"/>
        </w:rPr>
        <w:t>1,525</w:t>
      </w:r>
      <w:r>
        <w:rPr>
          <w:rFonts w:ascii="Times New Roman" w:hAnsi="Times New Roman" w:cs="Times New Roman" w:eastAsia="Times New Roman" w:hint="default"/>
          <w:spacing w:val="12"/>
        </w:rPr>
        <w:t> </w:t>
      </w:r>
      <w:r>
        <w:rPr>
          <w:spacing w:val="-3"/>
        </w:rPr>
        <w:t>万股，</w:t>
      </w:r>
      <w:r>
        <w:rPr/>
      </w:r>
    </w:p>
    <w:p>
      <w:pPr>
        <w:pStyle w:val="BodyText"/>
        <w:spacing w:line="254" w:lineRule="exact"/>
        <w:ind w:right="65"/>
        <w:jc w:val="left"/>
      </w:pPr>
      <w:r>
        <w:rPr/>
        <w:t>每股发行价格为人民币</w:t>
      </w:r>
      <w:r>
        <w:rPr>
          <w:spacing w:val="-42"/>
        </w:rPr>
        <w:t> </w:t>
      </w:r>
      <w:r>
        <w:rPr>
          <w:rFonts w:ascii="Times New Roman" w:hAnsi="Times New Roman" w:cs="Times New Roman" w:eastAsia="Times New Roman" w:hint="default"/>
        </w:rPr>
        <w:t>18.10</w:t>
      </w:r>
      <w:r>
        <w:rPr>
          <w:rFonts w:ascii="Times New Roman" w:hAnsi="Times New Roman" w:cs="Times New Roman" w:eastAsia="Times New Roman" w:hint="default"/>
          <w:spacing w:val="10"/>
        </w:rPr>
        <w:t> </w:t>
      </w:r>
      <w:r>
        <w:rPr>
          <w:spacing w:val="-4"/>
        </w:rPr>
        <w:t>元，股款以人民币缴足。本次公开发行募集资金总额为</w:t>
      </w:r>
      <w:r>
        <w:rPr>
          <w:spacing w:val="-43"/>
        </w:rPr>
        <w:t> </w:t>
      </w:r>
      <w:r>
        <w:rPr>
          <w:rFonts w:ascii="Times New Roman" w:hAnsi="Times New Roman" w:cs="Times New Roman" w:eastAsia="Times New Roman" w:hint="default"/>
        </w:rPr>
        <w:t>27,602.50</w:t>
      </w:r>
      <w:r>
        <w:rPr>
          <w:rFonts w:ascii="Times New Roman" w:hAnsi="Times New Roman" w:cs="Times New Roman" w:eastAsia="Times New Roman" w:hint="default"/>
          <w:spacing w:val="10"/>
        </w:rPr>
        <w:t> </w:t>
      </w:r>
      <w:r>
        <w:rPr/>
        <w:t>万</w:t>
      </w:r>
    </w:p>
    <w:p>
      <w:pPr>
        <w:pStyle w:val="BodyText"/>
        <w:spacing w:line="272" w:lineRule="exact"/>
        <w:ind w:right="65"/>
        <w:jc w:val="left"/>
      </w:pPr>
      <w:r>
        <w:rPr>
          <w:w w:val="100"/>
        </w:rPr>
        <w:t>元；</w:t>
      </w:r>
      <w:r>
        <w:rPr>
          <w:spacing w:val="-3"/>
          <w:w w:val="100"/>
        </w:rPr>
        <w:t>扣</w:t>
      </w:r>
      <w:r>
        <w:rPr>
          <w:w w:val="100"/>
        </w:rPr>
        <w:t>除</w:t>
      </w:r>
      <w:r>
        <w:rPr>
          <w:spacing w:val="-3"/>
          <w:w w:val="100"/>
        </w:rPr>
        <w:t>发</w:t>
      </w:r>
      <w:r>
        <w:rPr>
          <w:w w:val="100"/>
        </w:rPr>
        <w:t>行</w:t>
      </w:r>
      <w:r>
        <w:rPr>
          <w:spacing w:val="-3"/>
          <w:w w:val="100"/>
        </w:rPr>
        <w:t>费</w:t>
      </w:r>
      <w:r>
        <w:rPr>
          <w:w w:val="100"/>
        </w:rPr>
        <w:t>用</w:t>
      </w:r>
      <w:r>
        <w:rPr>
          <w:spacing w:val="-3"/>
          <w:w w:val="100"/>
        </w:rPr>
        <w:t>后</w:t>
      </w:r>
      <w:r>
        <w:rPr>
          <w:w w:val="100"/>
        </w:rPr>
        <w:t>，</w:t>
      </w:r>
      <w:r>
        <w:rPr>
          <w:spacing w:val="-3"/>
          <w:w w:val="100"/>
        </w:rPr>
        <w:t>募</w:t>
      </w:r>
      <w:r>
        <w:rPr>
          <w:w w:val="100"/>
        </w:rPr>
        <w:t>集资</w:t>
      </w:r>
      <w:r>
        <w:rPr>
          <w:spacing w:val="-3"/>
          <w:w w:val="100"/>
        </w:rPr>
        <w:t>金</w:t>
      </w:r>
      <w:r>
        <w:rPr>
          <w:w w:val="100"/>
        </w:rPr>
        <w:t>净</w:t>
      </w:r>
      <w:r>
        <w:rPr>
          <w:spacing w:val="-3"/>
          <w:w w:val="100"/>
        </w:rPr>
        <w:t>额</w:t>
      </w:r>
      <w:r>
        <w:rPr>
          <w:w w:val="100"/>
        </w:rPr>
        <w:t>为</w:t>
      </w:r>
      <w:r>
        <w:rPr>
          <w:spacing w:val="-48"/>
        </w:rPr>
        <w:t> </w:t>
      </w:r>
      <w:r>
        <w:rPr>
          <w:rFonts w:ascii="Times New Roman" w:hAnsi="Times New Roman" w:cs="Times New Roman" w:eastAsia="Times New Roman" w:hint="default"/>
          <w:w w:val="100"/>
        </w:rPr>
        <w:t>21,2</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spacing w:val="7"/>
        </w:rPr>
        <w:t> </w:t>
      </w:r>
      <w:r>
        <w:rPr>
          <w:spacing w:val="-3"/>
          <w:w w:val="100"/>
        </w:rPr>
        <w:t>万</w:t>
      </w:r>
      <w:r>
        <w:rPr>
          <w:w w:val="100"/>
        </w:rPr>
        <w:t>元。</w:t>
      </w:r>
      <w:r>
        <w:rPr>
          <w:spacing w:val="-3"/>
          <w:w w:val="100"/>
        </w:rPr>
        <w:t>上</w:t>
      </w:r>
      <w:r>
        <w:rPr>
          <w:w w:val="100"/>
        </w:rPr>
        <w:t>会</w:t>
      </w:r>
      <w:r>
        <w:rPr>
          <w:spacing w:val="-3"/>
          <w:w w:val="100"/>
        </w:rPr>
        <w:t>会</w:t>
      </w:r>
      <w:r>
        <w:rPr>
          <w:w w:val="100"/>
        </w:rPr>
        <w:t>计</w:t>
      </w:r>
      <w:r>
        <w:rPr>
          <w:spacing w:val="-3"/>
          <w:w w:val="100"/>
        </w:rPr>
        <w:t>师</w:t>
      </w:r>
      <w:r>
        <w:rPr>
          <w:w w:val="100"/>
        </w:rPr>
        <w:t>事</w:t>
      </w:r>
      <w:r>
        <w:rPr>
          <w:spacing w:val="-3"/>
          <w:w w:val="100"/>
        </w:rPr>
        <w:t>务</w:t>
      </w:r>
      <w:r>
        <w:rPr>
          <w:w w:val="100"/>
        </w:rPr>
        <w:t>所</w:t>
      </w:r>
      <w:r>
        <w:rPr>
          <w:spacing w:val="-3"/>
          <w:w w:val="100"/>
        </w:rPr>
        <w:t>（</w:t>
      </w:r>
      <w:r>
        <w:rPr>
          <w:w w:val="100"/>
        </w:rPr>
        <w:t>特殊</w:t>
      </w:r>
      <w:r>
        <w:rPr>
          <w:spacing w:val="-3"/>
          <w:w w:val="100"/>
        </w:rPr>
        <w:t>普</w:t>
      </w:r>
      <w:r>
        <w:rPr>
          <w:w w:val="100"/>
        </w:rPr>
        <w:t>通</w:t>
      </w:r>
      <w:r>
        <w:rPr>
          <w:spacing w:val="-3"/>
          <w:w w:val="100"/>
        </w:rPr>
        <w:t>合</w:t>
      </w:r>
      <w:r>
        <w:rPr>
          <w:w w:val="100"/>
        </w:rPr>
        <w:t>伙</w:t>
      </w:r>
      <w:r>
        <w:rPr>
          <w:spacing w:val="-108"/>
          <w:w w:val="100"/>
        </w:rPr>
        <w:t>）</w:t>
      </w:r>
      <w:r>
        <w:rPr>
          <w:spacing w:val="-3"/>
          <w:w w:val="100"/>
        </w:rPr>
        <w:t>（</w:t>
      </w:r>
      <w:r>
        <w:rPr>
          <w:w w:val="100"/>
        </w:rPr>
        <w:t>特</w:t>
      </w:r>
    </w:p>
    <w:p>
      <w:pPr>
        <w:pStyle w:val="BodyText"/>
        <w:spacing w:line="273" w:lineRule="exact"/>
        <w:ind w:right="65"/>
        <w:jc w:val="left"/>
      </w:pPr>
      <w:r>
        <w:rPr/>
        <w:t>殊普通合伙）已于</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日对公司首次公开发行股票的资金到位情况进行了审验，并出</w:t>
      </w:r>
    </w:p>
    <w:p>
      <w:pPr>
        <w:pStyle w:val="BodyText"/>
        <w:spacing w:line="273" w:lineRule="exact"/>
        <w:ind w:right="65"/>
        <w:jc w:val="left"/>
      </w:pPr>
      <w:r>
        <w:rPr>
          <w:w w:val="100"/>
        </w:rPr>
        <w:t>具上</w:t>
      </w:r>
      <w:r>
        <w:rPr>
          <w:spacing w:val="-3"/>
          <w:w w:val="100"/>
        </w:rPr>
        <w:t>会</w:t>
      </w:r>
      <w:r>
        <w:rPr>
          <w:w w:val="100"/>
        </w:rPr>
        <w:t>师</w:t>
      </w:r>
      <w:r>
        <w:rPr>
          <w:spacing w:val="-3"/>
          <w:w w:val="100"/>
        </w:rPr>
        <w:t>报</w:t>
      </w:r>
      <w:r>
        <w:rPr>
          <w:spacing w:val="-1"/>
          <w:w w:val="100"/>
        </w:rPr>
        <w:t>字</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17</w:t>
      </w:r>
      <w:r>
        <w:rPr>
          <w:rFonts w:ascii="Times New Roman" w:hAnsi="Times New Roman" w:cs="Times New Roman" w:eastAsia="Times New Roman" w:hint="default"/>
          <w:spacing w:val="-1"/>
          <w:w w:val="100"/>
        </w:rPr>
        <w:t>]</w:t>
      </w:r>
      <w:r>
        <w:rPr>
          <w:w w:val="100"/>
        </w:rPr>
        <w:t>第</w:t>
      </w:r>
      <w:r>
        <w:rPr>
          <w:spacing w:val="-54"/>
        </w:rPr>
        <w:t> </w:t>
      </w:r>
      <w:r>
        <w:rPr>
          <w:rFonts w:ascii="Times New Roman" w:hAnsi="Times New Roman" w:cs="Times New Roman" w:eastAsia="Times New Roman" w:hint="default"/>
          <w:w w:val="100"/>
        </w:rPr>
        <w:t>24</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spacing w:val="-8"/>
          <w:w w:val="100"/>
        </w:rPr>
        <w:t>号</w:t>
      </w:r>
      <w:r>
        <w:rPr>
          <w:w w:val="100"/>
        </w:rPr>
        <w:t>《</w:t>
      </w:r>
      <w:r>
        <w:rPr>
          <w:spacing w:val="-3"/>
          <w:w w:val="100"/>
        </w:rPr>
        <w:t>验</w:t>
      </w:r>
      <w:r>
        <w:rPr>
          <w:w w:val="100"/>
        </w:rPr>
        <w:t>资</w:t>
      </w:r>
      <w:r>
        <w:rPr>
          <w:spacing w:val="-3"/>
          <w:w w:val="100"/>
        </w:rPr>
        <w:t>报</w:t>
      </w:r>
      <w:r>
        <w:rPr>
          <w:w w:val="100"/>
        </w:rPr>
        <w:t>告</w:t>
      </w:r>
      <w:r>
        <w:rPr>
          <w:spacing w:val="-108"/>
          <w:w w:val="100"/>
        </w:rPr>
        <w:t>》</w:t>
      </w:r>
      <w:r>
        <w:rPr>
          <w:spacing w:val="-5"/>
          <w:w w:val="100"/>
        </w:rPr>
        <w:t>。</w:t>
      </w:r>
      <w:r>
        <w:rPr>
          <w:spacing w:val="-3"/>
          <w:w w:val="100"/>
        </w:rPr>
        <w:t>发</w:t>
      </w:r>
      <w:r>
        <w:rPr>
          <w:w w:val="100"/>
        </w:rPr>
        <w:t>行</w:t>
      </w:r>
      <w:r>
        <w:rPr>
          <w:spacing w:val="-3"/>
          <w:w w:val="100"/>
        </w:rPr>
        <w:t>后</w:t>
      </w:r>
      <w:r>
        <w:rPr>
          <w:spacing w:val="-5"/>
          <w:w w:val="100"/>
        </w:rPr>
        <w:t>，</w:t>
      </w:r>
      <w:r>
        <w:rPr>
          <w:spacing w:val="-3"/>
          <w:w w:val="100"/>
        </w:rPr>
        <w:t>公</w:t>
      </w:r>
      <w:r>
        <w:rPr>
          <w:w w:val="100"/>
        </w:rPr>
        <w:t>司</w:t>
      </w:r>
      <w:r>
        <w:rPr>
          <w:spacing w:val="-3"/>
          <w:w w:val="100"/>
        </w:rPr>
        <w:t>总</w:t>
      </w:r>
      <w:r>
        <w:rPr>
          <w:w w:val="100"/>
        </w:rPr>
        <w:t>股</w:t>
      </w:r>
      <w:r>
        <w:rPr>
          <w:spacing w:val="-3"/>
          <w:w w:val="100"/>
        </w:rPr>
        <w:t>本</w:t>
      </w:r>
      <w:r>
        <w:rPr>
          <w:spacing w:val="-1"/>
          <w:w w:val="100"/>
        </w:rPr>
        <w:t>增</w:t>
      </w:r>
      <w:r>
        <w:rPr>
          <w:spacing w:val="-3"/>
          <w:w w:val="100"/>
        </w:rPr>
        <w:t>加</w:t>
      </w:r>
      <w:r>
        <w:rPr>
          <w:w w:val="100"/>
        </w:rPr>
        <w:t>至</w:t>
      </w:r>
      <w:r>
        <w:rPr>
          <w:spacing w:val="-53"/>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00</w:t>
      </w:r>
      <w:r>
        <w:rPr>
          <w:rFonts w:ascii="Times New Roman" w:hAnsi="Times New Roman" w:cs="Times New Roman" w:eastAsia="Times New Roman" w:hint="default"/>
          <w:spacing w:val="-2"/>
        </w:rPr>
        <w:t> </w:t>
      </w:r>
      <w:r>
        <w:rPr>
          <w:w w:val="100"/>
        </w:rPr>
        <w:t>万</w:t>
      </w:r>
      <w:r>
        <w:rPr>
          <w:spacing w:val="-3"/>
          <w:w w:val="100"/>
        </w:rPr>
        <w:t>股</w:t>
      </w:r>
      <w:r>
        <w:rPr>
          <w:spacing w:val="-5"/>
          <w:w w:val="100"/>
        </w:rPr>
        <w:t>，</w:t>
      </w:r>
      <w:r>
        <w:rPr>
          <w:spacing w:val="-3"/>
          <w:w w:val="100"/>
        </w:rPr>
        <w:t>公</w:t>
      </w:r>
      <w:r>
        <w:rPr>
          <w:w w:val="100"/>
        </w:rPr>
        <w:t>司</w:t>
      </w:r>
      <w:r>
        <w:rPr>
          <w:spacing w:val="-3"/>
          <w:w w:val="100"/>
        </w:rPr>
        <w:t>股</w:t>
      </w:r>
      <w:r>
        <w:rPr>
          <w:w w:val="100"/>
        </w:rPr>
        <w:t>票于</w:t>
      </w:r>
    </w:p>
    <w:p>
      <w:pPr>
        <w:pStyle w:val="BodyText"/>
        <w:spacing w:line="281" w:lineRule="exact"/>
        <w:ind w:right="2465"/>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日在上海证券交易所挂牌交易。</w:t>
      </w:r>
    </w:p>
    <w:p>
      <w:pPr>
        <w:pStyle w:val="Heading2"/>
        <w:spacing w:line="240" w:lineRule="auto" w:before="43"/>
        <w:ind w:right="227"/>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tabs>
          <w:tab w:pos="1163" w:val="left" w:leader="none"/>
        </w:tabs>
        <w:spacing w:line="274" w:lineRule="exact" w:before="56"/>
        <w:ind w:right="2465"/>
        <w:jc w:val="left"/>
      </w:pPr>
      <w:r>
        <w:rPr/>
        <w:t>√适用</w:t>
        <w:tab/>
        <w:t>□不适用</w:t>
      </w:r>
    </w:p>
    <w:p>
      <w:pPr>
        <w:pStyle w:val="BodyText"/>
        <w:spacing w:line="280" w:lineRule="exact"/>
        <w:ind w:right="65"/>
        <w:jc w:val="left"/>
      </w:pPr>
      <w:r>
        <w:rPr/>
        <w:t>报告期内，公司首次公开发行股票并于</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月上市，募集资金</w:t>
      </w:r>
      <w:r>
        <w:rPr>
          <w:spacing w:val="-51"/>
        </w:rPr>
        <w:t> </w:t>
      </w:r>
      <w:r>
        <w:rPr>
          <w:rFonts w:ascii="Times New Roman" w:hAnsi="Times New Roman" w:cs="Times New Roman" w:eastAsia="Times New Roman" w:hint="default"/>
        </w:rPr>
        <w:t>27,602.50</w:t>
      </w:r>
      <w:r>
        <w:rPr>
          <w:rFonts w:ascii="Times New Roman" w:hAnsi="Times New Roman" w:cs="Times New Roman" w:eastAsia="Times New Roman" w:hint="default"/>
          <w:spacing w:val="-1"/>
        </w:rPr>
        <w:t> </w:t>
      </w:r>
      <w:r>
        <w:rPr/>
        <w:t>万元，股本总额从</w:t>
      </w:r>
    </w:p>
    <w:p>
      <w:pPr>
        <w:pStyle w:val="BodyText"/>
        <w:spacing w:line="272" w:lineRule="exact"/>
        <w:ind w:right="65"/>
        <w:jc w:val="left"/>
      </w:pPr>
      <w:r>
        <w:rPr>
          <w:rFonts w:ascii="Times New Roman" w:hAnsi="Times New Roman" w:cs="Times New Roman" w:eastAsia="Times New Roman" w:hint="default"/>
        </w:rPr>
        <w:t>4,575 </w:t>
      </w:r>
      <w:r>
        <w:rPr/>
        <w:t>万股增加到 </w:t>
      </w:r>
      <w:r>
        <w:rPr>
          <w:rFonts w:ascii="Times New Roman" w:hAnsi="Times New Roman" w:cs="Times New Roman" w:eastAsia="Times New Roman" w:hint="default"/>
        </w:rPr>
        <w:t>6,100</w:t>
      </w:r>
      <w:r>
        <w:rPr>
          <w:rFonts w:ascii="Times New Roman" w:hAnsi="Times New Roman" w:cs="Times New Roman" w:eastAsia="Times New Roman" w:hint="default"/>
          <w:spacing w:val="-8"/>
        </w:rPr>
        <w:t> </w:t>
      </w:r>
      <w:r>
        <w:rPr>
          <w:spacing w:val="-3"/>
        </w:rPr>
        <w:t>万股，发行新股募集资金使归属于上市公司股东的净资产增加，每股净资</w:t>
      </w:r>
    </w:p>
    <w:p>
      <w:pPr>
        <w:pStyle w:val="BodyText"/>
        <w:spacing w:line="282" w:lineRule="exact"/>
        <w:ind w:right="2465"/>
        <w:jc w:val="left"/>
      </w:pPr>
      <w:r>
        <w:rPr/>
        <w:t>产为</w:t>
      </w:r>
      <w:r>
        <w:rPr>
          <w:spacing w:val="-51"/>
        </w:rPr>
        <w:t> </w:t>
      </w:r>
      <w:r>
        <w:rPr>
          <w:rFonts w:ascii="Times New Roman" w:hAnsi="Times New Roman" w:cs="Times New Roman" w:eastAsia="Times New Roman" w:hint="default"/>
        </w:rPr>
        <w:t>9.42</w:t>
      </w:r>
      <w:r>
        <w:rPr>
          <w:rFonts w:ascii="Times New Roman" w:hAnsi="Times New Roman" w:cs="Times New Roman" w:eastAsia="Times New Roman" w:hint="default"/>
          <w:spacing w:val="-2"/>
        </w:rPr>
        <w:t> </w:t>
      </w:r>
      <w:r>
        <w:rPr/>
        <w:t>元。</w:t>
      </w:r>
    </w:p>
    <w:p>
      <w:pPr>
        <w:pStyle w:val="Heading2"/>
        <w:spacing w:line="240" w:lineRule="auto" w:before="40"/>
        <w:ind w:right="2465"/>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spacing w:line="240" w:lineRule="auto" w:before="58"/>
        <w:ind w:right="2465"/>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tabs>
          <w:tab w:pos="784" w:val="left" w:leader="none"/>
        </w:tabs>
        <w:spacing w:line="240" w:lineRule="auto" w:before="36"/>
        <w:ind w:right="-17"/>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30"/>
        <w:ind w:right="-17"/>
        <w:jc w:val="left"/>
      </w:pPr>
      <w:r>
        <w:rPr/>
        <w:t>√适用□不适用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7"/>
          <w:szCs w:val="27"/>
        </w:rPr>
      </w:pPr>
    </w:p>
    <w:p>
      <w:pPr>
        <w:pStyle w:val="BodyText"/>
        <w:spacing w:line="240" w:lineRule="auto"/>
        <w:ind w:right="0"/>
        <w:jc w:val="left"/>
      </w:pPr>
      <w:r>
        <w:rPr/>
        <w:t>单位</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股</w:t>
      </w:r>
    </w:p>
    <w:p>
      <w:pPr>
        <w:spacing w:after="0" w:line="240" w:lineRule="auto"/>
        <w:jc w:val="left"/>
        <w:sectPr>
          <w:type w:val="continuous"/>
          <w:pgSz w:w="11910" w:h="16840"/>
          <w:pgMar w:top="1120" w:bottom="1380" w:left="1580" w:right="1040"/>
          <w:cols w:num="2" w:equalWidth="0">
            <w:col w:w="2475" w:space="5565"/>
            <w:col w:w="1250"/>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91"/>
        <w:gridCol w:w="1294"/>
        <w:gridCol w:w="1291"/>
        <w:gridCol w:w="1294"/>
        <w:gridCol w:w="1294"/>
        <w:gridCol w:w="1292"/>
        <w:gridCol w:w="1294"/>
      </w:tblGrid>
      <w:tr>
        <w:trPr>
          <w:trHeight w:val="557"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解除限售日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期</w:t>
            </w:r>
          </w:p>
        </w:tc>
      </w:tr>
      <w:tr>
        <w:trPr>
          <w:trHeight w:val="2189"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上海圣睿投</w:t>
            </w:r>
          </w:p>
          <w:p>
            <w:pPr>
              <w:pStyle w:val="TableParagraph"/>
              <w:spacing w:line="237" w:lineRule="auto"/>
              <w:ind w:left="103" w:right="91"/>
              <w:jc w:val="both"/>
              <w:rPr>
                <w:rFonts w:ascii="宋体" w:hAnsi="宋体" w:cs="宋体" w:eastAsia="宋体" w:hint="default"/>
                <w:sz w:val="21"/>
                <w:szCs w:val="21"/>
              </w:rPr>
            </w:pPr>
            <w:r>
              <w:rPr>
                <w:rFonts w:ascii="宋体" w:hAnsi="宋体" w:cs="宋体" w:eastAsia="宋体" w:hint="default"/>
                <w:spacing w:val="2"/>
                <w:sz w:val="21"/>
                <w:szCs w:val="21"/>
              </w:rPr>
              <w:t>资管理合伙</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企业（有限</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合伙）及杨</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文山、陈宁</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生、陈荣等</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117</w:t>
            </w:r>
            <w:r>
              <w:rPr>
                <w:rFonts w:ascii="宋体" w:hAnsi="宋体" w:cs="宋体" w:eastAsia="宋体" w:hint="default"/>
                <w:spacing w:val="14"/>
                <w:sz w:val="21"/>
                <w:szCs w:val="21"/>
              </w:rPr>
              <w:t> </w:t>
            </w:r>
            <w:r>
              <w:rPr>
                <w:rFonts w:ascii="宋体" w:hAnsi="宋体" w:cs="宋体" w:eastAsia="宋体" w:hint="default"/>
                <w:spacing w:val="6"/>
                <w:sz w:val="21"/>
                <w:szCs w:val="21"/>
              </w:rPr>
              <w:t>位自然</w:t>
            </w:r>
            <w:r>
              <w:rPr>
                <w:rFonts w:ascii="宋体" w:hAnsi="宋体" w:cs="宋体" w:eastAsia="宋体" w:hint="default"/>
                <w:spacing w:val="7"/>
                <w:w w:val="100"/>
                <w:sz w:val="21"/>
                <w:szCs w:val="21"/>
              </w:rPr>
              <w:t> </w:t>
            </w:r>
            <w:r>
              <w:rPr>
                <w:rFonts w:ascii="宋体" w:hAnsi="宋体" w:cs="宋体" w:eastAsia="宋体" w:hint="default"/>
                <w:sz w:val="21"/>
                <w:szCs w:val="21"/>
              </w:rPr>
              <w:t>人</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21,300,000</w:t>
            </w:r>
            <w:r>
              <w:rPr>
                <w:rFonts w:ascii="宋体"/>
                <w:sz w:val="20"/>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w w:val="95"/>
                <w:sz w:val="20"/>
              </w:rPr>
              <w:t>21,300,000</w:t>
            </w:r>
            <w:r>
              <w:rPr>
                <w:rFonts w:ascii="宋体"/>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21,300,000</w:t>
            </w:r>
            <w:r>
              <w:rPr>
                <w:rFonts w:ascii="宋体"/>
                <w:sz w:val="20"/>
              </w:rPr>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both"/>
              <w:rPr>
                <w:rFonts w:ascii="宋体" w:hAnsi="宋体" w:cs="宋体" w:eastAsia="宋体" w:hint="default"/>
                <w:sz w:val="23"/>
                <w:szCs w:val="23"/>
              </w:rPr>
            </w:pPr>
            <w:r>
              <w:rPr>
                <w:rFonts w:ascii="宋体" w:hAnsi="宋体" w:cs="宋体" w:eastAsia="宋体" w:hint="default"/>
                <w:spacing w:val="38"/>
                <w:sz w:val="23"/>
                <w:szCs w:val="23"/>
              </w:rPr>
              <w:t>限售股为</w:t>
            </w:r>
            <w:r>
              <w:rPr>
                <w:rFonts w:ascii="宋体" w:hAnsi="宋体" w:cs="宋体" w:eastAsia="宋体" w:hint="default"/>
                <w:spacing w:val="-63"/>
                <w:sz w:val="23"/>
                <w:szCs w:val="23"/>
              </w:rPr>
              <w:t> </w:t>
            </w:r>
            <w:r>
              <w:rPr>
                <w:rFonts w:ascii="宋体" w:hAnsi="宋体" w:cs="宋体" w:eastAsia="宋体" w:hint="default"/>
                <w:sz w:val="23"/>
                <w:szCs w:val="23"/>
              </w:rPr>
            </w:r>
          </w:p>
          <w:p>
            <w:pPr>
              <w:pStyle w:val="TableParagraph"/>
              <w:spacing w:line="237" w:lineRule="auto" w:before="1"/>
              <w:ind w:left="100" w:right="46"/>
              <w:jc w:val="both"/>
              <w:rPr>
                <w:rFonts w:ascii="宋体" w:hAnsi="宋体" w:cs="宋体" w:eastAsia="宋体" w:hint="default"/>
                <w:sz w:val="23"/>
                <w:szCs w:val="23"/>
              </w:rPr>
            </w:pPr>
            <w:r>
              <w:rPr>
                <w:rFonts w:ascii="宋体" w:hAnsi="宋体" w:cs="宋体" w:eastAsia="宋体" w:hint="default"/>
                <w:spacing w:val="38"/>
                <w:sz w:val="23"/>
                <w:szCs w:val="23"/>
              </w:rPr>
              <w:t>公司首次</w:t>
            </w:r>
            <w:r>
              <w:rPr>
                <w:rFonts w:ascii="宋体" w:hAnsi="宋体" w:cs="宋体" w:eastAsia="宋体" w:hint="default"/>
                <w:spacing w:val="-110"/>
                <w:sz w:val="23"/>
                <w:szCs w:val="23"/>
              </w:rPr>
              <w:t> </w:t>
            </w:r>
            <w:r>
              <w:rPr>
                <w:rFonts w:ascii="宋体" w:hAnsi="宋体" w:cs="宋体" w:eastAsia="宋体" w:hint="default"/>
                <w:spacing w:val="38"/>
                <w:sz w:val="23"/>
                <w:szCs w:val="23"/>
              </w:rPr>
              <w:t>公开发行</w:t>
            </w:r>
            <w:r>
              <w:rPr>
                <w:rFonts w:ascii="宋体" w:hAnsi="宋体" w:cs="宋体" w:eastAsia="宋体" w:hint="default"/>
                <w:spacing w:val="-110"/>
                <w:sz w:val="23"/>
                <w:szCs w:val="23"/>
              </w:rPr>
              <w:t> </w:t>
            </w:r>
            <w:r>
              <w:rPr>
                <w:rFonts w:ascii="宋体" w:hAnsi="宋体" w:cs="宋体" w:eastAsia="宋体" w:hint="default"/>
                <w:sz w:val="23"/>
                <w:szCs w:val="23"/>
              </w:rPr>
              <w:t>限售股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21,300,000</w:t>
            </w:r>
            <w:r>
              <w:rPr>
                <w:rFonts w:ascii="宋体"/>
                <w:sz w:val="20"/>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w w:val="95"/>
                <w:sz w:val="20"/>
              </w:rPr>
              <w:t>21,300,000</w:t>
            </w:r>
            <w:r>
              <w:rPr>
                <w:rFonts w:ascii="宋体"/>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21,300,000</w:t>
            </w:r>
            <w:r>
              <w:rPr>
                <w:rFonts w:ascii="宋体"/>
                <w:sz w:val="20"/>
              </w:rPr>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8"/>
        <w:rPr>
          <w:rFonts w:ascii="宋体" w:hAnsi="宋体" w:cs="宋体" w:eastAsia="宋体" w:hint="default"/>
          <w:sz w:val="15"/>
          <w:szCs w:val="15"/>
        </w:rPr>
      </w:pPr>
    </w:p>
    <w:p>
      <w:pPr>
        <w:pStyle w:val="BodyText"/>
        <w:spacing w:line="237" w:lineRule="auto" w:before="38"/>
        <w:ind w:right="230" w:firstLine="419"/>
        <w:jc w:val="both"/>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日，上海格尔软件股份有限公司（以下简称“公司”或“格尔软件”）经中</w:t>
      </w:r>
      <w:r>
        <w:rPr>
          <w:w w:val="100"/>
        </w:rPr>
        <w:t> </w:t>
      </w:r>
      <w:r>
        <w:rPr/>
        <w:t>国证券监督管理委员会证监许可</w:t>
      </w:r>
      <w:r>
        <w:rPr>
          <w:rFonts w:ascii="宋体" w:hAnsi="宋体" w:cs="宋体" w:eastAsia="宋体" w:hint="default"/>
        </w:rPr>
        <w:t>[2017]431</w:t>
      </w:r>
      <w:r>
        <w:rPr>
          <w:rFonts w:ascii="宋体" w:hAnsi="宋体" w:cs="宋体" w:eastAsia="宋体" w:hint="default"/>
          <w:spacing w:val="-42"/>
        </w:rPr>
        <w:t> </w:t>
      </w:r>
      <w:r>
        <w:rPr>
          <w:spacing w:val="-8"/>
        </w:rPr>
        <w:t>号文核准，向社会公开发行人民币普通股（</w:t>
      </w:r>
      <w:r>
        <w:rPr>
          <w:rFonts w:ascii="宋体" w:hAnsi="宋体" w:cs="宋体" w:eastAsia="宋体" w:hint="default"/>
          <w:spacing w:val="-8"/>
        </w:rPr>
        <w:t>A</w:t>
      </w:r>
      <w:r>
        <w:rPr>
          <w:rFonts w:ascii="宋体" w:hAnsi="宋体" w:cs="宋体" w:eastAsia="宋体" w:hint="default"/>
          <w:spacing w:val="-42"/>
        </w:rPr>
        <w:t> </w:t>
      </w:r>
      <w:r>
        <w:rPr>
          <w:spacing w:val="-11"/>
        </w:rPr>
        <w:t>股）</w:t>
      </w:r>
      <w:r>
        <w:rPr>
          <w:rFonts w:ascii="宋体" w:hAnsi="宋体" w:cs="宋体" w:eastAsia="宋体" w:hint="default"/>
          <w:spacing w:val="-11"/>
        </w:rPr>
        <w:t>1,525</w:t>
      </w:r>
      <w:r>
        <w:rPr>
          <w:rFonts w:ascii="宋体" w:hAnsi="宋体" w:cs="宋体" w:eastAsia="宋体" w:hint="default"/>
          <w:spacing w:val="-101"/>
        </w:rPr>
        <w:t> </w:t>
      </w:r>
      <w:r>
        <w:rPr>
          <w:rFonts w:ascii="宋体" w:hAnsi="宋体" w:cs="宋体" w:eastAsia="宋体" w:hint="default"/>
          <w:spacing w:val="-101"/>
        </w:rPr>
      </w:r>
      <w:r>
        <w:rPr/>
        <w:t>万股，并于</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w:t>
      </w:r>
      <w:r>
        <w:rPr>
          <w:spacing w:val="-55"/>
        </w:rPr>
        <w:t> </w:t>
      </w:r>
      <w:r>
        <w:rPr>
          <w:rFonts w:ascii="宋体" w:hAnsi="宋体" w:cs="宋体" w:eastAsia="宋体" w:hint="default"/>
        </w:rPr>
        <w:t>21</w:t>
      </w:r>
      <w:r>
        <w:rPr>
          <w:rFonts w:ascii="宋体" w:hAnsi="宋体" w:cs="宋体" w:eastAsia="宋体" w:hint="default"/>
          <w:spacing w:val="-54"/>
        </w:rPr>
        <w:t> </w:t>
      </w:r>
      <w:r>
        <w:rPr/>
        <w:t>日在上海证券交易所挂牌上市。公司首次公开发行前总股本为</w:t>
      </w:r>
    </w:p>
    <w:p>
      <w:pPr>
        <w:pStyle w:val="BodyText"/>
        <w:spacing w:line="271" w:lineRule="exact"/>
        <w:ind w:right="0"/>
        <w:jc w:val="both"/>
      </w:pPr>
      <w:r>
        <w:rPr>
          <w:rFonts w:ascii="宋体" w:hAnsi="宋体" w:cs="宋体" w:eastAsia="宋体" w:hint="default"/>
        </w:rPr>
        <w:t>45,750,000</w:t>
      </w:r>
      <w:r>
        <w:rPr>
          <w:rFonts w:ascii="宋体" w:hAnsi="宋体" w:cs="宋体" w:eastAsia="宋体" w:hint="default"/>
          <w:spacing w:val="-56"/>
        </w:rPr>
        <w:t> </w:t>
      </w:r>
      <w:r>
        <w:rPr/>
        <w:t>股，首次公开发行后总股本为</w:t>
      </w:r>
      <w:r>
        <w:rPr>
          <w:spacing w:val="-56"/>
        </w:rPr>
        <w:t> </w:t>
      </w:r>
      <w:r>
        <w:rPr>
          <w:rFonts w:ascii="宋体" w:hAnsi="宋体" w:cs="宋体" w:eastAsia="宋体" w:hint="default"/>
        </w:rPr>
        <w:t>61,000,000</w:t>
      </w:r>
      <w:r>
        <w:rPr>
          <w:rFonts w:ascii="宋体" w:hAnsi="宋体" w:cs="宋体" w:eastAsia="宋体" w:hint="default"/>
          <w:spacing w:val="-55"/>
        </w:rPr>
        <w:t> </w:t>
      </w:r>
      <w:r>
        <w:rPr>
          <w:spacing w:val="-3"/>
        </w:rPr>
        <w:t>股。</w:t>
      </w:r>
      <w:r>
        <w:rPr/>
      </w:r>
    </w:p>
    <w:p>
      <w:pPr>
        <w:pStyle w:val="BodyText"/>
        <w:spacing w:line="272" w:lineRule="exact"/>
        <w:ind w:right="0"/>
        <w:jc w:val="both"/>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23</w:t>
      </w:r>
      <w:r>
        <w:rPr>
          <w:rFonts w:ascii="宋体" w:hAnsi="宋体" w:cs="宋体" w:eastAsia="宋体" w:hint="default"/>
          <w:spacing w:val="-55"/>
        </w:rPr>
        <w:t> </w:t>
      </w:r>
      <w:r>
        <w:rPr/>
        <w:t>日，公司首次公开发行限售股解禁，共涉及</w:t>
      </w:r>
      <w:r>
        <w:rPr>
          <w:spacing w:val="-52"/>
        </w:rPr>
        <w:t> </w:t>
      </w:r>
      <w:r>
        <w:rPr>
          <w:rFonts w:ascii="宋体" w:hAnsi="宋体" w:cs="宋体" w:eastAsia="宋体" w:hint="default"/>
        </w:rPr>
        <w:t>118</w:t>
      </w:r>
      <w:r>
        <w:rPr>
          <w:rFonts w:ascii="宋体" w:hAnsi="宋体" w:cs="宋体" w:eastAsia="宋体" w:hint="default"/>
          <w:spacing w:val="-53"/>
        </w:rPr>
        <w:t> </w:t>
      </w:r>
      <w:r>
        <w:rPr/>
        <w:t>名股东，分别为：上海圣睿投资</w:t>
      </w:r>
    </w:p>
    <w:p>
      <w:pPr>
        <w:pStyle w:val="BodyText"/>
        <w:spacing w:line="272" w:lineRule="exact"/>
        <w:ind w:right="0"/>
        <w:jc w:val="both"/>
      </w:pPr>
      <w:r>
        <w:rPr/>
        <w:t>管理合伙企业（有限合伙）及杨文山、陈宁生、陈荣等</w:t>
      </w:r>
      <w:r>
        <w:rPr>
          <w:spacing w:val="-56"/>
        </w:rPr>
        <w:t> </w:t>
      </w:r>
      <w:r>
        <w:rPr>
          <w:rFonts w:ascii="宋体" w:hAnsi="宋体" w:cs="宋体" w:eastAsia="宋体" w:hint="default"/>
        </w:rPr>
        <w:t>117</w:t>
      </w:r>
      <w:r>
        <w:rPr>
          <w:rFonts w:ascii="宋体" w:hAnsi="宋体" w:cs="宋体" w:eastAsia="宋体" w:hint="default"/>
          <w:spacing w:val="-56"/>
        </w:rPr>
        <w:t> </w:t>
      </w:r>
      <w:r>
        <w:rPr/>
        <w:t>位自然人。上述股东锁定期自公司股</w:t>
      </w:r>
    </w:p>
    <w:p>
      <w:pPr>
        <w:pStyle w:val="BodyText"/>
        <w:spacing w:line="232" w:lineRule="auto" w:before="6"/>
        <w:ind w:right="228"/>
        <w:jc w:val="both"/>
      </w:pPr>
      <w:r>
        <w:rPr>
          <w:spacing w:val="-7"/>
          <w:w w:val="100"/>
        </w:rPr>
        <w:t>票上市之日起十二个月，该部分限售股共计</w:t>
      </w:r>
      <w:r>
        <w:rPr>
          <w:spacing w:val="-52"/>
          <w:w w:val="100"/>
        </w:rPr>
        <w:t> </w:t>
      </w:r>
      <w:r>
        <w:rPr>
          <w:rFonts w:ascii="宋体" w:hAnsi="宋体" w:cs="宋体" w:eastAsia="宋体" w:hint="default"/>
          <w:spacing w:val="-1"/>
          <w:w w:val="100"/>
        </w:rPr>
        <w:t>21,300,000</w:t>
      </w:r>
      <w:r>
        <w:rPr>
          <w:rFonts w:ascii="宋体" w:hAnsi="宋体" w:cs="宋体" w:eastAsia="宋体" w:hint="default"/>
          <w:spacing w:val="-52"/>
          <w:w w:val="100"/>
        </w:rPr>
        <w:t> </w:t>
      </w:r>
      <w:r>
        <w:rPr>
          <w:spacing w:val="-35"/>
          <w:w w:val="100"/>
        </w:rPr>
        <w:t>股。自</w:t>
      </w:r>
      <w:r>
        <w:rPr>
          <w:spacing w:val="-52"/>
          <w:w w:val="100"/>
        </w:rPr>
        <w:t> </w:t>
      </w:r>
      <w:r>
        <w:rPr>
          <w:rFonts w:ascii="宋体" w:hAnsi="宋体" w:cs="宋体" w:eastAsia="宋体" w:hint="default"/>
          <w:spacing w:val="-1"/>
          <w:w w:val="100"/>
        </w:rPr>
        <w:t>2018</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w w:val="100"/>
        </w:rPr>
        <w:t>4</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w w:val="100"/>
        </w:rPr>
        <w:t>23</w:t>
      </w:r>
      <w:r>
        <w:rPr>
          <w:rFonts w:ascii="宋体" w:hAnsi="宋体" w:cs="宋体" w:eastAsia="宋体" w:hint="default"/>
          <w:spacing w:val="-54"/>
          <w:w w:val="100"/>
        </w:rPr>
        <w:t> </w:t>
      </w:r>
      <w:r>
        <w:rPr>
          <w:spacing w:val="-13"/>
          <w:w w:val="100"/>
        </w:rPr>
        <w:t>日起，锁定期届满，</w:t>
      </w:r>
      <w:r>
        <w:rPr>
          <w:w w:val="100"/>
        </w:rPr>
        <w:t> </w:t>
      </w:r>
      <w:r>
        <w:rPr>
          <w:spacing w:val="-2"/>
        </w:rPr>
        <w:t>公司办理了解禁上市流通手续。详见公司刊登于上海证券交易所网站</w:t>
      </w:r>
      <w:r>
        <w:rPr>
          <w:rFonts w:ascii="宋体" w:hAnsi="宋体" w:cs="宋体" w:eastAsia="宋体" w:hint="default"/>
          <w:spacing w:val="-2"/>
        </w:rPr>
        <w:t>(www.sse.com.cn</w:t>
      </w:r>
      <w:r>
        <w:rPr>
          <w:rFonts w:ascii="Times New Roman" w:hAnsi="Times New Roman" w:cs="Times New Roman" w:eastAsia="Times New Roman" w:hint="default"/>
          <w:spacing w:val="-2"/>
        </w:rPr>
        <w:t>)</w:t>
      </w:r>
      <w:r>
        <w:rPr>
          <w:spacing w:val="-2"/>
        </w:rPr>
        <w:t>及公司指</w:t>
      </w:r>
      <w:r>
        <w:rPr>
          <w:spacing w:val="-14"/>
        </w:rPr>
        <w:t> </w:t>
      </w:r>
      <w:r>
        <w:rPr>
          <w:spacing w:val="-14"/>
        </w:rPr>
      </w:r>
      <w:r>
        <w:rPr>
          <w:spacing w:val="-16"/>
          <w:w w:val="100"/>
        </w:rPr>
        <w:t>定信息披露媒体《中国证券报》、《上海证券报》、《证券日报》、《证券时报》同日刊登的《上海格</w:t>
      </w:r>
      <w:r>
        <w:rPr>
          <w:spacing w:val="-74"/>
          <w:w w:val="100"/>
        </w:rPr>
        <w:t> </w:t>
      </w:r>
      <w:r>
        <w:rPr>
          <w:spacing w:val="-74"/>
          <w:w w:val="100"/>
        </w:rPr>
      </w:r>
      <w:r>
        <w:rPr>
          <w:spacing w:val="-5"/>
          <w:w w:val="100"/>
        </w:rPr>
        <w:t>尔软件股份有限公司首次公开发行限售股上市流通公告》（公告编号：临</w:t>
      </w:r>
      <w:r>
        <w:rPr>
          <w:spacing w:val="-33"/>
          <w:w w:val="100"/>
        </w:rPr>
        <w:t> </w:t>
      </w:r>
      <w:r>
        <w:rPr>
          <w:rFonts w:ascii="宋体" w:hAnsi="宋体" w:cs="宋体" w:eastAsia="宋体" w:hint="default"/>
          <w:spacing w:val="-23"/>
          <w:w w:val="100"/>
        </w:rPr>
        <w:t>2018-007</w:t>
      </w:r>
      <w:r>
        <w:rPr>
          <w:spacing w:val="-23"/>
          <w:w w:val="100"/>
        </w:rPr>
        <w:t>）。</w:t>
      </w:r>
      <w:r>
        <w:rPr>
          <w:w w:val="10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spacing w:line="240" w:lineRule="auto" w:before="8"/>
        <w:rPr>
          <w:rFonts w:ascii="宋体" w:hAnsi="宋体" w:cs="宋体" w:eastAsia="宋体" w:hint="default"/>
          <w:sz w:val="15"/>
          <w:szCs w:val="15"/>
        </w:rPr>
      </w:pPr>
    </w:p>
    <w:p>
      <w:pPr>
        <w:pStyle w:val="Heading2"/>
        <w:spacing w:line="290" w:lineRule="auto"/>
        <w:ind w:right="-3"/>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截至报告期内证券发行情况</w:t>
      </w:r>
      <w:r>
        <w:rPr>
          <w:b w:val="0"/>
          <w:bCs w:val="0"/>
          <w:spacing w:val="-1"/>
        </w:rPr>
      </w:r>
    </w:p>
    <w:p>
      <w:pPr>
        <w:pStyle w:val="BodyText"/>
        <w:spacing w:line="240" w:lineRule="auto" w:before="12"/>
        <w:ind w:right="-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BodyText"/>
        <w:spacing w:line="240" w:lineRule="auto"/>
        <w:ind w:right="0"/>
        <w:jc w:val="left"/>
      </w:pPr>
      <w:r>
        <w:rPr/>
        <w:t>单位：股币种：人民币</w:t>
      </w:r>
    </w:p>
    <w:p>
      <w:pPr>
        <w:spacing w:after="0" w:line="240" w:lineRule="auto"/>
        <w:jc w:val="left"/>
        <w:sectPr>
          <w:type w:val="continuous"/>
          <w:pgSz w:w="11910" w:h="16840"/>
          <w:pgMar w:top="1120" w:bottom="1380" w:left="1580" w:right="1040"/>
          <w:cols w:num="2" w:equalWidth="0">
            <w:col w:w="3173" w:space="3560"/>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8"/>
        <w:gridCol w:w="1133"/>
        <w:gridCol w:w="1478"/>
        <w:gridCol w:w="1203"/>
        <w:gridCol w:w="1202"/>
        <w:gridCol w:w="1162"/>
        <w:gridCol w:w="1202"/>
      </w:tblGrid>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股票及其衍生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证券的种类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1"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发行价格（或</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利率）</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jc w:val="left"/>
              <w:rPr>
                <w:rFonts w:ascii="宋体" w:hAnsi="宋体" w:cs="宋体" w:eastAsia="宋体" w:hint="default"/>
                <w:sz w:val="21"/>
                <w:szCs w:val="21"/>
              </w:rPr>
            </w:pPr>
            <w:r>
              <w:rPr>
                <w:rFonts w:ascii="宋体" w:hAnsi="宋体" w:cs="宋体" w:eastAsia="宋体" w:hint="default"/>
                <w:sz w:val="21"/>
                <w:szCs w:val="21"/>
              </w:rPr>
              <w:t>获准上市</w:t>
            </w:r>
          </w:p>
          <w:p>
            <w:pPr>
              <w:pStyle w:val="TableParagraph"/>
              <w:spacing w:line="274" w:lineRule="exact"/>
              <w:ind w:left="155" w:right="0"/>
              <w:jc w:val="left"/>
              <w:rPr>
                <w:rFonts w:ascii="宋体" w:hAnsi="宋体" w:cs="宋体" w:eastAsia="宋体" w:hint="default"/>
                <w:sz w:val="21"/>
                <w:szCs w:val="21"/>
              </w:rPr>
            </w:pPr>
            <w:r>
              <w:rPr>
                <w:rFonts w:ascii="宋体" w:hAnsi="宋体" w:cs="宋体" w:eastAsia="宋体" w:hint="default"/>
                <w:sz w:val="21"/>
                <w:szCs w:val="21"/>
              </w:rPr>
              <w:t>交易数量</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交易终止</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3"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9"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p>
          <w:p>
            <w:pPr>
              <w:pStyle w:val="TableParagraph"/>
              <w:spacing w:line="282" w:lineRule="exact"/>
              <w:ind w:left="19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90" w:right="0"/>
              <w:jc w:val="left"/>
              <w:rPr>
                <w:rFonts w:ascii="Times New Roman" w:hAnsi="Times New Roman" w:cs="Times New Roman" w:eastAsia="Times New Roman" w:hint="default"/>
                <w:sz w:val="21"/>
                <w:szCs w:val="21"/>
              </w:rPr>
            </w:pPr>
            <w:r>
              <w:rPr>
                <w:rFonts w:ascii="Times New Roman"/>
                <w:sz w:val="21"/>
              </w:rPr>
              <w:t>18.10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4" w:right="0"/>
              <w:jc w:val="left"/>
              <w:rPr>
                <w:rFonts w:ascii="Times New Roman" w:hAnsi="Times New Roman" w:cs="Times New Roman" w:eastAsia="Times New Roman" w:hint="default"/>
                <w:sz w:val="21"/>
                <w:szCs w:val="21"/>
              </w:rPr>
            </w:pPr>
            <w:r>
              <w:rPr>
                <w:rFonts w:ascii="Times New Roman"/>
                <w:sz w:val="21"/>
              </w:rPr>
              <w:t>15,250,000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48"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p>
          <w:p>
            <w:pPr>
              <w:pStyle w:val="TableParagraph"/>
              <w:spacing w:line="282" w:lineRule="exact"/>
              <w:ind w:left="254"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15,250,000</w:t>
            </w: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73" w:lineRule="exact" w:before="36"/>
        <w:ind w:right="227"/>
        <w:jc w:val="left"/>
      </w:pPr>
      <w:r>
        <w:rPr>
          <w:w w:val="100"/>
        </w:rPr>
        <w:t>截</w:t>
      </w:r>
      <w:r>
        <w:rPr>
          <w:spacing w:val="-1"/>
          <w:w w:val="100"/>
        </w:rPr>
        <w:t>至</w:t>
      </w:r>
      <w:r>
        <w:rPr>
          <w:spacing w:val="-3"/>
          <w:w w:val="100"/>
        </w:rPr>
        <w:t>报</w:t>
      </w:r>
      <w:r>
        <w:rPr>
          <w:w w:val="100"/>
        </w:rPr>
        <w:t>告</w:t>
      </w:r>
      <w:r>
        <w:rPr>
          <w:spacing w:val="-3"/>
          <w:w w:val="100"/>
        </w:rPr>
        <w:t>期</w:t>
      </w:r>
      <w:r>
        <w:rPr>
          <w:spacing w:val="-1"/>
          <w:w w:val="100"/>
        </w:rPr>
        <w:t>内</w:t>
      </w:r>
      <w:r>
        <w:rPr>
          <w:spacing w:val="-3"/>
          <w:w w:val="100"/>
        </w:rPr>
        <w:t>证</w:t>
      </w:r>
      <w:r>
        <w:rPr>
          <w:w w:val="100"/>
        </w:rPr>
        <w:t>券</w:t>
      </w:r>
      <w:r>
        <w:rPr>
          <w:spacing w:val="-3"/>
          <w:w w:val="100"/>
        </w:rPr>
        <w:t>发</w:t>
      </w:r>
      <w:r>
        <w:rPr>
          <w:w w:val="100"/>
        </w:rPr>
        <w:t>行</w:t>
      </w:r>
      <w:r>
        <w:rPr>
          <w:spacing w:val="-3"/>
          <w:w w:val="100"/>
        </w:rPr>
        <w:t>情</w:t>
      </w:r>
      <w:r>
        <w:rPr>
          <w:w w:val="100"/>
        </w:rPr>
        <w:t>况的</w:t>
      </w:r>
      <w:r>
        <w:rPr>
          <w:spacing w:val="-3"/>
          <w:w w:val="100"/>
        </w:rPr>
        <w:t>说</w:t>
      </w:r>
      <w:r>
        <w:rPr>
          <w:w w:val="100"/>
        </w:rPr>
        <w:t>明</w:t>
      </w:r>
      <w:r>
        <w:rPr>
          <w:spacing w:val="-3"/>
          <w:w w:val="100"/>
        </w:rPr>
        <w:t>（</w:t>
      </w:r>
      <w:r>
        <w:rPr>
          <w:w w:val="100"/>
        </w:rPr>
        <w:t>存</w:t>
      </w:r>
      <w:r>
        <w:rPr>
          <w:spacing w:val="-3"/>
          <w:w w:val="100"/>
        </w:rPr>
        <w:t>续</w:t>
      </w:r>
      <w:r>
        <w:rPr>
          <w:w w:val="100"/>
        </w:rPr>
        <w:t>期</w:t>
      </w:r>
      <w:r>
        <w:rPr>
          <w:spacing w:val="-3"/>
          <w:w w:val="100"/>
        </w:rPr>
        <w:t>内</w:t>
      </w:r>
      <w:r>
        <w:rPr>
          <w:w w:val="100"/>
        </w:rPr>
        <w:t>利</w:t>
      </w:r>
      <w:r>
        <w:rPr>
          <w:spacing w:val="-3"/>
          <w:w w:val="100"/>
        </w:rPr>
        <w:t>率</w:t>
      </w:r>
      <w:r>
        <w:rPr>
          <w:w w:val="100"/>
        </w:rPr>
        <w:t>不同</w:t>
      </w:r>
      <w:r>
        <w:rPr>
          <w:spacing w:val="-3"/>
          <w:w w:val="100"/>
        </w:rPr>
        <w:t>的</w:t>
      </w:r>
      <w:r>
        <w:rPr>
          <w:w w:val="100"/>
        </w:rPr>
        <w:t>债</w:t>
      </w:r>
      <w:r>
        <w:rPr>
          <w:spacing w:val="-3"/>
          <w:w w:val="100"/>
        </w:rPr>
        <w:t>券</w:t>
      </w:r>
      <w:r>
        <w:rPr>
          <w:w w:val="100"/>
        </w:rPr>
        <w:t>，</w:t>
      </w:r>
      <w:r>
        <w:rPr>
          <w:spacing w:val="-3"/>
          <w:w w:val="100"/>
        </w:rPr>
        <w:t>请</w:t>
      </w:r>
      <w:r>
        <w:rPr>
          <w:w w:val="100"/>
        </w:rPr>
        <w:t>分</w:t>
      </w:r>
      <w:r>
        <w:rPr>
          <w:spacing w:val="-3"/>
          <w:w w:val="100"/>
        </w:rPr>
        <w:t>别</w:t>
      </w:r>
      <w:r>
        <w:rPr>
          <w:w w:val="100"/>
        </w:rPr>
        <w:t>说</w:t>
      </w:r>
      <w:r>
        <w:rPr>
          <w:spacing w:val="-3"/>
          <w:w w:val="100"/>
        </w:rPr>
        <w:t>明</w:t>
      </w:r>
      <w:r>
        <w:rPr>
          <w:spacing w:val="-108"/>
          <w:w w:val="100"/>
        </w:rPr>
        <w:t>）</w:t>
      </w:r>
      <w:r>
        <w:rPr>
          <w:w w:val="100"/>
        </w:rPr>
        <w:t>：</w:t>
      </w:r>
    </w:p>
    <w:p>
      <w:pPr>
        <w:pStyle w:val="BodyText"/>
        <w:spacing w:line="289" w:lineRule="exact"/>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right="227"/>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spacing w:line="273" w:lineRule="exact" w:before="58"/>
        <w:ind w:right="2465"/>
        <w:jc w:val="left"/>
      </w:pPr>
      <w:r>
        <w:rPr/>
        <w:t>√适用□不适用</w:t>
      </w:r>
    </w:p>
    <w:p>
      <w:pPr>
        <w:pStyle w:val="BodyText"/>
        <w:spacing w:line="289" w:lineRule="exact"/>
        <w:ind w:right="2465"/>
        <w:jc w:val="left"/>
      </w:pPr>
      <w:r>
        <w:rPr>
          <w:rFonts w:ascii="Times New Roman" w:hAnsi="Times New Roman" w:cs="Times New Roman" w:eastAsia="Times New Roman" w:hint="default"/>
        </w:rPr>
        <w:t>1</w:t>
      </w:r>
      <w:r>
        <w:rPr/>
        <w:t>、股份总数及股东结构变动</w:t>
      </w:r>
    </w:p>
    <w:tbl>
      <w:tblPr>
        <w:tblW w:w="0" w:type="auto"/>
        <w:jc w:val="left"/>
        <w:tblInd w:w="201" w:type="dxa"/>
        <w:tblLayout w:type="fixed"/>
        <w:tblCellMar>
          <w:top w:w="0" w:type="dxa"/>
          <w:left w:w="0" w:type="dxa"/>
          <w:bottom w:w="0" w:type="dxa"/>
          <w:right w:w="0" w:type="dxa"/>
        </w:tblCellMar>
        <w:tblLook w:val="01E0"/>
      </w:tblPr>
      <w:tblGrid>
        <w:gridCol w:w="845"/>
        <w:gridCol w:w="1642"/>
        <w:gridCol w:w="1421"/>
        <w:gridCol w:w="1548"/>
        <w:gridCol w:w="1418"/>
        <w:gridCol w:w="1549"/>
      </w:tblGrid>
      <w:tr>
        <w:trPr>
          <w:trHeight w:val="924" w:hRule="exact"/>
        </w:trPr>
        <w:tc>
          <w:tcPr>
            <w:tcW w:w="8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6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395"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29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952" w:right="0"/>
              <w:jc w:val="left"/>
              <w:rPr>
                <w:rFonts w:ascii="宋体" w:hAnsi="宋体" w:cs="宋体" w:eastAsia="宋体" w:hint="default"/>
                <w:sz w:val="21"/>
                <w:szCs w:val="21"/>
              </w:rPr>
            </w:pPr>
            <w:r>
              <w:rPr>
                <w:rFonts w:ascii="宋体" w:hAnsi="宋体" w:cs="宋体" w:eastAsia="宋体" w:hint="default"/>
                <w:sz w:val="21"/>
                <w:szCs w:val="21"/>
              </w:rPr>
              <w:t>本次发行前</w:t>
            </w:r>
          </w:p>
        </w:tc>
        <w:tc>
          <w:tcPr>
            <w:tcW w:w="29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950" w:right="0"/>
              <w:jc w:val="left"/>
              <w:rPr>
                <w:rFonts w:ascii="宋体" w:hAnsi="宋体" w:cs="宋体" w:eastAsia="宋体" w:hint="default"/>
                <w:sz w:val="21"/>
                <w:szCs w:val="21"/>
              </w:rPr>
            </w:pPr>
            <w:r>
              <w:rPr>
                <w:rFonts w:ascii="宋体" w:hAnsi="宋体" w:cs="宋体" w:eastAsia="宋体" w:hint="default"/>
                <w:sz w:val="21"/>
                <w:szCs w:val="21"/>
              </w:rPr>
              <w:t>本次发行后</w:t>
            </w:r>
          </w:p>
        </w:tc>
      </w:tr>
      <w:tr>
        <w:trPr>
          <w:trHeight w:val="619" w:hRule="exact"/>
        </w:trPr>
        <w:tc>
          <w:tcPr>
            <w:tcW w:w="845" w:type="dxa"/>
            <w:vMerge/>
            <w:tcBorders>
              <w:left w:val="single" w:sz="4" w:space="0" w:color="000000"/>
              <w:bottom w:val="single" w:sz="4" w:space="0" w:color="000000"/>
              <w:right w:val="single" w:sz="4" w:space="0" w:color="000000"/>
            </w:tcBorders>
          </w:tcPr>
          <w:p>
            <w:pPr/>
          </w:p>
        </w:tc>
        <w:tc>
          <w:tcPr>
            <w:tcW w:w="1642" w:type="dxa"/>
            <w:vMerge/>
            <w:tcBorders>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3"/>
              <w:ind w:left="103" w:right="149"/>
              <w:jc w:val="left"/>
              <w:rPr>
                <w:rFonts w:ascii="宋体" w:hAnsi="宋体" w:cs="宋体" w:eastAsia="宋体" w:hint="default"/>
                <w:sz w:val="21"/>
                <w:szCs w:val="21"/>
              </w:rPr>
            </w:pPr>
            <w:r>
              <w:rPr>
                <w:rFonts w:ascii="宋体" w:hAnsi="宋体" w:cs="宋体" w:eastAsia="宋体" w:hint="default"/>
                <w:sz w:val="21"/>
                <w:szCs w:val="21"/>
              </w:rPr>
              <w:t>持股数量</w:t>
            </w:r>
            <w:r>
              <w:rPr>
                <w:rFonts w:ascii="宋体" w:hAnsi="宋体" w:cs="宋体" w:eastAsia="宋体" w:hint="default"/>
                <w:sz w:val="21"/>
                <w:szCs w:val="21"/>
              </w:rPr>
              <w:t>(</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0"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3"/>
              <w:ind w:left="100" w:right="149"/>
              <w:jc w:val="left"/>
              <w:rPr>
                <w:rFonts w:ascii="宋体" w:hAnsi="宋体" w:cs="宋体" w:eastAsia="宋体" w:hint="default"/>
                <w:sz w:val="21"/>
                <w:szCs w:val="21"/>
              </w:rPr>
            </w:pPr>
            <w:r>
              <w:rPr>
                <w:rFonts w:ascii="宋体" w:hAnsi="宋体" w:cs="宋体" w:eastAsia="宋体" w:hint="default"/>
                <w:sz w:val="21"/>
                <w:szCs w:val="21"/>
              </w:rPr>
              <w:t>持股数量</w:t>
            </w:r>
            <w:r>
              <w:rPr>
                <w:rFonts w:ascii="宋体" w:hAnsi="宋体" w:cs="宋体" w:eastAsia="宋体" w:hint="default"/>
                <w:sz w:val="21"/>
                <w:szCs w:val="21"/>
              </w:rPr>
              <w:t>(</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r>
      <w:tr>
        <w:trPr>
          <w:trHeight w:val="315"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1"/>
                <w:szCs w:val="21"/>
              </w:rPr>
            </w:pPr>
            <w:r>
              <w:rPr>
                <w:rFonts w:ascii="宋体"/>
                <w:w w:val="100"/>
                <w:sz w:val="21"/>
              </w:rPr>
              <w:t>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孔令钢</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1"/>
                <w:szCs w:val="21"/>
              </w:rPr>
            </w:pPr>
            <w:r>
              <w:rPr>
                <w:rFonts w:ascii="宋体"/>
                <w:sz w:val="21"/>
              </w:rPr>
              <w:t>888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1"/>
                <w:szCs w:val="21"/>
              </w:rPr>
            </w:pPr>
            <w:r>
              <w:rPr>
                <w:rFonts w:ascii="宋体"/>
                <w:sz w:val="21"/>
              </w:rPr>
              <w:t>19.41%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1"/>
                <w:szCs w:val="21"/>
              </w:rPr>
            </w:pPr>
            <w:r>
              <w:rPr>
                <w:rFonts w:ascii="宋体"/>
                <w:sz w:val="21"/>
              </w:rPr>
              <w:t>888</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98"/>
              <w:jc w:val="right"/>
              <w:rPr>
                <w:rFonts w:ascii="宋体" w:hAnsi="宋体" w:cs="宋体" w:eastAsia="宋体" w:hint="default"/>
                <w:sz w:val="21"/>
                <w:szCs w:val="21"/>
              </w:rPr>
            </w:pPr>
            <w:r>
              <w:rPr>
                <w:rFonts w:ascii="宋体"/>
                <w:sz w:val="21"/>
              </w:rPr>
              <w:t>14.56%</w:t>
            </w:r>
          </w:p>
        </w:tc>
      </w:tr>
      <w:tr>
        <w:trPr>
          <w:trHeight w:val="31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1"/>
                <w:szCs w:val="21"/>
              </w:rPr>
            </w:pPr>
            <w:r>
              <w:rPr>
                <w:rFonts w:ascii="宋体"/>
                <w:w w:val="100"/>
                <w:sz w:val="21"/>
              </w:rPr>
              <w:t>2</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陆海天</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1"/>
                <w:szCs w:val="21"/>
              </w:rPr>
            </w:pPr>
            <w:r>
              <w:rPr>
                <w:rFonts w:ascii="宋体"/>
                <w:sz w:val="21"/>
              </w:rPr>
              <w:t>612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1"/>
                <w:szCs w:val="21"/>
              </w:rPr>
            </w:pPr>
            <w:r>
              <w:rPr>
                <w:rFonts w:ascii="宋体"/>
                <w:sz w:val="21"/>
              </w:rPr>
              <w:t>13.38%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1"/>
                <w:szCs w:val="21"/>
              </w:rPr>
            </w:pPr>
            <w:r>
              <w:rPr>
                <w:rFonts w:ascii="宋体"/>
                <w:sz w:val="21"/>
              </w:rPr>
              <w:t>612</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98"/>
              <w:jc w:val="right"/>
              <w:rPr>
                <w:rFonts w:ascii="宋体" w:hAnsi="宋体" w:cs="宋体" w:eastAsia="宋体" w:hint="default"/>
                <w:sz w:val="21"/>
                <w:szCs w:val="21"/>
              </w:rPr>
            </w:pPr>
            <w:r>
              <w:rPr>
                <w:rFonts w:ascii="宋体"/>
                <w:sz w:val="21"/>
              </w:rPr>
              <w:t>10.03%</w:t>
            </w:r>
          </w:p>
        </w:tc>
      </w:tr>
      <w:tr>
        <w:trPr>
          <w:trHeight w:val="317"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1"/>
                <w:szCs w:val="21"/>
              </w:rPr>
            </w:pPr>
            <w:r>
              <w:rPr>
                <w:rFonts w:ascii="宋体"/>
                <w:w w:val="100"/>
                <w:sz w:val="21"/>
              </w:rPr>
              <w:t>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格尔实业</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1"/>
                <w:szCs w:val="21"/>
              </w:rPr>
            </w:pPr>
            <w:r>
              <w:rPr>
                <w:rFonts w:ascii="宋体"/>
                <w:sz w:val="21"/>
              </w:rPr>
              <w:t>600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1"/>
                <w:szCs w:val="21"/>
              </w:rPr>
            </w:pPr>
            <w:r>
              <w:rPr>
                <w:rFonts w:ascii="宋体"/>
                <w:sz w:val="21"/>
              </w:rPr>
              <w:t>13.11%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1"/>
                <w:szCs w:val="21"/>
              </w:rPr>
            </w:pPr>
            <w:r>
              <w:rPr>
                <w:rFonts w:ascii="宋体"/>
                <w:sz w:val="21"/>
              </w:rPr>
              <w:t>600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98"/>
              <w:jc w:val="right"/>
              <w:rPr>
                <w:rFonts w:ascii="宋体" w:hAnsi="宋体" w:cs="宋体" w:eastAsia="宋体" w:hint="default"/>
                <w:sz w:val="21"/>
                <w:szCs w:val="21"/>
              </w:rPr>
            </w:pPr>
            <w:r>
              <w:rPr>
                <w:rFonts w:ascii="宋体"/>
                <w:sz w:val="21"/>
              </w:rPr>
              <w:t>9.84%</w:t>
            </w:r>
          </w:p>
        </w:tc>
      </w:tr>
    </w:tbl>
    <w:p>
      <w:pPr>
        <w:spacing w:after="0" w:line="258"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201" w:type="dxa"/>
        <w:tblLayout w:type="fixed"/>
        <w:tblCellMar>
          <w:top w:w="0" w:type="dxa"/>
          <w:left w:w="0" w:type="dxa"/>
          <w:bottom w:w="0" w:type="dxa"/>
          <w:right w:w="0" w:type="dxa"/>
        </w:tblCellMar>
        <w:tblLook w:val="01E0"/>
      </w:tblPr>
      <w:tblGrid>
        <w:gridCol w:w="845"/>
        <w:gridCol w:w="1642"/>
        <w:gridCol w:w="1421"/>
        <w:gridCol w:w="1548"/>
        <w:gridCol w:w="1418"/>
        <w:gridCol w:w="1549"/>
      </w:tblGrid>
      <w:tr>
        <w:trPr>
          <w:trHeight w:val="312" w:hRule="exact"/>
        </w:trPr>
        <w:tc>
          <w:tcPr>
            <w:tcW w:w="845" w:type="dxa"/>
            <w:tcBorders>
              <w:top w:val="nil" w:sz="6" w:space="0" w:color="auto"/>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1"/>
                <w:szCs w:val="21"/>
              </w:rPr>
            </w:pPr>
            <w:r>
              <w:rPr>
                <w:rFonts w:ascii="宋体"/>
                <w:w w:val="100"/>
                <w:sz w:val="21"/>
              </w:rPr>
              <w:t>4</w:t>
            </w:r>
          </w:p>
        </w:tc>
        <w:tc>
          <w:tcPr>
            <w:tcW w:w="1642" w:type="dxa"/>
            <w:tcBorders>
              <w:top w:val="nil" w:sz="6" w:space="0" w:color="auto"/>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杨文山</w:t>
            </w:r>
          </w:p>
        </w:tc>
        <w:tc>
          <w:tcPr>
            <w:tcW w:w="1421" w:type="dxa"/>
            <w:tcBorders>
              <w:top w:val="nil" w:sz="6" w:space="0" w:color="auto"/>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1"/>
                <w:szCs w:val="21"/>
              </w:rPr>
            </w:pPr>
            <w:r>
              <w:rPr>
                <w:rFonts w:ascii="宋体"/>
                <w:sz w:val="21"/>
              </w:rPr>
              <w:t>400</w:t>
            </w:r>
          </w:p>
        </w:tc>
        <w:tc>
          <w:tcPr>
            <w:tcW w:w="1548" w:type="dxa"/>
            <w:tcBorders>
              <w:top w:val="nil" w:sz="6" w:space="0" w:color="auto"/>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1"/>
                <w:szCs w:val="21"/>
              </w:rPr>
            </w:pPr>
            <w:r>
              <w:rPr>
                <w:rFonts w:ascii="宋体"/>
                <w:sz w:val="21"/>
              </w:rPr>
              <w:t>8.74%</w:t>
            </w: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1"/>
                <w:szCs w:val="21"/>
              </w:rPr>
            </w:pPr>
            <w:r>
              <w:rPr>
                <w:rFonts w:ascii="宋体"/>
                <w:sz w:val="21"/>
              </w:rPr>
              <w:t>400</w:t>
            </w:r>
          </w:p>
        </w:tc>
        <w:tc>
          <w:tcPr>
            <w:tcW w:w="1549" w:type="dxa"/>
            <w:tcBorders>
              <w:top w:val="nil" w:sz="6" w:space="0" w:color="auto"/>
              <w:left w:val="single" w:sz="4" w:space="0" w:color="000000"/>
              <w:bottom w:val="single" w:sz="4" w:space="0" w:color="000000"/>
              <w:right w:val="single" w:sz="4" w:space="0" w:color="000000"/>
            </w:tcBorders>
          </w:tcPr>
          <w:p>
            <w:pPr>
              <w:pStyle w:val="TableParagraph"/>
              <w:spacing w:line="258" w:lineRule="exact"/>
              <w:ind w:right="98"/>
              <w:jc w:val="right"/>
              <w:rPr>
                <w:rFonts w:ascii="宋体" w:hAnsi="宋体" w:cs="宋体" w:eastAsia="宋体" w:hint="default"/>
                <w:sz w:val="21"/>
                <w:szCs w:val="21"/>
              </w:rPr>
            </w:pPr>
            <w:r>
              <w:rPr>
                <w:rFonts w:ascii="宋体"/>
                <w:sz w:val="21"/>
              </w:rPr>
              <w:t>6.56%</w:t>
            </w:r>
          </w:p>
        </w:tc>
      </w:tr>
      <w:tr>
        <w:trPr>
          <w:trHeight w:val="31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w w:val="100"/>
                <w:sz w:val="21"/>
              </w:rPr>
              <w:t>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圣睿投资</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sz w:val="21"/>
              </w:rPr>
              <w:t>400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sz w:val="21"/>
              </w:rPr>
              <w:t>8.74%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sz w:val="21"/>
              </w:rPr>
              <w:t>400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z w:val="21"/>
              </w:rPr>
              <w:t>6.56%</w:t>
            </w:r>
          </w:p>
        </w:tc>
      </w:tr>
      <w:tr>
        <w:trPr>
          <w:trHeight w:val="31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1"/>
                <w:szCs w:val="21"/>
              </w:rPr>
            </w:pPr>
            <w:r>
              <w:rPr>
                <w:rFonts w:ascii="宋体"/>
                <w:w w:val="100"/>
                <w:sz w:val="21"/>
              </w:rPr>
              <w:t>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陈宁生</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1"/>
                <w:szCs w:val="21"/>
              </w:rPr>
            </w:pPr>
            <w:r>
              <w:rPr>
                <w:rFonts w:ascii="宋体"/>
                <w:sz w:val="21"/>
              </w:rPr>
              <w:t>385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1"/>
                <w:szCs w:val="21"/>
              </w:rPr>
            </w:pPr>
            <w:r>
              <w:rPr>
                <w:rFonts w:ascii="宋体"/>
                <w:sz w:val="21"/>
              </w:rPr>
              <w:t>8.42%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1"/>
                <w:szCs w:val="21"/>
              </w:rPr>
            </w:pPr>
            <w:r>
              <w:rPr>
                <w:rFonts w:ascii="宋体"/>
                <w:sz w:val="21"/>
              </w:rPr>
              <w:t>385</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98"/>
              <w:jc w:val="right"/>
              <w:rPr>
                <w:rFonts w:ascii="宋体" w:hAnsi="宋体" w:cs="宋体" w:eastAsia="宋体" w:hint="default"/>
                <w:sz w:val="21"/>
                <w:szCs w:val="21"/>
              </w:rPr>
            </w:pPr>
            <w:r>
              <w:rPr>
                <w:rFonts w:ascii="宋体"/>
                <w:sz w:val="21"/>
              </w:rPr>
              <w:t>6.31%</w:t>
            </w:r>
          </w:p>
        </w:tc>
      </w:tr>
      <w:tr>
        <w:trPr>
          <w:trHeight w:val="31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1"/>
                <w:szCs w:val="21"/>
              </w:rPr>
            </w:pPr>
            <w:r>
              <w:rPr>
                <w:rFonts w:ascii="宋体"/>
                <w:w w:val="100"/>
                <w:sz w:val="21"/>
              </w:rPr>
              <w:t>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展荣投资</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1"/>
                <w:szCs w:val="21"/>
              </w:rPr>
            </w:pPr>
            <w:r>
              <w:rPr>
                <w:rFonts w:ascii="宋体"/>
                <w:sz w:val="21"/>
              </w:rPr>
              <w:t>345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1"/>
                <w:szCs w:val="21"/>
              </w:rPr>
            </w:pPr>
            <w:r>
              <w:rPr>
                <w:rFonts w:ascii="宋体"/>
                <w:sz w:val="21"/>
              </w:rPr>
              <w:t>7.54%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1"/>
                <w:szCs w:val="21"/>
              </w:rPr>
            </w:pPr>
            <w:r>
              <w:rPr>
                <w:rFonts w:ascii="宋体"/>
                <w:sz w:val="21"/>
              </w:rPr>
              <w:t>345</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98"/>
              <w:jc w:val="right"/>
              <w:rPr>
                <w:rFonts w:ascii="宋体" w:hAnsi="宋体" w:cs="宋体" w:eastAsia="宋体" w:hint="default"/>
                <w:sz w:val="21"/>
                <w:szCs w:val="21"/>
              </w:rPr>
            </w:pPr>
            <w:r>
              <w:rPr>
                <w:rFonts w:ascii="宋体"/>
                <w:sz w:val="21"/>
              </w:rPr>
              <w:t>5.66%</w:t>
            </w:r>
          </w:p>
        </w:tc>
      </w:tr>
      <w:tr>
        <w:trPr>
          <w:trHeight w:val="317"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1"/>
                <w:szCs w:val="21"/>
              </w:rPr>
            </w:pPr>
            <w:r>
              <w:rPr>
                <w:rFonts w:ascii="宋体"/>
                <w:w w:val="100"/>
                <w:sz w:val="21"/>
              </w:rPr>
              <w:t>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1"/>
                <w:szCs w:val="21"/>
              </w:rPr>
            </w:pPr>
            <w:r>
              <w:rPr>
                <w:rFonts w:ascii="宋体"/>
                <w:sz w:val="21"/>
              </w:rPr>
              <w:t>175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1"/>
                <w:szCs w:val="21"/>
              </w:rPr>
            </w:pPr>
            <w:r>
              <w:rPr>
                <w:rFonts w:ascii="宋体"/>
                <w:sz w:val="21"/>
              </w:rPr>
              <w:t>3.83%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1"/>
                <w:szCs w:val="21"/>
              </w:rPr>
            </w:pPr>
            <w:r>
              <w:rPr>
                <w:rFonts w:ascii="宋体"/>
                <w:sz w:val="21"/>
              </w:rPr>
              <w:t>175</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98"/>
              <w:jc w:val="right"/>
              <w:rPr>
                <w:rFonts w:ascii="宋体" w:hAnsi="宋体" w:cs="宋体" w:eastAsia="宋体" w:hint="default"/>
                <w:sz w:val="21"/>
                <w:szCs w:val="21"/>
              </w:rPr>
            </w:pPr>
            <w:r>
              <w:rPr>
                <w:rFonts w:ascii="宋体"/>
                <w:sz w:val="21"/>
              </w:rPr>
              <w:t>2.87%</w:t>
            </w:r>
          </w:p>
        </w:tc>
      </w:tr>
      <w:tr>
        <w:trPr>
          <w:trHeight w:val="31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w w:val="100"/>
                <w:sz w:val="21"/>
              </w:rPr>
              <w:t>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马晓娜</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sz w:val="21"/>
              </w:rPr>
              <w:t>118.75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sz w:val="21"/>
              </w:rPr>
              <w:t>2.60%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sz w:val="21"/>
              </w:rPr>
              <w:t>118.75</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z w:val="21"/>
              </w:rPr>
              <w:t>1.95%</w:t>
            </w:r>
          </w:p>
        </w:tc>
      </w:tr>
      <w:tr>
        <w:trPr>
          <w:trHeight w:val="31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1"/>
                <w:szCs w:val="21"/>
              </w:rPr>
            </w:pPr>
            <w:r>
              <w:rPr>
                <w:rFonts w:ascii="宋体"/>
                <w:sz w:val="21"/>
              </w:rPr>
              <w:t>10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龚茵</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3"/>
              <w:jc w:val="right"/>
              <w:rPr>
                <w:rFonts w:ascii="宋体" w:hAnsi="宋体" w:cs="宋体" w:eastAsia="宋体" w:hint="default"/>
                <w:sz w:val="21"/>
                <w:szCs w:val="21"/>
              </w:rPr>
            </w:pPr>
            <w:r>
              <w:rPr>
                <w:rFonts w:ascii="宋体"/>
                <w:sz w:val="21"/>
              </w:rPr>
              <w:t>88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1"/>
                <w:szCs w:val="21"/>
              </w:rPr>
            </w:pPr>
            <w:r>
              <w:rPr>
                <w:rFonts w:ascii="宋体"/>
                <w:sz w:val="21"/>
              </w:rPr>
              <w:t>1.92%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3"/>
              <w:jc w:val="right"/>
              <w:rPr>
                <w:rFonts w:ascii="宋体" w:hAnsi="宋体" w:cs="宋体" w:eastAsia="宋体" w:hint="default"/>
                <w:sz w:val="21"/>
                <w:szCs w:val="21"/>
              </w:rPr>
            </w:pPr>
            <w:r>
              <w:rPr>
                <w:rFonts w:ascii="宋体"/>
                <w:sz w:val="21"/>
              </w:rPr>
              <w:t>88</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98"/>
              <w:jc w:val="right"/>
              <w:rPr>
                <w:rFonts w:ascii="宋体" w:hAnsi="宋体" w:cs="宋体" w:eastAsia="宋体" w:hint="default"/>
                <w:sz w:val="21"/>
                <w:szCs w:val="21"/>
              </w:rPr>
            </w:pPr>
            <w:r>
              <w:rPr>
                <w:rFonts w:ascii="宋体"/>
                <w:sz w:val="21"/>
              </w:rPr>
              <w:t>1.44%</w:t>
            </w:r>
          </w:p>
        </w:tc>
      </w:tr>
      <w:tr>
        <w:trPr>
          <w:trHeight w:val="619"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宋体" w:hAnsi="宋体" w:cs="宋体" w:eastAsia="宋体" w:hint="default"/>
                <w:sz w:val="21"/>
                <w:szCs w:val="21"/>
              </w:rPr>
            </w:pPr>
            <w:r>
              <w:rPr>
                <w:rFonts w:ascii="宋体"/>
                <w:sz w:val="21"/>
              </w:rPr>
              <w:t>11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7"/>
              <w:ind w:left="103" w:right="106"/>
              <w:jc w:val="left"/>
              <w:rPr>
                <w:rFonts w:ascii="宋体" w:hAnsi="宋体" w:cs="宋体" w:eastAsia="宋体" w:hint="default"/>
                <w:sz w:val="21"/>
                <w:szCs w:val="21"/>
              </w:rPr>
            </w:pPr>
            <w:r>
              <w:rPr>
                <w:rFonts w:ascii="宋体" w:hAnsi="宋体" w:cs="宋体" w:eastAsia="宋体" w:hint="default"/>
                <w:sz w:val="21"/>
                <w:szCs w:val="21"/>
              </w:rPr>
              <w:t>112</w:t>
            </w:r>
            <w:r>
              <w:rPr>
                <w:rFonts w:ascii="宋体" w:hAnsi="宋体" w:cs="宋体" w:eastAsia="宋体" w:hint="default"/>
                <w:spacing w:val="-52"/>
                <w:sz w:val="21"/>
                <w:szCs w:val="21"/>
              </w:rPr>
              <w:t> </w:t>
            </w:r>
            <w:r>
              <w:rPr>
                <w:rFonts w:ascii="宋体" w:hAnsi="宋体" w:cs="宋体" w:eastAsia="宋体" w:hint="default"/>
                <w:sz w:val="21"/>
                <w:szCs w:val="21"/>
              </w:rPr>
              <w:t>名自然人股</w:t>
            </w:r>
            <w:r>
              <w:rPr>
                <w:rFonts w:ascii="宋体" w:hAnsi="宋体" w:cs="宋体" w:eastAsia="宋体" w:hint="default"/>
                <w:w w:val="100"/>
                <w:sz w:val="21"/>
                <w:szCs w:val="21"/>
              </w:rPr>
              <w:t> </w:t>
            </w:r>
            <w:r>
              <w:rPr>
                <w:rFonts w:ascii="宋体" w:hAnsi="宋体" w:cs="宋体" w:eastAsia="宋体" w:hint="default"/>
                <w:sz w:val="21"/>
                <w:szCs w:val="21"/>
              </w:rPr>
              <w:t>东</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宋体" w:hAnsi="宋体" w:cs="宋体" w:eastAsia="宋体" w:hint="default"/>
                <w:sz w:val="21"/>
                <w:szCs w:val="21"/>
              </w:rPr>
            </w:pPr>
            <w:r>
              <w:rPr>
                <w:rFonts w:ascii="宋体"/>
                <w:sz w:val="21"/>
              </w:rPr>
              <w:t>563.25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宋体" w:hAnsi="宋体" w:cs="宋体" w:eastAsia="宋体" w:hint="default"/>
                <w:sz w:val="21"/>
                <w:szCs w:val="21"/>
              </w:rPr>
            </w:pPr>
            <w:r>
              <w:rPr>
                <w:rFonts w:ascii="宋体"/>
                <w:sz w:val="21"/>
              </w:rPr>
              <w:t>12.31%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宋体" w:hAnsi="宋体" w:cs="宋体" w:eastAsia="宋体" w:hint="default"/>
                <w:sz w:val="21"/>
                <w:szCs w:val="21"/>
              </w:rPr>
            </w:pPr>
            <w:r>
              <w:rPr>
                <w:rFonts w:ascii="宋体"/>
                <w:sz w:val="21"/>
              </w:rPr>
              <w:t>563.25</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宋体" w:hAnsi="宋体" w:cs="宋体" w:eastAsia="宋体" w:hint="default"/>
                <w:sz w:val="21"/>
                <w:szCs w:val="21"/>
              </w:rPr>
            </w:pPr>
            <w:r>
              <w:rPr>
                <w:rFonts w:ascii="宋体"/>
                <w:sz w:val="21"/>
              </w:rPr>
              <w:t>9.23%</w:t>
            </w:r>
          </w:p>
        </w:tc>
      </w:tr>
      <w:tr>
        <w:trPr>
          <w:trHeight w:val="620"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宋体" w:hAnsi="宋体" w:cs="宋体" w:eastAsia="宋体" w:hint="default"/>
                <w:sz w:val="21"/>
                <w:szCs w:val="21"/>
              </w:rPr>
            </w:pPr>
            <w:r>
              <w:rPr>
                <w:rFonts w:ascii="宋体"/>
                <w:sz w:val="21"/>
              </w:rPr>
              <w:t>12</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公众投资者</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3"/>
              <w:jc w:val="right"/>
              <w:rPr>
                <w:rFonts w:ascii="宋体" w:hAnsi="宋体" w:cs="宋体" w:eastAsia="宋体" w:hint="default"/>
                <w:sz w:val="21"/>
                <w:szCs w:val="21"/>
              </w:rPr>
            </w:pPr>
            <w:r>
              <w:rPr>
                <w:rFonts w:ascii="宋体"/>
                <w:w w:val="100"/>
                <w:sz w:val="21"/>
              </w:rPr>
              <w:t>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宋体" w:hAnsi="宋体" w:cs="宋体" w:eastAsia="宋体" w:hint="default"/>
                <w:sz w:val="21"/>
                <w:szCs w:val="21"/>
              </w:rPr>
            </w:pPr>
            <w:r>
              <w:rPr>
                <w:rFonts w:ascii="宋体"/>
                <w:sz w:val="21"/>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宋体" w:hAnsi="宋体" w:cs="宋体" w:eastAsia="宋体" w:hint="default"/>
                <w:sz w:val="21"/>
                <w:szCs w:val="21"/>
              </w:rPr>
            </w:pPr>
            <w:r>
              <w:rPr>
                <w:rFonts w:ascii="宋体"/>
                <w:sz w:val="21"/>
              </w:rPr>
              <w:t>1525</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宋体" w:hAnsi="宋体" w:cs="宋体" w:eastAsia="宋体" w:hint="default"/>
                <w:sz w:val="21"/>
                <w:szCs w:val="21"/>
              </w:rPr>
            </w:pPr>
            <w:r>
              <w:rPr>
                <w:rFonts w:ascii="宋体"/>
                <w:sz w:val="21"/>
              </w:rPr>
              <w:t>25.00%</w:t>
            </w:r>
          </w:p>
        </w:tc>
      </w:tr>
      <w:tr>
        <w:trPr>
          <w:trHeight w:val="619"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宋体" w:hAnsi="宋体" w:cs="宋体" w:eastAsia="宋体" w:hint="default"/>
                <w:sz w:val="21"/>
                <w:szCs w:val="21"/>
              </w:rPr>
            </w:pPr>
            <w:r>
              <w:rPr>
                <w:rFonts w:ascii="宋体"/>
                <w:sz w:val="21"/>
              </w:rPr>
              <w:t>13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合计总股本</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宋体" w:hAnsi="宋体" w:cs="宋体" w:eastAsia="宋体" w:hint="default"/>
                <w:sz w:val="21"/>
                <w:szCs w:val="21"/>
              </w:rPr>
            </w:pPr>
            <w:r>
              <w:rPr>
                <w:rFonts w:ascii="宋体"/>
                <w:sz w:val="21"/>
              </w:rPr>
              <w:t>4575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宋体" w:hAnsi="宋体" w:cs="宋体" w:eastAsia="宋体" w:hint="default"/>
                <w:sz w:val="21"/>
                <w:szCs w:val="21"/>
              </w:rPr>
            </w:pPr>
            <w:r>
              <w:rPr>
                <w:rFonts w:ascii="宋体"/>
                <w:spacing w:val="-1"/>
                <w:sz w:val="21"/>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宋体" w:hAnsi="宋体" w:cs="宋体" w:eastAsia="宋体" w:hint="default"/>
                <w:sz w:val="21"/>
                <w:szCs w:val="21"/>
              </w:rPr>
            </w:pPr>
            <w:r>
              <w:rPr>
                <w:rFonts w:ascii="宋体"/>
                <w:sz w:val="21"/>
              </w:rPr>
              <w:t>6100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宋体" w:hAnsi="宋体" w:cs="宋体" w:eastAsia="宋体" w:hint="default"/>
                <w:sz w:val="21"/>
                <w:szCs w:val="21"/>
              </w:rPr>
            </w:pPr>
            <w:r>
              <w:rPr>
                <w:rFonts w:ascii="宋体"/>
                <w:spacing w:val="-1"/>
                <w:sz w:val="21"/>
              </w:rPr>
              <w:t>100.00%</w:t>
            </w:r>
          </w:p>
        </w:tc>
      </w:tr>
    </w:tbl>
    <w:p>
      <w:pPr>
        <w:spacing w:line="240" w:lineRule="auto" w:before="2"/>
        <w:rPr>
          <w:rFonts w:ascii="宋体" w:hAnsi="宋体" w:cs="宋体" w:eastAsia="宋体" w:hint="default"/>
          <w:sz w:val="13"/>
          <w:szCs w:val="13"/>
        </w:rPr>
      </w:pPr>
    </w:p>
    <w:p>
      <w:pPr>
        <w:pStyle w:val="BodyText"/>
        <w:spacing w:line="273" w:lineRule="exact" w:before="36"/>
        <w:ind w:right="2465"/>
        <w:jc w:val="left"/>
      </w:pPr>
      <w:r>
        <w:rPr>
          <w:rFonts w:ascii="宋体" w:hAnsi="宋体" w:cs="宋体" w:eastAsia="宋体" w:hint="default"/>
        </w:rPr>
        <w:t>2</w:t>
      </w:r>
      <w:r>
        <w:rPr/>
        <w:t>、资产和负债结构变动</w:t>
      </w:r>
    </w:p>
    <w:p>
      <w:pPr>
        <w:pStyle w:val="BodyText"/>
        <w:spacing w:line="279" w:lineRule="exact"/>
        <w:ind w:right="65"/>
        <w:jc w:val="left"/>
      </w:pPr>
      <w:r>
        <w:rPr/>
        <w:t>公司首次公开发行股份后，股本由</w:t>
      </w:r>
      <w:r>
        <w:rPr>
          <w:spacing w:val="-52"/>
        </w:rPr>
        <w:t> </w:t>
      </w:r>
      <w:r>
        <w:rPr>
          <w:rFonts w:ascii="Times New Roman" w:hAnsi="Times New Roman" w:cs="Times New Roman" w:eastAsia="Times New Roman" w:hint="default"/>
        </w:rPr>
        <w:t>4575</w:t>
      </w:r>
      <w:r>
        <w:rPr>
          <w:rFonts w:ascii="Times New Roman" w:hAnsi="Times New Roman" w:cs="Times New Roman" w:eastAsia="Times New Roman" w:hint="default"/>
          <w:spacing w:val="-2"/>
        </w:rPr>
        <w:t> </w:t>
      </w:r>
      <w:r>
        <w:rPr/>
        <w:t>万股增加至</w:t>
      </w:r>
      <w:r>
        <w:rPr>
          <w:spacing w:val="-52"/>
        </w:rPr>
        <w:t> </w:t>
      </w:r>
      <w:r>
        <w:rPr>
          <w:rFonts w:ascii="Times New Roman" w:hAnsi="Times New Roman" w:cs="Times New Roman" w:eastAsia="Times New Roman" w:hint="default"/>
        </w:rPr>
        <w:t>6100 </w:t>
      </w:r>
      <w:r>
        <w:rPr/>
        <w:t>万股，资本公积由</w:t>
      </w:r>
      <w:r>
        <w:rPr>
          <w:spacing w:val="-53"/>
        </w:rPr>
        <w:t> </w:t>
      </w:r>
      <w:r>
        <w:rPr>
          <w:rFonts w:ascii="Times New Roman" w:hAnsi="Times New Roman" w:cs="Times New Roman" w:eastAsia="Times New Roman" w:hint="default"/>
        </w:rPr>
        <w:t>5,276.23</w:t>
      </w:r>
      <w:r>
        <w:rPr>
          <w:rFonts w:ascii="Times New Roman" w:hAnsi="Times New Roman" w:cs="Times New Roman" w:eastAsia="Times New Roman" w:hint="default"/>
          <w:spacing w:val="1"/>
        </w:rPr>
        <w:t> </w:t>
      </w:r>
      <w:r>
        <w:rPr/>
        <w:t>万元增加至</w:t>
      </w:r>
    </w:p>
    <w:p>
      <w:pPr>
        <w:pStyle w:val="BodyText"/>
        <w:spacing w:line="281" w:lineRule="exact"/>
        <w:ind w:right="65"/>
        <w:jc w:val="left"/>
      </w:pPr>
      <w:r>
        <w:rPr>
          <w:rFonts w:ascii="Times New Roman" w:hAnsi="Times New Roman" w:cs="Times New Roman" w:eastAsia="Times New Roman" w:hint="default"/>
          <w:w w:val="100"/>
        </w:rPr>
        <w:t>25,028</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39</w:t>
      </w:r>
      <w:r>
        <w:rPr>
          <w:rFonts w:ascii="Times New Roman" w:hAnsi="Times New Roman" w:cs="Times New Roman" w:eastAsia="Times New Roman" w:hint="default"/>
          <w:spacing w:val="-27"/>
        </w:rPr>
        <w:t> </w:t>
      </w:r>
      <w:r>
        <w:rPr>
          <w:spacing w:val="-3"/>
          <w:w w:val="100"/>
        </w:rPr>
        <w:t>万</w:t>
      </w:r>
      <w:r>
        <w:rPr>
          <w:w w:val="100"/>
        </w:rPr>
        <w:t>元</w:t>
      </w:r>
      <w:r>
        <w:rPr>
          <w:spacing w:val="-106"/>
          <w:w w:val="100"/>
        </w:rPr>
        <w:t>，</w:t>
      </w:r>
      <w:r>
        <w:rPr>
          <w:spacing w:val="-3"/>
          <w:w w:val="100"/>
        </w:rPr>
        <w:t>净</w:t>
      </w:r>
      <w:r>
        <w:rPr>
          <w:w w:val="100"/>
        </w:rPr>
        <w:t>资</w:t>
      </w:r>
      <w:r>
        <w:rPr>
          <w:spacing w:val="-3"/>
          <w:w w:val="100"/>
        </w:rPr>
        <w:t>产</w:t>
      </w:r>
      <w:r>
        <w:rPr>
          <w:w w:val="100"/>
        </w:rPr>
        <w:t>由</w:t>
      </w:r>
      <w:r>
        <w:rPr>
          <w:spacing w:val="-79"/>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9,760.</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5</w:t>
      </w:r>
      <w:r>
        <w:rPr>
          <w:rFonts w:ascii="Times New Roman" w:hAnsi="Times New Roman" w:cs="Times New Roman" w:eastAsia="Times New Roman" w:hint="default"/>
          <w:spacing w:val="-27"/>
        </w:rPr>
        <w:t> </w:t>
      </w:r>
      <w:r>
        <w:rPr>
          <w:spacing w:val="-3"/>
          <w:w w:val="100"/>
        </w:rPr>
        <w:t>万</w:t>
      </w:r>
      <w:r>
        <w:rPr>
          <w:w w:val="100"/>
        </w:rPr>
        <w:t>元增</w:t>
      </w:r>
      <w:r>
        <w:rPr>
          <w:spacing w:val="-3"/>
          <w:w w:val="100"/>
        </w:rPr>
        <w:t>加</w:t>
      </w:r>
      <w:r>
        <w:rPr>
          <w:w w:val="100"/>
        </w:rPr>
        <w:t>至</w:t>
      </w:r>
      <w:r>
        <w:rPr>
          <w:spacing w:val="-79"/>
        </w:rPr>
        <w:t> </w:t>
      </w:r>
      <w:r>
        <w:rPr>
          <w:rFonts w:ascii="Times New Roman" w:hAnsi="Times New Roman" w:cs="Times New Roman" w:eastAsia="Times New Roman" w:hint="default"/>
          <w:w w:val="100"/>
        </w:rPr>
        <w:t>57</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48</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.96</w:t>
      </w:r>
      <w:r>
        <w:rPr>
          <w:rFonts w:ascii="Times New Roman" w:hAnsi="Times New Roman" w:cs="Times New Roman" w:eastAsia="Times New Roman" w:hint="default"/>
          <w:spacing w:val="-26"/>
        </w:rPr>
        <w:t> </w:t>
      </w:r>
      <w:r>
        <w:rPr>
          <w:w w:val="100"/>
        </w:rPr>
        <w:t>万</w:t>
      </w:r>
      <w:r>
        <w:rPr>
          <w:spacing w:val="-3"/>
          <w:w w:val="100"/>
        </w:rPr>
        <w:t>元</w:t>
      </w:r>
      <w:r>
        <w:rPr>
          <w:spacing w:val="-106"/>
          <w:w w:val="100"/>
        </w:rPr>
        <w:t>，</w:t>
      </w:r>
      <w:r>
        <w:rPr>
          <w:spacing w:val="-3"/>
          <w:w w:val="100"/>
        </w:rPr>
        <w:t>资</w:t>
      </w:r>
      <w:r>
        <w:rPr>
          <w:w w:val="100"/>
        </w:rPr>
        <w:t>产</w:t>
      </w:r>
      <w:r>
        <w:rPr>
          <w:spacing w:val="-3"/>
          <w:w w:val="100"/>
        </w:rPr>
        <w:t>负</w:t>
      </w:r>
      <w:r>
        <w:rPr>
          <w:w w:val="100"/>
        </w:rPr>
        <w:t>债率</w:t>
      </w:r>
      <w:r>
        <w:rPr>
          <w:spacing w:val="-79"/>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.6</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spacing w:val="-1"/>
          <w:w w:val="100"/>
        </w:rPr>
        <w:t>%</w:t>
      </w:r>
      <w:r>
        <w:rPr>
          <w:w w:val="100"/>
        </w:rPr>
        <w:t>下降至</w:t>
      </w:r>
      <w:r>
        <w:rPr>
          <w:spacing w:val="-81"/>
        </w:rPr>
        <w:t> </w:t>
      </w:r>
      <w:r>
        <w:rPr>
          <w:rFonts w:ascii="Times New Roman" w:hAnsi="Times New Roman" w:cs="Times New Roman" w:eastAsia="Times New Roman" w:hint="default"/>
          <w:w w:val="100"/>
        </w:rPr>
        <w:t>13.0</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spacing w:val="-4"/>
          <w:w w:val="100"/>
        </w:rPr>
        <w:t>%</w:t>
      </w:r>
      <w:r>
        <w:rPr>
          <w:w w:val="100"/>
        </w:rPr>
        <w:t>。</w:t>
      </w:r>
    </w:p>
    <w:p>
      <w:pPr>
        <w:spacing w:line="240" w:lineRule="auto" w:before="10"/>
        <w:rPr>
          <w:rFonts w:ascii="宋体" w:hAnsi="宋体" w:cs="宋体" w:eastAsia="宋体" w:hint="default"/>
          <w:sz w:val="21"/>
          <w:szCs w:val="21"/>
        </w:rPr>
      </w:pPr>
    </w:p>
    <w:p>
      <w:pPr>
        <w:pStyle w:val="Heading2"/>
        <w:spacing w:line="240" w:lineRule="auto"/>
        <w:ind w:right="2465"/>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6"/>
        <w:ind w:right="2465"/>
        <w:jc w:val="left"/>
      </w:pPr>
      <w:r>
        <w:rPr/>
        <w:t>□适用√不适用</w:t>
      </w:r>
    </w:p>
    <w:p>
      <w:pPr>
        <w:pStyle w:val="Heading2"/>
        <w:spacing w:line="240" w:lineRule="auto" w:before="58"/>
        <w:ind w:right="2465"/>
        <w:jc w:val="left"/>
        <w:rPr>
          <w:b w:val="0"/>
          <w:bCs w:val="0"/>
        </w:rPr>
      </w:pPr>
      <w:r>
        <w:rPr/>
        <w:t>三、</w:t>
      </w:r>
      <w:r>
        <w:rPr>
          <w:spacing w:val="-80"/>
        </w:rPr>
        <w:t> </w:t>
      </w:r>
      <w:r>
        <w:rPr/>
        <w:t>股东和实际控制人情况</w:t>
      </w:r>
      <w:r>
        <w:rPr>
          <w:b w:val="0"/>
          <w:bCs w:val="0"/>
        </w:rPr>
      </w:r>
    </w:p>
    <w:p>
      <w:pPr>
        <w:pStyle w:val="Heading2"/>
        <w:spacing w:line="240" w:lineRule="auto" w:before="56"/>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5922"/>
        <w:gridCol w:w="3128"/>
      </w:tblGrid>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截止报告期末普通股股东总数</w:t>
            </w:r>
            <w:r>
              <w:rPr>
                <w:rFonts w:ascii="Times New Roman" w:hAnsi="Times New Roman" w:cs="Times New Roman" w:eastAsia="Times New Roman" w:hint="default"/>
                <w:sz w:val="21"/>
                <w:szCs w:val="21"/>
              </w:rPr>
              <w:t>(</w:t>
            </w:r>
            <w:r>
              <w:rPr>
                <w:rFonts w:ascii="宋体" w:hAnsi="宋体" w:cs="宋体" w:eastAsia="宋体" w:hint="default"/>
                <w:sz w:val="21"/>
                <w:szCs w:val="21"/>
              </w:rPr>
              <w:t>户</w:t>
            </w:r>
            <w:r>
              <w:rPr>
                <w:rFonts w:ascii="Times New Roman" w:hAnsi="Times New Roman" w:cs="Times New Roman" w:eastAsia="Times New Roman" w:hint="default"/>
                <w:sz w:val="21"/>
                <w:szCs w:val="21"/>
              </w:rPr>
              <w:t>)</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7,246</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年度报告披露日前上一月末的普通股股东总数</w:t>
            </w:r>
            <w:r>
              <w:rPr>
                <w:rFonts w:ascii="Times New Roman" w:hAnsi="Times New Roman" w:cs="Times New Roman" w:eastAsia="Times New Roman" w:hint="default"/>
                <w:sz w:val="21"/>
                <w:szCs w:val="21"/>
              </w:rPr>
              <w:t>(</w:t>
            </w:r>
            <w:r>
              <w:rPr>
                <w:rFonts w:ascii="宋体" w:hAnsi="宋体" w:cs="宋体" w:eastAsia="宋体" w:hint="default"/>
                <w:sz w:val="21"/>
                <w:szCs w:val="21"/>
              </w:rPr>
              <w:t>户</w:t>
            </w:r>
            <w:r>
              <w:rPr>
                <w:rFonts w:ascii="Times New Roman" w:hAnsi="Times New Roman" w:cs="Times New Roman" w:eastAsia="Times New Roman" w:hint="default"/>
                <w:sz w:val="21"/>
                <w:szCs w:val="21"/>
              </w:rPr>
              <w:t>)</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7,237</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截止报告期末表决权恢复的优先股股东总数（户）</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5"/>
              <w:jc w:val="left"/>
              <w:rPr>
                <w:rFonts w:ascii="宋体" w:hAnsi="宋体" w:cs="宋体" w:eastAsia="宋体" w:hint="default"/>
                <w:sz w:val="21"/>
                <w:szCs w:val="21"/>
              </w:rPr>
            </w:pPr>
            <w:r>
              <w:rPr>
                <w:rFonts w:ascii="宋体" w:hAnsi="宋体" w:cs="宋体" w:eastAsia="宋体" w:hint="default"/>
                <w:spacing w:val="-4"/>
                <w:sz w:val="21"/>
                <w:szCs w:val="21"/>
              </w:rPr>
              <w:t>年度报告披露日前上一月末表决权恢复的优先股股东总数（户）</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0"/>
        <w:rPr>
          <w:rFonts w:ascii="宋体" w:hAnsi="宋体" w:cs="宋体" w:eastAsia="宋体" w:hint="default"/>
          <w:b/>
          <w:bCs/>
          <w:sz w:val="17"/>
          <w:szCs w:val="17"/>
        </w:rPr>
      </w:pPr>
    </w:p>
    <w:p>
      <w:pPr>
        <w:pStyle w:val="Heading2"/>
        <w:spacing w:line="240" w:lineRule="auto" w:before="36"/>
        <w:ind w:right="22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pStyle w:val="BodyText"/>
        <w:spacing w:line="240" w:lineRule="auto" w:before="29"/>
        <w:ind w:left="0" w:right="230"/>
        <w:jc w:val="right"/>
      </w:pPr>
      <w:r>
        <w:rPr>
          <w:spacing w:val="-1"/>
        </w:rPr>
        <w:t>单位</w:t>
      </w:r>
      <w:r>
        <w:rPr>
          <w:rFonts w:ascii="Times New Roman" w:hAnsi="Times New Roman" w:cs="Times New Roman" w:eastAsia="Times New Roman" w:hint="default"/>
          <w:spacing w:val="-1"/>
        </w:rPr>
        <w:t>:</w:t>
      </w:r>
      <w:r>
        <w:rPr>
          <w:spacing w:val="-1"/>
        </w:rPr>
        <w:t>股</w:t>
      </w:r>
    </w:p>
    <w:tbl>
      <w:tblPr>
        <w:tblW w:w="0" w:type="auto"/>
        <w:jc w:val="left"/>
        <w:tblInd w:w="105" w:type="dxa"/>
        <w:tblLayout w:type="fixed"/>
        <w:tblCellMar>
          <w:top w:w="0" w:type="dxa"/>
          <w:left w:w="0" w:type="dxa"/>
          <w:bottom w:w="0" w:type="dxa"/>
          <w:right w:w="0" w:type="dxa"/>
        </w:tblCellMar>
        <w:tblLook w:val="01E0"/>
      </w:tblPr>
      <w:tblGrid>
        <w:gridCol w:w="1522"/>
        <w:gridCol w:w="850"/>
        <w:gridCol w:w="1162"/>
        <w:gridCol w:w="826"/>
        <w:gridCol w:w="1162"/>
        <w:gridCol w:w="826"/>
        <w:gridCol w:w="1275"/>
        <w:gridCol w:w="1428"/>
      </w:tblGrid>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83" w:hRule="exact"/>
        </w:trPr>
        <w:tc>
          <w:tcPr>
            <w:tcW w:w="1522" w:type="dxa"/>
            <w:vMerge w:val="restart"/>
            <w:tcBorders>
              <w:top w:val="single" w:sz="4" w:space="0" w:color="000000"/>
              <w:left w:val="single" w:sz="4" w:space="0" w:color="000000"/>
              <w:right w:val="single" w:sz="4" w:space="0" w:color="000000"/>
            </w:tcBorders>
          </w:tcPr>
          <w:p>
            <w:pPr>
              <w:pStyle w:val="TableParagraph"/>
              <w:spacing w:line="274" w:lineRule="exact" w:before="107"/>
              <w:ind w:left="335"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4" w:lineRule="exact"/>
              <w:ind w:left="335"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101"/>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内增减</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107"/>
              <w:ind w:left="364" w:right="151" w:hanging="209"/>
              <w:jc w:val="left"/>
              <w:rPr>
                <w:rFonts w:ascii="宋体" w:hAnsi="宋体" w:cs="宋体" w:eastAsia="宋体" w:hint="default"/>
                <w:sz w:val="21"/>
                <w:szCs w:val="21"/>
              </w:rPr>
            </w:pPr>
            <w:r>
              <w:rPr>
                <w:rFonts w:ascii="宋体" w:hAnsi="宋体" w:cs="宋体" w:eastAsia="宋体" w:hint="default"/>
                <w:sz w:val="21"/>
                <w:szCs w:val="21"/>
              </w:rPr>
              <w:t>期末持股</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24"/>
              <w:ind w:left="19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249" w:right="0"/>
              <w:jc w:val="left"/>
              <w:rPr>
                <w:rFonts w:ascii="Times New Roman" w:hAnsi="Times New Roman" w:cs="Times New Roman" w:eastAsia="Times New Roman" w:hint="default"/>
                <w:sz w:val="21"/>
                <w:szCs w:val="21"/>
              </w:rPr>
            </w:pPr>
            <w:r>
              <w:rPr>
                <w:rFonts w:ascii="Times New Roman"/>
                <w:sz w:val="21"/>
              </w:rPr>
              <w:t>(%)</w:t>
            </w:r>
          </w:p>
        </w:tc>
        <w:tc>
          <w:tcPr>
            <w:tcW w:w="1162" w:type="dxa"/>
            <w:vMerge w:val="restart"/>
            <w:tcBorders>
              <w:top w:val="single" w:sz="4" w:space="0" w:color="000000"/>
              <w:left w:val="single" w:sz="4" w:space="0" w:color="000000"/>
              <w:right w:val="single" w:sz="4" w:space="0" w:color="000000"/>
            </w:tcBorders>
          </w:tcPr>
          <w:p>
            <w:pPr>
              <w:pStyle w:val="TableParagraph"/>
              <w:spacing w:line="272" w:lineRule="exact"/>
              <w:ind w:left="156" w:right="151"/>
              <w:jc w:val="center"/>
              <w:rPr>
                <w:rFonts w:ascii="宋体" w:hAnsi="宋体" w:cs="宋体" w:eastAsia="宋体" w:hint="default"/>
                <w:sz w:val="21"/>
                <w:szCs w:val="21"/>
              </w:rPr>
            </w:pPr>
            <w:r>
              <w:rPr>
                <w:rFonts w:ascii="宋体" w:hAnsi="宋体" w:cs="宋体" w:eastAsia="宋体" w:hint="default"/>
                <w:sz w:val="21"/>
                <w:szCs w:val="21"/>
              </w:rPr>
              <w:t>持有有限</w:t>
            </w:r>
            <w:r>
              <w:rPr>
                <w:rFonts w:ascii="宋体" w:hAnsi="宋体" w:cs="宋体" w:eastAsia="宋体" w:hint="default"/>
                <w:w w:val="100"/>
                <w:sz w:val="21"/>
                <w:szCs w:val="21"/>
              </w:rPr>
              <w:t> </w:t>
            </w:r>
            <w:r>
              <w:rPr>
                <w:rFonts w:ascii="宋体" w:hAnsi="宋体" w:cs="宋体" w:eastAsia="宋体" w:hint="default"/>
                <w:sz w:val="21"/>
                <w:szCs w:val="21"/>
              </w:rPr>
              <w:t>售条件股</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份数量</w:t>
            </w:r>
          </w:p>
        </w:tc>
        <w:tc>
          <w:tcPr>
            <w:tcW w:w="21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9"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before="107"/>
              <w:ind w:left="499" w:right="494"/>
              <w:jc w:val="center"/>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性质</w:t>
            </w:r>
          </w:p>
        </w:tc>
      </w:tr>
      <w:tr>
        <w:trPr>
          <w:trHeight w:val="555" w:hRule="exact"/>
        </w:trPr>
        <w:tc>
          <w:tcPr>
            <w:tcW w:w="152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96"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428" w:type="dxa"/>
            <w:vMerge/>
            <w:tcBorders>
              <w:left w:val="single" w:sz="4" w:space="0" w:color="000000"/>
              <w:bottom w:val="single" w:sz="4" w:space="0" w:color="000000"/>
              <w:right w:val="single" w:sz="4" w:space="0" w:color="000000"/>
            </w:tcBorders>
          </w:tcPr>
          <w:p>
            <w:pPr/>
          </w:p>
        </w:tc>
      </w:tr>
      <w:tr>
        <w:trPr>
          <w:trHeight w:val="283"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孔令钢</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8,880,000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14.56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8,880,000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281"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陆海天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6,120,000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6,120,000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557"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上海格尔实业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6,000,000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9.84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6,000,000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4"/>
                <w:sz w:val="21"/>
                <w:szCs w:val="21"/>
              </w:rPr>
              <w:t> </w:t>
            </w:r>
            <w:r>
              <w:rPr>
                <w:rFonts w:ascii="宋体" w:hAnsi="宋体" w:cs="宋体" w:eastAsia="宋体" w:hint="default"/>
                <w:sz w:val="21"/>
                <w:szCs w:val="21"/>
              </w:rPr>
              <w:t>内</w:t>
            </w:r>
            <w:r>
              <w:rPr>
                <w:rFonts w:ascii="宋体" w:hAnsi="宋体" w:cs="宋体" w:eastAsia="宋体" w:hint="default"/>
                <w:spacing w:val="-66"/>
                <w:sz w:val="21"/>
                <w:szCs w:val="21"/>
              </w:rPr>
              <w:t> </w:t>
            </w:r>
            <w:r>
              <w:rPr>
                <w:rFonts w:ascii="宋体" w:hAnsi="宋体" w:cs="宋体" w:eastAsia="宋体" w:hint="default"/>
                <w:sz w:val="21"/>
                <w:szCs w:val="21"/>
              </w:rPr>
              <w:t>非</w:t>
            </w:r>
            <w:r>
              <w:rPr>
                <w:rFonts w:ascii="宋体" w:hAnsi="宋体" w:cs="宋体" w:eastAsia="宋体" w:hint="default"/>
                <w:spacing w:val="-64"/>
                <w:sz w:val="21"/>
                <w:szCs w:val="21"/>
              </w:rPr>
              <w:t> </w:t>
            </w:r>
            <w:r>
              <w:rPr>
                <w:rFonts w:ascii="宋体" w:hAnsi="宋体" w:cs="宋体" w:eastAsia="宋体" w:hint="default"/>
                <w:sz w:val="21"/>
                <w:szCs w:val="21"/>
              </w:rPr>
              <w:t>国</w:t>
            </w:r>
            <w:r>
              <w:rPr>
                <w:rFonts w:ascii="宋体" w:hAnsi="宋体" w:cs="宋体" w:eastAsia="宋体" w:hint="default"/>
                <w:spacing w:val="-66"/>
                <w:sz w:val="21"/>
                <w:szCs w:val="21"/>
              </w:rPr>
              <w:t> </w:t>
            </w:r>
            <w:r>
              <w:rPr>
                <w:rFonts w:ascii="宋体" w:hAnsi="宋体" w:cs="宋体" w:eastAsia="宋体" w:hint="default"/>
                <w:sz w:val="21"/>
                <w:szCs w:val="21"/>
              </w:rPr>
              <w:t>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281"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杨文山</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4,000,000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6.56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4,000,000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828"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上海圣睿投资</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管理合伙企业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4,000,000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6.56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4,000,000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4"/>
                <w:sz w:val="21"/>
                <w:szCs w:val="21"/>
              </w:rPr>
              <w:t> </w:t>
            </w:r>
            <w:r>
              <w:rPr>
                <w:rFonts w:ascii="宋体" w:hAnsi="宋体" w:cs="宋体" w:eastAsia="宋体" w:hint="default"/>
                <w:sz w:val="21"/>
                <w:szCs w:val="21"/>
              </w:rPr>
              <w:t>内</w:t>
            </w:r>
            <w:r>
              <w:rPr>
                <w:rFonts w:ascii="宋体" w:hAnsi="宋体" w:cs="宋体" w:eastAsia="宋体" w:hint="default"/>
                <w:spacing w:val="-66"/>
                <w:sz w:val="21"/>
                <w:szCs w:val="21"/>
              </w:rPr>
              <w:t> </w:t>
            </w:r>
            <w:r>
              <w:rPr>
                <w:rFonts w:ascii="宋体" w:hAnsi="宋体" w:cs="宋体" w:eastAsia="宋体" w:hint="default"/>
                <w:sz w:val="21"/>
                <w:szCs w:val="21"/>
              </w:rPr>
              <w:t>非</w:t>
            </w:r>
            <w:r>
              <w:rPr>
                <w:rFonts w:ascii="宋体" w:hAnsi="宋体" w:cs="宋体" w:eastAsia="宋体" w:hint="default"/>
                <w:spacing w:val="-64"/>
                <w:sz w:val="21"/>
                <w:szCs w:val="21"/>
              </w:rPr>
              <w:t> </w:t>
            </w:r>
            <w:r>
              <w:rPr>
                <w:rFonts w:ascii="宋体" w:hAnsi="宋体" w:cs="宋体" w:eastAsia="宋体" w:hint="default"/>
                <w:sz w:val="21"/>
                <w:szCs w:val="21"/>
              </w:rPr>
              <w:t>国</w:t>
            </w:r>
            <w:r>
              <w:rPr>
                <w:rFonts w:ascii="宋体" w:hAnsi="宋体" w:cs="宋体" w:eastAsia="宋体" w:hint="default"/>
                <w:spacing w:val="-66"/>
                <w:sz w:val="21"/>
                <w:szCs w:val="21"/>
              </w:rPr>
              <w:t> </w:t>
            </w:r>
            <w:r>
              <w:rPr>
                <w:rFonts w:ascii="宋体" w:hAnsi="宋体" w:cs="宋体" w:eastAsia="宋体" w:hint="default"/>
                <w:sz w:val="21"/>
                <w:szCs w:val="21"/>
              </w:rPr>
              <w:t>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281"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陈宁生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3,850,000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6.31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3,850,000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557"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上海展荣投资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3,450,000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5.66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3,450,000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4"/>
                <w:sz w:val="21"/>
                <w:szCs w:val="21"/>
              </w:rPr>
              <w:t> </w:t>
            </w:r>
            <w:r>
              <w:rPr>
                <w:rFonts w:ascii="宋体" w:hAnsi="宋体" w:cs="宋体" w:eastAsia="宋体" w:hint="default"/>
                <w:sz w:val="21"/>
                <w:szCs w:val="21"/>
              </w:rPr>
              <w:t>内</w:t>
            </w:r>
            <w:r>
              <w:rPr>
                <w:rFonts w:ascii="宋体" w:hAnsi="宋体" w:cs="宋体" w:eastAsia="宋体" w:hint="default"/>
                <w:spacing w:val="-66"/>
                <w:sz w:val="21"/>
                <w:szCs w:val="21"/>
              </w:rPr>
              <w:t> </w:t>
            </w:r>
            <w:r>
              <w:rPr>
                <w:rFonts w:ascii="宋体" w:hAnsi="宋体" w:cs="宋体" w:eastAsia="宋体" w:hint="default"/>
                <w:sz w:val="21"/>
                <w:szCs w:val="21"/>
              </w:rPr>
              <w:t>非</w:t>
            </w:r>
            <w:r>
              <w:rPr>
                <w:rFonts w:ascii="宋体" w:hAnsi="宋体" w:cs="宋体" w:eastAsia="宋体" w:hint="default"/>
                <w:spacing w:val="-64"/>
                <w:sz w:val="21"/>
                <w:szCs w:val="21"/>
              </w:rPr>
              <w:t> </w:t>
            </w:r>
            <w:r>
              <w:rPr>
                <w:rFonts w:ascii="宋体" w:hAnsi="宋体" w:cs="宋体" w:eastAsia="宋体" w:hint="default"/>
                <w:sz w:val="21"/>
                <w:szCs w:val="21"/>
              </w:rPr>
              <w:t>国</w:t>
            </w:r>
            <w:r>
              <w:rPr>
                <w:rFonts w:ascii="宋体" w:hAnsi="宋体" w:cs="宋体" w:eastAsia="宋体" w:hint="default"/>
                <w:spacing w:val="-66"/>
                <w:sz w:val="21"/>
                <w:szCs w:val="21"/>
              </w:rPr>
              <w:t> </w:t>
            </w:r>
            <w:r>
              <w:rPr>
                <w:rFonts w:ascii="宋体" w:hAnsi="宋体" w:cs="宋体" w:eastAsia="宋体" w:hint="default"/>
                <w:sz w:val="21"/>
                <w:szCs w:val="21"/>
              </w:rPr>
              <w:t>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281"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1,750,000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2.87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1,750,000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1,750,000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283"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马晓娜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200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1,187,700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1.95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1,187,500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283"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龚茵</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880,000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1.44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880,000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bl>
    <w:p>
      <w:pPr>
        <w:spacing w:after="0" w:line="241" w:lineRule="exact"/>
        <w:jc w:val="left"/>
        <w:rPr>
          <w:rFonts w:ascii="宋体" w:hAnsi="宋体" w:cs="宋体" w:eastAsia="宋体" w:hint="default"/>
          <w:sz w:val="21"/>
          <w:szCs w:val="21"/>
        </w:rPr>
        <w:sectPr>
          <w:footerReference w:type="default" r:id="rId35"/>
          <w:pgSz w:w="11910" w:h="16840"/>
          <w:pgMar w:footer="1195" w:header="880"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372"/>
        <w:gridCol w:w="3149"/>
        <w:gridCol w:w="1921"/>
        <w:gridCol w:w="1608"/>
      </w:tblGrid>
      <w:tr>
        <w:trPr>
          <w:trHeight w:val="284"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3" w:hRule="exact"/>
        </w:trPr>
        <w:tc>
          <w:tcPr>
            <w:tcW w:w="2372" w:type="dxa"/>
            <w:vMerge w:val="restart"/>
            <w:tcBorders>
              <w:top w:val="single" w:sz="4" w:space="0" w:color="000000"/>
              <w:left w:val="single" w:sz="4" w:space="0" w:color="000000"/>
              <w:right w:val="single" w:sz="4" w:space="0" w:color="000000"/>
            </w:tcBorders>
          </w:tcPr>
          <w:p>
            <w:pPr>
              <w:pStyle w:val="TableParagraph"/>
              <w:spacing w:line="240" w:lineRule="auto" w:before="107"/>
              <w:ind w:left="760"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3149" w:type="dxa"/>
            <w:vMerge w:val="restart"/>
            <w:tcBorders>
              <w:top w:val="single" w:sz="4" w:space="0" w:color="000000"/>
              <w:left w:val="single" w:sz="4" w:space="0" w:color="000000"/>
              <w:right w:val="single" w:sz="4" w:space="0" w:color="000000"/>
            </w:tcBorders>
          </w:tcPr>
          <w:p>
            <w:pPr>
              <w:pStyle w:val="TableParagraph"/>
              <w:spacing w:line="240" w:lineRule="auto" w:before="107"/>
              <w:ind w:left="204"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p>
        </w:tc>
        <w:tc>
          <w:tcPr>
            <w:tcW w:w="35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2"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1" w:hRule="exact"/>
        </w:trPr>
        <w:tc>
          <w:tcPr>
            <w:tcW w:w="2372" w:type="dxa"/>
            <w:vMerge/>
            <w:tcBorders>
              <w:left w:val="single" w:sz="4" w:space="0" w:color="000000"/>
              <w:bottom w:val="single" w:sz="4" w:space="0" w:color="000000"/>
              <w:right w:val="single" w:sz="4" w:space="0" w:color="000000"/>
            </w:tcBorders>
          </w:tcPr>
          <w:p>
            <w:pPr/>
          </w:p>
        </w:tc>
        <w:tc>
          <w:tcPr>
            <w:tcW w:w="3149" w:type="dxa"/>
            <w:vMerge/>
            <w:tcBorders>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毕树真</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436,200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436,200</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潘信燃</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435,700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435,700</w:t>
            </w:r>
          </w:p>
        </w:tc>
      </w:tr>
      <w:tr>
        <w:trPr>
          <w:trHeight w:val="710"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深圳福德天佑资产管理有</w:t>
            </w:r>
          </w:p>
          <w:p>
            <w:pPr>
              <w:pStyle w:val="TableParagraph"/>
              <w:spacing w:line="232" w:lineRule="exact" w:before="23"/>
              <w:ind w:left="103" w:right="106"/>
              <w:jc w:val="left"/>
              <w:rPr>
                <w:rFonts w:ascii="宋体" w:hAnsi="宋体" w:cs="宋体" w:eastAsia="宋体" w:hint="default"/>
                <w:sz w:val="18"/>
                <w:szCs w:val="18"/>
              </w:rPr>
            </w:pPr>
            <w:r>
              <w:rPr>
                <w:rFonts w:ascii="宋体" w:hAnsi="宋体" w:cs="宋体" w:eastAsia="宋体" w:hint="default"/>
                <w:spacing w:val="12"/>
                <w:sz w:val="18"/>
                <w:szCs w:val="18"/>
              </w:rPr>
              <w:t>限公司－</w:t>
            </w:r>
            <w:r>
              <w:rPr>
                <w:rFonts w:ascii="宋体" w:hAnsi="宋体" w:cs="宋体" w:eastAsia="宋体" w:hint="default"/>
                <w:spacing w:val="-73"/>
                <w:sz w:val="18"/>
                <w:szCs w:val="18"/>
              </w:rPr>
              <w:t> </w:t>
            </w:r>
            <w:r>
              <w:rPr>
                <w:rFonts w:ascii="宋体" w:hAnsi="宋体" w:cs="宋体" w:eastAsia="宋体" w:hint="default"/>
                <w:spacing w:val="14"/>
                <w:sz w:val="18"/>
                <w:szCs w:val="18"/>
              </w:rPr>
              <w:t>福德天佑一号证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券投资基金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244,459</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244,459</w:t>
            </w: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赵文忠</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212,200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212,200</w:t>
            </w:r>
          </w:p>
        </w:tc>
      </w:tr>
      <w:tr>
        <w:trPr>
          <w:trHeight w:val="749"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pacing w:val="16"/>
                <w:sz w:val="21"/>
                <w:szCs w:val="21"/>
              </w:rPr>
              <w:t>中国工商银行</w:t>
            </w:r>
            <w:r>
              <w:rPr>
                <w:rFonts w:ascii="宋体" w:hAnsi="宋体" w:cs="宋体" w:eastAsia="宋体" w:hint="default"/>
                <w:spacing w:val="16"/>
                <w:sz w:val="18"/>
                <w:szCs w:val="18"/>
              </w:rPr>
              <w:t>－嘉实策</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7"/>
              <w:ind w:left="103" w:right="106"/>
              <w:jc w:val="left"/>
              <w:rPr>
                <w:rFonts w:ascii="宋体" w:hAnsi="宋体" w:cs="宋体" w:eastAsia="宋体" w:hint="default"/>
                <w:sz w:val="18"/>
                <w:szCs w:val="18"/>
              </w:rPr>
            </w:pPr>
            <w:r>
              <w:rPr>
                <w:rFonts w:ascii="宋体" w:hAnsi="宋体" w:cs="宋体" w:eastAsia="宋体" w:hint="default"/>
                <w:spacing w:val="15"/>
                <w:sz w:val="18"/>
                <w:szCs w:val="18"/>
              </w:rPr>
              <w:t>略增长混合型证券投资基</w:t>
            </w:r>
            <w:r>
              <w:rPr>
                <w:rFonts w:ascii="宋体" w:hAnsi="宋体" w:cs="宋体" w:eastAsia="宋体" w:hint="default"/>
                <w:sz w:val="18"/>
                <w:szCs w:val="18"/>
              </w:rPr>
              <w:t> 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174,000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174,000</w:t>
            </w:r>
          </w:p>
        </w:tc>
      </w:tr>
      <w:tr>
        <w:trPr>
          <w:trHeight w:val="28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龙志成</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147,000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147,000</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王永健</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119,600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119,600</w:t>
            </w: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汤辉</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102,200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102,200</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法国兴业银行</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93,100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93,100</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申屠军标</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84,900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84,900</w:t>
            </w:r>
          </w:p>
        </w:tc>
      </w:tr>
      <w:tr>
        <w:trPr>
          <w:trHeight w:val="3752"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致行动的说明</w:t>
            </w:r>
          </w:p>
        </w:tc>
        <w:tc>
          <w:tcPr>
            <w:tcW w:w="66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、公司实际控制人为孔令钢先生、陆海天先生，二人合计控制公司</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34.43%</w:t>
            </w:r>
            <w:r>
              <w:rPr>
                <w:rFonts w:ascii="宋体" w:hAnsi="宋体" w:cs="宋体" w:eastAsia="宋体" w:hint="default"/>
                <w:sz w:val="18"/>
                <w:szCs w:val="18"/>
              </w:rPr>
              <w:t>的股份。</w:t>
            </w:r>
          </w:p>
          <w:p>
            <w:pPr>
              <w:pStyle w:val="TableParagraph"/>
              <w:spacing w:line="232" w:lineRule="auto"/>
              <w:ind w:left="103" w:right="95"/>
              <w:jc w:val="left"/>
              <w:rPr>
                <w:rFonts w:ascii="宋体" w:hAnsi="宋体" w:cs="宋体" w:eastAsia="宋体" w:hint="default"/>
                <w:sz w:val="18"/>
                <w:szCs w:val="18"/>
              </w:rPr>
            </w:pPr>
            <w:r>
              <w:rPr>
                <w:rFonts w:ascii="宋体" w:hAnsi="宋体" w:cs="宋体" w:eastAsia="宋体" w:hint="default"/>
                <w:sz w:val="18"/>
                <w:szCs w:val="18"/>
              </w:rPr>
              <w:t>其中，孔令钢先生直接持有公司 </w:t>
            </w:r>
            <w:r>
              <w:rPr>
                <w:rFonts w:ascii="Times New Roman" w:hAnsi="Times New Roman" w:cs="Times New Roman" w:eastAsia="Times New Roman" w:hint="default"/>
                <w:sz w:val="18"/>
                <w:szCs w:val="18"/>
              </w:rPr>
              <w:t>14.56%</w:t>
            </w:r>
            <w:r>
              <w:rPr>
                <w:rFonts w:ascii="宋体" w:hAnsi="宋体" w:cs="宋体" w:eastAsia="宋体" w:hint="default"/>
                <w:sz w:val="18"/>
                <w:szCs w:val="18"/>
              </w:rPr>
              <w:t>的股份，陆海天先生直接持有公司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10.03% </w:t>
            </w:r>
            <w:r>
              <w:rPr>
                <w:rFonts w:ascii="宋体" w:hAnsi="宋体" w:cs="宋体" w:eastAsia="宋体" w:hint="default"/>
                <w:sz w:val="18"/>
                <w:szCs w:val="18"/>
              </w:rPr>
              <w:t>的股份；同时，二人通过格尔实业间接控制公司</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9.84%</w:t>
            </w:r>
            <w:r>
              <w:rPr>
                <w:rFonts w:ascii="宋体" w:hAnsi="宋体" w:cs="宋体" w:eastAsia="宋体" w:hint="default"/>
                <w:sz w:val="18"/>
                <w:szCs w:val="18"/>
              </w:rPr>
              <w:t>的股份。</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月，孔 </w:t>
            </w:r>
            <w:r>
              <w:rPr>
                <w:rFonts w:ascii="宋体" w:hAnsi="宋体" w:cs="宋体" w:eastAsia="宋体" w:hint="default"/>
                <w:spacing w:val="-1"/>
                <w:sz w:val="18"/>
                <w:szCs w:val="18"/>
              </w:rPr>
              <w:t>令钢先生与陆海天先生签署了《一致行动人协议》，协议约定：双方作为一致行动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人行使股东权利、承担股东义务，参与公司的重大决策；在决定公司日常运营管理</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事项时，共同行使公司股东权利，特别是行使提案权、表决权时采取一致行动。若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双方无法就该等一致行动事项达成一致，则在最终投票表决、实际作出决定及对外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公开时，应以孔令钢先生的意见为准。因此，孔令钢先生与陆海天先生互为一致行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动人，为公司实际控制人。 </w:t>
            </w:r>
            <w:r>
              <w:rPr>
                <w:rFonts w:ascii="Times New Roman" w:hAnsi="Times New Roman" w:cs="Times New Roman" w:eastAsia="Times New Roman" w:hint="default"/>
                <w:sz w:val="18"/>
                <w:szCs w:val="18"/>
              </w:rPr>
              <w:t>2</w:t>
            </w:r>
            <w:r>
              <w:rPr>
                <w:rFonts w:ascii="宋体" w:hAnsi="宋体" w:cs="宋体" w:eastAsia="宋体" w:hint="default"/>
                <w:sz w:val="18"/>
                <w:szCs w:val="18"/>
              </w:rPr>
              <w:t>、上海展荣投资管理有限公司是司部分高管和骨干员工于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月成立的员 </w:t>
            </w:r>
            <w:r>
              <w:rPr>
                <w:rFonts w:ascii="宋体" w:hAnsi="宋体" w:cs="宋体" w:eastAsia="宋体" w:hint="default"/>
                <w:spacing w:val="-1"/>
                <w:sz w:val="18"/>
                <w:szCs w:val="18"/>
              </w:rPr>
              <w:t>工持股公司。公司董事、副总经理周海华先生担任上海展荣投资管理有限公司法人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代表。 </w:t>
            </w:r>
            <w:r>
              <w:rPr>
                <w:rFonts w:ascii="Times New Roman" w:hAnsi="Times New Roman" w:cs="Times New Roman" w:eastAsia="Times New Roman" w:hint="default"/>
                <w:sz w:val="18"/>
                <w:szCs w:val="18"/>
              </w:rPr>
              <w:t>3</w:t>
            </w:r>
            <w:r>
              <w:rPr>
                <w:rFonts w:ascii="宋体" w:hAnsi="宋体" w:cs="宋体" w:eastAsia="宋体" w:hint="default"/>
                <w:sz w:val="18"/>
                <w:szCs w:val="18"/>
              </w:rPr>
              <w:t>、前十名无限售条件流通股股东均为社会公众股股东，本公司未知前十名无限售</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1"/>
                <w:sz w:val="18"/>
                <w:szCs w:val="18"/>
              </w:rPr>
              <w:t>条件股东之间存在关联关系或属于《上市公司股东持股变动信息披露管理办法》规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定的一致行动人关系。</w:t>
            </w:r>
          </w:p>
        </w:tc>
      </w:tr>
      <w:tr>
        <w:trPr>
          <w:trHeight w:val="557"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表决权恢复的优先股股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东及持股数量的说明</w:t>
            </w:r>
          </w:p>
        </w:tc>
        <w:tc>
          <w:tcPr>
            <w:tcW w:w="66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footerReference w:type="default" r:id="rId36"/>
          <w:pgSz w:w="11910" w:h="16840"/>
          <w:pgMar w:footer="1195" w:header="880" w:top="1120" w:bottom="1380" w:left="1580" w:right="1040"/>
          <w:pgNumType w:start="51"/>
        </w:sectPr>
      </w:pPr>
    </w:p>
    <w:p>
      <w:pPr>
        <w:pStyle w:val="BodyText"/>
        <w:spacing w:line="274" w:lineRule="exact" w:before="36"/>
        <w:ind w:right="0"/>
        <w:jc w:val="left"/>
      </w:pPr>
      <w:r>
        <w:rPr>
          <w:spacing w:val="-2"/>
        </w:rPr>
        <w:t>前十名有限售条件股东持股数量及限售条件</w:t>
      </w:r>
    </w:p>
    <w:p>
      <w:pPr>
        <w:pStyle w:val="BodyText"/>
        <w:spacing w:line="290" w:lineRule="exact"/>
        <w:ind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spacing w:line="240" w:lineRule="auto"/>
        <w:ind w:right="0"/>
        <w:jc w:val="left"/>
      </w:pPr>
      <w:r>
        <w:rPr/>
        <w:t>单位：股</w:t>
      </w:r>
    </w:p>
    <w:p>
      <w:pPr>
        <w:spacing w:after="0" w:line="240" w:lineRule="auto"/>
        <w:jc w:val="left"/>
        <w:sectPr>
          <w:type w:val="continuous"/>
          <w:pgSz w:w="11910" w:h="16840"/>
          <w:pgMar w:top="1120" w:bottom="1380" w:left="1580" w:right="1040"/>
          <w:cols w:num="2" w:equalWidth="0">
            <w:col w:w="4213" w:space="3781"/>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53"/>
        <w:gridCol w:w="2151"/>
        <w:gridCol w:w="1560"/>
        <w:gridCol w:w="1558"/>
        <w:gridCol w:w="1561"/>
        <w:gridCol w:w="1567"/>
      </w:tblGrid>
      <w:tr>
        <w:trPr>
          <w:trHeight w:val="554" w:hRule="exact"/>
        </w:trPr>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1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43" w:right="141"/>
              <w:jc w:val="left"/>
              <w:rPr>
                <w:rFonts w:ascii="宋体" w:hAnsi="宋体" w:cs="宋体" w:eastAsia="宋体" w:hint="default"/>
                <w:sz w:val="21"/>
                <w:szCs w:val="21"/>
              </w:rPr>
            </w:pPr>
            <w:r>
              <w:rPr>
                <w:rFonts w:ascii="宋体" w:hAnsi="宋体" w:cs="宋体" w:eastAsia="宋体" w:hint="default"/>
                <w:sz w:val="21"/>
                <w:szCs w:val="21"/>
              </w:rPr>
              <w:t>持有的有限售</w:t>
            </w:r>
            <w:r>
              <w:rPr>
                <w:rFonts w:ascii="宋体" w:hAnsi="宋体" w:cs="宋体" w:eastAsia="宋体" w:hint="default"/>
                <w:w w:val="100"/>
                <w:sz w:val="21"/>
                <w:szCs w:val="21"/>
              </w:rPr>
              <w:t> </w:t>
            </w:r>
            <w:r>
              <w:rPr>
                <w:rFonts w:ascii="宋体" w:hAnsi="宋体" w:cs="宋体" w:eastAsia="宋体" w:hint="default"/>
                <w:sz w:val="21"/>
                <w:szCs w:val="21"/>
              </w:rPr>
              <w:t>条件股份数量</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有限售条件股份可上市交易情</w:t>
            </w:r>
          </w:p>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w w:val="100"/>
                <w:sz w:val="21"/>
                <w:szCs w:val="21"/>
              </w:rPr>
              <w:t>况</w:t>
            </w:r>
          </w:p>
        </w:tc>
        <w:tc>
          <w:tcPr>
            <w:tcW w:w="15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554" w:hRule="exact"/>
        </w:trPr>
        <w:tc>
          <w:tcPr>
            <w:tcW w:w="653" w:type="dxa"/>
            <w:vMerge/>
            <w:tcBorders>
              <w:left w:val="single" w:sz="4" w:space="0" w:color="000000"/>
              <w:bottom w:val="single" w:sz="4" w:space="0" w:color="000000"/>
              <w:right w:val="single" w:sz="4" w:space="0" w:color="000000"/>
            </w:tcBorders>
          </w:tcPr>
          <w:p>
            <w:pPr/>
          </w:p>
        </w:tc>
        <w:tc>
          <w:tcPr>
            <w:tcW w:w="2151"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可上市交易时</w:t>
            </w:r>
          </w:p>
          <w:p>
            <w:pPr>
              <w:pStyle w:val="TableParagraph"/>
              <w:spacing w:line="273" w:lineRule="exact"/>
              <w:ind w:right="4"/>
              <w:jc w:val="center"/>
              <w:rPr>
                <w:rFonts w:ascii="宋体" w:hAnsi="宋体" w:cs="宋体" w:eastAsia="宋体" w:hint="default"/>
                <w:sz w:val="21"/>
                <w:szCs w:val="21"/>
              </w:rPr>
            </w:pPr>
            <w:r>
              <w:rPr>
                <w:rFonts w:ascii="宋体" w:hAnsi="宋体" w:cs="宋体" w:eastAsia="宋体" w:hint="default"/>
                <w:w w:val="100"/>
                <w:sz w:val="21"/>
                <w:szCs w:val="21"/>
              </w:rPr>
              <w:t>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新增可上市交</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易股份数量</w:t>
            </w:r>
          </w:p>
        </w:tc>
        <w:tc>
          <w:tcPr>
            <w:tcW w:w="1567" w:type="dxa"/>
            <w:vMerge/>
            <w:tcBorders>
              <w:left w:val="single" w:sz="4" w:space="0" w:color="000000"/>
              <w:bottom w:val="single" w:sz="4" w:space="0" w:color="000000"/>
              <w:right w:val="single" w:sz="4" w:space="0" w:color="000000"/>
            </w:tcBorders>
          </w:tcPr>
          <w:p>
            <w:pPr/>
          </w:p>
        </w:tc>
      </w:tr>
      <w:tr>
        <w:trPr>
          <w:trHeight w:val="478"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孔令钢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8,880,000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2020.4.21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承诺上市后股票</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锁定三十六个月</w:t>
            </w:r>
          </w:p>
        </w:tc>
      </w:tr>
      <w:tr>
        <w:trPr>
          <w:trHeight w:val="47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2</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陆海天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6,120,000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2020.4.21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承诺上市后股票</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锁定三十六个月</w:t>
            </w:r>
          </w:p>
        </w:tc>
      </w:tr>
      <w:tr>
        <w:trPr>
          <w:trHeight w:val="55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3</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上海格尔实业发展有</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6,000,000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2020.4.21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承诺上市后股票</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锁定三十六个月</w:t>
            </w:r>
          </w:p>
        </w:tc>
      </w:tr>
      <w:tr>
        <w:trPr>
          <w:trHeight w:val="478"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4</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杨文山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2018.4.23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承诺上市后股票</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锁定十二个月</w:t>
            </w:r>
          </w:p>
        </w:tc>
      </w:tr>
      <w:tr>
        <w:trPr>
          <w:trHeight w:val="5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5</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上海圣睿投资管理合</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伙企业（有限合伙）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2018.4.23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承诺上市后股票</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锁定十二个月</w:t>
            </w:r>
          </w:p>
        </w:tc>
      </w:tr>
    </w:tbl>
    <w:p>
      <w:pPr>
        <w:spacing w:after="0" w:line="240" w:lineRule="auto"/>
        <w:jc w:val="lef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653"/>
        <w:gridCol w:w="2151"/>
        <w:gridCol w:w="1560"/>
        <w:gridCol w:w="1558"/>
        <w:gridCol w:w="1561"/>
        <w:gridCol w:w="1567"/>
      </w:tblGrid>
      <w:tr>
        <w:trPr>
          <w:trHeight w:val="478"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6</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陈宁生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3,850,000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0" w:right="0"/>
              <w:jc w:val="left"/>
              <w:rPr>
                <w:rFonts w:ascii="Times New Roman" w:hAnsi="Times New Roman" w:cs="Times New Roman" w:eastAsia="Times New Roman" w:hint="default"/>
                <w:sz w:val="21"/>
                <w:szCs w:val="21"/>
              </w:rPr>
            </w:pPr>
            <w:r>
              <w:rPr>
                <w:rFonts w:ascii="Times New Roman"/>
                <w:sz w:val="21"/>
              </w:rPr>
              <w:t>2018.4.23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承诺上市后股票</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锁定十二个月</w:t>
            </w:r>
          </w:p>
        </w:tc>
      </w:tr>
      <w:tr>
        <w:trPr>
          <w:trHeight w:val="55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7</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上海展荣投资管理有</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3,450,000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2020.4.23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承诺上市后股票</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锁定三十六个月</w:t>
            </w:r>
          </w:p>
        </w:tc>
      </w:tr>
      <w:tr>
        <w:trPr>
          <w:trHeight w:val="478"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8</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陈荣</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1,750,000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2018.4.23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承诺上市后股票</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锁定十二个月</w:t>
            </w:r>
          </w:p>
        </w:tc>
      </w:tr>
      <w:tr>
        <w:trPr>
          <w:trHeight w:val="478"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9</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马晓娜</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1,187,500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2018.4.23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承诺上市后股票</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锁定十二个月</w:t>
            </w:r>
          </w:p>
        </w:tc>
      </w:tr>
      <w:tr>
        <w:trPr>
          <w:trHeight w:val="47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龚茵</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880,000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2018.4.23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承诺上市后股票</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锁定十二个月</w:t>
            </w:r>
          </w:p>
        </w:tc>
      </w:tr>
      <w:tr>
        <w:trPr>
          <w:trHeight w:val="2813" w:hRule="exact"/>
        </w:trPr>
        <w:tc>
          <w:tcPr>
            <w:tcW w:w="28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上述股东关联关系或一致</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行动的说明</w:t>
            </w:r>
          </w:p>
        </w:tc>
        <w:tc>
          <w:tcPr>
            <w:tcW w:w="6246" w:type="dxa"/>
            <w:gridSpan w:val="4"/>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、公司实际控制人为孔令钢先生、陆海天先生，二人合计控制公司</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34.43%</w:t>
            </w:r>
            <w:r>
              <w:rPr>
                <w:rFonts w:ascii="宋体" w:hAnsi="宋体" w:cs="宋体" w:eastAsia="宋体" w:hint="default"/>
                <w:sz w:val="18"/>
                <w:szCs w:val="18"/>
              </w:rPr>
              <w:t>的</w:t>
            </w:r>
          </w:p>
          <w:p>
            <w:pPr>
              <w:pStyle w:val="TableParagraph"/>
              <w:spacing w:line="228" w:lineRule="auto" w:before="3"/>
              <w:ind w:left="103" w:right="101"/>
              <w:jc w:val="both"/>
              <w:rPr>
                <w:rFonts w:ascii="宋体" w:hAnsi="宋体" w:cs="宋体" w:eastAsia="宋体" w:hint="default"/>
                <w:sz w:val="18"/>
                <w:szCs w:val="18"/>
              </w:rPr>
            </w:pPr>
            <w:r>
              <w:rPr>
                <w:rFonts w:ascii="宋体" w:hAnsi="宋体" w:cs="宋体" w:eastAsia="宋体" w:hint="default"/>
                <w:sz w:val="18"/>
                <w:szCs w:val="18"/>
              </w:rPr>
              <w:t>股份。其中，孔令钢先生直接持有公司</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14.56%</w:t>
            </w:r>
            <w:r>
              <w:rPr>
                <w:rFonts w:ascii="宋体" w:hAnsi="宋体" w:cs="宋体" w:eastAsia="宋体" w:hint="default"/>
                <w:sz w:val="18"/>
                <w:szCs w:val="18"/>
              </w:rPr>
              <w:t>的股份，陆海天先生直接持有 公司 </w:t>
            </w:r>
            <w:r>
              <w:rPr>
                <w:rFonts w:ascii="Times New Roman" w:hAnsi="Times New Roman" w:cs="Times New Roman" w:eastAsia="Times New Roman" w:hint="default"/>
                <w:sz w:val="18"/>
                <w:szCs w:val="18"/>
              </w:rPr>
              <w:t>10.03%</w:t>
            </w:r>
            <w:r>
              <w:rPr>
                <w:rFonts w:ascii="宋体" w:hAnsi="宋体" w:cs="宋体" w:eastAsia="宋体" w:hint="default"/>
                <w:sz w:val="18"/>
                <w:szCs w:val="18"/>
              </w:rPr>
              <w:t>的股份；同时，二人通过格尔实业间接控制公司</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9.84%</w:t>
            </w:r>
            <w:r>
              <w:rPr>
                <w:rFonts w:ascii="宋体" w:hAnsi="宋体" w:cs="宋体" w:eastAsia="宋体" w:hint="default"/>
                <w:sz w:val="18"/>
                <w:szCs w:val="18"/>
              </w:rPr>
              <w:t>的股份。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pacing w:val="-4"/>
                <w:sz w:val="18"/>
                <w:szCs w:val="18"/>
              </w:rPr>
              <w:t>月，孔令钢先生与陆海天先生签署了《一致行动人协议》，协议约</w:t>
            </w:r>
            <w:r>
              <w:rPr>
                <w:rFonts w:ascii="宋体" w:hAnsi="宋体" w:cs="宋体" w:eastAsia="宋体" w:hint="default"/>
                <w:sz w:val="18"/>
                <w:szCs w:val="18"/>
              </w:rPr>
              <w:t> </w:t>
            </w:r>
            <w:r>
              <w:rPr>
                <w:rFonts w:ascii="宋体" w:hAnsi="宋体" w:cs="宋体" w:eastAsia="宋体" w:hint="default"/>
                <w:spacing w:val="2"/>
                <w:sz w:val="18"/>
                <w:szCs w:val="18"/>
              </w:rPr>
              <w:t>定：双方作为一致行动人行使股东权利、承担股东义务，参与公司的重大决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策；在决定公司日常运营管理事项时，共同行使公司股东权利，特别是行使</w:t>
            </w:r>
            <w:r>
              <w:rPr>
                <w:rFonts w:ascii="宋体" w:hAnsi="宋体" w:cs="宋体" w:eastAsia="宋体" w:hint="default"/>
                <w:sz w:val="18"/>
                <w:szCs w:val="18"/>
              </w:rPr>
            </w:r>
          </w:p>
          <w:p>
            <w:pPr>
              <w:pStyle w:val="TableParagraph"/>
              <w:spacing w:line="235" w:lineRule="auto" w:before="2"/>
              <w:ind w:left="103" w:right="12"/>
              <w:jc w:val="left"/>
              <w:rPr>
                <w:rFonts w:ascii="宋体" w:hAnsi="宋体" w:cs="宋体" w:eastAsia="宋体" w:hint="default"/>
                <w:sz w:val="18"/>
                <w:szCs w:val="18"/>
              </w:rPr>
            </w:pPr>
            <w:r>
              <w:rPr>
                <w:rFonts w:ascii="宋体" w:hAnsi="宋体" w:cs="宋体" w:eastAsia="宋体" w:hint="default"/>
                <w:sz w:val="18"/>
                <w:szCs w:val="18"/>
              </w:rPr>
              <w:t>提案权、表决权时采取一致行动。若双方无法就该等一致行动事项达成一致， </w:t>
            </w:r>
            <w:r>
              <w:rPr>
                <w:rFonts w:ascii="宋体" w:hAnsi="宋体" w:cs="宋体" w:eastAsia="宋体" w:hint="default"/>
                <w:spacing w:val="2"/>
                <w:sz w:val="18"/>
                <w:szCs w:val="18"/>
              </w:rPr>
              <w:t>则在最终投票表决、实际作出决定及对外公开时，应以孔令钢先生的意见为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准。因此，孔令钢先生与陆海天先生互为一致行动人，为公司实际控制人。</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、上海展荣投资管理有限公司是公司部分高管和骨干员工于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 成立的员工持股公司。公司董事、副总经理周海华先生担任上海展荣投资管 理有限公司法人代表。</w:t>
            </w:r>
          </w:p>
        </w:tc>
      </w:tr>
    </w:tbl>
    <w:p>
      <w:pPr>
        <w:spacing w:line="240" w:lineRule="auto" w:before="7"/>
        <w:rPr>
          <w:rFonts w:ascii="宋体" w:hAnsi="宋体" w:cs="宋体" w:eastAsia="宋体" w:hint="default"/>
          <w:sz w:val="17"/>
          <w:szCs w:val="17"/>
        </w:rPr>
      </w:pPr>
    </w:p>
    <w:p>
      <w:pPr>
        <w:pStyle w:val="Heading2"/>
        <w:tabs>
          <w:tab w:pos="784" w:val="left" w:leader="none"/>
        </w:tabs>
        <w:spacing w:line="240" w:lineRule="auto" w:before="36"/>
        <w:ind w:right="2465"/>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32"/>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2"/>
        <w:spacing w:line="240" w:lineRule="auto" w:before="40"/>
        <w:ind w:right="2465"/>
        <w:jc w:val="left"/>
        <w:rPr>
          <w:b w:val="0"/>
          <w:bCs w:val="0"/>
        </w:rPr>
      </w:pPr>
      <w:r>
        <w:rPr/>
        <w:t>四、</w:t>
      </w:r>
      <w:r>
        <w:rPr>
          <w:spacing w:val="-79"/>
        </w:rPr>
        <w:t> </w:t>
      </w:r>
      <w:r>
        <w:rPr/>
        <w:t>控股股东及实际控制人情况</w:t>
      </w:r>
      <w:r>
        <w:rPr>
          <w:b w:val="0"/>
          <w:bCs w:val="0"/>
        </w:rPr>
      </w:r>
    </w:p>
    <w:p>
      <w:pPr>
        <w:pStyle w:val="Heading2"/>
        <w:tabs>
          <w:tab w:pos="637" w:val="left" w:leader="none"/>
        </w:tabs>
        <w:spacing w:line="264" w:lineRule="auto" w:before="59"/>
        <w:ind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tabs>
          <w:tab w:pos="637" w:val="left" w:leader="none"/>
        </w:tabs>
        <w:spacing w:line="290" w:lineRule="auto" w:before="37"/>
        <w:ind w:left="218" w:right="7592" w:firstLine="0"/>
        <w:jc w:val="left"/>
        <w:rPr>
          <w:rFonts w:ascii="宋体" w:hAnsi="宋体" w:cs="宋体" w:eastAsia="宋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sz w:val="21"/>
          <w:szCs w:val="21"/>
        </w:rPr>
      </w:r>
    </w:p>
    <w:p>
      <w:pPr>
        <w:pStyle w:val="BodyText"/>
        <w:spacing w:line="240" w:lineRule="auto" w:before="14"/>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229"/>
        <w:gridCol w:w="3113"/>
        <w:gridCol w:w="2708"/>
      </w:tblGrid>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孔令钢</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陆海天</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2"/>
        <w:tabs>
          <w:tab w:pos="637" w:val="left" w:leader="none"/>
        </w:tabs>
        <w:spacing w:line="240" w:lineRule="auto" w:before="36"/>
        <w:ind w:right="2465"/>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spacing w:line="240" w:lineRule="auto" w:before="58"/>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tabs>
          <w:tab w:pos="637" w:val="left" w:leader="none"/>
        </w:tabs>
        <w:spacing w:line="240" w:lineRule="auto"/>
        <w:ind w:right="2465"/>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spacing w:line="240" w:lineRule="auto" w:before="56"/>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2"/>
        <w:tabs>
          <w:tab w:pos="637" w:val="left" w:leader="none"/>
        </w:tabs>
        <w:spacing w:line="240" w:lineRule="auto" w:before="43"/>
        <w:ind w:right="2465"/>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spacing w:line="240" w:lineRule="auto" w:before="56"/>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2946" w:lineRule="exact"/>
        <w:ind w:left="217" w:right="0" w:firstLine="0"/>
        <w:rPr>
          <w:rFonts w:ascii="宋体" w:hAnsi="宋体" w:cs="宋体" w:eastAsia="宋体" w:hint="default"/>
          <w:sz w:val="20"/>
          <w:szCs w:val="20"/>
        </w:rPr>
      </w:pPr>
      <w:r>
        <w:rPr>
          <w:rFonts w:ascii="宋体" w:hAnsi="宋体" w:cs="宋体" w:eastAsia="宋体" w:hint="default"/>
          <w:position w:val="-58"/>
          <w:sz w:val="20"/>
          <w:szCs w:val="20"/>
        </w:rPr>
        <w:drawing>
          <wp:inline distT="0" distB="0" distL="0" distR="0">
            <wp:extent cx="5379479" cy="1871281"/>
            <wp:effectExtent l="0" t="0" r="0" b="0"/>
            <wp:docPr id="3" name="image12.png" descr=""/>
            <wp:cNvGraphicFramePr>
              <a:graphicFrameLocks noChangeAspect="1"/>
            </wp:cNvGraphicFramePr>
            <a:graphic>
              <a:graphicData uri="http://schemas.openxmlformats.org/drawingml/2006/picture">
                <pic:pic>
                  <pic:nvPicPr>
                    <pic:cNvPr id="4" name="image12.png"/>
                    <pic:cNvPicPr/>
                  </pic:nvPicPr>
                  <pic:blipFill>
                    <a:blip r:embed="rId37" cstate="print"/>
                    <a:stretch>
                      <a:fillRect/>
                    </a:stretch>
                  </pic:blipFill>
                  <pic:spPr>
                    <a:xfrm>
                      <a:off x="0" y="0"/>
                      <a:ext cx="5379479" cy="1871281"/>
                    </a:xfrm>
                    <a:prstGeom prst="rect">
                      <a:avLst/>
                    </a:prstGeom>
                  </pic:spPr>
                </pic:pic>
              </a:graphicData>
            </a:graphic>
          </wp:inline>
        </w:drawing>
      </w:r>
      <w:r>
        <w:rPr>
          <w:rFonts w:ascii="宋体" w:hAnsi="宋体" w:cs="宋体" w:eastAsia="宋体" w:hint="default"/>
          <w:position w:val="-58"/>
          <w:sz w:val="20"/>
          <w:szCs w:val="20"/>
        </w:rPr>
      </w:r>
    </w:p>
    <w:p>
      <w:pPr>
        <w:spacing w:line="240" w:lineRule="auto" w:before="10"/>
        <w:rPr>
          <w:rFonts w:ascii="宋体" w:hAnsi="宋体" w:cs="宋体" w:eastAsia="宋体" w:hint="default"/>
          <w:sz w:val="20"/>
          <w:szCs w:val="20"/>
        </w:rPr>
      </w:pPr>
    </w:p>
    <w:p>
      <w:pPr>
        <w:pStyle w:val="Heading2"/>
        <w:tabs>
          <w:tab w:pos="642" w:val="left" w:leader="none"/>
        </w:tabs>
        <w:spacing w:line="264" w:lineRule="auto" w:before="36"/>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7"/>
        <w:ind w:right="2465"/>
        <w:jc w:val="left"/>
      </w:pPr>
      <w:r>
        <w:rPr/>
        <w:t>□适用√不适用</w:t>
      </w:r>
    </w:p>
    <w:p>
      <w:pPr>
        <w:spacing w:line="240" w:lineRule="auto" w:before="11"/>
        <w:rPr>
          <w:rFonts w:ascii="宋体" w:hAnsi="宋体" w:cs="宋体" w:eastAsia="宋体" w:hint="default"/>
          <w:sz w:val="22"/>
          <w:szCs w:val="22"/>
        </w:rPr>
      </w:pPr>
    </w:p>
    <w:p>
      <w:pPr>
        <w:pStyle w:val="Heading2"/>
        <w:tabs>
          <w:tab w:pos="642" w:val="left" w:leader="none"/>
        </w:tabs>
        <w:spacing w:line="240" w:lineRule="auto"/>
        <w:ind w:right="2465"/>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6"/>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4078"/>
        <w:gridCol w:w="2552"/>
        <w:gridCol w:w="2420"/>
      </w:tblGrid>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孔令钢</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陆海天</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0"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319"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年曾控股的境内外上市公司情况</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19"/>
          <w:szCs w:val="19"/>
        </w:rPr>
      </w:pPr>
    </w:p>
    <w:p>
      <w:pPr>
        <w:pStyle w:val="Heading2"/>
        <w:tabs>
          <w:tab w:pos="642" w:val="left" w:leader="none"/>
        </w:tabs>
        <w:spacing w:line="240" w:lineRule="auto" w:before="36"/>
        <w:ind w:right="2465"/>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spacing w:line="240" w:lineRule="auto" w:before="56"/>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tabs>
          <w:tab w:pos="642" w:val="left" w:leader="none"/>
        </w:tabs>
        <w:spacing w:line="240" w:lineRule="auto"/>
        <w:ind w:right="2465"/>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spacing w:line="240" w:lineRule="auto" w:before="58"/>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tabs>
          <w:tab w:pos="642" w:val="left" w:leader="none"/>
        </w:tabs>
        <w:spacing w:line="240" w:lineRule="auto"/>
        <w:ind w:right="2465"/>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spacing w:line="240" w:lineRule="auto" w:before="56"/>
        <w:ind w:right="2465"/>
        <w:jc w:val="left"/>
      </w:pPr>
      <w:r>
        <w:rPr/>
        <w:t>√适用□不适用</w:t>
      </w:r>
    </w:p>
    <w:p>
      <w:pPr>
        <w:spacing w:line="240" w:lineRule="auto" w:before="5"/>
        <w:rPr>
          <w:rFonts w:ascii="宋体" w:hAnsi="宋体" w:cs="宋体" w:eastAsia="宋体" w:hint="default"/>
          <w:sz w:val="2"/>
          <w:szCs w:val="2"/>
        </w:rPr>
      </w:pPr>
    </w:p>
    <w:p>
      <w:pPr>
        <w:spacing w:line="3024" w:lineRule="exact"/>
        <w:ind w:left="217" w:right="0" w:firstLine="0"/>
        <w:rPr>
          <w:rFonts w:ascii="宋体" w:hAnsi="宋体" w:cs="宋体" w:eastAsia="宋体" w:hint="default"/>
          <w:sz w:val="20"/>
          <w:szCs w:val="20"/>
        </w:rPr>
      </w:pPr>
      <w:r>
        <w:rPr>
          <w:rFonts w:ascii="宋体" w:hAnsi="宋体" w:cs="宋体" w:eastAsia="宋体" w:hint="default"/>
          <w:position w:val="-59"/>
          <w:sz w:val="20"/>
          <w:szCs w:val="20"/>
        </w:rPr>
        <w:drawing>
          <wp:inline distT="0" distB="0" distL="0" distR="0">
            <wp:extent cx="5522278" cy="1920525"/>
            <wp:effectExtent l="0" t="0" r="0" b="0"/>
            <wp:docPr id="5" name="image12.png" descr=""/>
            <wp:cNvGraphicFramePr>
              <a:graphicFrameLocks noChangeAspect="1"/>
            </wp:cNvGraphicFramePr>
            <a:graphic>
              <a:graphicData uri="http://schemas.openxmlformats.org/drawingml/2006/picture">
                <pic:pic>
                  <pic:nvPicPr>
                    <pic:cNvPr id="6" name="image12.png"/>
                    <pic:cNvPicPr/>
                  </pic:nvPicPr>
                  <pic:blipFill>
                    <a:blip r:embed="rId37" cstate="print"/>
                    <a:stretch>
                      <a:fillRect/>
                    </a:stretch>
                  </pic:blipFill>
                  <pic:spPr>
                    <a:xfrm>
                      <a:off x="0" y="0"/>
                      <a:ext cx="5522278" cy="1920525"/>
                    </a:xfrm>
                    <a:prstGeom prst="rect">
                      <a:avLst/>
                    </a:prstGeom>
                  </pic:spPr>
                </pic:pic>
              </a:graphicData>
            </a:graphic>
          </wp:inline>
        </w:drawing>
      </w:r>
      <w:r>
        <w:rPr>
          <w:rFonts w:ascii="宋体" w:hAnsi="宋体" w:cs="宋体" w:eastAsia="宋体" w:hint="default"/>
          <w:position w:val="-59"/>
          <w:sz w:val="20"/>
          <w:szCs w:val="20"/>
        </w:rPr>
      </w:r>
    </w:p>
    <w:p>
      <w:pPr>
        <w:spacing w:line="240" w:lineRule="auto" w:before="0"/>
        <w:rPr>
          <w:rFonts w:ascii="宋体" w:hAnsi="宋体" w:cs="宋体" w:eastAsia="宋体" w:hint="default"/>
          <w:sz w:val="19"/>
          <w:szCs w:val="19"/>
        </w:rPr>
      </w:pPr>
    </w:p>
    <w:p>
      <w:pPr>
        <w:pStyle w:val="Heading2"/>
        <w:tabs>
          <w:tab w:pos="642" w:val="left" w:leader="none"/>
        </w:tabs>
        <w:spacing w:line="240" w:lineRule="auto"/>
        <w:ind w:right="2465"/>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spacing w:line="240" w:lineRule="auto" w:before="59"/>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Heading2"/>
        <w:spacing w:line="240" w:lineRule="auto" w:before="36"/>
        <w:ind w:left="138" w:right="10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spacing w:line="240" w:lineRule="auto" w:before="32"/>
        <w:ind w:left="138" w:right="100"/>
        <w:jc w:val="left"/>
      </w:pPr>
      <w:r>
        <w:rPr/>
        <w:t>□适用√不适用</w:t>
      </w:r>
    </w:p>
    <w:p>
      <w:pPr>
        <w:spacing w:line="240" w:lineRule="auto" w:before="11"/>
        <w:rPr>
          <w:rFonts w:ascii="宋体" w:hAnsi="宋体" w:cs="宋体" w:eastAsia="宋体" w:hint="default"/>
          <w:sz w:val="22"/>
          <w:szCs w:val="22"/>
        </w:rPr>
      </w:pPr>
    </w:p>
    <w:p>
      <w:pPr>
        <w:pStyle w:val="Heading2"/>
        <w:spacing w:line="240" w:lineRule="auto"/>
        <w:ind w:left="138" w:right="100"/>
        <w:jc w:val="left"/>
        <w:rPr>
          <w:b w:val="0"/>
          <w:bCs w:val="0"/>
        </w:rPr>
      </w:pPr>
      <w:r>
        <w:rPr/>
        <w:t>五、</w:t>
      </w:r>
      <w:r>
        <w:rPr>
          <w:spacing w:val="-78"/>
        </w:rPr>
        <w:t> </w:t>
      </w:r>
      <w:r>
        <w:rPr/>
        <w:t>其他持股在百分之十以上的法人股东</w:t>
      </w:r>
      <w:r>
        <w:rPr>
          <w:b w:val="0"/>
          <w:bCs w:val="0"/>
        </w:rPr>
      </w:r>
    </w:p>
    <w:p>
      <w:pPr>
        <w:pStyle w:val="BodyText"/>
        <w:spacing w:line="240" w:lineRule="auto" w:before="56"/>
        <w:ind w:left="138" w:right="10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2"/>
        <w:spacing w:line="240" w:lineRule="auto" w:before="43"/>
        <w:ind w:left="138" w:right="100"/>
        <w:jc w:val="left"/>
        <w:rPr>
          <w:b w:val="0"/>
          <w:bCs w:val="0"/>
        </w:rPr>
      </w:pPr>
      <w:r>
        <w:rPr/>
        <w:t>六、</w:t>
      </w:r>
      <w:r>
        <w:rPr>
          <w:spacing w:val="-77"/>
        </w:rPr>
        <w:t> </w:t>
      </w:r>
      <w:r>
        <w:rPr/>
        <w:t>股份限制减持情况说明</w:t>
      </w:r>
      <w:r>
        <w:rPr>
          <w:b w:val="0"/>
          <w:bCs w:val="0"/>
        </w:rPr>
      </w:r>
    </w:p>
    <w:p>
      <w:pPr>
        <w:pStyle w:val="BodyText"/>
        <w:spacing w:line="282" w:lineRule="exact" w:before="56"/>
        <w:ind w:left="138" w:right="10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37" w:lineRule="auto"/>
        <w:ind w:left="138" w:right="207" w:firstLine="419"/>
        <w:jc w:val="both"/>
      </w:pPr>
      <w:r>
        <w:rPr>
          <w:rFonts w:ascii="宋体" w:hAnsi="宋体" w:cs="宋体" w:eastAsia="宋体" w:hint="default"/>
        </w:rPr>
        <w:t>2017</w:t>
      </w:r>
      <w:r>
        <w:rPr>
          <w:rFonts w:ascii="宋体" w:hAnsi="宋体" w:cs="宋体" w:eastAsia="宋体" w:hint="default"/>
          <w:spacing w:val="-50"/>
        </w:rPr>
        <w:t> </w:t>
      </w:r>
      <w:r>
        <w:rPr/>
        <w:t>年</w:t>
      </w:r>
      <w:r>
        <w:rPr>
          <w:spacing w:val="-50"/>
        </w:rPr>
        <w:t> </w:t>
      </w:r>
      <w:r>
        <w:rPr>
          <w:rFonts w:ascii="宋体" w:hAnsi="宋体" w:cs="宋体" w:eastAsia="宋体" w:hint="default"/>
        </w:rPr>
        <w:t>4</w:t>
      </w:r>
      <w:r>
        <w:rPr>
          <w:rFonts w:ascii="宋体" w:hAnsi="宋体" w:cs="宋体" w:eastAsia="宋体" w:hint="default"/>
          <w:spacing w:val="-53"/>
        </w:rPr>
        <w:t> </w:t>
      </w:r>
      <w:r>
        <w:rPr/>
        <w:t>月，经中国证监会证监许可</w:t>
      </w:r>
      <w:r>
        <w:rPr>
          <w:rFonts w:ascii="宋体" w:hAnsi="宋体" w:cs="宋体" w:eastAsia="宋体" w:hint="default"/>
        </w:rPr>
        <w:t>[2017]431</w:t>
      </w:r>
      <w:r>
        <w:rPr>
          <w:rFonts w:ascii="宋体" w:hAnsi="宋体" w:cs="宋体" w:eastAsia="宋体" w:hint="default"/>
          <w:spacing w:val="-52"/>
        </w:rPr>
        <w:t> </w:t>
      </w:r>
      <w:r>
        <w:rPr/>
        <w:t>号《关于核准上海格尔软件股份有限公司首</w:t>
      </w:r>
      <w:r>
        <w:rPr>
          <w:w w:val="100"/>
        </w:rPr>
        <w:t> </w:t>
      </w:r>
      <w:r>
        <w:rPr>
          <w:spacing w:val="2"/>
        </w:rPr>
        <w:t>次公开发行股票的批复》核准，上海格尔软件股份有限公司获准向社会公开发行人民币普通股</w:t>
      </w:r>
      <w:r>
        <w:rPr>
          <w:spacing w:val="7"/>
        </w:rPr>
        <w:t> </w:t>
      </w:r>
      <w:r>
        <w:rPr>
          <w:spacing w:val="7"/>
        </w:rPr>
      </w:r>
      <w:r>
        <w:rPr>
          <w:rFonts w:ascii="宋体" w:hAnsi="宋体" w:cs="宋体" w:eastAsia="宋体" w:hint="default"/>
        </w:rPr>
        <w:t>1,525</w:t>
      </w:r>
      <w:r>
        <w:rPr>
          <w:rFonts w:ascii="宋体" w:hAnsi="宋体" w:cs="宋体" w:eastAsia="宋体" w:hint="default"/>
          <w:spacing w:val="-46"/>
        </w:rPr>
        <w:t> </w:t>
      </w:r>
      <w:r>
        <w:rPr/>
        <w:t>万股。公司股票于</w:t>
      </w:r>
      <w:r>
        <w:rPr>
          <w:spacing w:val="-44"/>
        </w:rPr>
        <w:t> </w:t>
      </w:r>
      <w:r>
        <w:rPr>
          <w:rFonts w:ascii="宋体" w:hAnsi="宋体" w:cs="宋体" w:eastAsia="宋体" w:hint="default"/>
        </w:rPr>
        <w:t>2017</w:t>
      </w:r>
      <w:r>
        <w:rPr>
          <w:rFonts w:ascii="宋体" w:hAnsi="宋体" w:cs="宋体" w:eastAsia="宋体" w:hint="default"/>
          <w:spacing w:val="-46"/>
        </w:rPr>
        <w:t> </w:t>
      </w:r>
      <w:r>
        <w:rPr/>
        <w:t>年</w:t>
      </w:r>
      <w:r>
        <w:rPr>
          <w:spacing w:val="-44"/>
        </w:rPr>
        <w:t> </w:t>
      </w:r>
      <w:r>
        <w:rPr>
          <w:rFonts w:ascii="宋体" w:hAnsi="宋体" w:cs="宋体" w:eastAsia="宋体" w:hint="default"/>
        </w:rPr>
        <w:t>4</w:t>
      </w:r>
      <w:r>
        <w:rPr>
          <w:rFonts w:ascii="宋体" w:hAnsi="宋体" w:cs="宋体" w:eastAsia="宋体" w:hint="default"/>
          <w:spacing w:val="-46"/>
        </w:rPr>
        <w:t> </w:t>
      </w:r>
      <w:r>
        <w:rPr/>
        <w:t>月</w:t>
      </w:r>
      <w:r>
        <w:rPr>
          <w:spacing w:val="-44"/>
        </w:rPr>
        <w:t> </w:t>
      </w:r>
      <w:r>
        <w:rPr>
          <w:rFonts w:ascii="宋体" w:hAnsi="宋体" w:cs="宋体" w:eastAsia="宋体" w:hint="default"/>
        </w:rPr>
        <w:t>21</w:t>
      </w:r>
      <w:r>
        <w:rPr>
          <w:rFonts w:ascii="宋体" w:hAnsi="宋体" w:cs="宋体" w:eastAsia="宋体" w:hint="default"/>
          <w:spacing w:val="-44"/>
        </w:rPr>
        <w:t> </w:t>
      </w:r>
      <w:r>
        <w:rPr/>
        <w:t>日在上海证券交易所挂牌上市交易。在《首次公开发行</w:t>
      </w:r>
      <w:r>
        <w:rPr>
          <w:w w:val="100"/>
        </w:rPr>
        <w:t> </w:t>
      </w:r>
      <w:r>
        <w:rPr>
          <w:spacing w:val="-6"/>
          <w:w w:val="100"/>
        </w:rPr>
        <w:t>股票招股说明书中》，公司实际控制人孔令钢、陆海天承诺：</w:t>
      </w:r>
    </w:p>
    <w:p>
      <w:pPr>
        <w:pStyle w:val="BodyText"/>
        <w:spacing w:line="232" w:lineRule="auto" w:before="7"/>
        <w:ind w:left="138" w:right="207" w:firstLine="419"/>
        <w:jc w:val="both"/>
      </w:pPr>
      <w:r>
        <w:rPr>
          <w:spacing w:val="-4"/>
        </w:rPr>
        <w:t>除本次公开发售的股份外，自公司股票上市之日起 </w:t>
      </w:r>
      <w:r>
        <w:rPr>
          <w:rFonts w:ascii="Times New Roman" w:hAnsi="Times New Roman" w:cs="Times New Roman" w:eastAsia="Times New Roman" w:hint="default"/>
        </w:rPr>
        <w:t>36</w:t>
      </w:r>
      <w:r>
        <w:rPr>
          <w:rFonts w:ascii="Times New Roman" w:hAnsi="Times New Roman" w:cs="Times New Roman" w:eastAsia="Times New Roman" w:hint="default"/>
          <w:spacing w:val="12"/>
        </w:rPr>
        <w:t> </w:t>
      </w:r>
      <w:r>
        <w:rPr>
          <w:spacing w:val="-5"/>
        </w:rPr>
        <w:t>个月内，不转让或者委托他人管理其直</w:t>
      </w:r>
      <w:r>
        <w:rPr>
          <w:w w:val="100"/>
        </w:rPr>
        <w:t> </w:t>
      </w:r>
      <w:r>
        <w:rPr>
          <w:spacing w:val="-1"/>
        </w:rPr>
        <w:t>接或间接持有的公司首次公开发行股票前已发行的股份，也不由公司回购该部分股份。若在前述</w:t>
      </w:r>
      <w:r>
        <w:rPr>
          <w:spacing w:val="-55"/>
        </w:rPr>
        <w:t> </w:t>
      </w:r>
      <w:r>
        <w:rPr>
          <w:spacing w:val="-55"/>
        </w:rPr>
      </w:r>
      <w:r>
        <w:rPr>
          <w:spacing w:val="-1"/>
        </w:rPr>
        <w:t>锁定期满后两年内减持公司股票的，减持价格不低于发行价；若公司股票在锁定期内发生派息、</w:t>
      </w:r>
      <w:r>
        <w:rPr>
          <w:spacing w:val="-55"/>
        </w:rPr>
        <w:t> </w:t>
      </w:r>
      <w:r>
        <w:rPr>
          <w:spacing w:val="-55"/>
        </w:rPr>
      </w:r>
      <w:r>
        <w:rPr/>
        <w:t>送股、资本公积转增股本等除权除息事项，发行价应做相应除权除息处理；上市后</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个月内如公</w:t>
      </w:r>
    </w:p>
    <w:p>
      <w:pPr>
        <w:pStyle w:val="BodyText"/>
        <w:spacing w:line="265" w:lineRule="exact"/>
        <w:ind w:left="138" w:right="100"/>
        <w:jc w:val="left"/>
      </w:pPr>
      <w:r>
        <w:rPr/>
        <w:t>司股票连续</w:t>
      </w:r>
      <w:r>
        <w:rPr>
          <w:spacing w:val="-39"/>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 </w:t>
      </w:r>
      <w:r>
        <w:rPr>
          <w:spacing w:val="-4"/>
        </w:rPr>
        <w:t>个交易日的收盘价均低于发行价，或者上市后</w:t>
      </w:r>
      <w:r>
        <w:rPr>
          <w:spacing w:val="-38"/>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spacing w:val="-5"/>
        </w:rPr>
        <w:t>个月期末收盘价低于发行价，其持</w:t>
      </w:r>
    </w:p>
    <w:p>
      <w:pPr>
        <w:pStyle w:val="BodyText"/>
        <w:spacing w:line="274" w:lineRule="exact" w:before="16"/>
        <w:ind w:left="558" w:right="89" w:hanging="420"/>
        <w:jc w:val="left"/>
      </w:pPr>
      <w:r>
        <w:rPr/>
        <w:t>有的公司股票将在上述锁定期限届满后自动延长</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个月的锁定期。</w:t>
      </w:r>
      <w:r>
        <w:rPr>
          <w:w w:val="100"/>
        </w:rPr>
        <w:t> </w:t>
      </w:r>
      <w:r>
        <w:rPr/>
        <w:t>除上述锁定期外，其在公司任职期间每年转让的股份不超过其所持有公司股份总数的</w:t>
      </w:r>
      <w:r>
        <w:rPr>
          <w:spacing w:val="49"/>
        </w:rPr>
        <w:t> </w:t>
      </w:r>
      <w:r>
        <w:rPr>
          <w:rFonts w:ascii="Times New Roman" w:hAnsi="Times New Roman" w:cs="Times New Roman" w:eastAsia="Times New Roman" w:hint="default"/>
        </w:rPr>
        <w:t>25%</w:t>
      </w:r>
      <w:r>
        <w:rPr/>
        <w:t>；</w:t>
      </w:r>
    </w:p>
    <w:p>
      <w:pPr>
        <w:pStyle w:val="BodyText"/>
        <w:spacing w:line="253" w:lineRule="exact"/>
        <w:ind w:left="138" w:right="100"/>
        <w:jc w:val="left"/>
      </w:pPr>
      <w:r>
        <w:rPr/>
        <w:t>离职后</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个月内，不转让其所持有的公司股份。其不因职务变更、离职等原因，而放弃履行上述</w:t>
      </w:r>
    </w:p>
    <w:p>
      <w:pPr>
        <w:pStyle w:val="BodyText"/>
        <w:spacing w:line="264" w:lineRule="exact"/>
        <w:ind w:left="138" w:right="100"/>
        <w:jc w:val="left"/>
      </w:pPr>
      <w:r>
        <w:rPr/>
        <w:t>承诺。</w:t>
      </w:r>
    </w:p>
    <w:p>
      <w:pPr>
        <w:pStyle w:val="BodyText"/>
        <w:spacing w:line="230" w:lineRule="auto" w:before="8"/>
        <w:ind w:left="138" w:right="208" w:firstLine="419"/>
        <w:jc w:val="both"/>
      </w:pPr>
      <w:r>
        <w:rPr>
          <w:spacing w:val="2"/>
        </w:rPr>
        <w:t>在所持有公司股票的锁定期满后两年内，其减持的股票数量不超过其持有公司股票数量的</w:t>
      </w:r>
      <w:r>
        <w:rPr>
          <w:spacing w:val="4"/>
          <w:w w:val="100"/>
        </w:rPr>
        <w:t> </w:t>
      </w:r>
      <w:r>
        <w:rPr>
          <w:rFonts w:ascii="Times New Roman" w:hAnsi="Times New Roman" w:cs="Times New Roman" w:eastAsia="Times New Roman" w:hint="default"/>
        </w:rPr>
        <w:t>30%</w:t>
      </w:r>
      <w:r>
        <w:rPr/>
        <w:t>；减持前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个交易日通过公司予以公告，减持价格（复权后）不低于发行价，减持方式包括</w:t>
      </w:r>
      <w:r>
        <w:rPr>
          <w:w w:val="100"/>
        </w:rPr>
        <w:t> </w:t>
      </w:r>
      <w:r>
        <w:rPr/>
        <w:t>竞价交易和大宗交易。</w:t>
      </w:r>
    </w:p>
    <w:p>
      <w:pPr>
        <w:pStyle w:val="BodyText"/>
        <w:spacing w:line="237" w:lineRule="auto" w:before="3"/>
        <w:ind w:left="138" w:right="100" w:firstLine="419"/>
        <w:jc w:val="left"/>
      </w:pPr>
      <w:r>
        <w:rPr>
          <w:spacing w:val="-2"/>
        </w:rPr>
        <w:t>如违反上述承诺减持公司股份的，违规减持所得的收益归属公司所有，如其未将违规减持所</w:t>
      </w:r>
      <w:r>
        <w:rPr>
          <w:w w:val="100"/>
        </w:rPr>
        <w:t> </w:t>
      </w:r>
      <w:r>
        <w:rPr>
          <w:spacing w:val="-1"/>
        </w:rPr>
        <w:t>得的收益及时上缴公司的，公司有权将应付其现金分红中等额于违规减持所得收益的部分扣留并</w:t>
      </w:r>
      <w:r>
        <w:rPr>
          <w:spacing w:val="-55"/>
        </w:rPr>
        <w:t> </w:t>
      </w:r>
      <w:r>
        <w:rPr>
          <w:spacing w:val="-55"/>
        </w:rPr>
      </w:r>
      <w:r>
        <w:rPr/>
        <w:t>归为公司所有。</w:t>
      </w:r>
      <w:r>
        <w:rPr>
          <w:spacing w:val="-103"/>
        </w:rPr>
        <w:t> </w:t>
      </w:r>
      <w:r>
        <w:rPr>
          <w:spacing w:val="-103"/>
        </w:rPr>
      </w:r>
      <w:r>
        <w:rPr>
          <w:spacing w:val="-4"/>
        </w:rPr>
        <w:t>有关其它情况，请详见本报告第五节重要事项中关于“公司实际控制人、股东、关联方、收购人</w:t>
      </w:r>
      <w:r>
        <w:rPr>
          <w:spacing w:val="-38"/>
        </w:rPr>
        <w:t> </w:t>
      </w:r>
      <w:r>
        <w:rPr>
          <w:spacing w:val="-38"/>
        </w:rPr>
      </w:r>
      <w:r>
        <w:rPr>
          <w:spacing w:val="-5"/>
          <w:w w:val="100"/>
        </w:rPr>
        <w:t>以及公司等承诺相关方在报告期内或持续到报告期内的承诺事项”。</w:t>
      </w:r>
    </w:p>
    <w:p>
      <w:pPr>
        <w:spacing w:line="240" w:lineRule="auto" w:before="0"/>
        <w:rPr>
          <w:rFonts w:ascii="宋体" w:hAnsi="宋体" w:cs="宋体" w:eastAsia="宋体" w:hint="default"/>
          <w:sz w:val="23"/>
          <w:szCs w:val="23"/>
        </w:rPr>
      </w:pPr>
    </w:p>
    <w:p>
      <w:pPr>
        <w:pStyle w:val="Heading1"/>
        <w:tabs>
          <w:tab w:pos="1259" w:val="left" w:leader="none"/>
        </w:tabs>
        <w:spacing w:line="240" w:lineRule="auto" w:before="0"/>
        <w:ind w:right="77"/>
        <w:jc w:val="center"/>
        <w:rPr>
          <w:b w:val="0"/>
          <w:bCs w:val="0"/>
        </w:rPr>
      </w:pPr>
      <w:bookmarkStart w:name="_TOC_250005" w:id="7"/>
      <w:r>
        <w:rPr>
          <w:w w:val="95"/>
        </w:rPr>
        <w:t>第七节</w:t>
        <w:tab/>
      </w:r>
      <w:r>
        <w:rPr/>
        <w:t>优先股相关情况</w:t>
      </w:r>
      <w:bookmarkEnd w:id="7"/>
      <w:r>
        <w:rPr>
          <w:b w:val="0"/>
          <w:bCs w:val="0"/>
        </w:rPr>
      </w:r>
    </w:p>
    <w:p>
      <w:pPr>
        <w:spacing w:line="240" w:lineRule="auto" w:before="4"/>
        <w:rPr>
          <w:rFonts w:ascii="黑体" w:hAnsi="黑体" w:cs="黑体" w:eastAsia="黑体" w:hint="default"/>
          <w:b/>
          <w:bCs/>
          <w:sz w:val="19"/>
          <w:szCs w:val="19"/>
        </w:rPr>
      </w:pPr>
    </w:p>
    <w:p>
      <w:pPr>
        <w:pStyle w:val="BodyText"/>
        <w:spacing w:line="240" w:lineRule="auto"/>
        <w:ind w:left="138" w:right="10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1660" w:right="1060"/>
        </w:sectPr>
      </w:pPr>
    </w:p>
    <w:p>
      <w:pPr>
        <w:pStyle w:val="Heading1"/>
        <w:tabs>
          <w:tab w:pos="5401" w:val="left" w:leader="none"/>
        </w:tabs>
        <w:spacing w:line="240" w:lineRule="auto" w:before="105"/>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8"/>
          <w:footerReference w:type="default" r:id="rId39"/>
          <w:pgSz w:w="16840" w:h="11910" w:orient="landscape"/>
          <w:pgMar w:header="880" w:footer="1195" w:top="1120" w:bottom="1380" w:left="1300" w:right="1200"/>
          <w:pgNumType w:start="55"/>
        </w:sectPr>
      </w:pPr>
    </w:p>
    <w:p>
      <w:pPr>
        <w:pStyle w:val="Heading2"/>
        <w:spacing w:line="240" w:lineRule="auto" w:before="36"/>
        <w:ind w:left="224" w:right="-15"/>
        <w:jc w:val="left"/>
        <w:rPr>
          <w:b w:val="0"/>
          <w:bCs w:val="0"/>
        </w:rPr>
      </w:pPr>
      <w:r>
        <w:rPr/>
        <w:t>一、持股变动情况及报酬情况</w:t>
      </w:r>
      <w:r>
        <w:rPr>
          <w:b w:val="0"/>
          <w:bCs w:val="0"/>
        </w:rPr>
      </w:r>
    </w:p>
    <w:p>
      <w:pPr>
        <w:pStyle w:val="Heading2"/>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61"/>
        <w:gridCol w:w="1164"/>
        <w:gridCol w:w="854"/>
        <w:gridCol w:w="857"/>
        <w:gridCol w:w="1222"/>
        <w:gridCol w:w="1222"/>
        <w:gridCol w:w="1162"/>
        <w:gridCol w:w="1159"/>
        <w:gridCol w:w="1359"/>
        <w:gridCol w:w="1178"/>
        <w:gridCol w:w="1411"/>
        <w:gridCol w:w="1448"/>
      </w:tblGrid>
      <w:tr>
        <w:trPr>
          <w:trHeight w:val="110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12"/>
              <w:jc w:val="right"/>
              <w:rPr>
                <w:rFonts w:ascii="宋体" w:hAnsi="宋体" w:cs="宋体" w:eastAsia="宋体" w:hint="default"/>
                <w:sz w:val="21"/>
                <w:szCs w:val="21"/>
              </w:rPr>
            </w:pPr>
            <w:r>
              <w:rPr>
                <w:rFonts w:ascii="宋体" w:hAnsi="宋体" w:cs="宋体" w:eastAsia="宋体" w:hint="default"/>
                <w:sz w:val="21"/>
                <w:szCs w:val="21"/>
              </w:rPr>
              <w:t>姓名</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职务</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5" w:right="182" w:hanging="212"/>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8" w:right="180" w:hanging="212"/>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70" w:right="151"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70" w:right="149"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1" w:right="142"/>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4" w:right="158" w:hanging="209"/>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75" w:right="170"/>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511" w:right="187" w:hanging="317"/>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28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孔令钢</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59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2016.6.24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2019.6.23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8,880,000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8,880,000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105.86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陆海天</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60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2016.6.24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2019.6.23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6,120,000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6,120,000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5.00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杨文山</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董事</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总</w:t>
            </w:r>
            <w:r>
              <w:rPr>
                <w:rFonts w:ascii="宋体" w:hAnsi="宋体" w:cs="宋体" w:eastAsia="宋体" w:hint="default"/>
                <w:w w:val="100"/>
                <w:sz w:val="21"/>
                <w:szCs w:val="21"/>
              </w:rPr>
              <w:t>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54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2016.6.24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2019.6.23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4,000,000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4,000,000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100.62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陈宁生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58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2016.6.24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2019.6.23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3,850,000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3,850,000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5.00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周海华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董事</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副</w:t>
            </w:r>
            <w:r>
              <w:rPr>
                <w:rFonts w:ascii="宋体" w:hAnsi="宋体" w:cs="宋体" w:eastAsia="宋体" w:hint="default"/>
                <w:w w:val="100"/>
                <w:sz w:val="21"/>
                <w:szCs w:val="21"/>
              </w:rPr>
              <w:t>总</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22"/>
                <w:w w:val="100"/>
                <w:sz w:val="21"/>
                <w:szCs w:val="21"/>
              </w:rPr>
              <w:t>经理、董事</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会秘书</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66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2016.6.24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2019.6.23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600,000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39.95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叶枫</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董事</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副</w:t>
            </w:r>
            <w:r>
              <w:rPr>
                <w:rFonts w:ascii="宋体" w:hAnsi="宋体" w:cs="宋体" w:eastAsia="宋体" w:hint="default"/>
                <w:w w:val="100"/>
                <w:sz w:val="21"/>
                <w:szCs w:val="21"/>
              </w:rPr>
              <w:t>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43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2016.6.24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2019.6.23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600,000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71.14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马利庄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54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2016.6.24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2019.6.23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6.00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陶文娟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68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2016.6.24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2019.6.23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朱建平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60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2016.6.24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2019.6.23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刘功哲</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37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2016.6.24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2018.1.22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41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2017.6.12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2019.6.23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34.29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黄振东</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监</w:t>
            </w:r>
            <w:r>
              <w:rPr>
                <w:rFonts w:ascii="宋体" w:hAnsi="宋体" w:cs="宋体" w:eastAsia="宋体" w:hint="default"/>
                <w:spacing w:val="-69"/>
                <w:sz w:val="21"/>
                <w:szCs w:val="21"/>
              </w:rPr>
              <w:t> </w:t>
            </w:r>
            <w:r>
              <w:rPr>
                <w:rFonts w:ascii="宋体" w:hAnsi="宋体" w:cs="宋体" w:eastAsia="宋体" w:hint="default"/>
                <w:sz w:val="21"/>
                <w:szCs w:val="21"/>
              </w:rPr>
              <w:t>事</w:t>
            </w:r>
            <w:r>
              <w:rPr>
                <w:rFonts w:ascii="宋体" w:hAnsi="宋体" w:cs="宋体" w:eastAsia="宋体" w:hint="default"/>
                <w:spacing w:val="-69"/>
                <w:sz w:val="21"/>
                <w:szCs w:val="21"/>
              </w:rPr>
              <w:t> </w:t>
            </w:r>
            <w:r>
              <w:rPr>
                <w:rFonts w:ascii="宋体" w:hAnsi="宋体" w:cs="宋体" w:eastAsia="宋体" w:hint="default"/>
                <w:sz w:val="21"/>
                <w:szCs w:val="21"/>
              </w:rPr>
              <w:t>会</w:t>
            </w:r>
            <w:r>
              <w:rPr>
                <w:rFonts w:ascii="宋体" w:hAnsi="宋体" w:cs="宋体" w:eastAsia="宋体" w:hint="default"/>
                <w:spacing w:val="-71"/>
                <w:sz w:val="21"/>
                <w:szCs w:val="21"/>
              </w:rPr>
              <w:t> </w:t>
            </w:r>
            <w:r>
              <w:rPr>
                <w:rFonts w:ascii="宋体" w:hAnsi="宋体" w:cs="宋体" w:eastAsia="宋体" w:hint="default"/>
                <w:sz w:val="21"/>
                <w:szCs w:val="21"/>
              </w:rPr>
              <w:t>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席</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51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2016.6.24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2019.6.23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5.00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44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2016.6.24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2019.6.23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350,000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49.02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范峰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40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2016.6.24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2019.6.23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250,000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250,000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56.92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2"/>
              <w:jc w:val="right"/>
              <w:rPr>
                <w:rFonts w:ascii="宋体" w:hAnsi="宋体" w:cs="宋体" w:eastAsia="宋体" w:hint="default"/>
                <w:sz w:val="21"/>
                <w:szCs w:val="21"/>
              </w:rPr>
            </w:pPr>
            <w:r>
              <w:rPr>
                <w:rFonts w:ascii="宋体" w:hAnsi="宋体" w:cs="宋体" w:eastAsia="宋体" w:hint="default"/>
                <w:sz w:val="21"/>
                <w:szCs w:val="21"/>
              </w:rPr>
              <w:t>合计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w w:val="100"/>
                <w:sz w:val="21"/>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24,650,000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24,650,000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490.80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35" w:lineRule="exact"/>
        <w:jc w:val="center"/>
        <w:rPr>
          <w:rFonts w:ascii="Times New Roman" w:hAnsi="Times New Roman" w:cs="Times New Roman" w:eastAsia="Times New Roman" w:hint="default"/>
          <w:sz w:val="21"/>
          <w:szCs w:val="21"/>
        </w:rPr>
        <w:sectPr>
          <w:type w:val="continuous"/>
          <w:pgSz w:w="16840" w:h="11910" w:orient="landscape"/>
          <w:pgMar w:top="1120" w:bottom="1380" w:left="1300" w:right="12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12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孔令钢</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22"/>
              <w:jc w:val="left"/>
              <w:rPr>
                <w:rFonts w:ascii="宋体" w:hAnsi="宋体" w:cs="宋体" w:eastAsia="宋体" w:hint="default"/>
                <w:sz w:val="24"/>
                <w:szCs w:val="24"/>
              </w:rPr>
            </w:pPr>
            <w:r>
              <w:rPr>
                <w:rFonts w:ascii="宋体" w:hAnsi="宋体" w:cs="宋体" w:eastAsia="宋体" w:hint="default"/>
                <w:spacing w:val="-3"/>
                <w:sz w:val="24"/>
                <w:szCs w:val="24"/>
              </w:rPr>
              <w:t>中国国籍，无境外永久居留权，</w:t>
            </w:r>
            <w:r>
              <w:rPr>
                <w:rFonts w:ascii="Times New Roman" w:hAnsi="Times New Roman" w:cs="Times New Roman" w:eastAsia="Times New Roman" w:hint="default"/>
                <w:spacing w:val="-3"/>
                <w:sz w:val="24"/>
                <w:szCs w:val="24"/>
              </w:rPr>
              <w:t>1958</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
                <w:sz w:val="24"/>
                <w:szCs w:val="24"/>
              </w:rPr>
              <w:t> </w:t>
            </w:r>
            <w:r>
              <w:rPr>
                <w:rFonts w:ascii="宋体" w:hAnsi="宋体" w:cs="宋体" w:eastAsia="宋体" w:hint="default"/>
                <w:spacing w:val="-3"/>
                <w:sz w:val="24"/>
                <w:szCs w:val="24"/>
              </w:rPr>
              <w:t>月出生，硕士研究生学历。</w:t>
            </w:r>
            <w:r>
              <w:rPr>
                <w:rFonts w:ascii="Times New Roman" w:hAnsi="Times New Roman" w:cs="Times New Roman" w:eastAsia="Times New Roman" w:hint="default"/>
                <w:spacing w:val="-3"/>
                <w:sz w:val="24"/>
                <w:szCs w:val="24"/>
              </w:rPr>
              <w:t>1976</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月至</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1979</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月，任职于崇明东风农场。</w:t>
            </w:r>
          </w:p>
          <w:p>
            <w:pPr>
              <w:pStyle w:val="TableParagraph"/>
              <w:spacing w:line="311"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1979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1992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月，任职于上海轴瓦厂。</w:t>
            </w:r>
            <w:r>
              <w:rPr>
                <w:rFonts w:ascii="Times New Roman" w:hAnsi="Times New Roman" w:cs="Times New Roman" w:eastAsia="Times New Roman" w:hint="default"/>
                <w:sz w:val="24"/>
                <w:szCs w:val="24"/>
              </w:rPr>
              <w:t>1993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月至今，任格尔实业董事长和执行董事。</w:t>
            </w:r>
            <w:r>
              <w:rPr>
                <w:rFonts w:ascii="Times New Roman" w:hAnsi="Times New Roman" w:cs="Times New Roman" w:eastAsia="Times New Roman" w:hint="default"/>
                <w:sz w:val="24"/>
                <w:szCs w:val="24"/>
              </w:rPr>
              <w:t>1996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月至今，</w:t>
            </w:r>
          </w:p>
          <w:p>
            <w:pPr>
              <w:pStyle w:val="TableParagraph"/>
              <w:spacing w:line="312" w:lineRule="exact" w:before="19"/>
              <w:ind w:left="103" w:right="99"/>
              <w:jc w:val="left"/>
              <w:rPr>
                <w:rFonts w:ascii="宋体" w:hAnsi="宋体" w:cs="宋体" w:eastAsia="宋体" w:hint="default"/>
                <w:sz w:val="24"/>
                <w:szCs w:val="24"/>
              </w:rPr>
            </w:pPr>
            <w:r>
              <w:rPr>
                <w:rFonts w:ascii="宋体" w:hAnsi="宋体" w:cs="宋体" w:eastAsia="宋体" w:hint="default"/>
                <w:sz w:val="24"/>
                <w:szCs w:val="24"/>
              </w:rPr>
              <w:t>任格尔汽车董事长。</w:t>
            </w:r>
            <w:r>
              <w:rPr>
                <w:rFonts w:ascii="Times New Roman" w:hAnsi="Times New Roman" w:cs="Times New Roman" w:eastAsia="Times New Roman" w:hint="default"/>
                <w:sz w:val="24"/>
                <w:szCs w:val="24"/>
              </w:rPr>
              <w:t>1998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2000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月，任上海格尔软件有限公司执行董事。</w:t>
            </w:r>
            <w:r>
              <w:rPr>
                <w:rFonts w:ascii="Times New Roman" w:hAnsi="Times New Roman" w:cs="Times New Roman" w:eastAsia="Times New Roman" w:hint="default"/>
                <w:sz w:val="24"/>
                <w:szCs w:val="24"/>
              </w:rPr>
              <w:t>2000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月至今，任本公司董事 长。</w:t>
            </w:r>
          </w:p>
        </w:tc>
      </w:tr>
      <w:tr>
        <w:trPr>
          <w:trHeight w:val="125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陆海天</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both"/>
              <w:rPr>
                <w:rFonts w:ascii="宋体" w:hAnsi="宋体" w:cs="宋体" w:eastAsia="宋体" w:hint="default"/>
                <w:sz w:val="24"/>
                <w:szCs w:val="24"/>
              </w:rPr>
            </w:pPr>
            <w:r>
              <w:rPr>
                <w:rFonts w:ascii="宋体" w:hAnsi="宋体" w:cs="宋体" w:eastAsia="宋体" w:hint="default"/>
                <w:spacing w:val="-3"/>
                <w:sz w:val="24"/>
                <w:szCs w:val="24"/>
              </w:rPr>
              <w:t>中国国籍，无境外永久居留权，</w:t>
            </w:r>
            <w:r>
              <w:rPr>
                <w:rFonts w:ascii="Times New Roman" w:hAnsi="Times New Roman" w:cs="Times New Roman" w:eastAsia="Times New Roman" w:hint="default"/>
                <w:spacing w:val="-3"/>
                <w:sz w:val="24"/>
                <w:szCs w:val="24"/>
              </w:rPr>
              <w:t>1957</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1"/>
                <w:sz w:val="24"/>
                <w:szCs w:val="24"/>
              </w:rPr>
              <w:t> </w:t>
            </w:r>
            <w:r>
              <w:rPr>
                <w:rFonts w:ascii="宋体" w:hAnsi="宋体" w:cs="宋体" w:eastAsia="宋体" w:hint="default"/>
                <w:spacing w:val="-3"/>
                <w:sz w:val="24"/>
                <w:szCs w:val="24"/>
              </w:rPr>
              <w:t>月出生，硕士研究生学历。</w:t>
            </w:r>
            <w:r>
              <w:rPr>
                <w:rFonts w:ascii="Times New Roman" w:hAnsi="Times New Roman" w:cs="Times New Roman" w:eastAsia="Times New Roman" w:hint="default"/>
                <w:spacing w:val="-3"/>
                <w:sz w:val="24"/>
                <w:szCs w:val="24"/>
              </w:rPr>
              <w:t>1977</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月至</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1981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月，任职于上海重型汽车</w:t>
            </w:r>
          </w:p>
          <w:p>
            <w:pPr>
              <w:pStyle w:val="TableParagraph"/>
              <w:spacing w:line="225" w:lineRule="auto" w:before="6"/>
              <w:ind w:left="103" w:right="97"/>
              <w:jc w:val="both"/>
              <w:rPr>
                <w:rFonts w:ascii="宋体" w:hAnsi="宋体" w:cs="宋体" w:eastAsia="宋体" w:hint="default"/>
                <w:sz w:val="24"/>
                <w:szCs w:val="24"/>
              </w:rPr>
            </w:pPr>
            <w:r>
              <w:rPr>
                <w:rFonts w:ascii="宋体" w:hAnsi="宋体" w:cs="宋体" w:eastAsia="宋体" w:hint="default"/>
                <w:spacing w:val="-4"/>
                <w:sz w:val="24"/>
                <w:szCs w:val="24"/>
              </w:rPr>
              <w:t>制造厂。</w:t>
            </w:r>
            <w:r>
              <w:rPr>
                <w:rFonts w:ascii="Times New Roman" w:hAnsi="Times New Roman" w:cs="Times New Roman" w:eastAsia="Times New Roman" w:hint="default"/>
                <w:spacing w:val="-4"/>
                <w:sz w:val="24"/>
                <w:szCs w:val="24"/>
              </w:rPr>
              <w:t>1981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月至</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1984</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1"/>
                <w:sz w:val="24"/>
                <w:szCs w:val="24"/>
              </w:rPr>
              <w:t> </w:t>
            </w:r>
            <w:r>
              <w:rPr>
                <w:rFonts w:ascii="宋体" w:hAnsi="宋体" w:cs="宋体" w:eastAsia="宋体" w:hint="default"/>
                <w:spacing w:val="-3"/>
                <w:sz w:val="24"/>
                <w:szCs w:val="24"/>
              </w:rPr>
              <w:t>月，于上海汽车公司职工大学学习。</w:t>
            </w:r>
            <w:r>
              <w:rPr>
                <w:rFonts w:ascii="Times New Roman" w:hAnsi="Times New Roman" w:cs="Times New Roman" w:eastAsia="Times New Roman" w:hint="default"/>
                <w:spacing w:val="-3"/>
                <w:sz w:val="24"/>
                <w:szCs w:val="24"/>
              </w:rPr>
              <w:t>1984</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月至</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1992</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1"/>
                <w:sz w:val="24"/>
                <w:szCs w:val="24"/>
              </w:rPr>
              <w:t> </w:t>
            </w:r>
            <w:r>
              <w:rPr>
                <w:rFonts w:ascii="宋体" w:hAnsi="宋体" w:cs="宋体" w:eastAsia="宋体" w:hint="default"/>
                <w:spacing w:val="-3"/>
                <w:sz w:val="24"/>
                <w:szCs w:val="24"/>
              </w:rPr>
              <w:t>月，任职于上海汇众汽车</w:t>
            </w:r>
            <w:r>
              <w:rPr>
                <w:rFonts w:ascii="宋体" w:hAnsi="宋体" w:cs="宋体" w:eastAsia="宋体" w:hint="default"/>
                <w:sz w:val="24"/>
                <w:szCs w:val="24"/>
              </w:rPr>
              <w:t> 制造公司。</w:t>
            </w:r>
            <w:r>
              <w:rPr>
                <w:rFonts w:ascii="Times New Roman" w:hAnsi="Times New Roman" w:cs="Times New Roman" w:eastAsia="Times New Roman" w:hint="default"/>
                <w:sz w:val="24"/>
                <w:szCs w:val="24"/>
              </w:rPr>
              <w:t>1993</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月至今，历任格尔实业副总经理、总经理。</w:t>
            </w:r>
            <w:r>
              <w:rPr>
                <w:rFonts w:ascii="Times New Roman" w:hAnsi="Times New Roman" w:cs="Times New Roman" w:eastAsia="Times New Roman" w:hint="default"/>
                <w:sz w:val="24"/>
                <w:szCs w:val="24"/>
              </w:rPr>
              <w:t>1996</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月至今，任格尔金属董事长。</w:t>
            </w:r>
            <w:r>
              <w:rPr>
                <w:rFonts w:ascii="Times New Roman" w:hAnsi="Times New Roman" w:cs="Times New Roman" w:eastAsia="Times New Roman" w:hint="default"/>
                <w:sz w:val="24"/>
                <w:szCs w:val="24"/>
              </w:rPr>
              <w:t>2001</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4"/>
                <w:sz w:val="24"/>
                <w:szCs w:val="24"/>
              </w:rPr>
              <w:t> </w:t>
            </w:r>
            <w:r>
              <w:rPr>
                <w:rFonts w:ascii="宋体" w:hAnsi="宋体" w:cs="宋体" w:eastAsia="宋体" w:hint="default"/>
                <w:spacing w:val="-3"/>
                <w:sz w:val="24"/>
                <w:szCs w:val="24"/>
              </w:rPr>
              <w:t>月至 </w:t>
            </w:r>
            <w:r>
              <w:rPr>
                <w:rFonts w:ascii="宋体" w:hAnsi="宋体" w:cs="宋体" w:eastAsia="宋体" w:hint="default"/>
                <w:sz w:val="24"/>
                <w:szCs w:val="24"/>
              </w:rPr>
              <w:t>今，任本公司董事。</w:t>
            </w:r>
          </w:p>
        </w:tc>
      </w:tr>
      <w:tr>
        <w:trPr>
          <w:trHeight w:val="156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杨文山</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22"/>
              <w:jc w:val="left"/>
              <w:rPr>
                <w:rFonts w:ascii="宋体" w:hAnsi="宋体" w:cs="宋体" w:eastAsia="宋体" w:hint="default"/>
                <w:sz w:val="24"/>
                <w:szCs w:val="24"/>
              </w:rPr>
            </w:pPr>
            <w:r>
              <w:rPr>
                <w:rFonts w:ascii="宋体" w:hAnsi="宋体" w:cs="宋体" w:eastAsia="宋体" w:hint="default"/>
                <w:spacing w:val="-6"/>
                <w:sz w:val="24"/>
                <w:szCs w:val="24"/>
              </w:rPr>
              <w:t>中国国籍，无境外永久居留权，</w:t>
            </w:r>
            <w:r>
              <w:rPr>
                <w:rFonts w:ascii="Times New Roman" w:hAnsi="Times New Roman" w:cs="Times New Roman" w:eastAsia="Times New Roman" w:hint="default"/>
                <w:spacing w:val="-6"/>
                <w:sz w:val="24"/>
                <w:szCs w:val="24"/>
              </w:rPr>
              <w:t>1963</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2"/>
                <w:sz w:val="24"/>
                <w:szCs w:val="24"/>
              </w:rPr>
              <w:t> </w:t>
            </w:r>
            <w:r>
              <w:rPr>
                <w:rFonts w:ascii="宋体" w:hAnsi="宋体" w:cs="宋体" w:eastAsia="宋体" w:hint="default"/>
                <w:spacing w:val="-6"/>
                <w:sz w:val="24"/>
                <w:szCs w:val="24"/>
              </w:rPr>
              <w:t>月出生，硕士研究生学历。</w:t>
            </w:r>
            <w:r>
              <w:rPr>
                <w:rFonts w:ascii="Times New Roman" w:hAnsi="Times New Roman" w:cs="Times New Roman" w:eastAsia="Times New Roman" w:hint="default"/>
                <w:spacing w:val="-6"/>
                <w:sz w:val="24"/>
                <w:szCs w:val="24"/>
              </w:rPr>
              <w:t>1985</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月至</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1993</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2"/>
                <w:sz w:val="24"/>
                <w:szCs w:val="24"/>
              </w:rPr>
              <w:t> </w:t>
            </w:r>
            <w:r>
              <w:rPr>
                <w:rFonts w:ascii="宋体" w:hAnsi="宋体" w:cs="宋体" w:eastAsia="宋体" w:hint="default"/>
                <w:spacing w:val="-4"/>
                <w:sz w:val="24"/>
                <w:szCs w:val="24"/>
              </w:rPr>
              <w:t>月，任职于浙江省地震局，</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从事地震系统内的计算机教学和软件开发工作。</w:t>
            </w:r>
            <w:r>
              <w:rPr>
                <w:rFonts w:ascii="Times New Roman" w:hAnsi="Times New Roman" w:cs="Times New Roman" w:eastAsia="Times New Roman" w:hint="default"/>
                <w:sz w:val="24"/>
                <w:szCs w:val="24"/>
              </w:rPr>
              <w:t>1993</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月至</w:t>
            </w:r>
            <w:r>
              <w:rPr>
                <w:rFonts w:ascii="宋体" w:hAnsi="宋体" w:cs="宋体" w:eastAsia="宋体" w:hint="default"/>
                <w:spacing w:val="-68"/>
                <w:sz w:val="24"/>
                <w:szCs w:val="24"/>
              </w:rPr>
              <w:t> </w:t>
            </w:r>
            <w:r>
              <w:rPr>
                <w:rFonts w:ascii="Times New Roman" w:hAnsi="Times New Roman" w:cs="Times New Roman" w:eastAsia="Times New Roman" w:hint="default"/>
                <w:sz w:val="24"/>
                <w:szCs w:val="24"/>
              </w:rPr>
              <w:t>1995</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月，历任杭州新利电子有限公司上海办事处主</w:t>
            </w:r>
          </w:p>
          <w:p>
            <w:pPr>
              <w:pStyle w:val="TableParagraph"/>
              <w:spacing w:line="311"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任、杭州分公司副总经理。</w:t>
            </w:r>
            <w:r>
              <w:rPr>
                <w:rFonts w:ascii="Times New Roman" w:hAnsi="Times New Roman" w:cs="Times New Roman" w:eastAsia="Times New Roman" w:hint="default"/>
                <w:sz w:val="24"/>
                <w:szCs w:val="24"/>
              </w:rPr>
              <w:t>1995</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月至</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1996</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月，任深圳新利电子有限公司副总经理。</w:t>
            </w:r>
            <w:r>
              <w:rPr>
                <w:rFonts w:ascii="Times New Roman" w:hAnsi="Times New Roman" w:cs="Times New Roman" w:eastAsia="Times New Roman" w:hint="default"/>
                <w:sz w:val="24"/>
                <w:szCs w:val="24"/>
              </w:rPr>
              <w:t>1996</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月至</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2006</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10</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月，历任杭州信雅达系统工程股份有限公司部门经理、董事兼副总裁。</w:t>
            </w:r>
            <w:r>
              <w:rPr>
                <w:rFonts w:ascii="Times New Roman" w:hAnsi="Times New Roman" w:cs="Times New Roman" w:eastAsia="Times New Roman" w:hint="default"/>
                <w:sz w:val="24"/>
                <w:szCs w:val="24"/>
              </w:rPr>
              <w:t>2006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月，任本公司总经理。</w:t>
            </w:r>
          </w:p>
          <w:p>
            <w:pPr>
              <w:pStyle w:val="TableParagraph"/>
              <w:spacing w:line="32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月至今，任本公司董事、总经理。</w:t>
            </w:r>
          </w:p>
        </w:tc>
      </w:tr>
      <w:tr>
        <w:trPr>
          <w:trHeight w:val="125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陈宁生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中国国籍，无境外永久居留权，</w:t>
            </w:r>
            <w:r>
              <w:rPr>
                <w:rFonts w:ascii="Times New Roman" w:hAnsi="Times New Roman" w:cs="Times New Roman" w:eastAsia="Times New Roman" w:hint="default"/>
                <w:spacing w:val="-3"/>
                <w:sz w:val="24"/>
                <w:szCs w:val="24"/>
              </w:rPr>
              <w:t>1959</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1"/>
                <w:sz w:val="24"/>
                <w:szCs w:val="24"/>
              </w:rPr>
              <w:t> </w:t>
            </w:r>
            <w:r>
              <w:rPr>
                <w:rFonts w:ascii="宋体" w:hAnsi="宋体" w:cs="宋体" w:eastAsia="宋体" w:hint="default"/>
                <w:spacing w:val="-3"/>
                <w:sz w:val="24"/>
                <w:szCs w:val="24"/>
              </w:rPr>
              <w:t>月出生，硕士研究生学历。</w:t>
            </w:r>
            <w:r>
              <w:rPr>
                <w:rFonts w:ascii="Times New Roman" w:hAnsi="Times New Roman" w:cs="Times New Roman" w:eastAsia="Times New Roman" w:hint="default"/>
                <w:spacing w:val="-3"/>
                <w:sz w:val="24"/>
                <w:szCs w:val="24"/>
              </w:rPr>
              <w:t>1983</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月至</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1987</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月，任职于上海金山石油</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化工研究院。</w:t>
            </w:r>
            <w:r>
              <w:rPr>
                <w:rFonts w:ascii="Times New Roman" w:hAnsi="Times New Roman" w:cs="Times New Roman" w:eastAsia="Times New Roman" w:hint="default"/>
                <w:spacing w:val="-3"/>
                <w:sz w:val="24"/>
                <w:szCs w:val="24"/>
              </w:rPr>
              <w:t>1987</w:t>
            </w:r>
            <w:r>
              <w:rPr>
                <w:rFonts w:ascii="Times New Roman" w:hAnsi="Times New Roman" w:cs="Times New Roman" w:eastAsia="Times New Roman" w:hint="default"/>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1989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pacing w:val="-3"/>
                <w:sz w:val="24"/>
                <w:szCs w:val="24"/>
              </w:rPr>
              <w:t>月，于日本大阪大学研究生院学习。</w:t>
            </w:r>
            <w:r>
              <w:rPr>
                <w:rFonts w:ascii="Times New Roman" w:hAnsi="Times New Roman" w:cs="Times New Roman" w:eastAsia="Times New Roman" w:hint="default"/>
                <w:spacing w:val="-3"/>
                <w:sz w:val="24"/>
                <w:szCs w:val="24"/>
              </w:rPr>
              <w:t>1993</w:t>
            </w:r>
            <w:r>
              <w:rPr>
                <w:rFonts w:ascii="Times New Roman" w:hAnsi="Times New Roman" w:cs="Times New Roman" w:eastAsia="Times New Roman" w:hint="default"/>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1998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pacing w:val="-4"/>
                <w:sz w:val="24"/>
                <w:szCs w:val="24"/>
              </w:rPr>
              <w:t>月，任莱阳农水和调</w:t>
            </w:r>
          </w:p>
          <w:p>
            <w:pPr>
              <w:pStyle w:val="TableParagraph"/>
              <w:spacing w:line="312" w:lineRule="exact" w:before="20"/>
              <w:ind w:left="103" w:right="99"/>
              <w:jc w:val="left"/>
              <w:rPr>
                <w:rFonts w:ascii="宋体" w:hAnsi="宋体" w:cs="宋体" w:eastAsia="宋体" w:hint="default"/>
                <w:sz w:val="24"/>
                <w:szCs w:val="24"/>
              </w:rPr>
            </w:pPr>
            <w:r>
              <w:rPr>
                <w:rFonts w:ascii="宋体" w:hAnsi="宋体" w:cs="宋体" w:eastAsia="宋体" w:hint="default"/>
                <w:sz w:val="24"/>
                <w:szCs w:val="24"/>
              </w:rPr>
              <w:t>理产品公司顾问。</w:t>
            </w:r>
            <w:r>
              <w:rPr>
                <w:rFonts w:ascii="Times New Roman" w:hAnsi="Times New Roman" w:cs="Times New Roman" w:eastAsia="Times New Roman" w:hint="default"/>
                <w:sz w:val="24"/>
                <w:szCs w:val="24"/>
              </w:rPr>
              <w:t>2002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月，任香港财源资讯（香港）有限公司上海代表处顾问。</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月至今， 任本公司董事。</w:t>
            </w:r>
          </w:p>
        </w:tc>
      </w:tr>
      <w:tr>
        <w:trPr>
          <w:trHeight w:val="12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周海华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中国国籍，无境外永久居留权，</w:t>
            </w:r>
            <w:r>
              <w:rPr>
                <w:rFonts w:ascii="Times New Roman" w:hAnsi="Times New Roman" w:cs="Times New Roman" w:eastAsia="Times New Roman" w:hint="default"/>
                <w:sz w:val="24"/>
                <w:szCs w:val="24"/>
              </w:rPr>
              <w:t>1951</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3"/>
                <w:sz w:val="24"/>
                <w:szCs w:val="24"/>
              </w:rPr>
              <w:t> </w:t>
            </w:r>
            <w:r>
              <w:rPr>
                <w:rFonts w:ascii="宋体" w:hAnsi="宋体" w:cs="宋体" w:eastAsia="宋体" w:hint="default"/>
                <w:spacing w:val="-3"/>
                <w:sz w:val="24"/>
                <w:szCs w:val="24"/>
              </w:rPr>
              <w:t>月出生，本科学历，高级经济师。</w:t>
            </w:r>
            <w:r>
              <w:rPr>
                <w:rFonts w:ascii="Times New Roman" w:hAnsi="Times New Roman" w:cs="Times New Roman" w:eastAsia="Times New Roman" w:hint="default"/>
                <w:spacing w:val="-3"/>
                <w:sz w:val="24"/>
                <w:szCs w:val="24"/>
              </w:rPr>
              <w:t>1968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月至</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1997</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3"/>
                <w:sz w:val="24"/>
                <w:szCs w:val="24"/>
              </w:rPr>
              <w:t> </w:t>
            </w:r>
            <w:r>
              <w:rPr>
                <w:rFonts w:ascii="宋体" w:hAnsi="宋体" w:cs="宋体" w:eastAsia="宋体" w:hint="default"/>
                <w:spacing w:val="-3"/>
                <w:sz w:val="24"/>
                <w:szCs w:val="24"/>
              </w:rPr>
              <w:t>月，历任上海冶金</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机械总厂企业管理办公室副主任、主任、厂长办公室主任、副总经济师。</w:t>
            </w:r>
            <w:r>
              <w:rPr>
                <w:rFonts w:ascii="Times New Roman" w:hAnsi="Times New Roman" w:cs="Times New Roman" w:eastAsia="Times New Roman" w:hint="default"/>
                <w:sz w:val="24"/>
                <w:szCs w:val="24"/>
              </w:rPr>
              <w:t>1998</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50"/>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月至</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2000</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月，任格尔有限办公</w:t>
            </w:r>
          </w:p>
          <w:p>
            <w:pPr>
              <w:pStyle w:val="TableParagraph"/>
              <w:spacing w:line="312" w:lineRule="exact" w:before="20"/>
              <w:ind w:left="103" w:right="101"/>
              <w:jc w:val="left"/>
              <w:rPr>
                <w:rFonts w:ascii="宋体" w:hAnsi="宋体" w:cs="宋体" w:eastAsia="宋体" w:hint="default"/>
                <w:sz w:val="24"/>
                <w:szCs w:val="24"/>
              </w:rPr>
            </w:pPr>
            <w:r>
              <w:rPr>
                <w:rFonts w:ascii="宋体" w:hAnsi="宋体" w:cs="宋体" w:eastAsia="宋体" w:hint="default"/>
                <w:sz w:val="24"/>
                <w:szCs w:val="24"/>
              </w:rPr>
              <w:t>室主任、总经理助理。</w:t>
            </w:r>
            <w:r>
              <w:rPr>
                <w:rFonts w:ascii="Times New Roman" w:hAnsi="Times New Roman" w:cs="Times New Roman" w:eastAsia="Times New Roman" w:hint="default"/>
                <w:sz w:val="24"/>
                <w:szCs w:val="24"/>
              </w:rPr>
              <w:t>2000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月，任本公司副总经理、财务总监、董事会秘书。</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月至今，任 本公司董事、副总经理、董事会秘书。</w:t>
            </w:r>
          </w:p>
        </w:tc>
      </w:tr>
      <w:tr>
        <w:trPr>
          <w:trHeight w:val="125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叶枫</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中国国籍，无境外永久居留权，</w:t>
            </w:r>
            <w:r>
              <w:rPr>
                <w:rFonts w:ascii="Times New Roman" w:hAnsi="Times New Roman" w:cs="Times New Roman" w:eastAsia="Times New Roman" w:hint="default"/>
                <w:sz w:val="24"/>
                <w:szCs w:val="24"/>
              </w:rPr>
              <w:t>1974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月出生，大专学历。</w:t>
            </w:r>
            <w:r>
              <w:rPr>
                <w:rFonts w:ascii="Times New Roman" w:hAnsi="Times New Roman" w:cs="Times New Roman" w:eastAsia="Times New Roman" w:hint="default"/>
                <w:sz w:val="24"/>
                <w:szCs w:val="24"/>
              </w:rPr>
              <w:t>1997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1999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月，任职于上海岭叶科技公司。</w:t>
            </w:r>
          </w:p>
          <w:p>
            <w:pPr>
              <w:pStyle w:val="TableParagraph"/>
              <w:spacing w:line="31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1999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2000</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月，任职于上海创成计算机系统工程公司。</w:t>
            </w:r>
            <w:r>
              <w:rPr>
                <w:rFonts w:ascii="Times New Roman" w:hAnsi="Times New Roman" w:cs="Times New Roman" w:eastAsia="Times New Roman" w:hint="default"/>
                <w:sz w:val="24"/>
                <w:szCs w:val="24"/>
              </w:rPr>
              <w:t>2000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2000</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月，任职于上海一元网络</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咨询公司。</w:t>
            </w:r>
            <w:r>
              <w:rPr>
                <w:rFonts w:ascii="Times New Roman" w:hAnsi="Times New Roman" w:cs="Times New Roman" w:eastAsia="Times New Roman" w:hint="default"/>
                <w:sz w:val="24"/>
                <w:szCs w:val="24"/>
              </w:rPr>
              <w:t>2000</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50"/>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月至</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2006</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月，历任本公司上海销售部经理、国安行业销售总监、政企事业部副经理、大客户</w:t>
            </w:r>
          </w:p>
          <w:p>
            <w:pPr>
              <w:pStyle w:val="TableParagraph"/>
              <w:spacing w:line="321" w:lineRule="exact"/>
              <w:ind w:left="103" w:right="0"/>
              <w:jc w:val="left"/>
              <w:rPr>
                <w:rFonts w:ascii="宋体" w:hAnsi="宋体" w:cs="宋体" w:eastAsia="宋体" w:hint="default"/>
                <w:sz w:val="24"/>
                <w:szCs w:val="24"/>
              </w:rPr>
            </w:pPr>
            <w:r>
              <w:rPr>
                <w:rFonts w:ascii="宋体" w:hAnsi="宋体" w:cs="宋体" w:eastAsia="宋体" w:hint="default"/>
                <w:sz w:val="24"/>
                <w:szCs w:val="24"/>
              </w:rPr>
              <w:t>部经理。</w:t>
            </w:r>
            <w:r>
              <w:rPr>
                <w:rFonts w:ascii="Times New Roman" w:hAnsi="Times New Roman" w:cs="Times New Roman" w:eastAsia="Times New Roman" w:hint="default"/>
                <w:sz w:val="24"/>
                <w:szCs w:val="24"/>
              </w:rPr>
              <w:t>2006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月，任本公司副总经理。</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月至今，任本公司董事、副总经理。</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马利庄</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 w:right="0"/>
              <w:jc w:val="center"/>
              <w:rPr>
                <w:rFonts w:ascii="宋体" w:hAnsi="宋体" w:cs="宋体" w:eastAsia="宋体" w:hint="default"/>
                <w:sz w:val="24"/>
                <w:szCs w:val="24"/>
              </w:rPr>
            </w:pPr>
            <w:r>
              <w:rPr>
                <w:rFonts w:ascii="宋体" w:hAnsi="宋体" w:cs="宋体" w:eastAsia="宋体" w:hint="default"/>
                <w:sz w:val="24"/>
                <w:szCs w:val="24"/>
              </w:rPr>
              <w:t>中国国籍，无境外永久居留权，</w:t>
            </w:r>
            <w:r>
              <w:rPr>
                <w:rFonts w:ascii="Times New Roman" w:hAnsi="Times New Roman" w:cs="Times New Roman" w:eastAsia="Times New Roman" w:hint="default"/>
                <w:sz w:val="24"/>
                <w:szCs w:val="24"/>
              </w:rPr>
              <w:t>1963</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月出生，理学博士，博士后。</w:t>
            </w:r>
            <w:r>
              <w:rPr>
                <w:rFonts w:ascii="Times New Roman" w:hAnsi="Times New Roman" w:cs="Times New Roman" w:eastAsia="Times New Roman" w:hint="default"/>
                <w:sz w:val="24"/>
                <w:szCs w:val="24"/>
              </w:rPr>
              <w:t>1995</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月担任浙江大学</w:t>
            </w:r>
            <w:r>
              <w:rPr>
                <w:rFonts w:ascii="宋体" w:hAnsi="宋体" w:cs="宋体" w:eastAsia="宋体" w:hint="default"/>
                <w:spacing w:val="-53"/>
                <w:sz w:val="24"/>
                <w:szCs w:val="24"/>
              </w:rPr>
              <w:t> </w:t>
            </w:r>
            <w:r>
              <w:rPr>
                <w:rFonts w:ascii="Times New Roman" w:hAnsi="Times New Roman" w:cs="Times New Roman" w:eastAsia="Times New Roman" w:hint="default"/>
                <w:sz w:val="24"/>
                <w:szCs w:val="24"/>
              </w:rPr>
              <w:t>CAD&amp;CG</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国家重点</w:t>
            </w:r>
          </w:p>
        </w:tc>
      </w:tr>
    </w:tbl>
    <w:p>
      <w:pPr>
        <w:spacing w:after="0" w:line="292" w:lineRule="exact"/>
        <w:jc w:val="center"/>
        <w:rPr>
          <w:rFonts w:ascii="宋体" w:hAnsi="宋体" w:cs="宋体" w:eastAsia="宋体" w:hint="default"/>
          <w:sz w:val="24"/>
          <w:szCs w:val="24"/>
        </w:rPr>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1255"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both"/>
              <w:rPr>
                <w:rFonts w:ascii="宋体" w:hAnsi="宋体" w:cs="宋体" w:eastAsia="宋体" w:hint="default"/>
                <w:sz w:val="24"/>
                <w:szCs w:val="24"/>
              </w:rPr>
            </w:pPr>
            <w:r>
              <w:rPr>
                <w:rFonts w:ascii="宋体" w:hAnsi="宋体" w:cs="宋体" w:eastAsia="宋体" w:hint="default"/>
                <w:sz w:val="24"/>
                <w:szCs w:val="24"/>
              </w:rPr>
              <w:t>实验室研究员、博士生导师。</w:t>
            </w:r>
            <w:r>
              <w:rPr>
                <w:rFonts w:ascii="Times New Roman" w:hAnsi="Times New Roman" w:cs="Times New Roman" w:eastAsia="Times New Roman" w:hint="default"/>
                <w:sz w:val="24"/>
                <w:szCs w:val="24"/>
              </w:rPr>
              <w:t>2002</w:t>
            </w:r>
            <w:r>
              <w:rPr>
                <w:rFonts w:ascii="Times New Roman" w:hAnsi="Times New Roman" w:cs="Times New Roman" w:eastAsia="Times New Roman" w:hint="default"/>
                <w:spacing w:val="-16"/>
                <w:sz w:val="24"/>
                <w:szCs w:val="24"/>
              </w:rPr>
              <w:t> </w:t>
            </w:r>
            <w:r>
              <w:rPr>
                <w:rFonts w:ascii="宋体" w:hAnsi="宋体" w:cs="宋体" w:eastAsia="宋体" w:hint="default"/>
                <w:sz w:val="24"/>
                <w:szCs w:val="24"/>
              </w:rPr>
              <w:t>年</w:t>
            </w:r>
            <w:r>
              <w:rPr>
                <w:rFonts w:ascii="宋体" w:hAnsi="宋体" w:cs="宋体" w:eastAsia="宋体" w:hint="default"/>
                <w:spacing w:val="-76"/>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16"/>
                <w:sz w:val="24"/>
                <w:szCs w:val="24"/>
              </w:rPr>
              <w:t> </w:t>
            </w:r>
            <w:r>
              <w:rPr>
                <w:rFonts w:ascii="宋体" w:hAnsi="宋体" w:cs="宋体" w:eastAsia="宋体" w:hint="default"/>
                <w:sz w:val="24"/>
                <w:szCs w:val="24"/>
              </w:rPr>
              <w:t>月进入上海交通大学计算机系，任教授、博士生导师。现任上海交通大学特聘教</w:t>
            </w:r>
          </w:p>
          <w:p>
            <w:pPr>
              <w:pStyle w:val="TableParagraph"/>
              <w:spacing w:line="225" w:lineRule="auto" w:before="6"/>
              <w:ind w:left="103" w:right="101"/>
              <w:jc w:val="both"/>
              <w:rPr>
                <w:rFonts w:ascii="宋体" w:hAnsi="宋体" w:cs="宋体" w:eastAsia="宋体" w:hint="default"/>
                <w:sz w:val="24"/>
                <w:szCs w:val="24"/>
              </w:rPr>
            </w:pPr>
            <w:r>
              <w:rPr>
                <w:rFonts w:ascii="宋体" w:hAnsi="宋体" w:cs="宋体" w:eastAsia="宋体" w:hint="default"/>
                <w:sz w:val="24"/>
                <w:szCs w:val="24"/>
              </w:rPr>
              <w:t>授，上海交通大学</w:t>
            </w:r>
            <w:r>
              <w:rPr>
                <w:rFonts w:ascii="Times New Roman" w:hAnsi="Times New Roman" w:cs="Times New Roman" w:eastAsia="Times New Roman" w:hint="default"/>
                <w:sz w:val="24"/>
                <w:szCs w:val="24"/>
              </w:rPr>
              <w:t>“</w:t>
            </w:r>
            <w:r>
              <w:rPr>
                <w:rFonts w:ascii="宋体" w:hAnsi="宋体" w:cs="宋体" w:eastAsia="宋体" w:hint="default"/>
                <w:sz w:val="24"/>
                <w:szCs w:val="24"/>
              </w:rPr>
              <w:t>数字媒体与数据重建实验室</w:t>
            </w:r>
            <w:r>
              <w:rPr>
                <w:rFonts w:ascii="Times New Roman" w:hAnsi="Times New Roman" w:cs="Times New Roman" w:eastAsia="Times New Roman" w:hint="default"/>
                <w:sz w:val="24"/>
                <w:szCs w:val="24"/>
              </w:rPr>
              <w:t>”</w:t>
            </w:r>
            <w:r>
              <w:rPr>
                <w:rFonts w:ascii="宋体" w:hAnsi="宋体" w:cs="宋体" w:eastAsia="宋体" w:hint="default"/>
                <w:sz w:val="24"/>
                <w:szCs w:val="24"/>
              </w:rPr>
              <w:t>主任，兼职上海中医药大学兼职教授，博士生导师，上海中医药大学信</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息科学与技术中心主任，中国图象图形学会</w:t>
            </w:r>
            <w:r>
              <w:rPr>
                <w:rFonts w:ascii="Times New Roman" w:hAnsi="Times New Roman" w:cs="Times New Roman" w:eastAsia="Times New Roman" w:hint="default"/>
                <w:sz w:val="24"/>
                <w:szCs w:val="24"/>
              </w:rPr>
              <w:t>“</w:t>
            </w:r>
            <w:r>
              <w:rPr>
                <w:rFonts w:ascii="宋体" w:hAnsi="宋体" w:cs="宋体" w:eastAsia="宋体" w:hint="default"/>
                <w:sz w:val="24"/>
                <w:szCs w:val="24"/>
              </w:rPr>
              <w:t>计算机动画与数字娱乐专委会</w:t>
            </w:r>
            <w:r>
              <w:rPr>
                <w:rFonts w:ascii="Times New Roman" w:hAnsi="Times New Roman" w:cs="Times New Roman" w:eastAsia="Times New Roman" w:hint="default"/>
                <w:sz w:val="24"/>
                <w:szCs w:val="24"/>
              </w:rPr>
              <w:t>”</w:t>
            </w:r>
            <w:r>
              <w:rPr>
                <w:rFonts w:ascii="宋体" w:hAnsi="宋体" w:cs="宋体" w:eastAsia="宋体" w:hint="default"/>
                <w:sz w:val="24"/>
                <w:szCs w:val="24"/>
              </w:rPr>
              <w:t>副主任委员。</w:t>
            </w:r>
            <w:r>
              <w:rPr>
                <w:rFonts w:ascii="Times New Roman" w:hAnsi="Times New Roman" w:cs="Times New Roman" w:eastAsia="Times New Roman" w:hint="default"/>
                <w:sz w:val="24"/>
                <w:szCs w:val="24"/>
              </w:rPr>
              <w:t>2014 </w:t>
            </w:r>
            <w:r>
              <w:rPr>
                <w:rFonts w:ascii="宋体" w:hAnsi="宋体" w:cs="宋体" w:eastAsia="宋体" w:hint="default"/>
                <w:sz w:val="24"/>
                <w:szCs w:val="24"/>
              </w:rPr>
              <w:t>年 </w:t>
            </w: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pacing w:val="-17"/>
                <w:sz w:val="24"/>
                <w:szCs w:val="24"/>
              </w:rPr>
              <w:t> </w:t>
            </w:r>
            <w:r>
              <w:rPr>
                <w:rFonts w:ascii="宋体" w:hAnsi="宋体" w:cs="宋体" w:eastAsia="宋体" w:hint="default"/>
                <w:sz w:val="24"/>
                <w:szCs w:val="24"/>
              </w:rPr>
              <w:t>月至今，任本公司 独立董事。</w:t>
            </w:r>
          </w:p>
        </w:tc>
      </w:tr>
      <w:tr>
        <w:trPr>
          <w:trHeight w:val="156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陶文娟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20"/>
              <w:jc w:val="left"/>
              <w:rPr>
                <w:rFonts w:ascii="宋体" w:hAnsi="宋体" w:cs="宋体" w:eastAsia="宋体" w:hint="default"/>
                <w:sz w:val="24"/>
                <w:szCs w:val="24"/>
              </w:rPr>
            </w:pPr>
            <w:r>
              <w:rPr>
                <w:rFonts w:ascii="宋体" w:hAnsi="宋体" w:cs="宋体" w:eastAsia="宋体" w:hint="default"/>
                <w:spacing w:val="-3"/>
                <w:sz w:val="24"/>
                <w:szCs w:val="24"/>
              </w:rPr>
              <w:t>中国国籍，无境外永久居留权，</w:t>
            </w:r>
            <w:r>
              <w:rPr>
                <w:rFonts w:ascii="Times New Roman" w:hAnsi="Times New Roman" w:cs="Times New Roman" w:eastAsia="Times New Roman" w:hint="default"/>
                <w:spacing w:val="-3"/>
                <w:sz w:val="24"/>
                <w:szCs w:val="24"/>
              </w:rPr>
              <w:t>1949</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1"/>
                <w:sz w:val="24"/>
                <w:szCs w:val="24"/>
              </w:rPr>
              <w:t> </w:t>
            </w:r>
            <w:r>
              <w:rPr>
                <w:rFonts w:ascii="宋体" w:hAnsi="宋体" w:cs="宋体" w:eastAsia="宋体" w:hint="default"/>
                <w:spacing w:val="-3"/>
                <w:sz w:val="24"/>
                <w:szCs w:val="24"/>
              </w:rPr>
              <w:t>月出生，大专学历，高级会计师、注册会计师。</w:t>
            </w:r>
            <w:r>
              <w:rPr>
                <w:rFonts w:ascii="Times New Roman" w:hAnsi="Times New Roman" w:cs="Times New Roman" w:eastAsia="Times New Roman" w:hint="default"/>
                <w:spacing w:val="-3"/>
                <w:sz w:val="24"/>
                <w:szCs w:val="24"/>
              </w:rPr>
              <w:t>1965</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月至</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1998</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历任上海冶金机械总厂财务部副部长、部长、副总会计师。</w:t>
            </w:r>
            <w:r>
              <w:rPr>
                <w:rFonts w:ascii="Times New Roman" w:hAnsi="Times New Roman" w:cs="Times New Roman" w:eastAsia="Times New Roman" w:hint="default"/>
                <w:sz w:val="24"/>
                <w:szCs w:val="24"/>
              </w:rPr>
              <w:t>1998</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月至</w:t>
            </w:r>
            <w:r>
              <w:rPr>
                <w:rFonts w:ascii="宋体" w:hAnsi="宋体" w:cs="宋体" w:eastAsia="宋体" w:hint="default"/>
                <w:spacing w:val="-68"/>
                <w:sz w:val="24"/>
                <w:szCs w:val="24"/>
              </w:rPr>
              <w:t> </w:t>
            </w:r>
            <w:r>
              <w:rPr>
                <w:rFonts w:ascii="Times New Roman" w:hAnsi="Times New Roman" w:cs="Times New Roman" w:eastAsia="Times New Roman" w:hint="default"/>
                <w:sz w:val="24"/>
                <w:szCs w:val="24"/>
              </w:rPr>
              <w:t>1999</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月，任职于上海宝钢工程技术公司</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财务部。</w:t>
            </w:r>
            <w:r>
              <w:rPr>
                <w:rFonts w:ascii="Times New Roman" w:hAnsi="Times New Roman" w:cs="Times New Roman" w:eastAsia="Times New Roman" w:hint="default"/>
                <w:sz w:val="24"/>
                <w:szCs w:val="24"/>
              </w:rPr>
              <w:t>1999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2005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月，任上海科德轧辊有限公司综合管理部部长。</w:t>
            </w:r>
            <w:r>
              <w:rPr>
                <w:rFonts w:ascii="Times New Roman" w:hAnsi="Times New Roman" w:cs="Times New Roman" w:eastAsia="Times New Roman" w:hint="default"/>
                <w:sz w:val="24"/>
                <w:szCs w:val="24"/>
              </w:rPr>
              <w:t>2005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月，任职</w:t>
            </w:r>
          </w:p>
          <w:p>
            <w:pPr>
              <w:pStyle w:val="TableParagraph"/>
              <w:spacing w:line="312" w:lineRule="exact" w:before="20"/>
              <w:ind w:left="103" w:right="96"/>
              <w:jc w:val="left"/>
              <w:rPr>
                <w:rFonts w:ascii="宋体" w:hAnsi="宋体" w:cs="宋体" w:eastAsia="宋体" w:hint="default"/>
                <w:sz w:val="24"/>
                <w:szCs w:val="24"/>
              </w:rPr>
            </w:pPr>
            <w:r>
              <w:rPr>
                <w:rFonts w:ascii="宋体" w:hAnsi="宋体" w:cs="宋体" w:eastAsia="宋体" w:hint="default"/>
                <w:sz w:val="24"/>
                <w:szCs w:val="24"/>
              </w:rPr>
              <w:t>于上海东华会计师事务所审计部。</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月至</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2012</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4"/>
                <w:sz w:val="24"/>
                <w:szCs w:val="24"/>
              </w:rPr>
              <w:t> </w:t>
            </w:r>
            <w:r>
              <w:rPr>
                <w:rFonts w:ascii="宋体" w:hAnsi="宋体" w:cs="宋体" w:eastAsia="宋体" w:hint="default"/>
                <w:spacing w:val="-3"/>
                <w:sz w:val="24"/>
                <w:szCs w:val="24"/>
              </w:rPr>
              <w:t>月，任职于上海欧柯盟会计师事务所审计部。</w:t>
            </w:r>
            <w:r>
              <w:rPr>
                <w:rFonts w:ascii="Times New Roman" w:hAnsi="Times New Roman" w:cs="Times New Roman" w:eastAsia="Times New Roman" w:hint="default"/>
                <w:spacing w:val="-3"/>
                <w:sz w:val="24"/>
                <w:szCs w:val="24"/>
              </w:rPr>
              <w:t>2012</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月至 今，任职于上海东信会计师事务所。</w:t>
            </w: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月至今，任本公司独立董事。</w:t>
            </w:r>
          </w:p>
        </w:tc>
      </w:tr>
      <w:tr>
        <w:trPr>
          <w:trHeight w:val="94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朱建平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中国国籍，无境外永久居留权，</w:t>
            </w:r>
            <w:r>
              <w:rPr>
                <w:rFonts w:ascii="Times New Roman" w:hAnsi="Times New Roman" w:cs="Times New Roman" w:eastAsia="Times New Roman" w:hint="default"/>
                <w:spacing w:val="-3"/>
                <w:sz w:val="24"/>
                <w:szCs w:val="24"/>
              </w:rPr>
              <w:t>1957</w:t>
            </w:r>
            <w:r>
              <w:rPr>
                <w:rFonts w:ascii="Times New Roman" w:hAnsi="Times New Roman" w:cs="Times New Roman" w:eastAsia="Times New Roman" w:hint="default"/>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 </w:t>
            </w:r>
            <w:r>
              <w:rPr>
                <w:rFonts w:ascii="宋体" w:hAnsi="宋体" w:cs="宋体" w:eastAsia="宋体" w:hint="default"/>
                <w:spacing w:val="-4"/>
                <w:sz w:val="24"/>
                <w:szCs w:val="24"/>
              </w:rPr>
              <w:t>月出生，大专学历，律师。</w:t>
            </w:r>
            <w:r>
              <w:rPr>
                <w:rFonts w:ascii="Times New Roman" w:hAnsi="Times New Roman" w:cs="Times New Roman" w:eastAsia="Times New Roman" w:hint="default"/>
                <w:spacing w:val="-4"/>
                <w:sz w:val="24"/>
                <w:szCs w:val="24"/>
              </w:rPr>
              <w:t>1975</w:t>
            </w:r>
            <w:r>
              <w:rPr>
                <w:rFonts w:ascii="Times New Roman" w:hAnsi="Times New Roman" w:cs="Times New Roman" w:eastAsia="Times New Roman" w:hint="default"/>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1995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月，任职于上海冶金设备</w:t>
            </w:r>
          </w:p>
          <w:p>
            <w:pPr>
              <w:pStyle w:val="TableParagraph"/>
              <w:spacing w:line="312" w:lineRule="exact" w:before="20"/>
              <w:ind w:left="103" w:right="99"/>
              <w:jc w:val="left"/>
              <w:rPr>
                <w:rFonts w:ascii="宋体" w:hAnsi="宋体" w:cs="宋体" w:eastAsia="宋体" w:hint="default"/>
                <w:sz w:val="24"/>
                <w:szCs w:val="24"/>
              </w:rPr>
            </w:pPr>
            <w:r>
              <w:rPr>
                <w:rFonts w:ascii="宋体" w:hAnsi="宋体" w:cs="宋体" w:eastAsia="宋体" w:hint="default"/>
                <w:sz w:val="24"/>
                <w:szCs w:val="24"/>
              </w:rPr>
              <w:t>总厂。</w:t>
            </w:r>
            <w:r>
              <w:rPr>
                <w:rFonts w:ascii="Times New Roman" w:hAnsi="Times New Roman" w:cs="Times New Roman" w:eastAsia="Times New Roman" w:hint="default"/>
                <w:sz w:val="24"/>
                <w:szCs w:val="24"/>
              </w:rPr>
              <w:t>1995</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月至</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2003</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月，任职于上海经纬律师事务所。</w:t>
            </w:r>
            <w:r>
              <w:rPr>
                <w:rFonts w:ascii="Times New Roman" w:hAnsi="Times New Roman" w:cs="Times New Roman" w:eastAsia="Times New Roman" w:hint="default"/>
                <w:sz w:val="24"/>
                <w:szCs w:val="24"/>
              </w:rPr>
              <w:t>2004</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月至</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2009</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月，任职于上海元照律师 事务所。</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月至今，任职于上海同甘律师事务所律师，任主任律师。</w:t>
            </w: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月至今，任本公司独立董事。</w:t>
            </w:r>
          </w:p>
        </w:tc>
      </w:tr>
      <w:tr>
        <w:trPr>
          <w:trHeight w:val="12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刘功哲</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中国国籍，无境外永久居留权，</w:t>
            </w:r>
            <w:r>
              <w:rPr>
                <w:rFonts w:ascii="Times New Roman" w:hAnsi="Times New Roman" w:cs="Times New Roman" w:eastAsia="Times New Roman" w:hint="default"/>
                <w:sz w:val="24"/>
                <w:szCs w:val="24"/>
              </w:rPr>
              <w:t>1980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月出生，本科学历。</w:t>
            </w:r>
            <w:r>
              <w:rPr>
                <w:rFonts w:ascii="Times New Roman" w:hAnsi="Times New Roman" w:cs="Times New Roman" w:eastAsia="Times New Roman" w:hint="default"/>
                <w:sz w:val="24"/>
                <w:szCs w:val="24"/>
              </w:rPr>
              <w:t>2001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月，任职于格尔软件。</w:t>
            </w:r>
            <w:r>
              <w:rPr>
                <w:rFonts w:ascii="Times New Roman" w:hAnsi="Times New Roman" w:cs="Times New Roman" w:eastAsia="Times New Roman" w:hint="default"/>
                <w:sz w:val="24"/>
                <w:szCs w:val="24"/>
              </w:rPr>
              <w:t>2003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w:t>
            </w:r>
          </w:p>
          <w:p>
            <w:pPr>
              <w:pStyle w:val="TableParagraph"/>
              <w:spacing w:line="311"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2004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pacing w:val="-6"/>
                <w:sz w:val="24"/>
                <w:szCs w:val="24"/>
              </w:rPr>
              <w:t>月，任职于宁波格尔天屹信息技术有限公司。</w:t>
            </w:r>
            <w:r>
              <w:rPr>
                <w:rFonts w:ascii="Times New Roman" w:hAnsi="Times New Roman" w:cs="Times New Roman" w:eastAsia="Times New Roman" w:hint="default"/>
                <w:spacing w:val="-6"/>
                <w:sz w:val="24"/>
                <w:szCs w:val="24"/>
              </w:rPr>
              <w:t>2004</w:t>
            </w:r>
            <w:r>
              <w:rPr>
                <w:rFonts w:ascii="Times New Roman" w:hAnsi="Times New Roman" w:cs="Times New Roman" w:eastAsia="Times New Roman" w:hint="default"/>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 </w:t>
            </w:r>
            <w:r>
              <w:rPr>
                <w:rFonts w:ascii="宋体" w:hAnsi="宋体" w:cs="宋体" w:eastAsia="宋体" w:hint="default"/>
                <w:spacing w:val="-9"/>
                <w:sz w:val="24"/>
                <w:szCs w:val="24"/>
              </w:rPr>
              <w:t>月，任格尔软件总经理助理。</w:t>
            </w:r>
            <w:r>
              <w:rPr>
                <w:rFonts w:ascii="Times New Roman" w:hAnsi="Times New Roman" w:cs="Times New Roman" w:eastAsia="Times New Roman" w:hint="default"/>
                <w:spacing w:val="-9"/>
                <w:sz w:val="24"/>
                <w:szCs w:val="24"/>
              </w:rPr>
              <w:t>2006</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49"/>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月至</w:t>
            </w:r>
            <w:r>
              <w:rPr>
                <w:rFonts w:ascii="宋体" w:hAnsi="宋体" w:cs="宋体" w:eastAsia="宋体" w:hint="default"/>
                <w:spacing w:val="-49"/>
                <w:sz w:val="24"/>
                <w:szCs w:val="24"/>
              </w:rPr>
              <w:t> </w:t>
            </w:r>
            <w:r>
              <w:rPr>
                <w:rFonts w:ascii="Times New Roman" w:hAnsi="Times New Roman" w:cs="Times New Roman" w:eastAsia="Times New Roman" w:hint="default"/>
                <w:sz w:val="24"/>
                <w:szCs w:val="24"/>
              </w:rPr>
              <w:t>2012</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49"/>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月，任上海格尔信息技术有限公司总经理。</w:t>
            </w:r>
            <w:r>
              <w:rPr>
                <w:rFonts w:ascii="Times New Roman" w:hAnsi="Times New Roman" w:cs="Times New Roman" w:eastAsia="Times New Roman" w:hint="default"/>
                <w:sz w:val="24"/>
                <w:szCs w:val="24"/>
              </w:rPr>
              <w:t>2012</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49"/>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月至今，任中钞格尔总经理。</w:t>
            </w:r>
            <w:r>
              <w:rPr>
                <w:rFonts w:ascii="Times New Roman" w:hAnsi="Times New Roman" w:cs="Times New Roman" w:eastAsia="Times New Roman" w:hint="default"/>
                <w:sz w:val="24"/>
                <w:szCs w:val="24"/>
              </w:rPr>
              <w:t>2014</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49"/>
                <w:sz w:val="24"/>
                <w:szCs w:val="24"/>
              </w:rPr>
              <w:t> </w:t>
            </w: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月至</w:t>
            </w:r>
          </w:p>
          <w:p>
            <w:pPr>
              <w:pStyle w:val="TableParagraph"/>
              <w:spacing w:line="32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22 </w:t>
            </w:r>
            <w:r>
              <w:rPr>
                <w:rFonts w:ascii="宋体" w:hAnsi="宋体" w:cs="宋体" w:eastAsia="宋体" w:hint="default"/>
                <w:sz w:val="24"/>
                <w:szCs w:val="24"/>
              </w:rPr>
              <w:t>日，任本公司副总经理。</w:t>
            </w:r>
          </w:p>
        </w:tc>
      </w:tr>
      <w:tr>
        <w:trPr>
          <w:trHeight w:val="125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顾峰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中国国籍，无境外永久居留权，</w:t>
            </w:r>
            <w:r>
              <w:rPr>
                <w:rFonts w:ascii="Times New Roman" w:hAnsi="Times New Roman" w:cs="Times New Roman" w:eastAsia="Times New Roman" w:hint="default"/>
                <w:sz w:val="24"/>
                <w:szCs w:val="24"/>
              </w:rPr>
              <w:t>1976</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月出生</w:t>
            </w:r>
            <w:r>
              <w:rPr>
                <w:rFonts w:ascii="Times New Roman" w:hAnsi="Times New Roman" w:cs="Times New Roman" w:eastAsia="Times New Roman" w:hint="default"/>
                <w:sz w:val="24"/>
                <w:szCs w:val="24"/>
              </w:rPr>
              <w:t>,</w:t>
            </w:r>
            <w:r>
              <w:rPr>
                <w:rFonts w:ascii="宋体" w:hAnsi="宋体" w:cs="宋体" w:eastAsia="宋体" w:hint="default"/>
                <w:sz w:val="24"/>
                <w:szCs w:val="24"/>
              </w:rPr>
              <w:t>本科学历，中国注册会计师。</w:t>
            </w:r>
            <w:r>
              <w:rPr>
                <w:rFonts w:ascii="Times New Roman" w:hAnsi="Times New Roman" w:cs="Times New Roman" w:eastAsia="Times New Roman" w:hint="default"/>
                <w:sz w:val="24"/>
                <w:szCs w:val="24"/>
              </w:rPr>
              <w:t>1999</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月至</w:t>
            </w:r>
            <w:r>
              <w:rPr>
                <w:rFonts w:ascii="宋体" w:hAnsi="宋体" w:cs="宋体" w:eastAsia="宋体" w:hint="default"/>
                <w:spacing w:val="-53"/>
                <w:sz w:val="24"/>
                <w:szCs w:val="24"/>
              </w:rPr>
              <w:t> </w:t>
            </w:r>
            <w:r>
              <w:rPr>
                <w:rFonts w:ascii="Times New Roman" w:hAnsi="Times New Roman" w:cs="Times New Roman" w:eastAsia="Times New Roman" w:hint="default"/>
                <w:sz w:val="24"/>
                <w:szCs w:val="24"/>
              </w:rPr>
              <w:t>2000</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Times New Roman" w:hAnsi="Times New Roman" w:cs="Times New Roman" w:eastAsia="Times New Roman" w:hint="default"/>
                <w:spacing w:val="-4"/>
                <w:sz w:val="24"/>
                <w:szCs w:val="24"/>
              </w:rPr>
              <w:t>11</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月任上海贤达</w:t>
            </w:r>
          </w:p>
          <w:p>
            <w:pPr>
              <w:pStyle w:val="TableParagraph"/>
              <w:spacing w:line="311"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商务投资有限公司财务主管。</w:t>
            </w:r>
            <w:r>
              <w:rPr>
                <w:rFonts w:ascii="Times New Roman" w:hAnsi="Times New Roman" w:cs="Times New Roman" w:eastAsia="Times New Roman" w:hint="default"/>
                <w:sz w:val="24"/>
                <w:szCs w:val="24"/>
              </w:rPr>
              <w:t>2000</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月至</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月任财源资讯（上海）有限公司财务经理。</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月至</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2010</w:t>
            </w:r>
          </w:p>
          <w:p>
            <w:pPr>
              <w:pStyle w:val="TableParagraph"/>
              <w:spacing w:line="312" w:lineRule="exact"/>
              <w:ind w:left="103" w:right="-22"/>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月任日瑞投资咨询（上海）有限公司财务总监。</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月至</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2017</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月任德高广告（上海）有限公司财务总监。</w:t>
            </w:r>
          </w:p>
          <w:p>
            <w:pPr>
              <w:pStyle w:val="TableParagraph"/>
              <w:spacing w:line="32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月至今任上海格尔软件股份有限公司财务总监。</w:t>
            </w:r>
          </w:p>
        </w:tc>
      </w:tr>
      <w:tr>
        <w:trPr>
          <w:trHeight w:val="94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黄振东</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pacing w:val="-5"/>
                <w:sz w:val="24"/>
                <w:szCs w:val="24"/>
              </w:rPr>
              <w:t>中国国籍，无境外永久居留权，</w:t>
            </w:r>
            <w:r>
              <w:rPr>
                <w:rFonts w:ascii="Times New Roman" w:hAnsi="Times New Roman" w:cs="Times New Roman" w:eastAsia="Times New Roman" w:hint="default"/>
                <w:spacing w:val="-5"/>
                <w:sz w:val="24"/>
                <w:szCs w:val="24"/>
              </w:rPr>
              <w:t>1966</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2"/>
                <w:sz w:val="24"/>
                <w:szCs w:val="24"/>
              </w:rPr>
              <w:t> </w:t>
            </w:r>
            <w:r>
              <w:rPr>
                <w:rFonts w:ascii="宋体" w:hAnsi="宋体" w:cs="宋体" w:eastAsia="宋体" w:hint="default"/>
                <w:spacing w:val="-6"/>
                <w:sz w:val="24"/>
                <w:szCs w:val="24"/>
              </w:rPr>
              <w:t>月出生，本科学历。</w:t>
            </w:r>
            <w:r>
              <w:rPr>
                <w:rFonts w:ascii="Times New Roman" w:hAnsi="Times New Roman" w:cs="Times New Roman" w:eastAsia="Times New Roman" w:hint="default"/>
                <w:spacing w:val="-6"/>
                <w:sz w:val="24"/>
                <w:szCs w:val="24"/>
              </w:rPr>
              <w:t>1983</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月至</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1992</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2"/>
                <w:sz w:val="24"/>
                <w:szCs w:val="24"/>
              </w:rPr>
              <w:t> </w:t>
            </w:r>
            <w:r>
              <w:rPr>
                <w:rFonts w:ascii="宋体" w:hAnsi="宋体" w:cs="宋体" w:eastAsia="宋体" w:hint="default"/>
                <w:spacing w:val="-5"/>
                <w:sz w:val="24"/>
                <w:szCs w:val="24"/>
              </w:rPr>
              <w:t>月，任职于上海益民制革厂。</w:t>
            </w:r>
            <w:r>
              <w:rPr>
                <w:rFonts w:ascii="Times New Roman" w:hAnsi="Times New Roman" w:cs="Times New Roman" w:eastAsia="Times New Roman" w:hint="default"/>
                <w:spacing w:val="-5"/>
                <w:sz w:val="24"/>
                <w:szCs w:val="24"/>
              </w:rPr>
              <w:t>1993</w:t>
            </w:r>
          </w:p>
          <w:p>
            <w:pPr>
              <w:pStyle w:val="TableParagraph"/>
              <w:spacing w:line="312" w:lineRule="exact" w:before="20"/>
              <w:ind w:left="103" w:right="99"/>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月，历任格尔实业部门经理、总经理。</w:t>
            </w:r>
            <w:r>
              <w:rPr>
                <w:rFonts w:ascii="Times New Roman" w:hAnsi="Times New Roman" w:cs="Times New Roman" w:eastAsia="Times New Roman" w:hint="default"/>
                <w:sz w:val="24"/>
                <w:szCs w:val="24"/>
              </w:rPr>
              <w:t>2007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月至今，任格尔金属总经理。</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月至今，任 本公司监事会主席。</w:t>
            </w:r>
          </w:p>
        </w:tc>
      </w:tr>
      <w:tr>
        <w:trPr>
          <w:trHeight w:val="94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任伟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中国国籍，无境外永久居留权，</w:t>
            </w:r>
            <w:r>
              <w:rPr>
                <w:rFonts w:ascii="Times New Roman" w:hAnsi="Times New Roman" w:cs="Times New Roman" w:eastAsia="Times New Roman" w:hint="default"/>
                <w:spacing w:val="-3"/>
                <w:sz w:val="24"/>
                <w:szCs w:val="24"/>
              </w:rPr>
              <w:t>1973</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1"/>
                <w:sz w:val="24"/>
                <w:szCs w:val="24"/>
              </w:rPr>
              <w:t> </w:t>
            </w:r>
            <w:r>
              <w:rPr>
                <w:rFonts w:ascii="宋体" w:hAnsi="宋体" w:cs="宋体" w:eastAsia="宋体" w:hint="default"/>
                <w:spacing w:val="-3"/>
                <w:sz w:val="24"/>
                <w:szCs w:val="24"/>
              </w:rPr>
              <w:t>月出生，硕士研究生学历。</w:t>
            </w:r>
            <w:r>
              <w:rPr>
                <w:rFonts w:ascii="Times New Roman" w:hAnsi="Times New Roman" w:cs="Times New Roman" w:eastAsia="Times New Roman" w:hint="default"/>
                <w:spacing w:val="-3"/>
                <w:sz w:val="24"/>
                <w:szCs w:val="24"/>
              </w:rPr>
              <w:t>1997</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月至</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1999</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月，任友立资讯股份有限</w:t>
            </w:r>
          </w:p>
          <w:p>
            <w:pPr>
              <w:pStyle w:val="TableParagraph"/>
              <w:spacing w:line="312" w:lineRule="exact" w:before="19"/>
              <w:ind w:left="103" w:right="97"/>
              <w:jc w:val="left"/>
              <w:rPr>
                <w:rFonts w:ascii="宋体" w:hAnsi="宋体" w:cs="宋体" w:eastAsia="宋体" w:hint="default"/>
                <w:sz w:val="24"/>
                <w:szCs w:val="24"/>
              </w:rPr>
            </w:pPr>
            <w:r>
              <w:rPr>
                <w:rFonts w:ascii="宋体" w:hAnsi="宋体" w:cs="宋体" w:eastAsia="宋体" w:hint="default"/>
                <w:sz w:val="24"/>
                <w:szCs w:val="24"/>
              </w:rPr>
              <w:t>公司上海研发中心软件开发工程师。</w:t>
            </w:r>
            <w:r>
              <w:rPr>
                <w:rFonts w:ascii="Times New Roman" w:hAnsi="Times New Roman" w:cs="Times New Roman" w:eastAsia="Times New Roman" w:hint="default"/>
                <w:sz w:val="24"/>
                <w:szCs w:val="24"/>
              </w:rPr>
              <w:t>1999</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Times New Roman" w:hAnsi="Times New Roman" w:cs="Times New Roman" w:eastAsia="Times New Roman" w:hint="default"/>
                <w:spacing w:val="-4"/>
                <w:sz w:val="24"/>
                <w:szCs w:val="24"/>
              </w:rPr>
              <w:t>11</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月至</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月，历任格尔有限、格尔软件部门经理、产品经理、系统 组组长、副总工程师。</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月至今，任本公司监事、副总工程师、网络信息技术研究院经理。</w:t>
            </w:r>
          </w:p>
        </w:tc>
      </w:tr>
      <w:tr>
        <w:trPr>
          <w:trHeight w:val="63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范峰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中国国籍，无境外永久居留权，</w:t>
            </w:r>
            <w:r>
              <w:rPr>
                <w:rFonts w:ascii="Times New Roman" w:hAnsi="Times New Roman" w:cs="Times New Roman" w:eastAsia="Times New Roman" w:hint="default"/>
                <w:spacing w:val="-3"/>
                <w:sz w:val="24"/>
                <w:szCs w:val="24"/>
              </w:rPr>
              <w:t>1977</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1"/>
                <w:sz w:val="24"/>
                <w:szCs w:val="24"/>
              </w:rPr>
              <w:t> </w:t>
            </w:r>
            <w:r>
              <w:rPr>
                <w:rFonts w:ascii="宋体" w:hAnsi="宋体" w:cs="宋体" w:eastAsia="宋体" w:hint="default"/>
                <w:spacing w:val="-4"/>
                <w:sz w:val="24"/>
                <w:szCs w:val="24"/>
              </w:rPr>
              <w:t>月出生，本科学历。</w:t>
            </w:r>
            <w:r>
              <w:rPr>
                <w:rFonts w:ascii="Times New Roman" w:hAnsi="Times New Roman" w:cs="Times New Roman" w:eastAsia="Times New Roman" w:hint="default"/>
                <w:spacing w:val="-4"/>
                <w:sz w:val="24"/>
                <w:szCs w:val="24"/>
              </w:rPr>
              <w:t>1999</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月至</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1999</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月，任上海邮通设备股份有限公</w:t>
            </w:r>
          </w:p>
          <w:p>
            <w:pPr>
              <w:pStyle w:val="TableParagraph"/>
              <w:spacing w:line="32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司产品研发经理。</w:t>
            </w:r>
            <w:r>
              <w:rPr>
                <w:rFonts w:ascii="Times New Roman" w:hAnsi="Times New Roman" w:cs="Times New Roman" w:eastAsia="Times New Roman" w:hint="default"/>
                <w:sz w:val="24"/>
                <w:szCs w:val="24"/>
              </w:rPr>
              <w:t>1999 </w:t>
            </w:r>
            <w:r>
              <w:rPr>
                <w:rFonts w:ascii="宋体" w:hAnsi="宋体" w:cs="宋体" w:eastAsia="宋体" w:hint="default"/>
                <w:sz w:val="24"/>
                <w:szCs w:val="24"/>
              </w:rPr>
              <w:t>年 </w:t>
            </w:r>
            <w:r>
              <w:rPr>
                <w:rFonts w:ascii="Times New Roman" w:hAnsi="Times New Roman" w:cs="Times New Roman" w:eastAsia="Times New Roman" w:hint="default"/>
                <w:sz w:val="24"/>
                <w:szCs w:val="24"/>
              </w:rPr>
              <w:t>12 </w:t>
            </w:r>
            <w:r>
              <w:rPr>
                <w:rFonts w:ascii="宋体" w:hAnsi="宋体" w:cs="宋体" w:eastAsia="宋体" w:hint="default"/>
                <w:sz w:val="24"/>
                <w:szCs w:val="24"/>
              </w:rPr>
              <w:t>月至 </w:t>
            </w:r>
            <w:r>
              <w:rPr>
                <w:rFonts w:ascii="Times New Roman" w:hAnsi="Times New Roman" w:cs="Times New Roman" w:eastAsia="Times New Roman" w:hint="default"/>
                <w:sz w:val="24"/>
                <w:szCs w:val="24"/>
              </w:rPr>
              <w:t>2013 </w:t>
            </w:r>
            <w:r>
              <w:rPr>
                <w:rFonts w:ascii="宋体" w:hAnsi="宋体" w:cs="宋体" w:eastAsia="宋体" w:hint="default"/>
                <w:sz w:val="24"/>
                <w:szCs w:val="24"/>
              </w:rPr>
              <w:t>年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月，历任格尔有限、格尔软件产品研发经理、项目经理、部门经理。</w:t>
            </w:r>
            <w:r>
              <w:rPr>
                <w:rFonts w:ascii="Times New Roman" w:hAnsi="Times New Roman" w:cs="Times New Roman" w:eastAsia="Times New Roman" w:hint="default"/>
                <w:sz w:val="24"/>
                <w:szCs w:val="24"/>
              </w:rPr>
              <w:t>2013</w:t>
            </w:r>
          </w:p>
        </w:tc>
      </w:tr>
    </w:tbl>
    <w:p>
      <w:pPr>
        <w:spacing w:after="0" w:line="322" w:lineRule="exact"/>
        <w:jc w:val="left"/>
        <w:rPr>
          <w:rFonts w:ascii="Times New Roman" w:hAnsi="Times New Roman" w:cs="Times New Roman" w:eastAsia="Times New Roman" w:hint="default"/>
          <w:sz w:val="24"/>
          <w:szCs w:val="24"/>
        </w:rPr>
        <w:sectPr>
          <w:pgSz w:w="16840" w:h="11910" w:orient="landscape"/>
          <w:pgMar w:header="880" w:footer="1195" w:top="1120" w:bottom="1380" w:left="1300" w:right="1220"/>
        </w:sectPr>
      </w:pPr>
    </w:p>
    <w:p>
      <w:pPr>
        <w:spacing w:line="240" w:lineRule="auto" w:before="11"/>
        <w:rPr>
          <w:rFonts w:ascii="Times New Roman" w:hAnsi="Times New Roman" w:cs="Times New Roman" w:eastAsia="Times New Roman" w:hint="default"/>
          <w:sz w:val="12"/>
          <w:szCs w:val="12"/>
        </w:rPr>
      </w:pPr>
    </w:p>
    <w:p>
      <w:pPr>
        <w:spacing w:line="340" w:lineRule="exact"/>
        <w:ind w:left="11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705pt;height:17.05pt;mso-position-horizontal-relative:char;mso-position-vertical-relative:line" coordorigin="0,0" coordsize="14100,341">
            <v:group style="position:absolute;left:10;top:10;width:1376;height:2" coordorigin="10,10" coordsize="1376,2">
              <v:shape style="position:absolute;left:10;top:10;width:1376;height:2" coordorigin="10,10" coordsize="1376,0" path="m10,10l1385,10e" filled="false" stroked="true" strokeweight=".48pt" strokecolor="#000000">
                <v:path arrowok="t"/>
              </v:shape>
            </v:group>
            <v:group style="position:absolute;left:1395;top:10;width:12696;height:2" coordorigin="1395,10" coordsize="12696,2">
              <v:shape style="position:absolute;left:1395;top:10;width:12696;height:2" coordorigin="1395,10" coordsize="12696,0" path="m1395,10l14090,10e" filled="false" stroked="true" strokeweight=".48pt" strokecolor="#000000">
                <v:path arrowok="t"/>
              </v:shape>
            </v:group>
            <v:group style="position:absolute;left:5;top:5;width:2;height:332" coordorigin="5,5" coordsize="2,332">
              <v:shape style="position:absolute;left:5;top:5;width:2;height:332" coordorigin="5,5" coordsize="0,332" path="m5,5l5,336e" filled="false" stroked="true" strokeweight=".48pt" strokecolor="#000000">
                <v:path arrowok="t"/>
              </v:shape>
            </v:group>
            <v:group style="position:absolute;left:10;top:331;width:1376;height:2" coordorigin="10,331" coordsize="1376,2">
              <v:shape style="position:absolute;left:10;top:331;width:1376;height:2" coordorigin="10,331" coordsize="1376,0" path="m10,331l1385,331e" filled="false" stroked="true" strokeweight=".48pt" strokecolor="#000000">
                <v:path arrowok="t"/>
              </v:shape>
            </v:group>
            <v:group style="position:absolute;left:1390;top:5;width:2;height:332" coordorigin="1390,5" coordsize="2,332">
              <v:shape style="position:absolute;left:1390;top:5;width:2;height:332" coordorigin="1390,5" coordsize="0,332" path="m1390,5l1390,336e" filled="false" stroked="true" strokeweight=".48pt" strokecolor="#000000">
                <v:path arrowok="t"/>
              </v:shape>
            </v:group>
            <v:group style="position:absolute;left:1395;top:331;width:12696;height:2" coordorigin="1395,331" coordsize="12696,2">
              <v:shape style="position:absolute;left:1395;top:331;width:12696;height:2" coordorigin="1395,331" coordsize="12696,0" path="m1395,331l14090,331e" filled="false" stroked="true" strokeweight=".48pt" strokecolor="#000000">
                <v:path arrowok="t"/>
              </v:shape>
            </v:group>
            <v:group style="position:absolute;left:14095;top:5;width:2;height:332" coordorigin="14095,5" coordsize="2,332">
              <v:shape style="position:absolute;left:14095;top:5;width:2;height:332" coordorigin="14095,5" coordsize="0,332" path="m14095,5l14095,336e" filled="false" stroked="true" strokeweight=".47998pt" strokecolor="#000000">
                <v:path arrowok="t"/>
              </v:shape>
              <v:shape style="position:absolute;left:1390;top:10;width:12706;height:322" type="#_x0000_t202" filled="false" stroked="false">
                <v:textbox inset="0,0,0,0">
                  <w:txbxContent>
                    <w:p>
                      <w:pPr>
                        <w:spacing w:line="297" w:lineRule="exact" w:before="0"/>
                        <w:ind w:left="108" w:right="0" w:firstLine="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月至今，任本公司监事、安全事业部经理。</w:t>
                      </w:r>
                    </w:p>
                  </w:txbxContent>
                </v:textbox>
                <w10:wrap type="none"/>
              </v:shape>
            </v:group>
          </v:group>
        </w:pict>
      </w:r>
      <w:r>
        <w:rPr>
          <w:rFonts w:ascii="Times New Roman" w:hAnsi="Times New Roman" w:cs="Times New Roman" w:eastAsia="Times New Roman" w:hint="default"/>
          <w:position w:val="-6"/>
          <w:sz w:val="20"/>
          <w:szCs w:val="20"/>
        </w:rPr>
      </w:r>
    </w:p>
    <w:p>
      <w:pPr>
        <w:spacing w:line="240" w:lineRule="auto" w:before="5"/>
        <w:rPr>
          <w:rFonts w:ascii="Times New Roman" w:hAnsi="Times New Roman" w:cs="Times New Roman" w:eastAsia="Times New Roman" w:hint="default"/>
          <w:sz w:val="14"/>
          <w:szCs w:val="14"/>
        </w:rPr>
      </w:pPr>
    </w:p>
    <w:p>
      <w:pPr>
        <w:pStyle w:val="BodyText"/>
        <w:spacing w:line="274" w:lineRule="exact" w:before="36"/>
        <w:ind w:left="224" w:right="0"/>
        <w:jc w:val="left"/>
      </w:pPr>
      <w:r>
        <w:rPr/>
        <w:t>其它情况说明</w:t>
      </w:r>
    </w:p>
    <w:p>
      <w:pPr>
        <w:pStyle w:val="BodyText"/>
        <w:spacing w:line="280" w:lineRule="exact"/>
        <w:ind w:left="224"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74" w:lineRule="exact" w:before="16"/>
        <w:ind w:left="224" w:right="0"/>
        <w:jc w:val="left"/>
      </w:pPr>
      <w:r>
        <w:rPr>
          <w:spacing w:val="-7"/>
          <w:w w:val="100"/>
        </w:rPr>
        <w:t>周海华与陶文娟、朱建平均曾在上海冶金设备总厂工作。上海冶金机械总厂系上海冶金设备总厂的前身。上海冶金设备总厂于</w:t>
      </w:r>
      <w:r>
        <w:rPr>
          <w:spacing w:val="-53"/>
          <w:w w:val="100"/>
        </w:rPr>
        <w:t> </w:t>
      </w:r>
      <w:r>
        <w:rPr>
          <w:rFonts w:ascii="Times New Roman" w:hAnsi="Times New Roman" w:cs="Times New Roman" w:eastAsia="Times New Roman" w:hint="default"/>
          <w:spacing w:val="-1"/>
          <w:w w:val="100"/>
        </w:rPr>
        <w:t>1997</w:t>
      </w:r>
      <w:r>
        <w:rPr>
          <w:rFonts w:ascii="Times New Roman" w:hAnsi="Times New Roman" w:cs="Times New Roman" w:eastAsia="Times New Roman" w:hint="default"/>
          <w:spacing w:val="-3"/>
          <w:w w:val="100"/>
        </w:rPr>
        <w:t> </w:t>
      </w:r>
      <w:r>
        <w:rPr>
          <w:w w:val="100"/>
        </w:rPr>
        <w:t>年</w:t>
      </w:r>
      <w:r>
        <w:rPr>
          <w:spacing w:val="-53"/>
          <w:w w:val="100"/>
        </w:rPr>
        <w:t> </w:t>
      </w:r>
      <w:r>
        <w:rPr>
          <w:rFonts w:ascii="Times New Roman" w:hAnsi="Times New Roman" w:cs="Times New Roman" w:eastAsia="Times New Roman" w:hint="default"/>
          <w:w w:val="100"/>
        </w:rPr>
        <w:t>8</w:t>
      </w:r>
      <w:r>
        <w:rPr>
          <w:rFonts w:ascii="Times New Roman" w:hAnsi="Times New Roman" w:cs="Times New Roman" w:eastAsia="Times New Roman" w:hint="default"/>
          <w:spacing w:val="-3"/>
          <w:w w:val="100"/>
        </w:rPr>
        <w:t> </w:t>
      </w:r>
      <w:r>
        <w:rPr>
          <w:w w:val="100"/>
        </w:rPr>
        <w:t>月</w:t>
      </w:r>
      <w:r>
        <w:rPr>
          <w:spacing w:val="-53"/>
          <w:w w:val="100"/>
        </w:rPr>
        <w:t> </w:t>
      </w:r>
      <w:r>
        <w:rPr>
          <w:rFonts w:ascii="Times New Roman" w:hAnsi="Times New Roman" w:cs="Times New Roman" w:eastAsia="Times New Roman" w:hint="default"/>
          <w:w w:val="100"/>
        </w:rPr>
        <w:t>4 </w:t>
      </w:r>
      <w:r>
        <w:rPr>
          <w:spacing w:val="-2"/>
          <w:w w:val="100"/>
        </w:rPr>
        <w:t>日宣告破产。</w:t>
      </w:r>
      <w:r>
        <w:rPr>
          <w:w w:val="100"/>
        </w:rPr>
        <w:t> </w:t>
      </w:r>
      <w:r>
        <w:rPr/>
        <w:t>周海华与陶文娟、朱建平系以前同事关系，除此之外，无其他关系。</w:t>
      </w:r>
    </w:p>
    <w:p>
      <w:pPr>
        <w:spacing w:line="240" w:lineRule="auto" w:before="12"/>
        <w:rPr>
          <w:rFonts w:ascii="宋体" w:hAnsi="宋体" w:cs="宋体" w:eastAsia="宋体" w:hint="default"/>
          <w:sz w:val="20"/>
          <w:szCs w:val="20"/>
        </w:rPr>
      </w:pPr>
    </w:p>
    <w:p>
      <w:pPr>
        <w:pStyle w:val="Heading2"/>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2"/>
        <w:spacing w:line="283" w:lineRule="auto" w:before="29"/>
        <w:ind w:left="224" w:right="7897"/>
        <w:jc w:val="left"/>
        <w:rPr>
          <w:b w:val="0"/>
          <w:bCs w:val="0"/>
        </w:rPr>
      </w:pPr>
      <w:r>
        <w:rPr>
          <w:rFonts w:ascii="Times New Roman" w:hAnsi="Times New Roman" w:cs="Times New Roman" w:eastAsia="Times New Roman" w:hint="default"/>
          <w:b w:val="0"/>
          <w:bCs w:val="0"/>
        </w:rPr>
        <w:t>□</w:t>
      </w:r>
      <w:r>
        <w:rPr>
          <w:rFonts w:ascii="宋体" w:hAnsi="宋体" w:cs="宋体" w:eastAsia="宋体" w:hint="default"/>
          <w:b w:val="0"/>
          <w:bCs w:val="0"/>
        </w:rPr>
        <w:t>适用</w:t>
      </w:r>
      <w:r>
        <w:rPr>
          <w:rFonts w:ascii="Times New Roman" w:hAnsi="Times New Roman" w:cs="Times New Roman" w:eastAsia="Times New Roman" w:hint="default"/>
          <w:b w:val="0"/>
          <w:bCs w:val="0"/>
        </w:rPr>
        <w:t>√</w:t>
      </w:r>
      <w:r>
        <w:rPr>
          <w:rFonts w:ascii="宋体" w:hAnsi="宋体" w:cs="宋体" w:eastAsia="宋体" w:hint="default"/>
          <w:b w:val="0"/>
          <w:bCs w:val="0"/>
        </w:rPr>
        <w:t>不适用</w:t>
      </w:r>
      <w:r>
        <w:rPr>
          <w:rFonts w:ascii="宋体" w:hAnsi="宋体" w:cs="宋体" w:eastAsia="宋体" w:hint="default"/>
          <w:b w:val="0"/>
          <w:bCs w:val="0"/>
          <w:w w:val="100"/>
        </w:rPr>
        <w:t> </w:t>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76" w:lineRule="exact"/>
        <w:ind w:left="224"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7"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孔令钢</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上海格尔实业发展有限公司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1992.5</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陆海天</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上海格尔实业发展有限公司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1992.5</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2"/>
        <w:spacing w:line="240" w:lineRule="auto" w:before="36"/>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2"/>
        <w:ind w:left="224"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0"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孔令钢</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上海格尔汽车附件有限公司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陆海天</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上海格尔金属制品有限公司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马利庄</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上海交通大学</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教授、博士生导师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马利庄</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上海中医药大学</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兼职教授、博士生导师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马利庄</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上海仙梦软件技术有限公司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朱建平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上海同甘律师事务所</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主任律师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陶文娟</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上海东信会计师事务所</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审计会计师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4"/>
        <w:rPr>
          <w:rFonts w:ascii="宋体" w:hAnsi="宋体" w:cs="宋体" w:eastAsia="宋体" w:hint="default"/>
          <w:sz w:val="29"/>
          <w:szCs w:val="29"/>
        </w:rPr>
      </w:pPr>
    </w:p>
    <w:p>
      <w:pPr>
        <w:pStyle w:val="Heading2"/>
        <w:spacing w:line="240" w:lineRule="auto" w:before="36"/>
        <w:ind w:left="224" w:right="0"/>
        <w:jc w:val="left"/>
        <w:rPr>
          <w:b w:val="0"/>
          <w:bCs w:val="0"/>
        </w:rPr>
      </w:pPr>
      <w:r>
        <w:rPr/>
        <w:t>三、董事、监事、高级管理人员报酬情况</w:t>
      </w:r>
      <w:r>
        <w:rPr>
          <w:b w:val="0"/>
          <w:bCs w:val="0"/>
        </w:rPr>
      </w:r>
    </w:p>
    <w:p>
      <w:pPr>
        <w:pStyle w:val="BodyText"/>
        <w:spacing w:line="240" w:lineRule="auto" w:before="58"/>
        <w:ind w:left="224" w:right="0"/>
        <w:jc w:val="left"/>
      </w:pPr>
      <w:r>
        <w:rPr/>
        <w:t>√适用</w:t>
      </w:r>
      <w:r>
        <w:rPr>
          <w:rFonts w:ascii="Times New Roman" w:hAnsi="Times New Roman" w:cs="Times New Roman" w:eastAsia="Times New Roman" w:hint="default"/>
        </w:rPr>
        <w:t>□</w:t>
      </w:r>
      <w:r>
        <w:rPr/>
        <w:t>不适用</w:t>
      </w: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独立董事报酬由股东大会决定，其他高级管理人员报酬经薪酬委员会讨论同意后，提交董事会决定。</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独立董事年津贴为每人每年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万元人民币。其他高级管理人员报酬，根据年度经营指标完成情况对高级</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管理人员的业绩和绩效进行考核。</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本公司董事、监事及其他高级管理人员的薪酬实行</w:t>
            </w:r>
            <w:r>
              <w:rPr>
                <w:rFonts w:ascii="Times New Roman" w:hAnsi="Times New Roman" w:cs="Times New Roman" w:eastAsia="Times New Roman" w:hint="default"/>
                <w:sz w:val="21"/>
                <w:szCs w:val="21"/>
              </w:rPr>
              <w:t>"</w:t>
            </w:r>
            <w:r>
              <w:rPr>
                <w:rFonts w:ascii="宋体" w:hAnsi="宋体" w:cs="宋体" w:eastAsia="宋体" w:hint="default"/>
                <w:sz w:val="21"/>
                <w:szCs w:val="21"/>
              </w:rPr>
              <w:t>基本工资＋年终奖励</w:t>
            </w:r>
            <w:r>
              <w:rPr>
                <w:rFonts w:ascii="Times New Roman" w:hAnsi="Times New Roman" w:cs="Times New Roman" w:eastAsia="Times New Roman" w:hint="default"/>
                <w:sz w:val="21"/>
                <w:szCs w:val="21"/>
              </w:rPr>
              <w:t>"</w:t>
            </w:r>
            <w:r>
              <w:rPr>
                <w:rFonts w:ascii="宋体" w:hAnsi="宋体" w:cs="宋体" w:eastAsia="宋体" w:hint="default"/>
                <w:sz w:val="21"/>
                <w:szCs w:val="21"/>
              </w:rPr>
              <w:t>的模式。基本工资按照岗位工</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资制，逐月按标准发放；年终奖励根据公司年度实现的效益情况和个人的工作业绩考核结果最终确定。</w:t>
            </w:r>
          </w:p>
        </w:tc>
      </w:tr>
      <w:tr>
        <w:trPr>
          <w:trHeight w:val="55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490.80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2"/>
        <w:spacing w:line="240" w:lineRule="auto" w:before="36"/>
        <w:ind w:left="224" w:right="0"/>
        <w:jc w:val="left"/>
        <w:rPr>
          <w:b w:val="0"/>
          <w:bCs w:val="0"/>
        </w:rPr>
      </w:pPr>
      <w:r>
        <w:rPr/>
        <w:t>四、公司董事、监事、高级管理人员变动情况</w:t>
      </w:r>
      <w:r>
        <w:rPr>
          <w:b w:val="0"/>
          <w:bCs w:val="0"/>
        </w:rPr>
      </w:r>
    </w:p>
    <w:p>
      <w:pPr>
        <w:pStyle w:val="BodyText"/>
        <w:spacing w:line="240" w:lineRule="auto" w:before="56"/>
        <w:ind w:left="224"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周海华</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工作调整</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顾峰</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r>
    </w:tbl>
    <w:p>
      <w:pPr>
        <w:pStyle w:val="BodyText"/>
        <w:spacing w:line="272" w:lineRule="exact" w:before="11"/>
        <w:ind w:left="224" w:right="0"/>
        <w:jc w:val="left"/>
      </w:pP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22</w:t>
      </w:r>
      <w:r>
        <w:rPr>
          <w:rFonts w:ascii="宋体" w:hAnsi="宋体" w:cs="宋体" w:eastAsia="宋体" w:hint="default"/>
          <w:spacing w:val="-56"/>
        </w:rPr>
        <w:t> </w:t>
      </w:r>
      <w:r>
        <w:rPr/>
        <w:t>日，本公司副总经理刘功哲先生因个人原因辞去公司副总经理职务。详见公告《上海格尔软件股份有限公司关于公司副总经理辞职的公</w:t>
      </w:r>
      <w:r>
        <w:rPr>
          <w:w w:val="100"/>
        </w:rPr>
        <w:t> </w:t>
      </w:r>
      <w:r>
        <w:rPr/>
        <w:t>告》（公告编号：临</w:t>
      </w:r>
      <w:r>
        <w:rPr>
          <w:spacing w:val="-55"/>
        </w:rPr>
        <w:t> </w:t>
      </w:r>
      <w:r>
        <w:rPr>
          <w:rFonts w:ascii="宋体" w:hAnsi="宋体" w:cs="宋体" w:eastAsia="宋体" w:hint="default"/>
        </w:rPr>
        <w:t>2018-002</w:t>
      </w:r>
      <w:r>
        <w:rPr/>
        <w:t>）</w:t>
      </w:r>
    </w:p>
    <w:p>
      <w:pPr>
        <w:spacing w:line="240" w:lineRule="auto" w:before="12"/>
        <w:rPr>
          <w:rFonts w:ascii="宋体" w:hAnsi="宋体" w:cs="宋体" w:eastAsia="宋体" w:hint="default"/>
          <w:sz w:val="20"/>
          <w:szCs w:val="20"/>
        </w:rPr>
      </w:pPr>
    </w:p>
    <w:p>
      <w:pPr>
        <w:pStyle w:val="Heading2"/>
        <w:spacing w:line="240" w:lineRule="auto"/>
        <w:ind w:left="224" w:right="0"/>
        <w:jc w:val="left"/>
        <w:rPr>
          <w:b w:val="0"/>
          <w:bCs w:val="0"/>
        </w:rPr>
      </w:pPr>
      <w:r>
        <w:rPr/>
        <w:t>五、近三年受证券监管机构处罚的情况说明</w:t>
      </w:r>
      <w:r>
        <w:rPr>
          <w:b w:val="0"/>
          <w:bCs w:val="0"/>
        </w:rPr>
      </w:r>
    </w:p>
    <w:p>
      <w:pPr>
        <w:pStyle w:val="BodyText"/>
        <w:spacing w:line="240" w:lineRule="auto" w:before="58"/>
        <w:ind w:left="224"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pgSz w:w="16840" w:h="11910" w:orient="landscape"/>
          <w:pgMar w:header="880"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2"/>
        <w:spacing w:line="240" w:lineRule="auto" w:before="36"/>
        <w:ind w:right="2465"/>
        <w:jc w:val="left"/>
        <w:rPr>
          <w:b w:val="0"/>
          <w:bCs w:val="0"/>
        </w:rPr>
      </w:pPr>
      <w:r>
        <w:rPr/>
        <w:t>六、母公司和主要子公司的员工情况</w:t>
      </w:r>
      <w:r>
        <w:rPr>
          <w:b w:val="0"/>
          <w:bCs w:val="0"/>
        </w:rPr>
      </w:r>
    </w:p>
    <w:p>
      <w:pPr>
        <w:pStyle w:val="Heading2"/>
        <w:spacing w:line="240" w:lineRule="auto" w:before="58"/>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81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289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370</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14</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z w:val="21"/>
              </w:rPr>
              <w:t>66</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37</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370</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本科及以上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255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88</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中专及以下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370</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Heading2"/>
        <w:spacing w:line="240" w:lineRule="auto" w:before="36"/>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237" w:lineRule="auto" w:before="34"/>
        <w:ind w:right="224"/>
        <w:jc w:val="left"/>
      </w:pPr>
      <w:r>
        <w:rPr/>
        <w:t>√适用□不适用</w:t>
      </w:r>
      <w:r>
        <w:rPr>
          <w:spacing w:val="-103"/>
        </w:rPr>
        <w:t> </w:t>
      </w:r>
      <w:r>
        <w:rPr>
          <w:spacing w:val="-103"/>
        </w:rPr>
      </w:r>
      <w:r>
        <w:rPr>
          <w:spacing w:val="-1"/>
        </w:rPr>
        <w:t>公司以年度经营、管理目标为评价标准的年薪制薪酬体系；以岗位价值和个人贡献为评价标准的</w:t>
      </w:r>
      <w:r>
        <w:rPr>
          <w:spacing w:val="-55"/>
        </w:rPr>
        <w:t> </w:t>
      </w:r>
      <w:r>
        <w:rPr>
          <w:spacing w:val="-55"/>
        </w:rPr>
      </w:r>
      <w:r>
        <w:rPr>
          <w:spacing w:val="-6"/>
          <w:w w:val="100"/>
        </w:rPr>
        <w:t>岗位薪酬体系和以销售、利润为评价标准的提成制薪酬体系等，并择时引入更多样化的激励机制。</w:t>
      </w:r>
      <w:r>
        <w:rPr>
          <w:w w:val="100"/>
        </w:rPr>
        <w:t> </w:t>
      </w:r>
      <w:r>
        <w:rPr>
          <w:spacing w:val="-1"/>
        </w:rPr>
        <w:t>在合理控制人工成本总量的基础上，公司将员工收入与企业年度经营业绩和经营目标完成情况挂</w:t>
      </w:r>
      <w:r>
        <w:rPr>
          <w:spacing w:val="-55"/>
        </w:rPr>
        <w:t> </w:t>
      </w:r>
      <w:r>
        <w:rPr>
          <w:spacing w:val="-55"/>
        </w:rPr>
      </w:r>
      <w:r>
        <w:rPr/>
        <w:t>钩，提倡在企业内建立健康的绩效文化。</w:t>
      </w:r>
    </w:p>
    <w:p>
      <w:pPr>
        <w:spacing w:line="240" w:lineRule="auto" w:before="11"/>
        <w:rPr>
          <w:rFonts w:ascii="宋体" w:hAnsi="宋体" w:cs="宋体" w:eastAsia="宋体" w:hint="default"/>
          <w:sz w:val="22"/>
          <w:szCs w:val="22"/>
        </w:rPr>
      </w:pPr>
    </w:p>
    <w:p>
      <w:pPr>
        <w:pStyle w:val="Heading2"/>
        <w:spacing w:line="240" w:lineRule="auto"/>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37" w:lineRule="auto" w:before="32"/>
        <w:ind w:right="227"/>
        <w:jc w:val="left"/>
      </w:pPr>
      <w:r>
        <w:rPr/>
        <w:t>√适用□不适用</w:t>
      </w:r>
      <w:r>
        <w:rPr>
          <w:spacing w:val="-103"/>
        </w:rPr>
        <w:t> </w:t>
      </w:r>
      <w:r>
        <w:rPr>
          <w:spacing w:val="-103"/>
        </w:rPr>
      </w:r>
      <w:r>
        <w:rPr>
          <w:spacing w:val="-1"/>
        </w:rPr>
        <w:t>立足公司发展战略，将企业的未来人力资源需求与员工的个人职业生涯发展规划有机结合。通过</w:t>
      </w:r>
      <w:r>
        <w:rPr>
          <w:spacing w:val="-55"/>
        </w:rPr>
        <w:t> </w:t>
      </w:r>
      <w:r>
        <w:rPr>
          <w:spacing w:val="-55"/>
        </w:rPr>
      </w:r>
      <w:r>
        <w:rPr/>
        <w:t>在不同员工层面开展有针对性的培训，实践员工与企业共同成长的企业发展理念。</w:t>
      </w:r>
    </w:p>
    <w:p>
      <w:pPr>
        <w:spacing w:line="240" w:lineRule="auto" w:before="11"/>
        <w:rPr>
          <w:rFonts w:ascii="宋体" w:hAnsi="宋体" w:cs="宋体" w:eastAsia="宋体" w:hint="default"/>
          <w:sz w:val="22"/>
          <w:szCs w:val="22"/>
        </w:rPr>
      </w:pPr>
    </w:p>
    <w:p>
      <w:pPr>
        <w:pStyle w:val="Heading2"/>
        <w:spacing w:line="240" w:lineRule="auto"/>
        <w:ind w:right="246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90" w:lineRule="auto" w:before="32"/>
        <w:ind w:left="218" w:right="7585" w:firstLine="0"/>
        <w:jc w:val="left"/>
        <w:rPr>
          <w:rFonts w:ascii="宋体" w:hAnsi="宋体" w:cs="宋体" w:eastAsia="宋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sz w:val="21"/>
          <w:szCs w:val="21"/>
        </w:rPr>
        <w:t>七、其他</w:t>
      </w:r>
      <w:r>
        <w:rPr>
          <w:rFonts w:ascii="宋体" w:hAnsi="宋体" w:cs="宋体" w:eastAsia="宋体" w:hint="default"/>
          <w:sz w:val="21"/>
          <w:szCs w:val="21"/>
        </w:rPr>
      </w:r>
    </w:p>
    <w:p>
      <w:pPr>
        <w:pStyle w:val="BodyText"/>
        <w:spacing w:line="240" w:lineRule="auto" w:before="14"/>
        <w:ind w:right="2465"/>
        <w:jc w:val="left"/>
      </w:pPr>
      <w:r>
        <w:rPr/>
        <w:t>□适用√不适用</w:t>
      </w:r>
    </w:p>
    <w:p>
      <w:pPr>
        <w:spacing w:after="0" w:line="240" w:lineRule="auto"/>
        <w:jc w:val="left"/>
        <w:sectPr>
          <w:headerReference w:type="default" r:id="rId40"/>
          <w:footerReference w:type="default" r:id="rId41"/>
          <w:pgSz w:w="11910" w:h="16840"/>
          <w:pgMar w:header="877" w:footer="1195" w:top="1100" w:bottom="1380" w:left="1580" w:right="1040"/>
          <w:pgNumType w:start="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Heading1"/>
        <w:tabs>
          <w:tab w:pos="1259" w:val="left" w:leader="none"/>
        </w:tabs>
        <w:spacing w:line="240" w:lineRule="auto"/>
        <w:ind w:right="1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2"/>
        <w:spacing w:line="240" w:lineRule="auto"/>
        <w:ind w:right="2465"/>
        <w:jc w:val="left"/>
        <w:rPr>
          <w:b w:val="0"/>
          <w:bCs w:val="0"/>
        </w:rPr>
      </w:pPr>
      <w:r>
        <w:rPr/>
        <w:t>一、公司治理相关情况说明</w:t>
      </w:r>
      <w:r>
        <w:rPr>
          <w:b w:val="0"/>
          <w:bCs w:val="0"/>
        </w:rPr>
      </w:r>
    </w:p>
    <w:p>
      <w:pPr>
        <w:pStyle w:val="BodyText"/>
        <w:spacing w:line="235" w:lineRule="auto" w:before="61"/>
        <w:ind w:right="227"/>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spacing w:val="-16"/>
          <w:w w:val="100"/>
        </w:rPr>
        <w:t>报告期内，公司严格按照《公司法》、《证券法》、《上市公司治理准则》及相关法律、法规的要求，</w:t>
      </w:r>
      <w:r>
        <w:rPr>
          <w:spacing w:val="-66"/>
          <w:w w:val="100"/>
        </w:rPr>
        <w:t> </w:t>
      </w:r>
      <w:r>
        <w:rPr>
          <w:spacing w:val="-66"/>
          <w:w w:val="100"/>
        </w:rPr>
      </w:r>
      <w:r>
        <w:rPr>
          <w:spacing w:val="-1"/>
        </w:rPr>
        <w:t>开展公司治理工作，不断完善公司法人治理结构和公司各项法人治理制度，提高公司规范运作水</w:t>
      </w:r>
      <w:r>
        <w:rPr>
          <w:spacing w:val="-55"/>
        </w:rPr>
        <w:t> </w:t>
      </w:r>
      <w:r>
        <w:rPr>
          <w:spacing w:val="-55"/>
        </w:rPr>
      </w:r>
      <w:r>
        <w:rPr>
          <w:spacing w:val="-4"/>
        </w:rPr>
        <w:t>平。根据证监会和上交所的法律规章，公司修订和制定了有关法人治理制度，总计 </w:t>
      </w:r>
      <w:r>
        <w:rPr>
          <w:rFonts w:ascii="Times New Roman" w:hAnsi="Times New Roman" w:cs="Times New Roman" w:eastAsia="Times New Roman" w:hint="default"/>
        </w:rPr>
        <w:t>28 </w:t>
      </w:r>
      <w:r>
        <w:rPr>
          <w:spacing w:val="-6"/>
        </w:rPr>
        <w:t>项，并在上</w:t>
      </w:r>
      <w:r>
        <w:rPr>
          <w:spacing w:val="-82"/>
        </w:rPr>
        <w:t> </w:t>
      </w:r>
      <w:r>
        <w:rPr>
          <w:spacing w:val="-82"/>
        </w:rPr>
      </w:r>
      <w:r>
        <w:rPr>
          <w:spacing w:val="-1"/>
        </w:rPr>
        <w:t>海证券交易所网站进行了报备。目前，公司已形成了责权分明、各司其职、科学决策、协调运作</w:t>
      </w:r>
      <w:r>
        <w:rPr>
          <w:spacing w:val="-55"/>
        </w:rPr>
        <w:t> </w:t>
      </w:r>
      <w:r>
        <w:rPr>
          <w:spacing w:val="-55"/>
        </w:rPr>
      </w:r>
      <w:r>
        <w:rPr>
          <w:spacing w:val="-1"/>
        </w:rPr>
        <w:t>的法人治理结构，公司治理实际情况符合相关法律、法规的要求，不存在监管部门要求限期整改</w:t>
      </w:r>
      <w:r>
        <w:rPr>
          <w:spacing w:val="-55"/>
        </w:rPr>
        <w:t> </w:t>
      </w:r>
      <w:r>
        <w:rPr>
          <w:spacing w:val="-55"/>
        </w:rPr>
      </w:r>
      <w:r>
        <w:rPr>
          <w:spacing w:val="-1"/>
        </w:rPr>
        <w:t>的问题。公司股东大会、董事会、监事会各尽其责、恪尽职守、规范运作，切实维护了广大投资</w:t>
      </w:r>
      <w:r>
        <w:rPr>
          <w:spacing w:val="-55"/>
        </w:rPr>
        <w:t> </w:t>
      </w:r>
      <w:r>
        <w:rPr>
          <w:spacing w:val="-55"/>
        </w:rPr>
      </w:r>
      <w:r>
        <w:rPr/>
        <w:t>者和公司的利益。公司治理与《公司法》和中国证监会相关规定的要求不存在差异。</w:t>
      </w:r>
    </w:p>
    <w:p>
      <w:pPr>
        <w:spacing w:line="240" w:lineRule="auto" w:before="4"/>
        <w:rPr>
          <w:rFonts w:ascii="宋体" w:hAnsi="宋体" w:cs="宋体" w:eastAsia="宋体" w:hint="default"/>
          <w:sz w:val="18"/>
          <w:szCs w:val="18"/>
        </w:rPr>
      </w:pPr>
    </w:p>
    <w:p>
      <w:pPr>
        <w:pStyle w:val="BodyText"/>
        <w:spacing w:line="273" w:lineRule="exact"/>
        <w:ind w:right="227"/>
        <w:jc w:val="left"/>
      </w:pPr>
      <w:r>
        <w:rPr/>
        <w:t>公司治理与中国证监会相关规定的要求是否存在重大差异；如有重大差异，应当说明原因</w:t>
      </w:r>
    </w:p>
    <w:p>
      <w:pPr>
        <w:spacing w:line="472" w:lineRule="auto" w:before="0"/>
        <w:ind w:left="218" w:right="6940" w:firstLine="0"/>
        <w:jc w:val="left"/>
        <w:rPr>
          <w:rFonts w:ascii="宋体" w:hAnsi="宋体" w:cs="宋体" w:eastAsia="宋体" w:hint="default"/>
          <w:sz w:val="21"/>
          <w:szCs w:val="21"/>
        </w:rPr>
      </w:pPr>
      <w:r>
        <w:rPr/>
        <w:pict>
          <v:shape style="position:absolute;margin-left:84.264pt;margin-top:47.063648pt;width:453.2pt;height:70.1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12"/>
                    <w:gridCol w:w="2165"/>
                    <w:gridCol w:w="2408"/>
                    <w:gridCol w:w="2165"/>
                  </w:tblGrid>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2016</w:t>
                        </w:r>
                        <w:r>
                          <w:rPr>
                            <w:rFonts w:ascii="Calibri" w:hAnsi="Calibri" w:cs="Calibri" w:eastAsia="Calibri" w:hint="default"/>
                            <w:spacing w:val="2"/>
                            <w:sz w:val="21"/>
                            <w:szCs w:val="21"/>
                          </w:rPr>
                          <w:t> </w:t>
                        </w:r>
                        <w:r>
                          <w:rPr>
                            <w:rFonts w:ascii="宋体" w:hAnsi="宋体" w:cs="宋体" w:eastAsia="宋体" w:hint="default"/>
                            <w:sz w:val="21"/>
                            <w:szCs w:val="21"/>
                          </w:rPr>
                          <w:t>年度股东大会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届时公司还未上市</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33"/>
                            <w:sz w:val="21"/>
                            <w:szCs w:val="21"/>
                          </w:rPr>
                          <w:t> </w:t>
                        </w:r>
                        <w:r>
                          <w:rPr>
                            <w:rFonts w:ascii="宋体" w:hAnsi="宋体" w:cs="宋体" w:eastAsia="宋体" w:hint="default"/>
                            <w:spacing w:val="9"/>
                            <w:sz w:val="21"/>
                            <w:szCs w:val="21"/>
                          </w:rPr>
                          <w:t>年第一次临时股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hyperlink r:id="rId8">
                          <w:r>
                            <w:rPr>
                              <w:rFonts w:ascii="Times New Roman"/>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p>
              </w:txbxContent>
            </v:textbox>
            <w10:wrap type="none"/>
          </v:shape>
        </w:pict>
      </w: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pStyle w:val="BodyText"/>
        <w:spacing w:line="273" w:lineRule="exact"/>
        <w:ind w:right="2465"/>
        <w:jc w:val="left"/>
      </w:pPr>
      <w:r>
        <w:rPr/>
        <w:t>股东大会情况说明</w:t>
      </w:r>
    </w:p>
    <w:p>
      <w:pPr>
        <w:pStyle w:val="BodyText"/>
        <w:spacing w:line="273" w:lineRule="exact"/>
        <w:ind w:right="2465"/>
        <w:jc w:val="left"/>
      </w:pPr>
      <w:r>
        <w:rPr/>
        <w:t>□适用√不适用</w:t>
      </w:r>
    </w:p>
    <w:p>
      <w:pPr>
        <w:spacing w:line="240" w:lineRule="auto" w:before="11"/>
        <w:rPr>
          <w:rFonts w:ascii="宋体" w:hAnsi="宋体" w:cs="宋体" w:eastAsia="宋体" w:hint="default"/>
          <w:sz w:val="22"/>
          <w:szCs w:val="22"/>
        </w:rPr>
      </w:pPr>
    </w:p>
    <w:p>
      <w:pPr>
        <w:pStyle w:val="Heading2"/>
        <w:spacing w:line="240" w:lineRule="auto"/>
        <w:ind w:right="2465"/>
        <w:jc w:val="left"/>
        <w:rPr>
          <w:b w:val="0"/>
          <w:bCs w:val="0"/>
        </w:rPr>
      </w:pPr>
      <w:r>
        <w:rPr/>
        <w:t>三、董事履行职责情况</w:t>
      </w:r>
      <w:r>
        <w:rPr>
          <w:b w:val="0"/>
          <w:bCs w:val="0"/>
        </w:rPr>
      </w:r>
    </w:p>
    <w:p>
      <w:pPr>
        <w:pStyle w:val="Heading2"/>
        <w:spacing w:line="240" w:lineRule="auto" w:before="58"/>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20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孔令钢</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2</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陆海天</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杨文山</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陈宁生</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周海华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叶枫</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马利庄</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陶文娟</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朱建平</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2</w:t>
            </w:r>
          </w:p>
        </w:tc>
      </w:tr>
    </w:tbl>
    <w:p>
      <w:pPr>
        <w:spacing w:line="240" w:lineRule="auto" w:before="13"/>
        <w:rPr>
          <w:rFonts w:ascii="宋体" w:hAnsi="宋体" w:cs="宋体" w:eastAsia="宋体" w:hint="default"/>
          <w:b/>
          <w:bCs/>
          <w:sz w:val="12"/>
          <w:szCs w:val="12"/>
        </w:rPr>
      </w:pPr>
    </w:p>
    <w:p>
      <w:pPr>
        <w:pStyle w:val="BodyText"/>
        <w:spacing w:line="274" w:lineRule="exact" w:before="36"/>
        <w:ind w:right="2465"/>
        <w:jc w:val="left"/>
      </w:pPr>
      <w:r>
        <w:rPr/>
        <w:t>连续两次未亲自出席董事会会议的说明</w:t>
      </w:r>
    </w:p>
    <w:p>
      <w:pPr>
        <w:pStyle w:val="BodyText"/>
        <w:spacing w:line="290" w:lineRule="exact"/>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w w:val="100"/>
                <w:sz w:val="21"/>
              </w:rPr>
              <w:t>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0</w:t>
            </w:r>
          </w:p>
        </w:tc>
      </w:tr>
    </w:tbl>
    <w:p>
      <w:pPr>
        <w:spacing w:after="0" w:line="235" w:lineRule="exact"/>
        <w:jc w:val="left"/>
        <w:rPr>
          <w:rFonts w:ascii="Times New Roman" w:hAnsi="Times New Roman" w:cs="Times New Roman" w:eastAsia="Times New Roman" w:hint="default"/>
          <w:sz w:val="21"/>
          <w:szCs w:val="21"/>
        </w:rPr>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0"/>
        <w:rPr>
          <w:rFonts w:ascii="宋体" w:hAnsi="宋体" w:cs="宋体" w:eastAsia="宋体" w:hint="default"/>
          <w:sz w:val="17"/>
          <w:szCs w:val="17"/>
        </w:rPr>
      </w:pPr>
    </w:p>
    <w:p>
      <w:pPr>
        <w:pStyle w:val="Heading2"/>
        <w:spacing w:line="240" w:lineRule="auto" w:before="36"/>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29"/>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8"/>
          <w:szCs w:val="18"/>
        </w:rPr>
      </w:pPr>
    </w:p>
    <w:p>
      <w:pPr>
        <w:pStyle w:val="Heading2"/>
        <w:spacing w:line="240" w:lineRule="auto"/>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spacing w:line="240" w:lineRule="auto" w:before="32"/>
        <w:ind w:right="2465"/>
        <w:jc w:val="left"/>
      </w:pPr>
      <w:r>
        <w:rPr/>
        <w:t>□适用√不适用</w:t>
      </w:r>
    </w:p>
    <w:p>
      <w:pPr>
        <w:spacing w:line="240" w:lineRule="auto" w:before="12"/>
        <w:rPr>
          <w:rFonts w:ascii="宋体" w:hAnsi="宋体" w:cs="宋体" w:eastAsia="宋体" w:hint="default"/>
          <w:sz w:val="24"/>
          <w:szCs w:val="24"/>
        </w:rPr>
      </w:pPr>
    </w:p>
    <w:p>
      <w:pPr>
        <w:pStyle w:val="Heading2"/>
        <w:spacing w:line="272" w:lineRule="exact"/>
        <w:ind w:left="642" w:right="65"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spacing w:line="281" w:lineRule="exact" w:before="34"/>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37" w:lineRule="auto"/>
        <w:ind w:right="228" w:firstLine="419"/>
        <w:jc w:val="both"/>
      </w:pPr>
      <w:r>
        <w:rPr>
          <w:spacing w:val="-2"/>
        </w:rPr>
        <w:t>公司董事会下设了战略委员会、审计委员会、提名委员会及薪酬与考核委员会，促使董事会</w:t>
      </w:r>
      <w:r>
        <w:rPr>
          <w:w w:val="100"/>
        </w:rPr>
        <w:t> </w:t>
      </w:r>
      <w:r>
        <w:rPr>
          <w:spacing w:val="-1"/>
        </w:rPr>
        <w:t>科学决策、规范运作。报告期内，公司董事会下属专门委员会积极开展工作，认真履行职责，促</w:t>
      </w:r>
      <w:r>
        <w:rPr>
          <w:spacing w:val="-55"/>
        </w:rPr>
        <w:t> </w:t>
      </w:r>
      <w:r>
        <w:rPr>
          <w:spacing w:val="-55"/>
        </w:rPr>
      </w:r>
      <w:r>
        <w:rPr>
          <w:spacing w:val="-2"/>
        </w:rPr>
        <w:t>进了公司各项经营活动的顺利开展，专门委员会所审议的所有议案均一致通过，并无异议事项。</w:t>
      </w:r>
    </w:p>
    <w:p>
      <w:pPr>
        <w:pStyle w:val="BodyText"/>
        <w:spacing w:line="279" w:lineRule="exact"/>
        <w:ind w:left="638" w:right="65"/>
        <w:jc w:val="left"/>
      </w:pPr>
      <w:r>
        <w:rPr/>
        <w:t>董事会专业委员会在</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年内总计召开</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次董事会专门委员会会议，其中审计委员会</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次，</w:t>
      </w:r>
    </w:p>
    <w:p>
      <w:pPr>
        <w:pStyle w:val="BodyText"/>
        <w:spacing w:line="272" w:lineRule="exact"/>
        <w:ind w:right="2465"/>
        <w:jc w:val="left"/>
      </w:pPr>
      <w:r>
        <w:rPr/>
        <w:t>提名委员会</w:t>
      </w:r>
      <w:r>
        <w:rPr>
          <w:spacing w:val="-53"/>
        </w:rPr>
        <w:t> </w:t>
      </w:r>
      <w:r>
        <w:rPr>
          <w:rFonts w:ascii="Times New Roman" w:hAnsi="Times New Roman" w:cs="Times New Roman" w:eastAsia="Times New Roman" w:hint="default"/>
        </w:rPr>
        <w:t>1 </w:t>
      </w:r>
      <w:r>
        <w:rPr/>
        <w:t>次，战略委员会</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次，薪酬与考核委员会</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次。</w:t>
      </w:r>
    </w:p>
    <w:p>
      <w:pPr>
        <w:pStyle w:val="BodyText"/>
        <w:spacing w:line="272" w:lineRule="exact"/>
        <w:ind w:left="638" w:right="227"/>
        <w:jc w:val="left"/>
      </w:pPr>
      <w:r>
        <w:rPr>
          <w:rFonts w:ascii="Times New Roman" w:hAnsi="Times New Roman" w:cs="Times New Roman" w:eastAsia="Times New Roman" w:hint="default"/>
        </w:rPr>
        <w:t>1.</w:t>
      </w:r>
      <w:r>
        <w:rPr/>
        <w:t>审计委员会按照《上海格尔软件股份有限公司董事会审计委员会实施细则》规定，对公司</w:t>
      </w:r>
    </w:p>
    <w:p>
      <w:pPr>
        <w:pStyle w:val="BodyText"/>
        <w:spacing w:line="272" w:lineRule="exact"/>
        <w:ind w:right="65"/>
        <w:jc w:val="left"/>
      </w:pPr>
      <w:r>
        <w:rPr>
          <w:rFonts w:ascii="Times New Roman" w:hAnsi="Times New Roman" w:cs="Times New Roman" w:eastAsia="Times New Roman" w:hint="default"/>
        </w:rPr>
        <w:t>2016 </w:t>
      </w:r>
      <w:r>
        <w:rPr>
          <w:rFonts w:ascii="Times New Roman" w:hAnsi="Times New Roman" w:cs="Times New Roman" w:eastAsia="Times New Roman" w:hint="default"/>
          <w:spacing w:val="19"/>
        </w:rPr>
        <w:t> </w:t>
      </w:r>
      <w:r>
        <w:rPr>
          <w:spacing w:val="-3"/>
        </w:rPr>
        <w:t>年年度报告的审计工作进行了核查、监督；就年报审计工作与会计师事务所进行了面对面的</w:t>
      </w:r>
    </w:p>
    <w:p>
      <w:pPr>
        <w:pStyle w:val="BodyText"/>
        <w:spacing w:line="230" w:lineRule="auto"/>
        <w:ind w:right="116"/>
        <w:jc w:val="left"/>
      </w:pPr>
      <w:r>
        <w:rPr/>
        <w:t>交流沟通；对公司</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年半年度报告、季度报告进行了审议；对公司会计政策变更进行了审议；</w:t>
      </w:r>
      <w:r>
        <w:rPr>
          <w:w w:val="100"/>
        </w:rPr>
        <w:t> </w:t>
      </w:r>
      <w:r>
        <w:rPr/>
        <w:t>对公司的募集资金存放与实际使用情况进行了审议，促进了公司规范运作和健康发展，充分履行</w:t>
      </w:r>
      <w:r>
        <w:rPr>
          <w:spacing w:val="-97"/>
        </w:rPr>
        <w:t> </w:t>
      </w:r>
      <w:r>
        <w:rPr>
          <w:spacing w:val="-97"/>
        </w:rPr>
      </w:r>
      <w:r>
        <w:rPr/>
        <w:t>了审计委员会的职责。</w:t>
      </w:r>
    </w:p>
    <w:p>
      <w:pPr>
        <w:pStyle w:val="BodyText"/>
        <w:spacing w:line="272" w:lineRule="exact" w:before="27"/>
        <w:ind w:right="234" w:firstLine="419"/>
        <w:jc w:val="both"/>
      </w:pPr>
      <w:r>
        <w:rPr>
          <w:rFonts w:ascii="Times New Roman" w:hAnsi="Times New Roman" w:cs="Times New Roman" w:eastAsia="Times New Roman" w:hint="default"/>
        </w:rPr>
        <w:t>2.</w:t>
      </w:r>
      <w:r>
        <w:rPr/>
        <w:t>战略委员会分析了公司上市后的机遇和挑战，并针对上市后挑战的措施和方案提出了战略</w:t>
      </w:r>
      <w:r>
        <w:rPr>
          <w:w w:val="100"/>
        </w:rPr>
        <w:t> </w:t>
      </w:r>
      <w:r>
        <w:rPr/>
        <w:t>规划和对未来发展的建议，对公司上市的相关方案延长有效期进行了审议。</w:t>
      </w:r>
    </w:p>
    <w:p>
      <w:pPr>
        <w:pStyle w:val="BodyText"/>
        <w:spacing w:line="272" w:lineRule="exact" w:before="1"/>
        <w:ind w:right="234" w:firstLine="419"/>
        <w:jc w:val="both"/>
      </w:pPr>
      <w:r>
        <w:rPr>
          <w:rFonts w:ascii="Times New Roman" w:hAnsi="Times New Roman" w:cs="Times New Roman" w:eastAsia="Times New Roman" w:hint="default"/>
        </w:rPr>
        <w:t>3.</w:t>
      </w:r>
      <w:r>
        <w:rPr/>
        <w:t>提名委员会在报告期内审议了《关于原财务总监周海华离任，并聘任顾峰为公司财务总监</w:t>
      </w:r>
      <w:r>
        <w:rPr>
          <w:w w:val="100"/>
        </w:rPr>
        <w:t> </w:t>
      </w:r>
      <w:r>
        <w:rPr>
          <w:spacing w:val="-7"/>
          <w:w w:val="100"/>
        </w:rPr>
        <w:t>的议案》，对聘任人员的任职发表了同意意见。</w:t>
      </w:r>
    </w:p>
    <w:p>
      <w:pPr>
        <w:pStyle w:val="BodyText"/>
        <w:spacing w:line="255" w:lineRule="exact"/>
        <w:ind w:left="638" w:right="65"/>
        <w:jc w:val="left"/>
      </w:pPr>
      <w:r>
        <w:rPr>
          <w:rFonts w:ascii="Times New Roman" w:hAnsi="Times New Roman" w:cs="Times New Roman" w:eastAsia="Times New Roman" w:hint="default"/>
        </w:rPr>
        <w:t>4.</w:t>
      </w:r>
      <w:r>
        <w:rPr/>
        <w:t>薪酬与考核委员会：在</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年召开</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次会议，对公司高级管理人员</w:t>
      </w:r>
      <w:r>
        <w:rPr>
          <w:spacing w:val="-4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年度考核及薪酬</w:t>
      </w:r>
    </w:p>
    <w:p>
      <w:pPr>
        <w:pStyle w:val="BodyText"/>
        <w:spacing w:line="272" w:lineRule="exact"/>
        <w:ind w:right="65"/>
        <w:jc w:val="left"/>
      </w:pPr>
      <w:r>
        <w:rPr>
          <w:spacing w:val="-4"/>
        </w:rPr>
        <w:t>发放情况进行了审议，全体委员一致认为 </w:t>
      </w: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spacing w:val="-4"/>
        </w:rPr>
        <w:t>年公司较好的执行了薪酬及考核标准，并要求公司</w:t>
      </w:r>
    </w:p>
    <w:p>
      <w:pPr>
        <w:pStyle w:val="BodyText"/>
        <w:spacing w:line="282" w:lineRule="exact"/>
        <w:ind w:right="2465"/>
        <w:jc w:val="left"/>
      </w:pPr>
      <w:r>
        <w:rPr/>
        <w:t>按照</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年度薪酬考核标准，在</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年度中认真加以贯彻实施。</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7"/>
          <w:szCs w:val="17"/>
        </w:rPr>
      </w:pPr>
    </w:p>
    <w:p>
      <w:pPr>
        <w:pStyle w:val="Heading2"/>
        <w:spacing w:line="240" w:lineRule="auto"/>
        <w:ind w:right="2465"/>
        <w:jc w:val="left"/>
        <w:rPr>
          <w:b w:val="0"/>
          <w:bCs w:val="0"/>
        </w:rPr>
      </w:pPr>
      <w:r>
        <w:rPr/>
        <w:t>五、监事会发现公司存在风险的说明</w:t>
      </w:r>
      <w:r>
        <w:rPr>
          <w:b w:val="0"/>
          <w:bCs w:val="0"/>
        </w:rPr>
      </w:r>
    </w:p>
    <w:p>
      <w:pPr>
        <w:pStyle w:val="BodyText"/>
        <w:spacing w:line="232" w:lineRule="auto" w:before="66"/>
        <w:ind w:right="22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spacing w:val="-1"/>
        </w:rPr>
        <w:t>报告期内，公司监事会对公司定期报告、财务状况、公司董事、高级管理人员履职情况等事项进</w:t>
      </w:r>
      <w:r>
        <w:rPr>
          <w:spacing w:val="-55"/>
        </w:rPr>
        <w:t> </w:t>
      </w:r>
      <w:r>
        <w:rPr>
          <w:spacing w:val="-55"/>
        </w:rPr>
      </w:r>
      <w:r>
        <w:rPr>
          <w:spacing w:val="-6"/>
          <w:w w:val="100"/>
        </w:rPr>
        <w:t>行了监督、核查。监事会认为：公司上述行为均严格按照《公司法》、《公司章程》及其有关法律</w:t>
      </w:r>
      <w:r>
        <w:rPr>
          <w:spacing w:val="-102"/>
          <w:w w:val="100"/>
        </w:rPr>
        <w:t> </w:t>
      </w:r>
      <w:r>
        <w:rPr>
          <w:spacing w:val="-102"/>
          <w:w w:val="100"/>
        </w:rPr>
      </w:r>
      <w:r>
        <w:rPr/>
        <w:t>法规规范运作，决策程序符合。</w:t>
      </w:r>
    </w:p>
    <w:p>
      <w:pPr>
        <w:spacing w:line="240" w:lineRule="auto" w:before="12"/>
        <w:rPr>
          <w:rFonts w:ascii="宋体" w:hAnsi="宋体" w:cs="宋体" w:eastAsia="宋体" w:hint="default"/>
          <w:sz w:val="22"/>
          <w:szCs w:val="22"/>
        </w:rPr>
      </w:pPr>
    </w:p>
    <w:p>
      <w:pPr>
        <w:pStyle w:val="Heading2"/>
        <w:spacing w:line="240" w:lineRule="auto"/>
        <w:ind w:left="642" w:right="227"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spacing w:line="240" w:lineRule="auto" w:before="56"/>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4" w:lineRule="exact"/>
        <w:ind w:right="2465"/>
        <w:jc w:val="left"/>
      </w:pPr>
      <w:r>
        <w:rPr/>
        <w:t>存在同业竞争的，公司相应的解决措施、工作进度及后续工作计划</w:t>
      </w:r>
    </w:p>
    <w:p>
      <w:pPr>
        <w:pStyle w:val="BodyText"/>
        <w:spacing w:line="290" w:lineRule="exact"/>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right="227"/>
        <w:jc w:val="left"/>
        <w:rPr>
          <w:b w:val="0"/>
          <w:bCs w:val="0"/>
        </w:rPr>
      </w:pPr>
      <w:r>
        <w:rPr/>
        <w:t>七、报告期内对高级管理人员的考评机制，以及激励机制的建立、实施情况</w:t>
      </w:r>
      <w:r>
        <w:rPr>
          <w:b w:val="0"/>
          <w:bCs w:val="0"/>
        </w:rPr>
      </w:r>
    </w:p>
    <w:p>
      <w:pPr>
        <w:pStyle w:val="BodyText"/>
        <w:spacing w:line="237" w:lineRule="auto" w:before="59"/>
        <w:ind w:right="227"/>
        <w:jc w:val="left"/>
      </w:pPr>
      <w:r>
        <w:rPr/>
        <w:t>√适用□不适用</w:t>
      </w:r>
      <w:r>
        <w:rPr>
          <w:spacing w:val="-103"/>
        </w:rPr>
        <w:t> </w:t>
      </w:r>
      <w:r>
        <w:rPr>
          <w:spacing w:val="-103"/>
        </w:rPr>
      </w:r>
      <w:r>
        <w:rPr>
          <w:spacing w:val="-1"/>
        </w:rPr>
        <w:t>公司已经建立起符合现代企业管理的全员绩效考评机制。公司根据绩效考核表对高级管理人员实</w:t>
      </w:r>
      <w:r>
        <w:rPr>
          <w:spacing w:val="-55"/>
        </w:rPr>
        <w:t> </w:t>
      </w:r>
      <w:r>
        <w:rPr>
          <w:spacing w:val="-55"/>
        </w:rPr>
      </w:r>
      <w:r>
        <w:rPr>
          <w:spacing w:val="-1"/>
        </w:rPr>
        <w:t>施年度目标责任考核，依照公司全年经营目标完成情况，结合年度个人考核评价结果，决定高级</w:t>
      </w:r>
      <w:r>
        <w:rPr>
          <w:spacing w:val="-55"/>
        </w:rPr>
        <w:t> </w:t>
      </w:r>
      <w:r>
        <w:rPr>
          <w:spacing w:val="-55"/>
        </w:rPr>
      </w:r>
      <w:r>
        <w:rPr/>
        <w:t>管理人员的年度报酬。公司目前尚未制定对高级管理人员和骨干员工的长期激励政策。</w:t>
      </w:r>
    </w:p>
    <w:p>
      <w:pPr>
        <w:spacing w:after="0" w:line="237" w:lineRule="auto"/>
        <w:jc w:val="left"/>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pStyle w:val="BodyText"/>
        <w:spacing w:line="237" w:lineRule="auto" w:before="38"/>
        <w:ind w:left="138" w:right="128"/>
        <w:jc w:val="both"/>
      </w:pPr>
      <w:r>
        <w:rPr>
          <w:spacing w:val="-1"/>
        </w:rPr>
        <w:t>董事会下设薪酬与考核委员会，并建立了相应的实施细则，为有效调动高管人员的积极性和创造</w:t>
      </w:r>
      <w:r>
        <w:rPr>
          <w:spacing w:val="-55"/>
        </w:rPr>
        <w:t> </w:t>
      </w:r>
      <w:r>
        <w:rPr>
          <w:spacing w:val="-55"/>
        </w:rPr>
      </w:r>
      <w:r>
        <w:rPr>
          <w:spacing w:val="-1"/>
        </w:rPr>
        <w:t>力，董事会薪酬与考核委员会依据年度绩效奖金管理办法和高管个人绩效责任书的约定，对公司</w:t>
      </w:r>
      <w:r>
        <w:rPr>
          <w:spacing w:val="-55"/>
        </w:rPr>
        <w:t> </w:t>
      </w:r>
      <w:r>
        <w:rPr>
          <w:spacing w:val="-55"/>
        </w:rPr>
      </w:r>
      <w:r>
        <w:rPr>
          <w:spacing w:val="-1"/>
        </w:rPr>
        <w:t>经营层高管的业绩完成情况进行考核，强化了对高级管理人员的考评激励作用，今后公司将根据</w:t>
      </w:r>
      <w:r>
        <w:rPr>
          <w:spacing w:val="-55"/>
        </w:rPr>
        <w:t> </w:t>
      </w:r>
      <w:r>
        <w:rPr>
          <w:spacing w:val="-55"/>
        </w:rPr>
      </w:r>
      <w:r>
        <w:rPr>
          <w:spacing w:val="-1"/>
        </w:rPr>
        <w:t>实际情况不断完善考评和激励机制，使高级管理人员与股东利益取向逐步趋于一致，最终实现股</w:t>
      </w:r>
      <w:r>
        <w:rPr>
          <w:spacing w:val="-55"/>
        </w:rPr>
        <w:t> </w:t>
      </w:r>
      <w:r>
        <w:rPr>
          <w:spacing w:val="-55"/>
        </w:rPr>
      </w:r>
      <w:r>
        <w:rPr/>
        <w:t>东价值最大化</w:t>
      </w:r>
    </w:p>
    <w:p>
      <w:pPr>
        <w:spacing w:line="240" w:lineRule="auto" w:before="11"/>
        <w:rPr>
          <w:rFonts w:ascii="宋体" w:hAnsi="宋体" w:cs="宋体" w:eastAsia="宋体" w:hint="default"/>
          <w:sz w:val="22"/>
          <w:szCs w:val="22"/>
        </w:rPr>
      </w:pPr>
    </w:p>
    <w:p>
      <w:pPr>
        <w:pStyle w:val="Heading2"/>
        <w:spacing w:line="240" w:lineRule="auto"/>
        <w:ind w:left="138" w:right="0"/>
        <w:jc w:val="both"/>
        <w:rPr>
          <w:b w:val="0"/>
          <w:bCs w:val="0"/>
        </w:rPr>
      </w:pPr>
      <w:r>
        <w:rPr/>
        <w:t>八、是否披露内部控制自我评价报告</w:t>
      </w:r>
      <w:r>
        <w:rPr>
          <w:b w:val="0"/>
          <w:bCs w:val="0"/>
        </w:rPr>
      </w:r>
    </w:p>
    <w:p>
      <w:pPr>
        <w:pStyle w:val="BodyText"/>
        <w:spacing w:line="281" w:lineRule="exact" w:before="58"/>
        <w:ind w:left="138"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74" w:lineRule="exact" w:before="16"/>
        <w:ind w:left="138" w:right="0"/>
        <w:jc w:val="left"/>
      </w:pPr>
      <w:r>
        <w:rPr>
          <w:spacing w:val="-2"/>
          <w:w w:val="100"/>
        </w:rPr>
        <w:t>详见公司刊登于证监会指定媒体的《上海格尔软件股份有限公司</w:t>
      </w:r>
      <w:r>
        <w:rPr>
          <w:spacing w:val="-36"/>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19"/>
          <w:w w:val="100"/>
        </w:rPr>
        <w:t> </w:t>
      </w:r>
      <w:r>
        <w:rPr>
          <w:spacing w:val="-11"/>
          <w:w w:val="100"/>
        </w:rPr>
        <w:t>年度内部控制评价报告》，</w:t>
      </w:r>
      <w:r>
        <w:rPr>
          <w:spacing w:val="-102"/>
          <w:w w:val="100"/>
        </w:rPr>
        <w:t> </w:t>
      </w:r>
      <w:r>
        <w:rPr>
          <w:spacing w:val="-102"/>
          <w:w w:val="100"/>
        </w:rPr>
      </w:r>
      <w:r>
        <w:rPr>
          <w:spacing w:val="-2"/>
        </w:rPr>
        <w:t>或于上交所网站：</w:t>
      </w:r>
      <w:r>
        <w:rPr>
          <w:rFonts w:ascii="Times New Roman" w:hAnsi="Times New Roman" w:cs="Times New Roman" w:eastAsia="Times New Roman" w:hint="default"/>
          <w:color w:val="0000FF"/>
          <w:spacing w:val="-2"/>
        </w:rPr>
      </w:r>
      <w:hyperlink r:id="rId8">
        <w:r>
          <w:rPr>
            <w:rFonts w:ascii="Times New Roman" w:hAnsi="Times New Roman" w:cs="Times New Roman" w:eastAsia="Times New Roman" w:hint="default"/>
            <w:color w:val="0000FF"/>
            <w:spacing w:val="-2"/>
            <w:u w:val="single" w:color="0000FF"/>
          </w:rPr>
          <w:t>www.sse.com.cn</w:t>
        </w:r>
        <w:r>
          <w:rPr>
            <w:rFonts w:ascii="Times New Roman" w:hAnsi="Times New Roman" w:cs="Times New Roman" w:eastAsia="Times New Roman" w:hint="default"/>
            <w:color w:val="0000FF"/>
            <w:spacing w:val="35"/>
            <w:u w:val="single" w:color="0000FF"/>
          </w:rPr>
          <w:t> </w:t>
        </w:r>
        <w:r>
          <w:rPr>
            <w:rFonts w:ascii="Times New Roman" w:hAnsi="Times New Roman" w:cs="Times New Roman" w:eastAsia="Times New Roman" w:hint="default"/>
            <w:color w:val="0000FF"/>
            <w:spacing w:val="35"/>
          </w:rPr>
        </w:r>
      </w:hyperlink>
      <w:r>
        <w:rPr>
          <w:spacing w:val="-2"/>
        </w:rPr>
        <w:t>进行查阅。</w:t>
      </w:r>
    </w:p>
    <w:p>
      <w:pPr>
        <w:spacing w:line="240" w:lineRule="auto" w:before="4"/>
        <w:rPr>
          <w:rFonts w:ascii="宋体" w:hAnsi="宋体" w:cs="宋体" w:eastAsia="宋体" w:hint="default"/>
          <w:sz w:val="16"/>
          <w:szCs w:val="16"/>
        </w:rPr>
      </w:pPr>
    </w:p>
    <w:p>
      <w:pPr>
        <w:pStyle w:val="BodyText"/>
        <w:spacing w:line="273" w:lineRule="exact"/>
        <w:ind w:left="138" w:right="0"/>
        <w:jc w:val="both"/>
      </w:pPr>
      <w:r>
        <w:rPr/>
        <w:t>报告期内部控制存在重大缺陷情况的说明</w:t>
      </w:r>
    </w:p>
    <w:p>
      <w:pPr>
        <w:pStyle w:val="BodyText"/>
        <w:spacing w:line="289" w:lineRule="exact"/>
        <w:ind w:left="138"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2"/>
        <w:spacing w:line="240" w:lineRule="auto"/>
        <w:ind w:left="138" w:right="0"/>
        <w:jc w:val="both"/>
        <w:rPr>
          <w:b w:val="0"/>
          <w:bCs w:val="0"/>
        </w:rPr>
      </w:pPr>
      <w:r>
        <w:rPr/>
        <w:t>九、内部控制审计报告的相关情况说明</w:t>
      </w:r>
      <w:r>
        <w:rPr>
          <w:b w:val="0"/>
          <w:bCs w:val="0"/>
        </w:rPr>
      </w:r>
    </w:p>
    <w:p>
      <w:pPr>
        <w:pStyle w:val="BodyText"/>
        <w:spacing w:line="272" w:lineRule="exact" w:before="84"/>
        <w:ind w:left="558" w:right="0" w:hanging="420"/>
        <w:jc w:val="left"/>
      </w:pPr>
      <w:r>
        <w:rPr/>
        <w:t>√适用□不适用</w:t>
      </w:r>
      <w:r>
        <w:rPr>
          <w:spacing w:val="-103"/>
        </w:rPr>
        <w:t> </w:t>
      </w:r>
      <w:r>
        <w:rPr>
          <w:spacing w:val="-103"/>
        </w:rPr>
      </w:r>
      <w:r>
        <w:rPr>
          <w:spacing w:val="-2"/>
        </w:rPr>
        <w:t>报告期内公司聘请了上会会计师事务所（特殊普通合伙）进行内控审计，出具了标准无保留</w:t>
      </w:r>
    </w:p>
    <w:p>
      <w:pPr>
        <w:pStyle w:val="BodyText"/>
        <w:spacing w:line="272" w:lineRule="exact" w:before="1"/>
        <w:ind w:left="138" w:right="0"/>
        <w:jc w:val="left"/>
      </w:pPr>
      <w:r>
        <w:rPr>
          <w:spacing w:val="-1"/>
        </w:rPr>
        <w:t>意见审计报告。上会会计师事务所（特殊普通合伙）的内控审计报告认为：上海格尔软件股份有</w:t>
      </w:r>
      <w:r>
        <w:rPr>
          <w:spacing w:val="-55"/>
        </w:rPr>
        <w:t> </w:t>
      </w:r>
      <w:r>
        <w:rPr>
          <w:spacing w:val="-55"/>
        </w:rPr>
      </w:r>
      <w:r>
        <w:rPr/>
        <w:t>限公司于</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5"/>
        </w:rPr>
        <w:t>日按照《企业内部控制基本规范》和相关规定在所有重大方面保持了有</w:t>
      </w:r>
    </w:p>
    <w:p>
      <w:pPr>
        <w:pStyle w:val="BodyText"/>
        <w:spacing w:line="247" w:lineRule="exact"/>
        <w:ind w:left="138" w:right="0"/>
        <w:jc w:val="both"/>
      </w:pPr>
      <w:r>
        <w:rPr>
          <w:spacing w:val="2"/>
        </w:rPr>
        <w:t>效的财务报告内部控制。公司内部控制审核报告与公司董事会的自我评价报告意见一致。公司</w:t>
      </w:r>
    </w:p>
    <w:p>
      <w:pPr>
        <w:pStyle w:val="BodyText"/>
        <w:spacing w:line="274" w:lineRule="exact" w:before="24"/>
        <w:ind w:left="138" w:right="2608"/>
        <w:jc w:val="left"/>
      </w:pPr>
      <w:r>
        <w:rPr>
          <w:rFonts w:ascii="Times New Roman" w:hAnsi="Times New Roman" w:cs="Times New Roman" w:eastAsia="Times New Roman" w:hint="default"/>
        </w:rPr>
        <w:t>2017 </w:t>
      </w:r>
      <w:r>
        <w:rPr/>
        <w:t>年内部控制审计报告详见上海证券交易所网站</w:t>
      </w:r>
      <w:r>
        <w:rPr>
          <w:spacing w:val="-76"/>
        </w:rPr>
        <w:t> </w:t>
      </w:r>
      <w:hyperlink r:id="rId8">
        <w:r>
          <w:rPr>
            <w:rFonts w:ascii="Times New Roman" w:hAnsi="Times New Roman" w:cs="Times New Roman" w:eastAsia="Times New Roman" w:hint="default"/>
          </w:rPr>
          <w:t>www.sse.com.cn</w:t>
        </w:r>
      </w:hyperlink>
      <w:r>
        <w:rPr/>
        <w:t>。</w:t>
      </w:r>
      <w:r>
        <w:rPr>
          <w:w w:val="100"/>
        </w:rPr>
        <w:t> </w:t>
      </w:r>
      <w:r>
        <w:rPr/>
        <w:t>是否披露内部控制审计报告：是</w:t>
      </w:r>
    </w:p>
    <w:p>
      <w:pPr>
        <w:spacing w:line="240" w:lineRule="auto" w:before="12"/>
        <w:rPr>
          <w:rFonts w:ascii="宋体" w:hAnsi="宋体" w:cs="宋体" w:eastAsia="宋体" w:hint="default"/>
          <w:sz w:val="20"/>
          <w:szCs w:val="20"/>
        </w:rPr>
      </w:pPr>
    </w:p>
    <w:p>
      <w:pPr>
        <w:pStyle w:val="Heading2"/>
        <w:spacing w:line="240" w:lineRule="auto"/>
        <w:ind w:left="138" w:right="0"/>
        <w:jc w:val="both"/>
        <w:rPr>
          <w:b w:val="0"/>
          <w:bCs w:val="0"/>
        </w:rPr>
      </w:pPr>
      <w:r>
        <w:rPr/>
        <w:t>十、其他</w:t>
      </w:r>
      <w:r>
        <w:rPr>
          <w:b w:val="0"/>
          <w:bCs w:val="0"/>
        </w:rPr>
      </w:r>
    </w:p>
    <w:p>
      <w:pPr>
        <w:pStyle w:val="BodyText"/>
        <w:spacing w:line="240" w:lineRule="auto" w:before="56"/>
        <w:ind w:left="138" w:right="0"/>
        <w:jc w:val="both"/>
      </w:pPr>
      <w:r>
        <w:rPr/>
        <w:t>□适用√不适用</w:t>
      </w:r>
    </w:p>
    <w:p>
      <w:pPr>
        <w:spacing w:after="0" w:line="240" w:lineRule="auto"/>
        <w:jc w:val="both"/>
        <w:sectPr>
          <w:pgSz w:w="11910" w:h="16840"/>
          <w:pgMar w:header="877" w:footer="1195" w:top="1100" w:bottom="1380" w:left="1660" w:right="1140"/>
        </w:sectPr>
      </w:pPr>
    </w:p>
    <w:p>
      <w:pPr>
        <w:spacing w:line="240" w:lineRule="auto" w:before="3"/>
        <w:rPr>
          <w:rFonts w:ascii="宋体" w:hAnsi="宋体" w:cs="宋体" w:eastAsia="宋体" w:hint="default"/>
          <w:sz w:val="26"/>
          <w:szCs w:val="26"/>
        </w:rPr>
      </w:pPr>
    </w:p>
    <w:p>
      <w:pPr>
        <w:pStyle w:val="Heading1"/>
        <w:tabs>
          <w:tab w:pos="4060" w:val="left" w:leader="none"/>
        </w:tabs>
        <w:spacing w:line="240" w:lineRule="auto"/>
        <w:ind w:left="2800" w:right="0"/>
        <w:jc w:val="left"/>
        <w:rPr>
          <w:b w:val="0"/>
          <w:bCs w:val="0"/>
        </w:rPr>
      </w:pPr>
      <w:bookmarkStart w:name="_TOC_250002" w:id="10"/>
      <w:r>
        <w:rPr>
          <w:w w:val="95"/>
        </w:rPr>
        <w:t>第十节</w:t>
        <w:tab/>
      </w:r>
      <w:r>
        <w:rPr/>
        <w:t>公司债券相关情况</w:t>
      </w:r>
      <w:bookmarkEnd w:id="10"/>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pStyle w:val="Heading1"/>
        <w:spacing w:line="240" w:lineRule="auto" w:before="155"/>
        <w:ind w:left="111" w:right="109"/>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660" w:right="1140"/>
        </w:sectPr>
      </w:pPr>
    </w:p>
    <w:p>
      <w:pPr>
        <w:pStyle w:val="Heading2"/>
        <w:spacing w:line="240" w:lineRule="auto" w:before="36"/>
        <w:ind w:left="138" w:right="-10"/>
        <w:jc w:val="left"/>
        <w:rPr>
          <w:b w:val="0"/>
          <w:bCs w:val="0"/>
        </w:rPr>
      </w:pPr>
      <w:r>
        <w:rPr/>
        <w:t>一、审计报告</w:t>
      </w:r>
      <w:r>
        <w:rPr>
          <w:b w:val="0"/>
          <w:bCs w:val="0"/>
        </w:rPr>
      </w:r>
    </w:p>
    <w:p>
      <w:pPr>
        <w:pStyle w:val="BodyText"/>
        <w:spacing w:line="240" w:lineRule="auto" w:before="58"/>
        <w:ind w:left="138" w:right="-10"/>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Heading2"/>
        <w:spacing w:line="240" w:lineRule="auto"/>
        <w:ind w:left="138" w:right="0"/>
        <w:jc w:val="left"/>
        <w:rPr>
          <w:b w:val="0"/>
          <w:bCs w:val="0"/>
        </w:rPr>
      </w:pPr>
      <w:r>
        <w:rPr/>
        <w:t>审计报告</w:t>
      </w:r>
      <w:r>
        <w:rPr>
          <w:b w:val="0"/>
          <w:bCs w:val="0"/>
        </w:rPr>
      </w:r>
    </w:p>
    <w:p>
      <w:pPr>
        <w:spacing w:after="0" w:line="240" w:lineRule="auto"/>
        <w:jc w:val="left"/>
        <w:sectPr>
          <w:type w:val="continuous"/>
          <w:pgSz w:w="11910" w:h="16840"/>
          <w:pgMar w:top="1120" w:bottom="1380" w:left="1660" w:right="1140"/>
          <w:cols w:num="2" w:equalWidth="0">
            <w:col w:w="1612" w:space="2382"/>
            <w:col w:w="5116"/>
          </w:cols>
        </w:sectPr>
      </w:pPr>
    </w:p>
    <w:p>
      <w:pPr>
        <w:spacing w:line="240" w:lineRule="auto" w:before="6"/>
        <w:rPr>
          <w:rFonts w:ascii="宋体" w:hAnsi="宋体" w:cs="宋体" w:eastAsia="宋体" w:hint="default"/>
          <w:b/>
          <w:bCs/>
          <w:sz w:val="15"/>
          <w:szCs w:val="15"/>
        </w:rPr>
      </w:pPr>
    </w:p>
    <w:p>
      <w:pPr>
        <w:pStyle w:val="BodyText"/>
        <w:spacing w:line="240" w:lineRule="auto" w:before="36"/>
        <w:ind w:left="0" w:right="130"/>
        <w:jc w:val="right"/>
      </w:pPr>
      <w:r>
        <w:rPr/>
        <w:t>上会师报字</w:t>
      </w:r>
      <w:r>
        <w:rPr>
          <w:rFonts w:ascii="Times New Roman" w:hAnsi="Times New Roman" w:cs="Times New Roman" w:eastAsia="Times New Roman" w:hint="default"/>
        </w:rPr>
        <w:t>(2018)</w:t>
      </w:r>
      <w:r>
        <w:rPr/>
        <w:t>第</w:t>
      </w:r>
      <w:r>
        <w:rPr>
          <w:spacing w:val="-64"/>
        </w:rPr>
        <w:t> </w:t>
      </w:r>
      <w:r>
        <w:rPr>
          <w:rFonts w:ascii="Times New Roman" w:hAnsi="Times New Roman" w:cs="Times New Roman" w:eastAsia="Times New Roman" w:hint="default"/>
        </w:rPr>
        <w:t>3433</w:t>
      </w:r>
      <w:r>
        <w:rPr>
          <w:rFonts w:ascii="Times New Roman" w:hAnsi="Times New Roman" w:cs="Times New Roman" w:eastAsia="Times New Roman" w:hint="default"/>
          <w:spacing w:val="-12"/>
        </w:rPr>
        <w:t> </w:t>
      </w:r>
      <w:r>
        <w:rPr/>
        <w:t>号</w:t>
      </w:r>
    </w:p>
    <w:p>
      <w:pPr>
        <w:spacing w:line="240" w:lineRule="auto" w:before="6"/>
        <w:rPr>
          <w:rFonts w:ascii="宋体" w:hAnsi="宋体" w:cs="宋体" w:eastAsia="宋体" w:hint="default"/>
          <w:sz w:val="14"/>
          <w:szCs w:val="14"/>
        </w:rPr>
      </w:pPr>
    </w:p>
    <w:p>
      <w:pPr>
        <w:pStyle w:val="Heading2"/>
        <w:spacing w:line="448" w:lineRule="auto" w:before="36"/>
        <w:ind w:left="138" w:right="4942"/>
        <w:jc w:val="left"/>
        <w:rPr>
          <w:b w:val="0"/>
          <w:bCs w:val="0"/>
        </w:rPr>
      </w:pPr>
      <w:r>
        <w:rPr>
          <w:spacing w:val="-1"/>
        </w:rPr>
        <w:t>上海格尔软件股份有限公司全体股东：</w:t>
      </w:r>
      <w:r>
        <w:rPr>
          <w:spacing w:val="-89"/>
        </w:rPr>
        <w:t> </w:t>
      </w:r>
      <w:r>
        <w:rPr>
          <w:spacing w:val="-89"/>
        </w:rPr>
      </w:r>
      <w:r>
        <w:rPr/>
        <w:t>一、审计意见</w:t>
      </w:r>
      <w:r>
        <w:rPr>
          <w:b w:val="0"/>
          <w:bCs w:val="0"/>
        </w:rPr>
      </w:r>
    </w:p>
    <w:p>
      <w:pPr>
        <w:pStyle w:val="BodyText"/>
        <w:spacing w:line="230" w:lineRule="auto" w:before="66"/>
        <w:ind w:left="138" w:right="123"/>
        <w:jc w:val="left"/>
      </w:pPr>
      <w:r>
        <w:rPr>
          <w:spacing w:val="-6"/>
          <w:w w:val="100"/>
        </w:rPr>
        <w:t>我们审计了上海格尔软件股份有限公司（以下简称“格尔软件公司”）财务报表，包括</w:t>
      </w:r>
      <w:r>
        <w:rPr>
          <w:spacing w:val="-44"/>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4"/>
          <w:w w:val="100"/>
        </w:rPr>
        <w:t> </w:t>
      </w:r>
      <w:r>
        <w:rPr>
          <w:w w:val="100"/>
        </w:rPr>
        <w:t>年</w:t>
      </w:r>
      <w:r>
        <w:rPr>
          <w:spacing w:val="-45"/>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50"/>
          <w:w w:val="100"/>
        </w:rPr>
        <w:t> </w:t>
      </w:r>
      <w:r>
        <w:rPr/>
        <w:t>月 </w:t>
      </w:r>
      <w:r>
        <w:rPr>
          <w:rFonts w:ascii="Times New Roman" w:hAnsi="Times New Roman" w:cs="Times New Roman" w:eastAsia="Times New Roman" w:hint="default"/>
        </w:rPr>
        <w:t>31 </w:t>
      </w:r>
      <w:r>
        <w:rPr/>
        <w:t>日的合并及公司资产负债表、</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年度的合并及公司利润表、合并及公司现金流量表、合</w:t>
      </w:r>
      <w:r>
        <w:rPr>
          <w:w w:val="100"/>
        </w:rPr>
        <w:t> </w:t>
      </w:r>
      <w:r>
        <w:rPr/>
        <w:t>并及公司所有者权益变动表以及相关财务报表附注。</w:t>
      </w:r>
      <w:r>
        <w:rPr>
          <w:w w:val="100"/>
        </w:rPr>
        <w:t> </w:t>
      </w:r>
      <w:r>
        <w:rPr>
          <w:spacing w:val="-1"/>
        </w:rPr>
        <w:t>我们认为，后附的财务报表在所有重大方面按照企业会计准则的规定编制，公允反映了格尔软件</w:t>
      </w:r>
      <w:r>
        <w:rPr>
          <w:spacing w:val="-55"/>
        </w:rPr>
        <w:t> </w:t>
      </w:r>
      <w:r>
        <w:rPr>
          <w:spacing w:val="-55"/>
        </w:rPr>
      </w:r>
      <w:r>
        <w:rPr/>
        <w:t>公司</w:t>
      </w:r>
      <w:r>
        <w:rPr>
          <w:spacing w:val="-8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8"/>
        </w:rPr>
        <w:t> </w:t>
      </w:r>
      <w:r>
        <w:rPr/>
        <w:t>年</w:t>
      </w:r>
      <w:r>
        <w:rPr>
          <w:spacing w:val="-78"/>
        </w:rPr>
        <w:t> </w:t>
      </w:r>
      <w:r>
        <w:rPr>
          <w:rFonts w:ascii="Times New Roman" w:hAnsi="Times New Roman" w:cs="Times New Roman" w:eastAsia="Times New Roman" w:hint="default"/>
        </w:rPr>
        <w:t>12</w:t>
      </w:r>
      <w:r>
        <w:rPr>
          <w:rFonts w:ascii="Times New Roman" w:hAnsi="Times New Roman" w:cs="Times New Roman" w:eastAsia="Times New Roman" w:hint="default"/>
          <w:spacing w:val="-28"/>
        </w:rPr>
        <w:t> </w:t>
      </w:r>
      <w:r>
        <w:rPr/>
        <w:t>月</w:t>
      </w:r>
      <w:r>
        <w:rPr>
          <w:spacing w:val="-80"/>
        </w:rPr>
        <w:t> </w:t>
      </w:r>
      <w:r>
        <w:rPr>
          <w:rFonts w:ascii="Times New Roman" w:hAnsi="Times New Roman" w:cs="Times New Roman" w:eastAsia="Times New Roman" w:hint="default"/>
        </w:rPr>
        <w:t>31</w:t>
      </w:r>
      <w:r>
        <w:rPr>
          <w:rFonts w:ascii="Times New Roman" w:hAnsi="Times New Roman" w:cs="Times New Roman" w:eastAsia="Times New Roman" w:hint="default"/>
          <w:spacing w:val="-28"/>
        </w:rPr>
        <w:t> </w:t>
      </w:r>
      <w:r>
        <w:rPr/>
        <w:t>日的合并及公司财务状况以及</w:t>
      </w:r>
      <w:r>
        <w:rPr>
          <w:spacing w:val="-7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8"/>
        </w:rPr>
        <w:t> </w:t>
      </w:r>
      <w:r>
        <w:rPr/>
        <w:t>年度的合并及公司经营成果和现金流量。</w:t>
      </w:r>
    </w:p>
    <w:p>
      <w:pPr>
        <w:spacing w:line="240" w:lineRule="auto" w:before="2"/>
        <w:rPr>
          <w:rFonts w:ascii="宋体" w:hAnsi="宋体" w:cs="宋体" w:eastAsia="宋体" w:hint="default"/>
          <w:sz w:val="17"/>
          <w:szCs w:val="17"/>
        </w:rPr>
      </w:pPr>
    </w:p>
    <w:p>
      <w:pPr>
        <w:pStyle w:val="Heading2"/>
        <w:spacing w:line="240" w:lineRule="auto"/>
        <w:ind w:left="138" w:right="0"/>
        <w:jc w:val="both"/>
        <w:rPr>
          <w:b w:val="0"/>
          <w:bCs w:val="0"/>
        </w:rPr>
      </w:pPr>
      <w:r>
        <w:rPr/>
        <w:t>二、形成审计意见的基础</w:t>
      </w:r>
      <w:r>
        <w:rPr>
          <w:b w:val="0"/>
          <w:bCs w:val="0"/>
        </w:rPr>
      </w:r>
    </w:p>
    <w:p>
      <w:pPr>
        <w:spacing w:line="240" w:lineRule="auto" w:before="6"/>
        <w:rPr>
          <w:rFonts w:ascii="宋体" w:hAnsi="宋体" w:cs="宋体" w:eastAsia="宋体" w:hint="default"/>
          <w:b/>
          <w:bCs/>
          <w:sz w:val="18"/>
          <w:szCs w:val="18"/>
        </w:rPr>
      </w:pPr>
    </w:p>
    <w:p>
      <w:pPr>
        <w:pStyle w:val="BodyText"/>
        <w:spacing w:line="237" w:lineRule="auto"/>
        <w:ind w:left="138" w:right="128"/>
        <w:jc w:val="both"/>
      </w:pPr>
      <w:r>
        <w:rPr>
          <w:spacing w:val="-1"/>
        </w:rPr>
        <w:t>我们按照中国注册会计师审计准则的规定执行了审计工作。审计报告的“注册会计师对财务报表</w:t>
      </w:r>
      <w:r>
        <w:rPr>
          <w:spacing w:val="-54"/>
        </w:rPr>
        <w:t> </w:t>
      </w:r>
      <w:r>
        <w:rPr>
          <w:spacing w:val="-54"/>
        </w:rPr>
      </w:r>
      <w:r>
        <w:rPr>
          <w:spacing w:val="-1"/>
        </w:rPr>
        <w:t>审计的责任”部分进一步阐述了我们在这些准则下的责任。按照中国注册会计师职业道德守则，</w:t>
      </w:r>
      <w:r>
        <w:rPr>
          <w:spacing w:val="-55"/>
        </w:rPr>
        <w:t> </w:t>
      </w:r>
      <w:r>
        <w:rPr>
          <w:spacing w:val="-55"/>
        </w:rPr>
      </w:r>
      <w:r>
        <w:rPr>
          <w:spacing w:val="-1"/>
        </w:rPr>
        <w:t>我们独立于格尔软件公司，并履行了职业道德方面的其他责任。我们相信，我们获取的审计证据</w:t>
      </w:r>
      <w:r>
        <w:rPr>
          <w:spacing w:val="-55"/>
        </w:rPr>
        <w:t> </w:t>
      </w:r>
      <w:r>
        <w:rPr>
          <w:spacing w:val="-55"/>
        </w:rPr>
      </w:r>
      <w:r>
        <w:rPr/>
        <w:t>是充分、适当的，为发表审计意见提供了基础。</w:t>
      </w:r>
    </w:p>
    <w:p>
      <w:pPr>
        <w:spacing w:line="240" w:lineRule="auto" w:before="4"/>
        <w:rPr>
          <w:rFonts w:ascii="宋体" w:hAnsi="宋体" w:cs="宋体" w:eastAsia="宋体" w:hint="default"/>
          <w:sz w:val="18"/>
          <w:szCs w:val="18"/>
        </w:rPr>
      </w:pPr>
    </w:p>
    <w:p>
      <w:pPr>
        <w:pStyle w:val="Heading2"/>
        <w:spacing w:line="240" w:lineRule="auto"/>
        <w:ind w:left="138" w:right="0"/>
        <w:jc w:val="both"/>
        <w:rPr>
          <w:b w:val="0"/>
          <w:bCs w:val="0"/>
        </w:rPr>
      </w:pPr>
      <w:r>
        <w:rPr/>
        <w:t>三、关键审计事项</w:t>
      </w:r>
      <w:r>
        <w:rPr>
          <w:b w:val="0"/>
          <w:bCs w:val="0"/>
        </w:rPr>
      </w:r>
    </w:p>
    <w:p>
      <w:pPr>
        <w:spacing w:line="240" w:lineRule="auto" w:before="6"/>
        <w:rPr>
          <w:rFonts w:ascii="宋体" w:hAnsi="宋体" w:cs="宋体" w:eastAsia="宋体" w:hint="default"/>
          <w:b/>
          <w:bCs/>
          <w:sz w:val="18"/>
          <w:szCs w:val="18"/>
        </w:rPr>
      </w:pPr>
    </w:p>
    <w:p>
      <w:pPr>
        <w:pStyle w:val="BodyText"/>
        <w:spacing w:line="237" w:lineRule="auto"/>
        <w:ind w:left="138" w:right="128"/>
        <w:jc w:val="both"/>
      </w:pPr>
      <w:r>
        <w:rPr>
          <w:spacing w:val="-1"/>
        </w:rPr>
        <w:t>关键审计事项是我们根据职业判断，认为对本期财务报表审计最为重要的事项。这些事项的应对</w:t>
      </w:r>
      <w:r>
        <w:rPr>
          <w:spacing w:val="-55"/>
        </w:rPr>
        <w:t> </w:t>
      </w:r>
      <w:r>
        <w:rPr>
          <w:spacing w:val="-55"/>
        </w:rPr>
      </w:r>
      <w:r>
        <w:rPr>
          <w:spacing w:val="-1"/>
        </w:rPr>
        <w:t>以对财务报表整体进行审计并形成审计意见为背景，我们不对这些事项单独发表意见。我们在审</w:t>
      </w:r>
      <w:r>
        <w:rPr>
          <w:spacing w:val="-55"/>
        </w:rPr>
        <w:t> </w:t>
      </w:r>
      <w:r>
        <w:rPr>
          <w:spacing w:val="-55"/>
        </w:rPr>
      </w:r>
      <w:r>
        <w:rPr/>
        <w:t>计中识别出的关键审计事项如下：</w:t>
      </w:r>
    </w:p>
    <w:p>
      <w:pPr>
        <w:pStyle w:val="BodyText"/>
        <w:spacing w:line="280" w:lineRule="exact"/>
        <w:ind w:left="138" w:right="0"/>
        <w:jc w:val="both"/>
      </w:pPr>
      <w:r>
        <w:rPr>
          <w:rFonts w:ascii="Times New Roman" w:hAnsi="Times New Roman" w:cs="Times New Roman" w:eastAsia="Times New Roman" w:hint="default"/>
        </w:rPr>
        <w:t>1</w:t>
      </w:r>
      <w:r>
        <w:rPr/>
        <w:t>、收入确认</w:t>
      </w:r>
    </w:p>
    <w:p>
      <w:pPr>
        <w:pStyle w:val="BodyText"/>
        <w:spacing w:line="272" w:lineRule="exact"/>
        <w:ind w:left="138" w:right="0"/>
        <w:jc w:val="both"/>
      </w:pPr>
      <w:r>
        <w:rPr>
          <w:rFonts w:ascii="Times New Roman" w:hAnsi="Times New Roman" w:cs="Times New Roman" w:eastAsia="Times New Roman" w:hint="default"/>
        </w:rPr>
        <w:t>(1)  </w:t>
      </w:r>
      <w:r>
        <w:rPr/>
        <w:t>关键审计事项</w:t>
      </w:r>
    </w:p>
    <w:p>
      <w:pPr>
        <w:pStyle w:val="BodyText"/>
        <w:spacing w:line="230" w:lineRule="auto" w:before="1"/>
        <w:ind w:left="138" w:right="127"/>
        <w:jc w:val="both"/>
      </w:pPr>
      <w:r>
        <w:rPr>
          <w:rFonts w:ascii="Times New Roman" w:hAnsi="Times New Roman" w:cs="Times New Roman" w:eastAsia="Times New Roman" w:hint="default"/>
        </w:rPr>
        <w:t>2017 </w:t>
      </w:r>
      <w:r>
        <w:rPr>
          <w:spacing w:val="-4"/>
        </w:rPr>
        <w:t>年度格尔软件公司收入确认的会计政策及账面金额请参阅合并财务报表“附注六、</w:t>
      </w:r>
      <w:r>
        <w:rPr>
          <w:rFonts w:ascii="Times New Roman" w:hAnsi="Times New Roman" w:cs="Times New Roman" w:eastAsia="Times New Roman" w:hint="default"/>
          <w:spacing w:val="-4"/>
        </w:rPr>
        <w:t>26.</w:t>
      </w:r>
      <w:r>
        <w:rPr>
          <w:spacing w:val="-4"/>
        </w:rPr>
        <w:t>营业收</w:t>
      </w:r>
      <w:r>
        <w:rPr>
          <w:spacing w:val="-90"/>
        </w:rPr>
        <w:t> </w:t>
      </w:r>
      <w:r>
        <w:rPr>
          <w:spacing w:val="-90"/>
        </w:rPr>
      </w:r>
      <w:r>
        <w:rPr>
          <w:spacing w:val="-6"/>
          <w:w w:val="100"/>
        </w:rPr>
        <w:t>入、营业成本”。由于收入是格尔软件公司的关键业绩指标之一，因此我们将收入确认识别为关键</w:t>
      </w:r>
      <w:r>
        <w:rPr>
          <w:w w:val="100"/>
        </w:rPr>
        <w:t> </w:t>
      </w:r>
      <w:r>
        <w:rPr/>
        <w:t>审计事项。</w:t>
      </w:r>
    </w:p>
    <w:p>
      <w:pPr>
        <w:spacing w:line="240" w:lineRule="auto" w:before="7"/>
        <w:rPr>
          <w:rFonts w:ascii="宋体" w:hAnsi="宋体" w:cs="宋体" w:eastAsia="宋体" w:hint="default"/>
          <w:sz w:val="20"/>
          <w:szCs w:val="20"/>
        </w:rPr>
      </w:pPr>
    </w:p>
    <w:p>
      <w:pPr>
        <w:pStyle w:val="BodyText"/>
        <w:spacing w:line="272" w:lineRule="exact"/>
        <w:ind w:left="138" w:right="3081"/>
        <w:jc w:val="left"/>
      </w:pPr>
      <w:r>
        <w:rPr>
          <w:rFonts w:ascii="Times New Roman" w:hAnsi="Times New Roman" w:cs="Times New Roman" w:eastAsia="Times New Roman" w:hint="default"/>
        </w:rPr>
        <w:t>(2) </w:t>
      </w:r>
      <w:r>
        <w:rPr/>
        <w:t>审计应对</w:t>
      </w:r>
      <w:r>
        <w:rPr>
          <w:spacing w:val="-104"/>
        </w:rPr>
        <w:t> </w:t>
      </w:r>
      <w:r>
        <w:rPr>
          <w:spacing w:val="-104"/>
        </w:rPr>
      </w:r>
      <w:r>
        <w:rPr>
          <w:spacing w:val="-2"/>
        </w:rPr>
        <w:t>我们针对格尔软件公司收入确认实施的主要审计程序包括：</w:t>
      </w:r>
    </w:p>
    <w:p>
      <w:pPr>
        <w:pStyle w:val="BodyText"/>
        <w:spacing w:line="247" w:lineRule="exact"/>
        <w:ind w:left="138" w:right="0"/>
        <w:jc w:val="both"/>
      </w:pPr>
      <w:r>
        <w:rPr/>
        <w:t>①测试有关收入循环的关键内部控制的设计和执行，以确认内部控制的有效性；</w:t>
      </w:r>
    </w:p>
    <w:p>
      <w:pPr>
        <w:pStyle w:val="BodyText"/>
        <w:spacing w:line="272" w:lineRule="exact"/>
        <w:ind w:left="138" w:right="0"/>
        <w:jc w:val="both"/>
      </w:pPr>
      <w:r>
        <w:rPr/>
        <w:t>②对收入和成本执行分析性复核程序；</w:t>
      </w:r>
    </w:p>
    <w:p>
      <w:pPr>
        <w:pStyle w:val="BodyText"/>
        <w:spacing w:line="272" w:lineRule="exact" w:before="27"/>
        <w:ind w:left="138" w:right="0"/>
        <w:jc w:val="left"/>
      </w:pPr>
      <w:r>
        <w:rPr>
          <w:spacing w:val="-1"/>
        </w:rPr>
        <w:t>③获取格尔软件公司与客户签订的合同，对合同关键条款进行核实，主要包括发货、交付、验收</w:t>
      </w:r>
      <w:r>
        <w:rPr>
          <w:spacing w:val="-55"/>
        </w:rPr>
        <w:t> </w:t>
      </w:r>
      <w:r>
        <w:rPr>
          <w:spacing w:val="-55"/>
        </w:rPr>
      </w:r>
      <w:r>
        <w:rPr/>
        <w:t>以及付款结算安排等；</w:t>
      </w:r>
    </w:p>
    <w:p>
      <w:pPr>
        <w:pStyle w:val="BodyText"/>
        <w:spacing w:line="272" w:lineRule="exact" w:before="1"/>
        <w:ind w:left="138" w:right="0"/>
        <w:jc w:val="left"/>
      </w:pPr>
      <w:r>
        <w:rPr>
          <w:spacing w:val="-1"/>
        </w:rPr>
        <w:t>④检查格尔软件公司与客户签订的合同、货物签收单、项目验收报告、记账凭证、开票记录、回</w:t>
      </w:r>
      <w:r>
        <w:rPr>
          <w:spacing w:val="-55"/>
        </w:rPr>
        <w:t> </w:t>
      </w:r>
      <w:r>
        <w:rPr>
          <w:spacing w:val="-55"/>
        </w:rPr>
      </w:r>
      <w:r>
        <w:rPr/>
        <w:t>款单据等资料；</w:t>
      </w:r>
    </w:p>
    <w:p>
      <w:pPr>
        <w:pStyle w:val="BodyText"/>
        <w:spacing w:line="247" w:lineRule="exact"/>
        <w:ind w:left="138" w:right="0"/>
        <w:jc w:val="both"/>
      </w:pPr>
      <w:r>
        <w:rPr/>
        <w:t>⑤向重要客户实施独立函证程序，函证应收账款及当期销售额；</w:t>
      </w:r>
    </w:p>
    <w:p>
      <w:pPr>
        <w:pStyle w:val="BodyText"/>
        <w:spacing w:line="237" w:lineRule="auto"/>
        <w:ind w:left="138" w:right="0"/>
        <w:jc w:val="left"/>
      </w:pPr>
      <w:r>
        <w:rPr>
          <w:spacing w:val="-1"/>
        </w:rPr>
        <w:t>⑥对资产负债表日前后记录的收入交易，选取样本，检查相关支持性文件，评价收入是否被记录</w:t>
      </w:r>
      <w:r>
        <w:rPr>
          <w:spacing w:val="-55"/>
        </w:rPr>
        <w:t> </w:t>
      </w:r>
      <w:r>
        <w:rPr>
          <w:spacing w:val="-55"/>
        </w:rPr>
      </w:r>
      <w:r>
        <w:rPr/>
        <w:t>于恰当的会计期间。</w:t>
      </w:r>
      <w:r>
        <w:rPr>
          <w:w w:val="100"/>
        </w:rPr>
        <w:t> </w:t>
      </w:r>
      <w:r>
        <w:rPr/>
        <w:t>基于已执行的审计程序，我们认为，格尔软件公司收入确认符合企业会计准则的相关规定。</w:t>
      </w:r>
    </w:p>
    <w:p>
      <w:pPr>
        <w:spacing w:line="240" w:lineRule="auto" w:before="4"/>
        <w:rPr>
          <w:rFonts w:ascii="宋体" w:hAnsi="宋体" w:cs="宋体" w:eastAsia="宋体" w:hint="default"/>
          <w:sz w:val="20"/>
          <w:szCs w:val="20"/>
        </w:rPr>
      </w:pPr>
    </w:p>
    <w:p>
      <w:pPr>
        <w:pStyle w:val="BodyText"/>
        <w:spacing w:line="274" w:lineRule="exact"/>
        <w:ind w:left="138" w:right="6352"/>
        <w:jc w:val="left"/>
      </w:pPr>
      <w:r>
        <w:rPr>
          <w:rFonts w:ascii="Times New Roman" w:hAnsi="Times New Roman" w:cs="Times New Roman" w:eastAsia="Times New Roman" w:hint="default"/>
          <w:spacing w:val="-2"/>
        </w:rPr>
        <w:t>2</w:t>
      </w:r>
      <w:r>
        <w:rPr>
          <w:spacing w:val="-2"/>
        </w:rPr>
        <w:t>、应收账款坏账准备计提</w:t>
      </w:r>
      <w:r>
        <w:rPr>
          <w:spacing w:val="-83"/>
        </w:rPr>
        <w:t> </w:t>
      </w:r>
      <w:r>
        <w:rPr>
          <w:spacing w:val="-83"/>
        </w:rPr>
      </w:r>
      <w:r>
        <w:rPr>
          <w:rFonts w:ascii="Times New Roman" w:hAnsi="Times New Roman" w:cs="Times New Roman" w:eastAsia="Times New Roman" w:hint="default"/>
        </w:rPr>
        <w:t>(1)  </w:t>
      </w:r>
      <w:r>
        <w:rPr/>
        <w:t>关键审计事项</w:t>
      </w:r>
    </w:p>
    <w:p>
      <w:pPr>
        <w:spacing w:after="0" w:line="274" w:lineRule="exact"/>
        <w:jc w:val="left"/>
        <w:sectPr>
          <w:type w:val="continuous"/>
          <w:pgSz w:w="11910" w:h="16840"/>
          <w:pgMar w:top="1120" w:bottom="1380" w:left="1660" w:right="1140"/>
        </w:sectPr>
      </w:pPr>
    </w:p>
    <w:p>
      <w:pPr>
        <w:spacing w:line="240" w:lineRule="auto" w:before="9"/>
        <w:rPr>
          <w:rFonts w:ascii="宋体" w:hAnsi="宋体" w:cs="宋体" w:eastAsia="宋体" w:hint="default"/>
          <w:sz w:val="25"/>
          <w:szCs w:val="25"/>
        </w:rPr>
      </w:pPr>
    </w:p>
    <w:p>
      <w:pPr>
        <w:pStyle w:val="BodyText"/>
        <w:spacing w:line="282" w:lineRule="exact" w:before="36"/>
        <w:ind w:left="138" w:right="227"/>
        <w:jc w:val="left"/>
        <w:rPr>
          <w:rFonts w:ascii="Times New Roman" w:hAnsi="Times New Roman" w:cs="Times New Roman" w:eastAsia="Times New Roman" w:hint="default"/>
        </w:rPr>
      </w:pPr>
      <w:r>
        <w:rPr>
          <w:spacing w:val="-7"/>
        </w:rPr>
        <w:t>参见财务报表“附注七、</w:t>
      </w:r>
      <w:r>
        <w:rPr>
          <w:rFonts w:ascii="Times New Roman" w:hAnsi="Times New Roman" w:cs="Times New Roman" w:eastAsia="Times New Roman" w:hint="default"/>
          <w:spacing w:val="-7"/>
        </w:rPr>
        <w:t>5.</w:t>
      </w:r>
      <w:r>
        <w:rPr>
          <w:spacing w:val="-7"/>
        </w:rPr>
        <w:t>应收账款”所述，截至报告期末，格尔软件公司应收账款余额</w:t>
      </w:r>
      <w:r>
        <w:rPr>
          <w:spacing w:val="16"/>
        </w:rPr>
        <w:t> </w:t>
      </w:r>
      <w:r>
        <w:rPr>
          <w:rFonts w:ascii="Times New Roman" w:hAnsi="Times New Roman" w:cs="Times New Roman" w:eastAsia="Times New Roman" w:hint="default"/>
        </w:rPr>
        <w:t>17,133.81</w:t>
      </w:r>
    </w:p>
    <w:p>
      <w:pPr>
        <w:pStyle w:val="BodyText"/>
        <w:spacing w:line="225" w:lineRule="auto" w:before="6"/>
        <w:ind w:left="138" w:right="308"/>
        <w:jc w:val="both"/>
      </w:pPr>
      <w:r>
        <w:rPr>
          <w:spacing w:val="-4"/>
        </w:rPr>
        <w:t>万元，坏账准备金额</w:t>
      </w:r>
      <w:r>
        <w:rPr>
          <w:spacing w:val="-41"/>
        </w:rPr>
        <w:t> </w:t>
      </w:r>
      <w:r>
        <w:rPr>
          <w:rFonts w:ascii="Times New Roman" w:hAnsi="Times New Roman" w:cs="Times New Roman" w:eastAsia="Times New Roman" w:hint="default"/>
        </w:rPr>
        <w:t>1,144.12</w:t>
      </w:r>
      <w:r>
        <w:rPr>
          <w:rFonts w:ascii="Times New Roman" w:hAnsi="Times New Roman" w:cs="Times New Roman" w:eastAsia="Times New Roman" w:hint="default"/>
          <w:spacing w:val="12"/>
        </w:rPr>
        <w:t> </w:t>
      </w:r>
      <w:r>
        <w:rPr>
          <w:spacing w:val="-6"/>
        </w:rPr>
        <w:t>万元，净额为</w:t>
      </w:r>
      <w:r>
        <w:rPr>
          <w:spacing w:val="-44"/>
        </w:rPr>
        <w:t> </w:t>
      </w:r>
      <w:r>
        <w:rPr>
          <w:rFonts w:ascii="Times New Roman" w:hAnsi="Times New Roman" w:cs="Times New Roman" w:eastAsia="Times New Roman" w:hint="default"/>
        </w:rPr>
        <w:t>15,989.69</w:t>
      </w:r>
      <w:r>
        <w:rPr>
          <w:rFonts w:ascii="Times New Roman" w:hAnsi="Times New Roman" w:cs="Times New Roman" w:eastAsia="Times New Roman" w:hint="default"/>
          <w:spacing w:val="9"/>
        </w:rPr>
        <w:t> </w:t>
      </w:r>
      <w:r>
        <w:rPr>
          <w:spacing w:val="-4"/>
        </w:rPr>
        <w:t>万元，账面价值较高，占合并财务报表资产</w:t>
      </w:r>
      <w:r>
        <w:rPr>
          <w:spacing w:val="-101"/>
        </w:rPr>
        <w:t> </w:t>
      </w:r>
      <w:r>
        <w:rPr>
          <w:spacing w:val="-101"/>
        </w:rPr>
      </w:r>
      <w:r>
        <w:rPr/>
        <w:t>总额的 </w:t>
      </w:r>
      <w:r>
        <w:rPr>
          <w:rFonts w:ascii="Times New Roman" w:hAnsi="Times New Roman" w:cs="Times New Roman" w:eastAsia="Times New Roman" w:hint="default"/>
          <w:spacing w:val="-3"/>
        </w:rPr>
        <w:t>24.19%</w:t>
      </w:r>
      <w:r>
        <w:rPr>
          <w:spacing w:val="-3"/>
        </w:rPr>
        <w:t>。若应收账款不能按期收回或无法收回而发生坏账，对财务报表影响较为重大，为</w:t>
      </w:r>
      <w:r>
        <w:rPr>
          <w:spacing w:val="-97"/>
        </w:rPr>
        <w:t> </w:t>
      </w:r>
      <w:r>
        <w:rPr>
          <w:spacing w:val="-97"/>
        </w:rPr>
      </w:r>
      <w:r>
        <w:rPr/>
        <w:t>此我们把应收账款坏账准备列为关键审计事项。</w:t>
      </w:r>
    </w:p>
    <w:p>
      <w:pPr>
        <w:spacing w:line="240" w:lineRule="auto" w:before="7"/>
        <w:rPr>
          <w:rFonts w:ascii="宋体" w:hAnsi="宋体" w:cs="宋体" w:eastAsia="宋体" w:hint="default"/>
          <w:sz w:val="20"/>
          <w:szCs w:val="20"/>
        </w:rPr>
      </w:pPr>
    </w:p>
    <w:p>
      <w:pPr>
        <w:pStyle w:val="BodyText"/>
        <w:spacing w:line="272" w:lineRule="exact"/>
        <w:ind w:left="138" w:right="1532"/>
        <w:jc w:val="left"/>
      </w:pPr>
      <w:r>
        <w:rPr>
          <w:rFonts w:ascii="Times New Roman" w:hAnsi="Times New Roman" w:cs="Times New Roman" w:eastAsia="Times New Roman" w:hint="default"/>
        </w:rPr>
        <w:t>(2) </w:t>
      </w:r>
      <w:r>
        <w:rPr/>
        <w:t>审计应对</w:t>
      </w:r>
      <w:r>
        <w:rPr>
          <w:spacing w:val="-104"/>
        </w:rPr>
        <w:t> </w:t>
      </w:r>
      <w:r>
        <w:rPr>
          <w:spacing w:val="-104"/>
        </w:rPr>
      </w:r>
      <w:r>
        <w:rPr>
          <w:spacing w:val="-2"/>
        </w:rPr>
        <w:t>我们针对格尔软件公司应收账款坏账准备计提实施的主要审计程序包括：</w:t>
      </w:r>
    </w:p>
    <w:p>
      <w:pPr>
        <w:pStyle w:val="BodyText"/>
        <w:spacing w:line="247" w:lineRule="exact"/>
        <w:ind w:left="138" w:right="65"/>
        <w:jc w:val="left"/>
      </w:pPr>
      <w:r>
        <w:rPr/>
        <w:t>①对格尔软件公司信用政策及应收账款管理相关内部控制的设计和运行有效性进行了评估和测试；</w:t>
      </w:r>
    </w:p>
    <w:p>
      <w:pPr>
        <w:pStyle w:val="BodyText"/>
        <w:spacing w:line="240" w:lineRule="auto"/>
        <w:ind w:left="138" w:right="227"/>
        <w:jc w:val="left"/>
      </w:pPr>
      <w:r>
        <w:rPr>
          <w:spacing w:val="-1"/>
        </w:rPr>
        <w:t>②了解格尔软件公司主要客户的信用政策、所销售产品内容与金额、销售方式及是否为最终用户</w:t>
      </w:r>
      <w:r>
        <w:rPr>
          <w:spacing w:val="-55"/>
        </w:rPr>
        <w:t> </w:t>
      </w:r>
      <w:r>
        <w:rPr>
          <w:spacing w:val="-55"/>
        </w:rPr>
      </w:r>
      <w:r>
        <w:rPr/>
        <w:t>等；</w:t>
      </w:r>
    </w:p>
    <w:p>
      <w:pPr>
        <w:pStyle w:val="BodyText"/>
        <w:spacing w:line="237" w:lineRule="auto"/>
        <w:ind w:left="138" w:right="307"/>
        <w:jc w:val="both"/>
      </w:pPr>
      <w:r>
        <w:rPr>
          <w:spacing w:val="-6"/>
          <w:w w:val="100"/>
        </w:rPr>
        <w:t>③查阅格尔软件公司期末应收账款余额明细表，抽取相关销售单据进行核查，主要包括销售合同、</w:t>
      </w:r>
      <w:r>
        <w:rPr>
          <w:w w:val="100"/>
        </w:rPr>
        <w:t> </w:t>
      </w:r>
      <w:r>
        <w:rPr>
          <w:spacing w:val="-1"/>
        </w:rPr>
        <w:t>产品出库单、客户签收单或验收报告、记账凭证、销货发票、银行进账单等，确认应收账款的真</w:t>
      </w:r>
      <w:r>
        <w:rPr>
          <w:spacing w:val="-55"/>
        </w:rPr>
        <w:t> </w:t>
      </w:r>
      <w:r>
        <w:rPr>
          <w:spacing w:val="-55"/>
        </w:rPr>
      </w:r>
      <w:r>
        <w:rPr/>
        <w:t>实性，并检查应收账款期后回款情况；</w:t>
      </w:r>
    </w:p>
    <w:p>
      <w:pPr>
        <w:pStyle w:val="BodyText"/>
        <w:spacing w:line="237" w:lineRule="auto" w:before="1"/>
        <w:ind w:left="138" w:right="308"/>
        <w:jc w:val="both"/>
      </w:pPr>
      <w:r>
        <w:rPr>
          <w:spacing w:val="-1"/>
        </w:rPr>
        <w:t>④获取并检查与主要客户合同约定的信用政策，并与实际执行的信用政策进行比较分析；检查主</w:t>
      </w:r>
      <w:r>
        <w:rPr>
          <w:spacing w:val="-55"/>
        </w:rPr>
        <w:t> </w:t>
      </w:r>
      <w:r>
        <w:rPr>
          <w:spacing w:val="-55"/>
        </w:rPr>
      </w:r>
      <w:r>
        <w:rPr>
          <w:spacing w:val="-1"/>
        </w:rPr>
        <w:t>要客户付款是否存在逾期情况，了解逾期的原因，并评估交易对方回款能力，评估是否出现减值</w:t>
      </w:r>
      <w:r>
        <w:rPr>
          <w:spacing w:val="-55"/>
        </w:rPr>
        <w:t> </w:t>
      </w:r>
      <w:r>
        <w:rPr>
          <w:spacing w:val="-55"/>
        </w:rPr>
      </w:r>
      <w:r>
        <w:rPr/>
        <w:t>的迹象；</w:t>
      </w:r>
    </w:p>
    <w:p>
      <w:pPr>
        <w:pStyle w:val="BodyText"/>
        <w:spacing w:line="274" w:lineRule="exact" w:before="22"/>
        <w:ind w:left="138" w:right="227"/>
        <w:jc w:val="left"/>
      </w:pPr>
      <w:r>
        <w:rPr>
          <w:spacing w:val="-1"/>
        </w:rPr>
        <w:t>⑤结合销售收入，对应收账款发生额及余额较大的客户进行函证，确认双方是否就应收账款的金</w:t>
      </w:r>
      <w:r>
        <w:rPr>
          <w:spacing w:val="-55"/>
        </w:rPr>
        <w:t> </w:t>
      </w:r>
      <w:r>
        <w:rPr>
          <w:spacing w:val="-55"/>
        </w:rPr>
      </w:r>
      <w:r>
        <w:rPr/>
        <w:t>额等已达成一致意见；</w:t>
      </w:r>
    </w:p>
    <w:p>
      <w:pPr>
        <w:pStyle w:val="BodyText"/>
        <w:spacing w:line="245" w:lineRule="exact"/>
        <w:ind w:left="138" w:right="227"/>
        <w:jc w:val="left"/>
      </w:pPr>
      <w:r>
        <w:rPr/>
        <w:t>⑥获取应收账款账龄分析表和坏账准备计提表，评价按账龄组合计提坏账准备的应收账款的账龄</w:t>
      </w:r>
    </w:p>
    <w:p>
      <w:pPr>
        <w:pStyle w:val="BodyText"/>
        <w:spacing w:line="237" w:lineRule="auto" w:before="2"/>
        <w:ind w:left="138" w:right="227"/>
        <w:jc w:val="left"/>
      </w:pPr>
      <w:r>
        <w:rPr/>
        <w:t>区间划分是否恰当；对照坏账准备计提的会计政策，重新计算坏账计提金额是否准确。</w:t>
      </w:r>
      <w:r>
        <w:rPr>
          <w:w w:val="100"/>
        </w:rPr>
        <w:t> </w:t>
      </w:r>
      <w:r>
        <w:rPr>
          <w:spacing w:val="-1"/>
        </w:rPr>
        <w:t>基于已执行的审计程序，我们认为，格尔软件公司应收账款坏账准备计提充分，符合企业会计准</w:t>
      </w:r>
      <w:r>
        <w:rPr>
          <w:spacing w:val="-55"/>
        </w:rPr>
        <w:t> </w:t>
      </w:r>
      <w:r>
        <w:rPr>
          <w:spacing w:val="-55"/>
        </w:rPr>
      </w:r>
      <w:r>
        <w:rPr/>
        <w:t>则的相关规定。</w:t>
      </w:r>
    </w:p>
    <w:p>
      <w:pPr>
        <w:spacing w:line="240" w:lineRule="auto" w:before="4"/>
        <w:rPr>
          <w:rFonts w:ascii="宋体" w:hAnsi="宋体" w:cs="宋体" w:eastAsia="宋体" w:hint="default"/>
          <w:sz w:val="18"/>
          <w:szCs w:val="18"/>
        </w:rPr>
      </w:pPr>
    </w:p>
    <w:p>
      <w:pPr>
        <w:pStyle w:val="Heading2"/>
        <w:spacing w:line="240" w:lineRule="auto"/>
        <w:ind w:left="138" w:right="2465"/>
        <w:jc w:val="left"/>
        <w:rPr>
          <w:b w:val="0"/>
          <w:bCs w:val="0"/>
        </w:rPr>
      </w:pPr>
      <w:r>
        <w:rPr/>
        <w:t>四、其他信息</w:t>
      </w:r>
      <w:r>
        <w:rPr>
          <w:b w:val="0"/>
          <w:bCs w:val="0"/>
        </w:rPr>
      </w:r>
    </w:p>
    <w:p>
      <w:pPr>
        <w:spacing w:line="240" w:lineRule="auto" w:before="6"/>
        <w:rPr>
          <w:rFonts w:ascii="宋体" w:hAnsi="宋体" w:cs="宋体" w:eastAsia="宋体" w:hint="default"/>
          <w:b/>
          <w:bCs/>
          <w:sz w:val="18"/>
          <w:szCs w:val="18"/>
        </w:rPr>
      </w:pPr>
    </w:p>
    <w:p>
      <w:pPr>
        <w:pStyle w:val="BodyText"/>
        <w:spacing w:line="237" w:lineRule="auto"/>
        <w:ind w:left="138" w:right="65"/>
        <w:jc w:val="left"/>
      </w:pPr>
      <w:r>
        <w:rPr/>
        <w:t>格尔软件公司管理层对其他信息负责。其他信息包括年度报告中涵盖的信息，但不包括财务报表</w:t>
      </w:r>
      <w:r>
        <w:rPr>
          <w:spacing w:val="-97"/>
        </w:rPr>
        <w:t> </w:t>
      </w:r>
      <w:r>
        <w:rPr>
          <w:spacing w:val="-97"/>
        </w:rPr>
      </w:r>
      <w:r>
        <w:rPr/>
        <w:t>和我们的审计报告。</w:t>
      </w:r>
      <w:r>
        <w:rPr>
          <w:w w:val="100"/>
        </w:rPr>
        <w:t> </w:t>
      </w:r>
      <w:r>
        <w:rPr>
          <w:spacing w:val="-4"/>
          <w:w w:val="100"/>
        </w:rPr>
        <w:t>我们对财务报表发表的审计意见不涵盖其他信息，我们也不对其他信息发表任何形式的鉴证结论。</w:t>
      </w:r>
      <w:r>
        <w:rPr>
          <w:spacing w:val="-89"/>
          <w:w w:val="100"/>
        </w:rPr>
        <w:t> </w:t>
      </w:r>
      <w:r>
        <w:rPr>
          <w:spacing w:val="-89"/>
          <w:w w:val="100"/>
        </w:rPr>
      </w:r>
      <w:r>
        <w:rPr/>
        <w:t>结合我们对财务报表的审计，我们的责任是阅读其他信息，在此过程中，考虑其他信息是否与财</w:t>
      </w:r>
      <w:r>
        <w:rPr>
          <w:spacing w:val="-97"/>
        </w:rPr>
        <w:t> </w:t>
      </w:r>
      <w:r>
        <w:rPr>
          <w:spacing w:val="-97"/>
        </w:rPr>
      </w:r>
      <w:r>
        <w:rPr/>
        <w:t>务报表或我们在审计过程中了解到的情况存在重大不一致或者似乎存在重大错报。</w:t>
      </w:r>
      <w:r>
        <w:rPr>
          <w:w w:val="100"/>
        </w:rPr>
        <w:t> </w:t>
      </w:r>
      <w:r>
        <w:rPr>
          <w:spacing w:val="-6"/>
        </w:rPr>
        <w:t>基于我们已执行的工作，如果我们确定其他信息存在重大错报，我们应当报告该事实。在这方面，</w:t>
      </w:r>
      <w:r>
        <w:rPr>
          <w:spacing w:val="-54"/>
        </w:rPr>
        <w:t> </w:t>
      </w:r>
      <w:r>
        <w:rPr>
          <w:spacing w:val="-54"/>
        </w:rPr>
      </w:r>
      <w:r>
        <w:rPr/>
        <w:t>我们无任何事项需要报告。</w:t>
      </w:r>
    </w:p>
    <w:p>
      <w:pPr>
        <w:spacing w:line="240" w:lineRule="auto" w:before="4"/>
        <w:rPr>
          <w:rFonts w:ascii="宋体" w:hAnsi="宋体" w:cs="宋体" w:eastAsia="宋体" w:hint="default"/>
          <w:sz w:val="18"/>
          <w:szCs w:val="18"/>
        </w:rPr>
      </w:pPr>
    </w:p>
    <w:p>
      <w:pPr>
        <w:pStyle w:val="Heading2"/>
        <w:spacing w:line="240" w:lineRule="auto"/>
        <w:ind w:left="138" w:right="2465"/>
        <w:jc w:val="left"/>
        <w:rPr>
          <w:b w:val="0"/>
          <w:bCs w:val="0"/>
        </w:rPr>
      </w:pPr>
      <w:r>
        <w:rPr/>
        <w:t>五、管理层和治理层对财务报表的责任</w:t>
      </w:r>
      <w:r>
        <w:rPr>
          <w:b w:val="0"/>
          <w:bCs w:val="0"/>
        </w:rPr>
      </w:r>
    </w:p>
    <w:p>
      <w:pPr>
        <w:spacing w:line="240" w:lineRule="auto" w:before="6"/>
        <w:rPr>
          <w:rFonts w:ascii="宋体" w:hAnsi="宋体" w:cs="宋体" w:eastAsia="宋体" w:hint="default"/>
          <w:b/>
          <w:bCs/>
          <w:sz w:val="18"/>
          <w:szCs w:val="18"/>
        </w:rPr>
      </w:pPr>
    </w:p>
    <w:p>
      <w:pPr>
        <w:pStyle w:val="BodyText"/>
        <w:spacing w:line="237" w:lineRule="auto"/>
        <w:ind w:left="138" w:right="227"/>
        <w:jc w:val="left"/>
      </w:pPr>
      <w:r>
        <w:rPr>
          <w:spacing w:val="-1"/>
        </w:rPr>
        <w:t>格尔软件公司管理层负责按照企业会计准则的规定编制财务报表，使其实现公允反映，并设计、</w:t>
      </w:r>
      <w:r>
        <w:rPr>
          <w:spacing w:val="-55"/>
        </w:rPr>
        <w:t> </w:t>
      </w:r>
      <w:r>
        <w:rPr>
          <w:spacing w:val="-55"/>
        </w:rPr>
      </w:r>
      <w:r>
        <w:rPr/>
        <w:t>执行和维护必要的内部控制，以使财务报表不存在由于舞弊或错误导致的重大错报。</w:t>
      </w:r>
      <w:r>
        <w:rPr>
          <w:w w:val="100"/>
        </w:rPr>
        <w:t> </w:t>
      </w:r>
      <w:r>
        <w:rPr>
          <w:spacing w:val="-1"/>
        </w:rPr>
        <w:t>在编制财务报表时，管理层负责评估格尔软件公司的持续经营能力，披露与持续经营相关的事项</w:t>
      </w:r>
    </w:p>
    <w:p>
      <w:pPr>
        <w:pStyle w:val="BodyText"/>
        <w:spacing w:line="274" w:lineRule="exact" w:before="22"/>
        <w:ind w:left="138" w:right="304"/>
        <w:jc w:val="left"/>
      </w:pPr>
      <w:r>
        <w:rPr>
          <w:spacing w:val="-6"/>
          <w:w w:val="100"/>
        </w:rPr>
        <w:t>（如适用），并运用持续经营假设，除非管理层计划清算格尔软件公司、终止运营或别无其他现实</w:t>
      </w:r>
      <w:r>
        <w:rPr>
          <w:w w:val="100"/>
        </w:rPr>
        <w:t> </w:t>
      </w:r>
      <w:r>
        <w:rPr/>
        <w:t>的选择。</w:t>
      </w:r>
    </w:p>
    <w:p>
      <w:pPr>
        <w:pStyle w:val="BodyText"/>
        <w:spacing w:line="246" w:lineRule="exact"/>
        <w:ind w:left="138" w:right="2465"/>
        <w:jc w:val="left"/>
      </w:pPr>
      <w:r>
        <w:rPr/>
        <w:t>格尔软件公司治理层负责监督格尔软件公司的财务报告过程。</w:t>
      </w:r>
    </w:p>
    <w:p>
      <w:pPr>
        <w:spacing w:line="240" w:lineRule="auto" w:before="3"/>
        <w:rPr>
          <w:rFonts w:ascii="宋体" w:hAnsi="宋体" w:cs="宋体" w:eastAsia="宋体" w:hint="default"/>
          <w:sz w:val="18"/>
          <w:szCs w:val="18"/>
        </w:rPr>
      </w:pPr>
    </w:p>
    <w:p>
      <w:pPr>
        <w:pStyle w:val="Heading2"/>
        <w:spacing w:line="240" w:lineRule="auto"/>
        <w:ind w:left="138" w:right="2465"/>
        <w:jc w:val="left"/>
        <w:rPr>
          <w:b w:val="0"/>
          <w:bCs w:val="0"/>
        </w:rPr>
      </w:pPr>
      <w:r>
        <w:rPr/>
        <w:t>六、注册会计师对财务报表审计的责任</w:t>
      </w:r>
      <w:r>
        <w:rPr>
          <w:b w:val="0"/>
          <w:bCs w:val="0"/>
        </w:rPr>
      </w:r>
    </w:p>
    <w:p>
      <w:pPr>
        <w:spacing w:line="240" w:lineRule="auto" w:before="6"/>
        <w:rPr>
          <w:rFonts w:ascii="宋体" w:hAnsi="宋体" w:cs="宋体" w:eastAsia="宋体" w:hint="default"/>
          <w:b/>
          <w:bCs/>
          <w:sz w:val="18"/>
          <w:szCs w:val="18"/>
        </w:rPr>
      </w:pPr>
    </w:p>
    <w:p>
      <w:pPr>
        <w:pStyle w:val="BodyText"/>
        <w:spacing w:line="237" w:lineRule="auto"/>
        <w:ind w:left="138" w:right="227"/>
        <w:jc w:val="left"/>
      </w:pPr>
      <w:r>
        <w:rPr>
          <w:spacing w:val="-1"/>
        </w:rPr>
        <w:t>我们的目标是对财务报表整体是否不存在由于舞弊或错误导致的重大错报获取合理保证，并出具</w:t>
      </w:r>
      <w:r>
        <w:rPr>
          <w:spacing w:val="-55"/>
        </w:rPr>
        <w:t> </w:t>
      </w:r>
      <w:r>
        <w:rPr>
          <w:spacing w:val="-55"/>
        </w:rPr>
      </w:r>
      <w:r>
        <w:rPr>
          <w:spacing w:val="-1"/>
        </w:rPr>
        <w:t>包含审计意见的审计报告。合理保证是高水平的保证，但并不能保证按照审计准则执行的审计在</w:t>
      </w:r>
      <w:r>
        <w:rPr>
          <w:spacing w:val="-55"/>
        </w:rPr>
        <w:t> </w:t>
      </w:r>
      <w:r>
        <w:rPr>
          <w:spacing w:val="-55"/>
        </w:rPr>
      </w:r>
      <w:r>
        <w:rPr>
          <w:spacing w:val="-1"/>
        </w:rPr>
        <w:t>某一重大错报存在时总能发现。错报可能由于舞弊或错误导致，如果合理预期错报单独或汇总起</w:t>
      </w:r>
      <w:r>
        <w:rPr>
          <w:spacing w:val="-55"/>
        </w:rPr>
        <w:t> </w:t>
      </w:r>
      <w:r>
        <w:rPr>
          <w:spacing w:val="-55"/>
        </w:rPr>
      </w:r>
      <w:r>
        <w:rPr/>
        <w:t>来可能影响财务报表使用者依据财务报表作出的经济决策，则通常认为错报是重大的。</w:t>
      </w:r>
      <w:r>
        <w:rPr>
          <w:w w:val="100"/>
        </w:rPr>
        <w:t> </w:t>
      </w:r>
      <w:r>
        <w:rPr>
          <w:spacing w:val="-1"/>
        </w:rPr>
        <w:t>在按照审计准则执行审计工作的过程中，我们运用职业判断，并保持职业怀疑。同时，我们也执</w:t>
      </w:r>
      <w:r>
        <w:rPr>
          <w:spacing w:val="-55"/>
        </w:rPr>
        <w:t> </w:t>
      </w:r>
      <w:r>
        <w:rPr>
          <w:spacing w:val="-55"/>
        </w:rPr>
      </w:r>
      <w:r>
        <w:rPr/>
        <w:t>行以下工作：</w:t>
      </w:r>
      <w:r>
        <w:rPr>
          <w:w w:val="100"/>
        </w:rPr>
        <w:t> </w:t>
      </w:r>
      <w:r>
        <w:rPr>
          <w:rFonts w:ascii="Times New Roman" w:hAnsi="Times New Roman" w:cs="Times New Roman" w:eastAsia="Times New Roman" w:hint="default"/>
          <w:spacing w:val="-4"/>
        </w:rPr>
        <w:t>1</w:t>
      </w:r>
      <w:r>
        <w:rPr>
          <w:spacing w:val="-4"/>
        </w:rPr>
        <w:t>、识别和评估由于舞弊或错误导致的财务报表重大错报风险，设计和实施审计程序以应对这些风</w:t>
      </w:r>
    </w:p>
    <w:p>
      <w:pPr>
        <w:spacing w:after="0" w:line="237" w:lineRule="auto"/>
        <w:jc w:val="left"/>
        <w:sectPr>
          <w:pgSz w:w="11910" w:h="16840"/>
          <w:pgMar w:header="877" w:footer="1195" w:top="1100" w:bottom="1380" w:left="1660" w:right="960"/>
        </w:sectPr>
      </w:pPr>
    </w:p>
    <w:p>
      <w:pPr>
        <w:spacing w:line="240" w:lineRule="auto" w:before="9"/>
        <w:rPr>
          <w:rFonts w:ascii="宋体" w:hAnsi="宋体" w:cs="宋体" w:eastAsia="宋体" w:hint="default"/>
          <w:sz w:val="25"/>
          <w:szCs w:val="25"/>
        </w:rPr>
      </w:pPr>
    </w:p>
    <w:p>
      <w:pPr>
        <w:pStyle w:val="BodyText"/>
        <w:spacing w:line="237" w:lineRule="auto" w:before="38"/>
        <w:ind w:right="227"/>
        <w:jc w:val="left"/>
      </w:pPr>
      <w:r>
        <w:rPr>
          <w:spacing w:val="-1"/>
        </w:rPr>
        <w:t>险，并获取充分、适当的审计证据，作为发表审计意见的基础。由于舞弊可能涉及串通、伪造、</w:t>
      </w:r>
      <w:r>
        <w:rPr>
          <w:spacing w:val="-55"/>
        </w:rPr>
        <w:t> </w:t>
      </w:r>
      <w:r>
        <w:rPr>
          <w:spacing w:val="-55"/>
        </w:rPr>
      </w:r>
      <w:r>
        <w:rPr>
          <w:spacing w:val="-1"/>
        </w:rPr>
        <w:t>故意遗漏、虚假陈述或凌驾于内部控制之上，未能发现由于舞弊导致的重大错报的风险高于未能</w:t>
      </w:r>
      <w:r>
        <w:rPr>
          <w:spacing w:val="-55"/>
        </w:rPr>
        <w:t> </w:t>
      </w:r>
      <w:r>
        <w:rPr>
          <w:spacing w:val="-55"/>
        </w:rPr>
      </w:r>
      <w:r>
        <w:rPr/>
        <w:t>发现由于错误导致的重大错报的风险。</w:t>
      </w:r>
      <w:r>
        <w:rPr>
          <w:w w:val="100"/>
        </w:rPr>
        <w:t> </w:t>
      </w:r>
      <w:r>
        <w:rPr>
          <w:rFonts w:ascii="Times New Roman" w:hAnsi="Times New Roman" w:cs="Times New Roman" w:eastAsia="Times New Roman" w:hint="default"/>
        </w:rPr>
        <w:t>2</w:t>
      </w:r>
      <w:r>
        <w:rPr/>
        <w:t>、了解与审计相关的内部控制，以设计恰当的审计程序。</w:t>
      </w:r>
    </w:p>
    <w:p>
      <w:pPr>
        <w:pStyle w:val="BodyText"/>
        <w:spacing w:line="263" w:lineRule="exact"/>
        <w:ind w:right="227"/>
        <w:jc w:val="left"/>
      </w:pP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235" w:lineRule="auto"/>
        <w:ind w:right="227"/>
        <w:jc w:val="left"/>
      </w:pPr>
      <w:r>
        <w:rPr>
          <w:rFonts w:ascii="Times New Roman" w:hAnsi="Times New Roman" w:cs="Times New Roman" w:eastAsia="Times New Roman" w:hint="default"/>
          <w:spacing w:val="-4"/>
        </w:rPr>
        <w:t>4</w:t>
      </w:r>
      <w:r>
        <w:rPr>
          <w:spacing w:val="-4"/>
        </w:rPr>
        <w:t>、对管理层使用持续经营假设的恰当性得出结论。同时，根据获取的审计证据，就可能导致对格</w:t>
      </w:r>
      <w:r>
        <w:rPr>
          <w:spacing w:val="-34"/>
        </w:rPr>
        <w:t> </w:t>
      </w:r>
      <w:r>
        <w:rPr>
          <w:spacing w:val="-34"/>
        </w:rPr>
      </w:r>
      <w:r>
        <w:rPr>
          <w:spacing w:val="-1"/>
        </w:rPr>
        <w:t>尔软件公司持续经营能力产生重大疑虑的事项或情况是否存在重大不确定性得出结论。如果我们</w:t>
      </w:r>
      <w:r>
        <w:rPr>
          <w:spacing w:val="-55"/>
        </w:rPr>
        <w:t> </w:t>
      </w:r>
      <w:r>
        <w:rPr>
          <w:spacing w:val="-55"/>
        </w:rPr>
      </w:r>
      <w:r>
        <w:rPr>
          <w:spacing w:val="-1"/>
        </w:rPr>
        <w:t>得出结论认为存在重大不确定性，审计准则要求我们在审计报告中提请报表使用者注意财务报表</w:t>
      </w:r>
      <w:r>
        <w:rPr>
          <w:spacing w:val="-55"/>
        </w:rPr>
        <w:t> </w:t>
      </w:r>
      <w:r>
        <w:rPr>
          <w:spacing w:val="-55"/>
        </w:rPr>
      </w:r>
      <w:r>
        <w:rPr>
          <w:spacing w:val="-1"/>
        </w:rPr>
        <w:t>中的相关披露；如果披露不充分，我们应当发表非无保留意见。我们的结论基于截至审计报告日</w:t>
      </w:r>
      <w:r>
        <w:rPr>
          <w:spacing w:val="-55"/>
        </w:rPr>
        <w:t> </w:t>
      </w:r>
      <w:r>
        <w:rPr>
          <w:spacing w:val="-55"/>
        </w:rPr>
      </w:r>
      <w:r>
        <w:rPr/>
        <w:t>可获得的信息。然而，未来的事项或情况可能导致格尔软件公司不能持续经营。</w:t>
      </w:r>
      <w:r>
        <w:rPr>
          <w:w w:val="100"/>
        </w:rPr>
        <w:t> </w:t>
      </w:r>
      <w:r>
        <w:rPr>
          <w:rFonts w:ascii="Times New Roman" w:hAnsi="Times New Roman" w:cs="Times New Roman" w:eastAsia="Times New Roman" w:hint="default"/>
          <w:spacing w:val="-2"/>
        </w:rPr>
        <w:t>5</w:t>
      </w:r>
      <w:r>
        <w:rPr>
          <w:spacing w:val="-2"/>
        </w:rPr>
        <w:t>、评价财务报表的总体列报、结构和内容</w:t>
      </w:r>
      <w:r>
        <w:rPr>
          <w:rFonts w:ascii="Times New Roman" w:hAnsi="Times New Roman" w:cs="Times New Roman" w:eastAsia="Times New Roman" w:hint="default"/>
          <w:spacing w:val="-2"/>
        </w:rPr>
        <w:t>(</w:t>
      </w:r>
      <w:r>
        <w:rPr>
          <w:spacing w:val="-2"/>
        </w:rPr>
        <w:t>包括披露</w:t>
      </w:r>
      <w:r>
        <w:rPr>
          <w:rFonts w:ascii="Times New Roman" w:hAnsi="Times New Roman" w:cs="Times New Roman" w:eastAsia="Times New Roman" w:hint="default"/>
          <w:spacing w:val="-2"/>
        </w:rPr>
        <w:t>)</w:t>
      </w:r>
      <w:r>
        <w:rPr>
          <w:spacing w:val="-2"/>
        </w:rPr>
        <w:t>，并评价财务报表是否公允反映相关交易和</w:t>
      </w:r>
      <w:r>
        <w:rPr>
          <w:spacing w:val="-50"/>
        </w:rPr>
        <w:t> </w:t>
      </w:r>
      <w:r>
        <w:rPr>
          <w:spacing w:val="-50"/>
        </w:rPr>
      </w:r>
      <w:r>
        <w:rPr/>
        <w:t>事项。</w:t>
      </w:r>
      <w:r>
        <w:rPr>
          <w:spacing w:val="-102"/>
        </w:rPr>
        <w:t> </w:t>
      </w:r>
      <w:r>
        <w:rPr>
          <w:rFonts w:ascii="Times New Roman" w:hAnsi="Times New Roman" w:cs="Times New Roman" w:eastAsia="Times New Roman" w:hint="default"/>
          <w:spacing w:val="-4"/>
        </w:rPr>
        <w:t>6</w:t>
      </w:r>
      <w:r>
        <w:rPr>
          <w:spacing w:val="-4"/>
        </w:rPr>
        <w:t>、就格尔软件公司中实体或业务活动的财务信息获取充分、适当的审计证据，以对合并财务报表</w:t>
      </w:r>
      <w:r>
        <w:rPr>
          <w:spacing w:val="-35"/>
        </w:rPr>
        <w:t> </w:t>
      </w:r>
      <w:r>
        <w:rPr>
          <w:spacing w:val="-35"/>
        </w:rPr>
      </w:r>
      <w:r>
        <w:rPr/>
        <w:t>发表审计意见。我们负责指导、监督和执行集团审计，并对审计意见承担全部责任。</w:t>
      </w:r>
      <w:r>
        <w:rPr>
          <w:w w:val="100"/>
        </w:rPr>
        <w:t> </w:t>
      </w:r>
      <w:r>
        <w:rPr>
          <w:spacing w:val="-1"/>
        </w:rPr>
        <w:t>我们与治理层就计划的审计范围、时间安排和重大审计发现等事项进行沟通，包括沟通我们在审</w:t>
      </w:r>
      <w:r>
        <w:rPr>
          <w:spacing w:val="-55"/>
        </w:rPr>
        <w:t> </w:t>
      </w:r>
      <w:r>
        <w:rPr>
          <w:spacing w:val="-55"/>
        </w:rPr>
      </w:r>
      <w:r>
        <w:rPr/>
        <w:t>计中识别出的值得关注的内部控制缺陷。</w:t>
      </w:r>
      <w:r>
        <w:rPr>
          <w:w w:val="100"/>
        </w:rPr>
        <w:t> </w:t>
      </w:r>
      <w:r>
        <w:rPr>
          <w:spacing w:val="-1"/>
        </w:rPr>
        <w:t>我们还就已遵守与独立性相关的职业道德要求向治理层提供声明，并与治理层沟通可能被合理认</w:t>
      </w:r>
      <w:r>
        <w:rPr>
          <w:spacing w:val="-55"/>
        </w:rPr>
        <w:t> </w:t>
      </w:r>
      <w:r>
        <w:rPr>
          <w:spacing w:val="-55"/>
        </w:rPr>
      </w:r>
      <w:r>
        <w:rPr/>
        <w:t>为影响我们独立性的所有关系和其他事项，以及相关的防范措施。</w:t>
      </w:r>
      <w:r>
        <w:rPr>
          <w:w w:val="100"/>
        </w:rPr>
        <w:t> </w:t>
      </w:r>
      <w:r>
        <w:rPr>
          <w:spacing w:val="-1"/>
        </w:rPr>
        <w:t>从与治理层沟通过的事项中，我们确定哪些事项对本期财务报表审计最为重要，因而构成关键审</w:t>
      </w:r>
      <w:r>
        <w:rPr>
          <w:spacing w:val="-55"/>
        </w:rPr>
        <w:t> </w:t>
      </w:r>
      <w:r>
        <w:rPr>
          <w:spacing w:val="-55"/>
        </w:rPr>
      </w:r>
      <w:r>
        <w:rPr>
          <w:spacing w:val="-1"/>
        </w:rPr>
        <w:t>计事项。我们在审计报告中描述这些事项，除非法律法规禁止公开披露这些事项，或在极少数情</w:t>
      </w:r>
      <w:r>
        <w:rPr>
          <w:spacing w:val="-55"/>
        </w:rPr>
        <w:t> </w:t>
      </w:r>
      <w:r>
        <w:rPr>
          <w:spacing w:val="-55"/>
        </w:rPr>
      </w:r>
      <w:r>
        <w:rPr>
          <w:spacing w:val="-1"/>
        </w:rPr>
        <w:t>形下，如果合理预期在审计报告中沟通某事项造成的负面后果超过在公众利益方面产生的益处，</w:t>
      </w:r>
      <w:r>
        <w:rPr>
          <w:spacing w:val="-55"/>
        </w:rPr>
        <w:t> </w:t>
      </w:r>
      <w:r>
        <w:rPr>
          <w:spacing w:val="-55"/>
        </w:rPr>
      </w:r>
      <w:r>
        <w:rPr/>
        <w:t>我们确定不应在审计报告中沟通该事项。</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tabs>
          <w:tab w:pos="3998" w:val="left" w:leader="none"/>
        </w:tabs>
        <w:spacing w:line="274" w:lineRule="exact"/>
        <w:ind w:right="2465"/>
        <w:jc w:val="left"/>
      </w:pPr>
      <w:r>
        <w:rPr>
          <w:spacing w:val="-2"/>
        </w:rPr>
        <w:t>上会会计师事务所（特殊普通合伙）</w:t>
        <w:tab/>
        <w:t>中国注册会计师：董毅强</w:t>
      </w:r>
    </w:p>
    <w:p>
      <w:pPr>
        <w:pStyle w:val="BodyText"/>
        <w:spacing w:line="274" w:lineRule="exact"/>
        <w:ind w:left="3998" w:right="2465"/>
        <w:jc w:val="left"/>
      </w:pPr>
      <w:r>
        <w:rPr/>
        <w:t>中国注册会计师：张志云</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tabs>
          <w:tab w:pos="6739" w:val="left" w:leader="none"/>
        </w:tabs>
        <w:spacing w:line="240" w:lineRule="auto"/>
        <w:ind w:left="5688" w:right="65"/>
        <w:jc w:val="left"/>
      </w:pPr>
      <w:r>
        <w:rPr>
          <w:spacing w:val="-1"/>
        </w:rPr>
        <w:t>中国上海</w:t>
        <w:tab/>
      </w:r>
      <w:r>
        <w:rPr>
          <w:spacing w:val="-2"/>
        </w:rPr>
        <w:t>二○一八年四月二十七日</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5" w:top="1100" w:bottom="1380" w:left="1580" w:right="1040"/>
        </w:sectPr>
      </w:pPr>
    </w:p>
    <w:p>
      <w:pPr>
        <w:pStyle w:val="Heading2"/>
        <w:spacing w:line="240" w:lineRule="auto" w:before="36"/>
        <w:ind w:right="-14"/>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pStyle w:val="BodyText"/>
        <w:spacing w:line="240" w:lineRule="auto"/>
        <w:ind w:right="-14"/>
        <w:jc w:val="left"/>
      </w:pPr>
      <w:r>
        <w:rPr/>
        <w:t>编制单位</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上海格尔软件股份有限公司</w:t>
      </w:r>
    </w:p>
    <w:p>
      <w:pPr>
        <w:spacing w:line="240" w:lineRule="auto" w:before="3"/>
        <w:rPr>
          <w:rFonts w:ascii="宋体" w:hAnsi="宋体" w:cs="宋体" w:eastAsia="宋体" w:hint="default"/>
          <w:sz w:val="28"/>
          <w:szCs w:val="28"/>
        </w:rPr>
      </w:pPr>
      <w:r>
        <w:rPr/>
        <w:br w:type="column"/>
      </w:r>
      <w:r>
        <w:rPr>
          <w:rFonts w:ascii="宋体"/>
          <w:sz w:val="28"/>
        </w:rPr>
      </w:r>
    </w:p>
    <w:p>
      <w:pPr>
        <w:pStyle w:val="Heading2"/>
        <w:spacing w:line="273" w:lineRule="exact"/>
        <w:ind w:left="94" w:right="110"/>
        <w:jc w:val="center"/>
        <w:rPr>
          <w:b w:val="0"/>
          <w:bCs w:val="0"/>
        </w:rPr>
      </w:pPr>
      <w:r>
        <w:rPr/>
        <w:t>合并资产负债表</w:t>
      </w:r>
      <w:r>
        <w:rPr>
          <w:b w:val="0"/>
          <w:bCs w:val="0"/>
        </w:rPr>
      </w:r>
    </w:p>
    <w:p>
      <w:pPr>
        <w:pStyle w:val="BodyText"/>
        <w:spacing w:line="289" w:lineRule="exact"/>
        <w:ind w:left="-16" w:right="0"/>
        <w:jc w:val="center"/>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4"/>
          <w:szCs w:val="24"/>
        </w:rPr>
      </w:pPr>
    </w:p>
    <w:p>
      <w:pPr>
        <w:pStyle w:val="BodyText"/>
        <w:spacing w:line="240" w:lineRule="auto"/>
        <w:ind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3" w:equalWidth="0">
            <w:col w:w="3745" w:space="40"/>
            <w:col w:w="1720" w:space="1531"/>
            <w:col w:w="2254"/>
          </w:cols>
        </w:sect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83,247,397.70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115,711,417.98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1,360,000.00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2,977,480.00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159,896,943.45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75,137,711.76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12,937,020.75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10,744,929.00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10,147,116.62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10,014,521.72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21,018,565.59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24,364,086.15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244,246,419.02</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532,853,463.13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238,950,146.61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7,200,000.00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7,200,000.00</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30,260,999.59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28,696,471.84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65,759,581.92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63,257,023.40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21,881,364.98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11,321,728.55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1,410,708.48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2,277,225.03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1,769,779.68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1,203,975.83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128,282,434.65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113,956,424.65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661,135,897.78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352,906,571.26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40,597,604.20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8,799,138.10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26,069,113.00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20,384,765.76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37</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21,025.29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12,786,186.27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14,860,926.82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6,335,503.33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4,470,834.63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43</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3,380,000.00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85,788,406.80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51,916,690.60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45</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2,535,000.00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507,849.26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846,345.74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507,849.26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3,381,345.74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86,296,256.06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55,298,036.34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61,000,000.00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45,750,000.00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250,283,925.72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52,762,272.68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28,593,819.24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25,224,788.56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234,501,331.71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173,114,805.30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574,379,076.67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296,851,866.54</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460,565.05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756,668.38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574,839,641.72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297,608,534.92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661,135,897.78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352,906,571.26</w:t>
            </w:r>
          </w:p>
        </w:tc>
      </w:tr>
    </w:tbl>
    <w:p>
      <w:pPr>
        <w:spacing w:line="240" w:lineRule="auto" w:before="9"/>
        <w:rPr>
          <w:rFonts w:ascii="Times New Roman" w:hAnsi="Times New Roman" w:cs="Times New Roman" w:eastAsia="Times New Roman" w:hint="default"/>
          <w:sz w:val="14"/>
          <w:szCs w:val="14"/>
        </w:rPr>
      </w:pPr>
    </w:p>
    <w:p>
      <w:pPr>
        <w:pStyle w:val="BodyText"/>
        <w:spacing w:line="240" w:lineRule="auto" w:before="36"/>
        <w:ind w:right="227"/>
        <w:jc w:val="left"/>
      </w:pPr>
      <w:r>
        <w:rPr/>
        <w:t>法定代表人：孔令钢主管会计工作负责人：顾峰会计机构负责人：宋炜明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1195" w:top="1100" w:bottom="1380" w:left="1580" w:right="1040"/>
        </w:sect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2"/>
          <w:szCs w:val="22"/>
        </w:rPr>
      </w:pPr>
    </w:p>
    <w:p>
      <w:pPr>
        <w:pStyle w:val="BodyText"/>
        <w:spacing w:line="240" w:lineRule="auto"/>
        <w:ind w:right="0"/>
        <w:jc w:val="left"/>
      </w:pPr>
      <w:r>
        <w:rPr>
          <w:spacing w:val="-2"/>
        </w:rPr>
        <w:t>编制单位</w:t>
      </w:r>
      <w:r>
        <w:rPr>
          <w:rFonts w:ascii="Times New Roman" w:hAnsi="Times New Roman" w:cs="Times New Roman" w:eastAsia="Times New Roman" w:hint="default"/>
          <w:spacing w:val="-2"/>
        </w:rPr>
        <w:t>:</w:t>
      </w:r>
      <w:r>
        <w:rPr>
          <w:spacing w:val="-2"/>
        </w:rPr>
        <w:t>上海格尔软件股份有限公司</w:t>
      </w:r>
    </w:p>
    <w:p>
      <w:pPr>
        <w:pStyle w:val="Heading2"/>
        <w:spacing w:line="273" w:lineRule="exact" w:before="36"/>
        <w:ind w:left="109" w:right="-16"/>
        <w:jc w:val="left"/>
        <w:rPr>
          <w:b w:val="0"/>
          <w:bCs w:val="0"/>
        </w:rPr>
      </w:pPr>
      <w:r>
        <w:rPr>
          <w:b w:val="0"/>
          <w:bCs w:val="0"/>
        </w:rPr>
        <w:br w:type="column"/>
      </w:r>
      <w:r>
        <w:rPr/>
        <w:t>母公司资产负债表</w:t>
      </w:r>
      <w:r>
        <w:rPr>
          <w:b w:val="0"/>
          <w:bCs w:val="0"/>
        </w:rPr>
      </w:r>
    </w:p>
    <w:p>
      <w:pPr>
        <w:pStyle w:val="BodyText"/>
        <w:spacing w:line="289" w:lineRule="exact"/>
        <w:ind w:left="87"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3" w:equalWidth="0">
            <w:col w:w="3641" w:space="40"/>
            <w:col w:w="1824" w:space="1531"/>
            <w:col w:w="2254"/>
          </w:cols>
        </w:sect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871" w:right="0"/>
              <w:jc w:val="left"/>
              <w:rPr>
                <w:rFonts w:ascii="Times New Roman" w:hAnsi="Times New Roman" w:cs="Times New Roman" w:eastAsia="Times New Roman" w:hint="default"/>
                <w:sz w:val="21"/>
                <w:szCs w:val="21"/>
              </w:rPr>
            </w:pPr>
            <w:r>
              <w:rPr>
                <w:rFonts w:ascii="Times New Roman"/>
                <w:sz w:val="21"/>
              </w:rPr>
              <w:t>30,709,676.50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912" w:right="0"/>
              <w:jc w:val="left"/>
              <w:rPr>
                <w:rFonts w:ascii="Times New Roman" w:hAnsi="Times New Roman" w:cs="Times New Roman" w:eastAsia="Times New Roman" w:hint="default"/>
                <w:sz w:val="21"/>
                <w:szCs w:val="21"/>
              </w:rPr>
            </w:pPr>
            <w:r>
              <w:rPr>
                <w:rFonts w:ascii="Times New Roman"/>
                <w:sz w:val="21"/>
              </w:rPr>
              <w:t>88,301,803.13</w:t>
            </w:r>
          </w:p>
        </w:tc>
      </w:tr>
    </w:tbl>
    <w:p>
      <w:pPr>
        <w:spacing w:after="0" w:line="235" w:lineRule="exact"/>
        <w:jc w:val="lef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562"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1,360,000.00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2,977,480.00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十七、</w:t>
            </w:r>
            <w:r>
              <w:rPr>
                <w:rFonts w:ascii="Times New Roman" w:hAnsi="Times New Roman" w:cs="Times New Roman" w:eastAsia="Times New Roman" w:hint="default"/>
                <w:sz w:val="21"/>
                <w:szCs w:val="21"/>
              </w:rPr>
              <w:t>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99,135,481.27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67,993,929.32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12,916,489.00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10,744,929.00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十七、</w:t>
            </w:r>
            <w:r>
              <w:rPr>
                <w:rFonts w:ascii="Times New Roman" w:hAnsi="Times New Roman" w:cs="Times New Roman" w:eastAsia="Times New Roman" w:hint="default"/>
                <w:sz w:val="21"/>
                <w:szCs w:val="21"/>
              </w:rPr>
              <w:t>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5,871,677.40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13,380,693.74</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9,691,163.70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21,349,295.84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184,180,000.00</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343,864,487.87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204,748,131.03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十七、</w:t>
            </w:r>
            <w:r>
              <w:rPr>
                <w:rFonts w:ascii="Times New Roman" w:hAnsi="Times New Roman" w:cs="Times New Roman" w:eastAsia="Times New Roman" w:hint="default"/>
                <w:sz w:val="21"/>
                <w:szCs w:val="21"/>
              </w:rPr>
              <w:t>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133,890,540.55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54,425,971.84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63,021,854.85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59,840,970.70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14,488,299.54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6,560,024.88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1,202,409.64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2,169,480.58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1,348,343.30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1,037,968.69</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213,951,447.88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124,034,416.69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557,815,935.75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328,782,547.72</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15,474,802.77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9,875,474.85</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14,230,704.60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15,839,415.60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3,111,630.52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12,916,795.39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2,358,996.73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2,229,524.12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42"/>
          <w:pgSz w:w="11910" w:h="16840"/>
          <w:pgMar w:footer="1195" w:header="877"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3,380,000.00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35,176,134.62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44,241,209.96</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2,535,000.00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507,849.26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846,345.74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507,849.26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3,381,345.74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35,683,983.88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47,622,555.70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61,000,000.00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45,750,000.00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250,511,013.04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52,989,360.00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28,593,819.24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25,224,788.56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182,027,119.59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157,195,843.46</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522,131,951.87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281,159,992.02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557,815,935.75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328,782,547.72</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6"/>
        <w:ind w:right="227"/>
        <w:jc w:val="left"/>
      </w:pPr>
      <w:r>
        <w:rPr/>
        <w:t>法定代表人：孔令钢主管会计工作负责人：顾峰会计机构负责人：宋炜明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43"/>
          <w:pgSz w:w="11910" w:h="16840"/>
          <w:pgMar w:footer="1195" w:header="877" w:top="1100" w:bottom="1380" w:left="1580" w:right="1040"/>
          <w:pgNumType w:start="71"/>
        </w:sectPr>
      </w:pPr>
    </w:p>
    <w:p>
      <w:pPr>
        <w:spacing w:line="240" w:lineRule="auto" w:before="2"/>
        <w:rPr>
          <w:rFonts w:ascii="宋体" w:hAnsi="宋体" w:cs="宋体" w:eastAsia="宋体" w:hint="default"/>
          <w:sz w:val="15"/>
          <w:szCs w:val="15"/>
        </w:rPr>
      </w:pPr>
    </w:p>
    <w:p>
      <w:pPr>
        <w:pStyle w:val="Heading2"/>
        <w:spacing w:line="274" w:lineRule="exact"/>
        <w:ind w:left="0" w:right="233"/>
        <w:jc w:val="right"/>
        <w:rPr>
          <w:b w:val="0"/>
          <w:bCs w:val="0"/>
        </w:rPr>
      </w:pPr>
      <w:r>
        <w:rPr/>
        <w:t>合并利润表</w:t>
      </w:r>
      <w:r>
        <w:rPr>
          <w:b w:val="0"/>
          <w:bCs w:val="0"/>
        </w:rPr>
      </w:r>
    </w:p>
    <w:p>
      <w:pPr>
        <w:pStyle w:val="BodyText"/>
        <w:spacing w:line="290" w:lineRule="exact"/>
        <w:ind w:left="0" w:right="0"/>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67"/>
        <w:ind w:left="1815"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2" w:equalWidth="0">
            <w:col w:w="5399" w:space="40"/>
            <w:col w:w="3851"/>
          </w:cols>
        </w:sect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4"/>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271,653,609.75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232,062,988.83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216"/>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271,653,609.75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232,062,988.83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95"/>
              <w:jc w:val="right"/>
              <w:rPr>
                <w:rFonts w:ascii="宋体" w:hAnsi="宋体" w:cs="宋体" w:eastAsia="宋体" w:hint="default"/>
                <w:sz w:val="21"/>
                <w:szCs w:val="21"/>
              </w:rPr>
            </w:pPr>
            <w:r>
              <w:rPr>
                <w:rFonts w:ascii="宋体" w:hAnsi="宋体" w:cs="宋体" w:eastAsia="宋体" w:hint="default"/>
                <w:spacing w:val="-2"/>
                <w:sz w:val="21"/>
                <w:szCs w:val="21"/>
              </w:rPr>
              <w:t>手续费及佣金收入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214,186,894.76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182,838,494.74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216"/>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108,458,165.97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101,188,592.23</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95"/>
              <w:jc w:val="right"/>
              <w:rPr>
                <w:rFonts w:ascii="宋体" w:hAnsi="宋体" w:cs="宋体" w:eastAsia="宋体" w:hint="default"/>
                <w:sz w:val="21"/>
                <w:szCs w:val="21"/>
              </w:rPr>
            </w:pPr>
            <w:r>
              <w:rPr>
                <w:rFonts w:ascii="宋体" w:hAnsi="宋体" w:cs="宋体" w:eastAsia="宋体" w:hint="default"/>
                <w:spacing w:val="-2"/>
                <w:sz w:val="21"/>
                <w:szCs w:val="21"/>
              </w:rPr>
              <w:t>手续费及佣金支出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3,700,098.98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2,315,505.58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20,471,124.30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15,952,020.64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79,231,634.99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62,338,588.43</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-1,794,560.33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pacing w:val="-1"/>
                <w:sz w:val="21"/>
              </w:rPr>
              <w:t>-140,731.70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4,120,430.85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1,184,519.56</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9,858,599.59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2"/>
                <w:sz w:val="21"/>
              </w:rPr>
              <w:t>5,762,511.08</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5,944,527.75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2"/>
                <w:sz w:val="21"/>
              </w:rPr>
              <w:t>5,022,511.08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8"/>
              <w:jc w:val="lef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31,350.00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362,803.48</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2"/>
                <w:sz w:val="21"/>
              </w:rPr>
              <w:t>67,688,118.06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55,018,355.17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6,191,108.48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2"/>
                <w:sz w:val="21"/>
              </w:rPr>
              <w:t>11,291,233.43</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365,088.75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84,320.18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73,514,137.79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66,225,268.42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3,564,684.03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9,603,931.23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69,949,453.76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56,621,337.19</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一</w:t>
            </w:r>
            <w:r>
              <w:rPr>
                <w:rFonts w:ascii="Times New Roman" w:hAnsi="Times New Roman" w:cs="Times New Roman" w:eastAsia="Times New Roman" w:hint="default"/>
                <w:sz w:val="21"/>
                <w:szCs w:val="21"/>
              </w:rPr>
              <w:t>)</w:t>
            </w:r>
            <w:r>
              <w:rPr>
                <w:rFonts w:ascii="宋体" w:hAnsi="宋体" w:cs="宋体" w:eastAsia="宋体" w:hint="default"/>
                <w:sz w:val="21"/>
                <w:szCs w:val="21"/>
              </w:rPr>
              <w:t>按经营持续性分类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持续经营净利润（净亏损以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69,949,453.76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56,621,337.19</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终止经营净利润（净亏损以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二</w:t>
            </w:r>
            <w:r>
              <w:rPr>
                <w:rFonts w:ascii="Times New Roman" w:hAnsi="Times New Roman" w:cs="Times New Roman" w:eastAsia="Times New Roman" w:hint="default"/>
                <w:sz w:val="21"/>
                <w:szCs w:val="21"/>
              </w:rPr>
              <w:t>)</w:t>
            </w:r>
            <w:r>
              <w:rPr>
                <w:rFonts w:ascii="宋体" w:hAnsi="宋体" w:cs="宋体" w:eastAsia="宋体" w:hint="default"/>
                <w:sz w:val="21"/>
                <w:szCs w:val="21"/>
              </w:rPr>
              <w:t>按所有权归属分类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少数股东损益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-296,103.33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243,893.90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归属于母公司股东的净利润</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70,245,557.09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56,377,443.29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5"/>
                <w:sz w:val="21"/>
                <w:szCs w:val="21"/>
              </w:rPr>
              <w:t>归属母公司所有者的其他综合收益的税</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1.</w:t>
            </w:r>
            <w:r>
              <w:rPr>
                <w:rFonts w:ascii="宋体" w:hAnsi="宋体" w:cs="宋体" w:eastAsia="宋体" w:hint="default"/>
                <w:spacing w:val="10"/>
                <w:sz w:val="21"/>
                <w:szCs w:val="21"/>
              </w:rPr>
              <w:t>重新计量设定受益计划净负债或</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权益法下在被投资单位不能重分</w:t>
            </w:r>
            <w:r>
              <w:rPr>
                <w:rFonts w:ascii="宋体" w:hAnsi="宋体" w:cs="宋体" w:eastAsia="宋体" w:hint="default"/>
                <w:sz w:val="21"/>
                <w:szCs w:val="21"/>
              </w:rPr>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1.</w:t>
            </w:r>
            <w:r>
              <w:rPr>
                <w:rFonts w:ascii="宋体" w:hAnsi="宋体" w:cs="宋体" w:eastAsia="宋体" w:hint="default"/>
                <w:spacing w:val="10"/>
                <w:sz w:val="21"/>
                <w:szCs w:val="21"/>
              </w:rPr>
              <w:t>权益法下在被投资单位以后将重</w:t>
            </w:r>
            <w:r>
              <w:rPr>
                <w:rFonts w:ascii="宋体" w:hAnsi="宋体" w:cs="宋体" w:eastAsia="宋体" w:hint="default"/>
                <w:sz w:val="21"/>
                <w:szCs w:val="21"/>
              </w:rPr>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可供出售金融资产公允价值变动</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3.</w:t>
            </w:r>
            <w:r>
              <w:rPr>
                <w:rFonts w:ascii="宋体" w:hAnsi="宋体" w:cs="宋体" w:eastAsia="宋体" w:hint="default"/>
                <w:spacing w:val="10"/>
                <w:sz w:val="21"/>
                <w:szCs w:val="21"/>
              </w:rPr>
              <w:t>持有至到期投资重分类为可供出</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485"/>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5"/>
                <w:sz w:val="21"/>
                <w:szCs w:val="21"/>
              </w:rPr>
              <w:t>归属于少数股东的其他综合收益的税后</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69,949,453.76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56,621,337.19</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2"/>
                <w:sz w:val="21"/>
                <w:szCs w:val="21"/>
              </w:rPr>
              <w:t>归属于母公司所有者的综合收益总额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70,245,557.09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56,377,443.29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-296,103.33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243,893.90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1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1.26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z w:val="21"/>
              </w:rPr>
              <w:t>1.23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31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1.26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5"/>
              <w:jc w:val="right"/>
              <w:rPr>
                <w:rFonts w:ascii="Times New Roman" w:hAnsi="Times New Roman" w:cs="Times New Roman" w:eastAsia="Times New Roman" w:hint="default"/>
                <w:sz w:val="21"/>
                <w:szCs w:val="21"/>
              </w:rPr>
            </w:pPr>
            <w:r>
              <w:rPr>
                <w:rFonts w:ascii="Times New Roman"/>
                <w:sz w:val="21"/>
              </w:rPr>
              <w:t>1.23</w:t>
            </w:r>
          </w:p>
        </w:tc>
      </w:tr>
    </w:tbl>
    <w:p>
      <w:pPr>
        <w:spacing w:line="240" w:lineRule="auto" w:before="0"/>
        <w:rPr>
          <w:rFonts w:ascii="Times New Roman" w:hAnsi="Times New Roman" w:cs="Times New Roman" w:eastAsia="Times New Roman" w:hint="default"/>
          <w:sz w:val="15"/>
          <w:szCs w:val="15"/>
        </w:rPr>
      </w:pPr>
    </w:p>
    <w:p>
      <w:pPr>
        <w:pStyle w:val="BodyText"/>
        <w:spacing w:line="240" w:lineRule="auto" w:before="36"/>
        <w:ind w:right="2465"/>
        <w:jc w:val="left"/>
      </w:pPr>
      <w:r>
        <w:rPr/>
        <w:t>定代表人：孔令钢主管会计工作负责人：顾峰会计机构负责人：宋炜明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1195" w:top="1100" w:bottom="1380" w:left="1580" w:right="1040"/>
        </w:sectPr>
      </w:pPr>
    </w:p>
    <w:p>
      <w:pPr>
        <w:pStyle w:val="Heading2"/>
        <w:spacing w:line="273" w:lineRule="exact" w:before="36"/>
        <w:ind w:left="0" w:right="129"/>
        <w:jc w:val="right"/>
        <w:rPr>
          <w:b w:val="0"/>
          <w:bCs w:val="0"/>
        </w:rPr>
      </w:pPr>
      <w:r>
        <w:rPr/>
        <w:t>母公司利润表</w:t>
      </w:r>
      <w:r>
        <w:rPr>
          <w:b w:val="0"/>
          <w:bCs w:val="0"/>
        </w:rPr>
      </w:r>
    </w:p>
    <w:p>
      <w:pPr>
        <w:pStyle w:val="BodyText"/>
        <w:spacing w:line="289" w:lineRule="exact"/>
        <w:ind w:left="0" w:right="0"/>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spacing w:line="240" w:lineRule="auto"/>
        <w:ind w:left="1815"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2" w:equalWidth="0">
            <w:col w:w="5399" w:space="40"/>
            <w:col w:w="3851"/>
          </w:cols>
        </w:sect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2"/>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十七、</w:t>
            </w:r>
            <w:r>
              <w:rPr>
                <w:rFonts w:ascii="Times New Roman" w:hAnsi="Times New Roman" w:cs="Times New Roman" w:eastAsia="Times New Roman" w:hint="default"/>
                <w:sz w:val="21"/>
                <w:szCs w:val="21"/>
              </w:rPr>
              <w:t>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140,103,812.45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193,425,922.51</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2"/>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十七、</w:t>
            </w:r>
            <w:r>
              <w:rPr>
                <w:rFonts w:ascii="Times New Roman" w:hAnsi="Times New Roman" w:cs="Times New Roman" w:eastAsia="Times New Roman" w:hint="default"/>
                <w:sz w:val="21"/>
                <w:szCs w:val="21"/>
              </w:rPr>
              <w:t>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71,801,342.63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98,792,896.78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1,907,329.14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1,893,705.30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7,172,832.55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7,363,472.44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44,401,306.84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35,910,432.53</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-1,504,586.56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231,199.04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2,069,164.04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723,537.36</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2"/>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十七、</w:t>
            </w:r>
            <w:r>
              <w:rPr>
                <w:rFonts w:ascii="Times New Roman" w:hAnsi="Times New Roman" w:cs="Times New Roman" w:eastAsia="Times New Roman" w:hint="default"/>
                <w:sz w:val="21"/>
                <w:szCs w:val="21"/>
              </w:rPr>
              <w:t>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17,063,744.03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2"/>
                <w:sz w:val="21"/>
              </w:rPr>
              <w:t>13,022,511.08</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5,944,527.75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2"/>
                <w:sz w:val="21"/>
              </w:rPr>
              <w:t>5,022,511.08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31,350.00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31,320,167.84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61,564,540.14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5,270,408.48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9,936,545.57</w:t>
            </w: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365,072.96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3"/>
              <w:jc w:val="right"/>
              <w:rPr>
                <w:rFonts w:ascii="Times New Roman" w:hAnsi="Times New Roman" w:cs="Times New Roman" w:eastAsia="Times New Roman" w:hint="default"/>
                <w:sz w:val="21"/>
                <w:szCs w:val="21"/>
              </w:rPr>
            </w:pPr>
            <w:r>
              <w:rPr>
                <w:rFonts w:ascii="Times New Roman"/>
                <w:spacing w:val="-1"/>
                <w:sz w:val="21"/>
              </w:rPr>
              <w:t>72,681.95</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36,225,503.36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71,428,403.76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2,535,196.55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8,262,084.34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33,690,306.81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63,166,319.42</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5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一</w:t>
            </w:r>
            <w:r>
              <w:rPr>
                <w:rFonts w:ascii="Times New Roman" w:hAnsi="Times New Roman" w:cs="Times New Roman" w:eastAsia="Times New Roman" w:hint="default"/>
                <w:sz w:val="21"/>
                <w:szCs w:val="21"/>
              </w:rPr>
              <w:t>)</w:t>
            </w:r>
            <w:r>
              <w:rPr>
                <w:rFonts w:ascii="宋体" w:hAnsi="宋体" w:cs="宋体" w:eastAsia="宋体" w:hint="default"/>
                <w:sz w:val="21"/>
                <w:szCs w:val="21"/>
              </w:rPr>
              <w:t>持续经营净利润（净亏损以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w:t>
            </w:r>
          </w:p>
          <w:p>
            <w:pPr>
              <w:pStyle w:val="TableParagraph"/>
              <w:spacing w:line="266" w:lineRule="exact"/>
              <w:ind w:left="8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33,690,306.81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63,166,319.42</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8"/>
              <w:jc w:val="left"/>
              <w:rPr>
                <w:rFonts w:ascii="宋体" w:hAnsi="宋体" w:cs="宋体" w:eastAsia="宋体" w:hint="default"/>
                <w:sz w:val="21"/>
                <w:szCs w:val="21"/>
              </w:rPr>
            </w:pPr>
            <w:r>
              <w:rPr>
                <w:rFonts w:ascii="宋体" w:hAnsi="宋体" w:cs="宋体" w:eastAsia="宋体" w:hint="default"/>
                <w:spacing w:val="-11"/>
                <w:sz w:val="21"/>
                <w:szCs w:val="21"/>
              </w:rPr>
              <w:t>（二）终止经营净利润（净亏损以“－”</w:t>
            </w:r>
          </w:p>
          <w:p>
            <w:pPr>
              <w:pStyle w:val="TableParagraph"/>
              <w:spacing w:line="274" w:lineRule="exact"/>
              <w:ind w:left="8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重新计量设定受益计划净负债或净</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权益法下在被投资单位不能重分类进</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43" w:right="0"/>
              <w:jc w:val="left"/>
              <w:rPr>
                <w:rFonts w:ascii="宋体" w:hAnsi="宋体" w:cs="宋体" w:eastAsia="宋体" w:hint="default"/>
                <w:sz w:val="21"/>
                <w:szCs w:val="21"/>
              </w:rPr>
            </w:pPr>
            <w:r>
              <w:rPr>
                <w:rFonts w:ascii="宋体" w:hAnsi="宋体" w:cs="宋体" w:eastAsia="宋体" w:hint="default"/>
                <w:sz w:val="21"/>
                <w:szCs w:val="21"/>
              </w:rPr>
              <w:t>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权益法下在被投资单位以后将重分</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可供出售金融资产公允价值变动损</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3.</w:t>
            </w:r>
            <w:r>
              <w:rPr>
                <w:rFonts w:ascii="宋体" w:hAnsi="宋体" w:cs="宋体" w:eastAsia="宋体" w:hint="default"/>
                <w:spacing w:val="8"/>
                <w:sz w:val="21"/>
                <w:szCs w:val="21"/>
              </w:rPr>
              <w:t>持有至到期投资重分类为可供出售</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47" w:right="0"/>
              <w:jc w:val="left"/>
              <w:rPr>
                <w:rFonts w:ascii="Times New Roman" w:hAnsi="Times New Roman" w:cs="Times New Roman" w:eastAsia="Times New Roman" w:hint="default"/>
                <w:sz w:val="21"/>
                <w:szCs w:val="21"/>
              </w:rPr>
            </w:pPr>
            <w:r>
              <w:rPr>
                <w:rFonts w:ascii="Times New Roman"/>
                <w:sz w:val="21"/>
              </w:rPr>
              <w:t>33,690,306.81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62" w:right="0"/>
              <w:jc w:val="left"/>
              <w:rPr>
                <w:rFonts w:ascii="Times New Roman" w:hAnsi="Times New Roman" w:cs="Times New Roman" w:eastAsia="Times New Roman" w:hint="default"/>
                <w:sz w:val="21"/>
                <w:szCs w:val="21"/>
              </w:rPr>
            </w:pPr>
            <w:r>
              <w:rPr>
                <w:rFonts w:ascii="Times New Roman"/>
                <w:sz w:val="21"/>
              </w:rPr>
              <w:t>63,166,319.42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5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BodyText"/>
        <w:spacing w:line="240" w:lineRule="auto" w:before="36"/>
        <w:ind w:right="227"/>
        <w:jc w:val="left"/>
      </w:pPr>
      <w:r>
        <w:rPr/>
        <w:t>法定代表人：孔令钢主管会计工作负责人：顾峰会计机构负责人：宋炜明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5" w:top="1100" w:bottom="1380" w:left="1580" w:right="1040"/>
        </w:sectPr>
      </w:pPr>
    </w:p>
    <w:p>
      <w:pPr>
        <w:spacing w:line="240" w:lineRule="auto" w:before="1"/>
        <w:rPr>
          <w:rFonts w:ascii="宋体" w:hAnsi="宋体" w:cs="宋体" w:eastAsia="宋体" w:hint="default"/>
          <w:sz w:val="15"/>
          <w:szCs w:val="15"/>
        </w:rPr>
      </w:pPr>
    </w:p>
    <w:p>
      <w:pPr>
        <w:pStyle w:val="Heading2"/>
        <w:spacing w:line="274" w:lineRule="exact"/>
        <w:ind w:left="0" w:right="22"/>
        <w:jc w:val="right"/>
        <w:rPr>
          <w:b w:val="0"/>
          <w:bCs w:val="0"/>
        </w:rPr>
      </w:pPr>
      <w:r>
        <w:rPr/>
        <w:t>合并现金流量表</w:t>
      </w:r>
      <w:r>
        <w:rPr>
          <w:b w:val="0"/>
          <w:bCs w:val="0"/>
        </w:rPr>
      </w:r>
    </w:p>
    <w:p>
      <w:pPr>
        <w:pStyle w:val="BodyText"/>
        <w:spacing w:line="290" w:lineRule="exact"/>
        <w:ind w:left="0" w:right="0"/>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ind w:left="1512" w:right="0"/>
        <w:jc w:val="left"/>
      </w:pPr>
      <w:r>
        <w:rPr/>
        <w:t>单位：元币种：人民币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9"/>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231,438,743.44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252,314,450.14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362,803.48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1,636,139.16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230"/>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9,891,852.38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4,761,829.41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241,693,399.30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258,712,418.71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95,319,520.00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124,858,268.92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59,935,813.02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46,663,422.27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34,998,999.11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20,800,948.64</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32,252,615.28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24,457,863.14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222,506,947.41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216,780,502.97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19,186,451.89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41,931,915.74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50,180,000.00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7,927,558.83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2,711,000.00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45,000.00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58,107,558.83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2,756,000.00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21,168,382.60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8,929,534.54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294,360,000.00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315,528,382.60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8,929,534.54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-257,420,823.77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-6,173,534.54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231,500,000.00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其中：子公司吸收少数股东投资收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231,500,000.00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5,915,000.00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3,380,000.00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5,674,381.65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4,977,472.63</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其中：子公司支付给少数股东的股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14,354,166.75</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25,943,548.40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8,357,472.63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205,556,451.60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-8,357,472.63</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b/>
                <w:bCs/>
                <w:spacing w:val="2"/>
                <w:sz w:val="21"/>
                <w:szCs w:val="21"/>
              </w:rPr>
              <w:t>四、汇率变动对现金及现金等价物的</w:t>
            </w:r>
            <w:r>
              <w:rPr>
                <w:rFonts w:ascii="宋体" w:hAnsi="宋体" w:cs="宋体" w:eastAsia="宋体" w:hint="default"/>
                <w:spacing w:val="2"/>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-32,677,920.28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27,400,908.57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115,101,927.98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87,701,019.41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82,424,007.70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115,101,927.98</w:t>
            </w:r>
          </w:p>
        </w:tc>
      </w:tr>
    </w:tbl>
    <w:p>
      <w:pPr>
        <w:spacing w:line="240" w:lineRule="auto" w:before="2"/>
        <w:rPr>
          <w:rFonts w:ascii="宋体" w:hAnsi="宋体" w:cs="宋体" w:eastAsia="宋体" w:hint="default"/>
          <w:sz w:val="13"/>
          <w:szCs w:val="13"/>
        </w:rPr>
      </w:pPr>
    </w:p>
    <w:p>
      <w:pPr>
        <w:pStyle w:val="BodyText"/>
        <w:spacing w:line="240" w:lineRule="auto" w:before="36"/>
        <w:ind w:right="227"/>
        <w:jc w:val="left"/>
      </w:pPr>
      <w:r>
        <w:rPr/>
        <w:t>法定代表人：孔令钢主管会计工作负责人：顾峰会计机构负责人：宋炜明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1195" w:top="1100" w:bottom="1380" w:left="1580" w:right="1040"/>
        </w:sectPr>
      </w:pPr>
    </w:p>
    <w:p>
      <w:pPr>
        <w:pStyle w:val="Heading2"/>
        <w:spacing w:line="273" w:lineRule="exact" w:before="36"/>
        <w:ind w:left="0" w:right="0"/>
        <w:jc w:val="right"/>
        <w:rPr>
          <w:b w:val="0"/>
          <w:bCs w:val="0"/>
        </w:rPr>
      </w:pPr>
      <w:r>
        <w:rPr/>
        <w:t>母公司现金流量表</w:t>
      </w:r>
      <w:r>
        <w:rPr>
          <w:b w:val="0"/>
          <w:bCs w:val="0"/>
        </w:rPr>
      </w:r>
    </w:p>
    <w:p>
      <w:pPr>
        <w:pStyle w:val="BodyText"/>
        <w:spacing w:line="289" w:lineRule="exact"/>
        <w:ind w:left="0" w:right="79"/>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3"/>
        <w:rPr>
          <w:rFonts w:ascii="宋体" w:hAnsi="宋体" w:cs="宋体" w:eastAsia="宋体" w:hint="default"/>
          <w:sz w:val="22"/>
          <w:szCs w:val="22"/>
        </w:rPr>
      </w:pPr>
    </w:p>
    <w:p>
      <w:pPr>
        <w:pStyle w:val="BodyText"/>
        <w:spacing w:line="240" w:lineRule="auto"/>
        <w:ind w:left="1733"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2" w:equalWidth="0">
            <w:col w:w="5480" w:space="40"/>
            <w:col w:w="3770"/>
          </w:cols>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125,206,077.04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212,535,439.74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290,451.90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2"/>
                <w:sz w:val="21"/>
              </w:rPr>
              <w:t>11,648,316.02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4,351,679.69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136,854,393.06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217,177,571.33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80,098,004.79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120,271,940.30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19,480,011.54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23,084,831.26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21,041,778.76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16,896,054.24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15,586,835.74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16,190,659.32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136,206,630.83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176,443,485.12</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647,762.23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3"/>
              <w:jc w:val="right"/>
              <w:rPr>
                <w:rFonts w:ascii="Times New Roman" w:hAnsi="Times New Roman" w:cs="Times New Roman" w:eastAsia="Times New Roman" w:hint="default"/>
                <w:sz w:val="21"/>
                <w:szCs w:val="21"/>
              </w:rPr>
            </w:pPr>
            <w:r>
              <w:rPr>
                <w:rFonts w:ascii="Times New Roman"/>
                <w:spacing w:val="-1"/>
                <w:sz w:val="21"/>
              </w:rPr>
              <w:t>40,734,086.21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50,180,000.00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15,132,703.27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9,971,000.00</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45,000.00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65,312,703.27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10,016,000.00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16,936,502.77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497,079.65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234,360,000.00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77,900,040.96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20,000,000.00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329,196,543.73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20,497,079.65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-263,883,840.46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-10,481,079.65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231,500,000.00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231,500,000.00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5,915,000.00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3,380,000.00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分配股利、利润或偿付利息支付的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5,674,381.65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4,977,472.63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14,354,166.75</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25,943,548.40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8,357,472.63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205,556,451.60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pacing w:val="-1"/>
                <w:sz w:val="21"/>
              </w:rPr>
              <w:t>-8,357,472.63</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pacing w:val="2"/>
                <w:sz w:val="21"/>
                <w:szCs w:val="21"/>
              </w:rPr>
              <w:t>四、汇率变动对现金及现金等价物的</w:t>
            </w:r>
            <w:r>
              <w:rPr>
                <w:rFonts w:ascii="宋体" w:hAnsi="宋体" w:cs="宋体" w:eastAsia="宋体" w:hint="default"/>
                <w:spacing w:val="2"/>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-57,679,626.63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21,895,533.93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87,738,313.13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65,842,779.20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30,058,686.50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87,738,313.13</w:t>
            </w:r>
          </w:p>
        </w:tc>
      </w:tr>
    </w:tbl>
    <w:p>
      <w:pPr>
        <w:spacing w:line="240" w:lineRule="auto" w:before="13"/>
        <w:rPr>
          <w:rFonts w:ascii="宋体" w:hAnsi="宋体" w:cs="宋体" w:eastAsia="宋体" w:hint="default"/>
          <w:sz w:val="12"/>
          <w:szCs w:val="12"/>
        </w:rPr>
      </w:pPr>
    </w:p>
    <w:p>
      <w:pPr>
        <w:pStyle w:val="BodyText"/>
        <w:spacing w:line="240" w:lineRule="auto" w:before="36"/>
        <w:ind w:right="227"/>
        <w:jc w:val="left"/>
      </w:pPr>
      <w:r>
        <w:rPr/>
        <w:t>法定代表人：孔令钢主管会计工作负责人：顾峰会计机构负责人：宋炜明</w:t>
      </w:r>
    </w:p>
    <w:p>
      <w:pPr>
        <w:spacing w:after="0" w:line="240" w:lineRule="auto"/>
        <w:jc w:val="left"/>
        <w:sectPr>
          <w:pgSz w:w="11910" w:h="16840"/>
          <w:pgMar w:header="877" w:footer="1195" w:top="1100" w:bottom="1380" w:left="1580" w:right="104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footerReference w:type="default" r:id="rId44"/>
          <w:pgSz w:w="11910" w:h="16840"/>
          <w:pgMar w:footer="1698" w:header="877" w:top="1100" w:bottom="1880" w:left="1660" w:right="1140"/>
          <w:pgNumType w:start="77"/>
        </w:sectPr>
      </w:pPr>
    </w:p>
    <w:p>
      <w:pPr>
        <w:spacing w:line="240" w:lineRule="auto" w:before="11"/>
        <w:rPr>
          <w:rFonts w:ascii="Times New Roman" w:hAnsi="Times New Roman" w:cs="Times New Roman" w:eastAsia="Times New Roman" w:hint="default"/>
          <w:sz w:val="27"/>
          <w:szCs w:val="27"/>
        </w:rPr>
      </w:pPr>
    </w:p>
    <w:p>
      <w:pPr>
        <w:spacing w:after="0" w:line="240" w:lineRule="auto"/>
        <w:rPr>
          <w:rFonts w:ascii="Times New Roman" w:hAnsi="Times New Roman" w:cs="Times New Roman" w:eastAsia="Times New Roman" w:hint="default"/>
          <w:sz w:val="27"/>
          <w:szCs w:val="27"/>
        </w:rPr>
        <w:sectPr>
          <w:headerReference w:type="default" r:id="rId45"/>
          <w:footerReference w:type="default" r:id="rId46"/>
          <w:pgSz w:w="16840" w:h="11910" w:orient="landscape"/>
          <w:pgMar w:header="882" w:footer="1195" w:top="1120" w:bottom="1380" w:left="1360" w:right="1220"/>
          <w:pgNumType w:start="78"/>
        </w:sectPr>
      </w:pPr>
    </w:p>
    <w:p>
      <w:pPr>
        <w:pStyle w:val="Heading2"/>
        <w:spacing w:line="274" w:lineRule="exact" w:before="36"/>
        <w:ind w:left="0" w:right="0"/>
        <w:jc w:val="right"/>
        <w:rPr>
          <w:b w:val="0"/>
          <w:bCs w:val="0"/>
        </w:rPr>
      </w:pPr>
      <w:r>
        <w:rPr>
          <w:spacing w:val="-1"/>
        </w:rPr>
        <w:t>合并所有者权益变动表</w:t>
      </w:r>
      <w:r>
        <w:rPr>
          <w:b w:val="0"/>
          <w:bCs w:val="0"/>
          <w:spacing w:val="-1"/>
        </w:rPr>
      </w:r>
    </w:p>
    <w:p>
      <w:pPr>
        <w:pStyle w:val="BodyText"/>
        <w:spacing w:line="290" w:lineRule="exact"/>
        <w:ind w:left="0" w:right="290"/>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spacing w:line="240" w:lineRule="auto"/>
        <w:ind w:left="0" w:right="215"/>
        <w:jc w:val="right"/>
      </w:pPr>
      <w:r>
        <w:rPr>
          <w:spacing w:val="-1"/>
        </w:rPr>
        <w:t>单位</w:t>
      </w:r>
      <w:r>
        <w:rPr>
          <w:rFonts w:ascii="Times New Roman" w:hAnsi="Times New Roman" w:cs="Times New Roman" w:eastAsia="Times New Roman" w:hint="default"/>
          <w:spacing w:val="-1"/>
        </w:rPr>
        <w:t>:</w:t>
      </w:r>
      <w:r>
        <w:rPr>
          <w:spacing w:val="-1"/>
        </w:rPr>
        <w:t>元币种</w:t>
      </w:r>
      <w:r>
        <w:rPr>
          <w:rFonts w:ascii="Times New Roman" w:hAnsi="Times New Roman" w:cs="Times New Roman" w:eastAsia="Times New Roman" w:hint="default"/>
          <w:spacing w:val="-1"/>
        </w:rPr>
        <w:t>:</w:t>
      </w:r>
      <w:r>
        <w:rPr>
          <w:spacing w:val="-1"/>
        </w:rPr>
        <w:t>人民币</w:t>
      </w:r>
    </w:p>
    <w:p>
      <w:pPr>
        <w:spacing w:after="0" w:line="240" w:lineRule="auto"/>
        <w:jc w:val="right"/>
        <w:sectPr>
          <w:type w:val="continuous"/>
          <w:pgSz w:w="16840" w:h="11910" w:orient="landscape"/>
          <w:pgMar w:top="1120" w:bottom="1380" w:left="1360" w:right="1220"/>
          <w:cols w:num="2" w:equalWidth="0">
            <w:col w:w="8146" w:space="40"/>
            <w:col w:w="6074"/>
          </w:cols>
        </w:sectPr>
      </w:pPr>
    </w:p>
    <w:tbl>
      <w:tblPr>
        <w:tblW w:w="0" w:type="auto"/>
        <w:jc w:val="left"/>
        <w:tblInd w:w="103"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71"/>
        <w:gridCol w:w="874"/>
        <w:gridCol w:w="1102"/>
        <w:gridCol w:w="1095"/>
      </w:tblGrid>
      <w:tr>
        <w:trPr>
          <w:trHeight w:val="250" w:hRule="exact"/>
        </w:trPr>
        <w:tc>
          <w:tcPr>
            <w:tcW w:w="22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73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6"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292" w:type="dxa"/>
            <w:vMerge/>
            <w:tcBorders>
              <w:left w:val="single" w:sz="4" w:space="0" w:color="000000"/>
              <w:right w:val="single" w:sz="4" w:space="0" w:color="000000"/>
            </w:tcBorders>
          </w:tcPr>
          <w:p>
            <w:pPr/>
          </w:p>
        </w:tc>
        <w:tc>
          <w:tcPr>
            <w:tcW w:w="953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57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5"/>
              <w:ind w:left="364" w:right="185"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0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5"/>
              <w:ind w:left="271" w:right="1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2" w:hRule="exact"/>
        </w:trPr>
        <w:tc>
          <w:tcPr>
            <w:tcW w:w="2292" w:type="dxa"/>
            <w:vMerge/>
            <w:tcBorders>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92"/>
              <w:ind w:left="338" w:right="16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92"/>
              <w:ind w:left="341" w:right="101" w:hanging="238"/>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876" w:type="dxa"/>
            <w:vMerge w:val="restart"/>
            <w:tcBorders>
              <w:top w:val="single" w:sz="4" w:space="0" w:color="000000"/>
              <w:left w:val="single" w:sz="4" w:space="0" w:color="000000"/>
              <w:right w:val="single" w:sz="4" w:space="0" w:color="000000"/>
            </w:tcBorders>
          </w:tcPr>
          <w:p>
            <w:pPr>
              <w:pStyle w:val="TableParagraph"/>
              <w:spacing w:line="244" w:lineRule="auto" w:before="92"/>
              <w:ind w:left="163" w:right="161"/>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92"/>
              <w:ind w:left="335" w:right="149"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4" w:type="dxa"/>
            <w:vMerge w:val="restart"/>
            <w:tcBorders>
              <w:top w:val="single" w:sz="4" w:space="0" w:color="000000"/>
              <w:left w:val="single" w:sz="4" w:space="0" w:color="000000"/>
              <w:right w:val="single" w:sz="4" w:space="0" w:color="000000"/>
            </w:tcBorders>
          </w:tcPr>
          <w:p>
            <w:pPr>
              <w:pStyle w:val="TableParagraph"/>
              <w:spacing w:line="244" w:lineRule="auto" w:before="92"/>
              <w:ind w:left="343" w:right="15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92"/>
              <w:ind w:left="160" w:right="15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4" w:type="dxa"/>
            <w:vMerge w:val="restart"/>
            <w:tcBorders>
              <w:top w:val="single" w:sz="4" w:space="0" w:color="000000"/>
              <w:left w:val="single" w:sz="4" w:space="0" w:color="000000"/>
              <w:right w:val="single" w:sz="4" w:space="0" w:color="000000"/>
            </w:tcBorders>
          </w:tcPr>
          <w:p>
            <w:pPr>
              <w:pStyle w:val="TableParagraph"/>
              <w:spacing w:line="244" w:lineRule="auto" w:before="92"/>
              <w:ind w:left="252" w:right="161"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102" w:type="dxa"/>
            <w:vMerge/>
            <w:tcBorders>
              <w:left w:val="single" w:sz="4" w:space="0" w:color="000000"/>
              <w:right w:val="single" w:sz="4" w:space="0" w:color="000000"/>
            </w:tcBorders>
          </w:tcPr>
          <w:p>
            <w:pPr/>
          </w:p>
        </w:tc>
        <w:tc>
          <w:tcPr>
            <w:tcW w:w="1095" w:type="dxa"/>
            <w:vMerge/>
            <w:tcBorders>
              <w:left w:val="single" w:sz="4" w:space="0" w:color="000000"/>
              <w:right w:val="single" w:sz="4" w:space="0" w:color="000000"/>
            </w:tcBorders>
          </w:tcPr>
          <w:p>
            <w:pPr/>
          </w:p>
        </w:tc>
      </w:tr>
      <w:tr>
        <w:trPr>
          <w:trHeight w:val="356" w:hRule="exact"/>
        </w:trPr>
        <w:tc>
          <w:tcPr>
            <w:tcW w:w="229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1102" w:type="dxa"/>
            <w:vMerge/>
            <w:tcBorders>
              <w:left w:val="single" w:sz="4" w:space="0" w:color="000000"/>
              <w:bottom w:val="single" w:sz="4" w:space="0" w:color="000000"/>
              <w:right w:val="single" w:sz="4" w:space="0" w:color="000000"/>
            </w:tcBorders>
          </w:tcPr>
          <w:p>
            <w:pPr/>
          </w:p>
        </w:tc>
        <w:tc>
          <w:tcPr>
            <w:tcW w:w="1095" w:type="dxa"/>
            <w:vMerge/>
            <w:tcBorders>
              <w:left w:val="single" w:sz="4" w:space="0" w:color="000000"/>
              <w:bottom w:val="single" w:sz="4" w:space="0" w:color="000000"/>
              <w:right w:val="single" w:sz="4" w:space="0" w:color="000000"/>
            </w:tcBorders>
          </w:tcPr>
          <w:p>
            <w:pPr/>
          </w:p>
        </w:tc>
      </w:tr>
      <w:tr>
        <w:trPr>
          <w:trHeight w:val="734"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0" w:right="0"/>
              <w:jc w:val="left"/>
              <w:rPr>
                <w:rFonts w:ascii="Times New Roman" w:hAnsi="Times New Roman" w:cs="Times New Roman" w:eastAsia="Times New Roman" w:hint="default"/>
                <w:sz w:val="21"/>
                <w:szCs w:val="21"/>
              </w:rPr>
            </w:pPr>
            <w:r>
              <w:rPr>
                <w:rFonts w:ascii="Times New Roman"/>
                <w:sz w:val="21"/>
              </w:rPr>
              <w:t>45,750,</w:t>
            </w:r>
          </w:p>
          <w:p>
            <w:pPr>
              <w:pStyle w:val="TableParagraph"/>
              <w:spacing w:line="240" w:lineRule="auto" w:before="1"/>
              <w:ind w:left="163" w:right="0"/>
              <w:jc w:val="left"/>
              <w:rPr>
                <w:rFonts w:ascii="Times New Roman" w:hAnsi="Times New Roman" w:cs="Times New Roman" w:eastAsia="Times New Roman" w:hint="default"/>
                <w:sz w:val="21"/>
                <w:szCs w:val="21"/>
              </w:rPr>
            </w:pPr>
            <w:r>
              <w:rPr>
                <w:rFonts w:ascii="Times New Roman"/>
                <w:sz w:val="21"/>
              </w:rPr>
              <w:t>000.00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4" w:right="0"/>
              <w:jc w:val="left"/>
              <w:rPr>
                <w:rFonts w:ascii="Times New Roman" w:hAnsi="Times New Roman" w:cs="Times New Roman" w:eastAsia="Times New Roman" w:hint="default"/>
                <w:sz w:val="21"/>
                <w:szCs w:val="21"/>
              </w:rPr>
            </w:pPr>
            <w:r>
              <w:rPr>
                <w:rFonts w:ascii="Times New Roman"/>
                <w:sz w:val="21"/>
              </w:rPr>
              <w:t>52,762,</w:t>
            </w:r>
          </w:p>
          <w:p>
            <w:pPr>
              <w:pStyle w:val="TableParagraph"/>
              <w:spacing w:line="240" w:lineRule="auto" w:before="1"/>
              <w:ind w:left="177" w:right="0"/>
              <w:jc w:val="left"/>
              <w:rPr>
                <w:rFonts w:ascii="Times New Roman" w:hAnsi="Times New Roman" w:cs="Times New Roman" w:eastAsia="Times New Roman" w:hint="default"/>
                <w:sz w:val="21"/>
                <w:szCs w:val="21"/>
              </w:rPr>
            </w:pPr>
            <w:r>
              <w:rPr>
                <w:rFonts w:ascii="Times New Roman"/>
                <w:sz w:val="21"/>
              </w:rPr>
              <w:t>272.68</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25,224,</w:t>
            </w:r>
          </w:p>
          <w:p>
            <w:pPr>
              <w:pStyle w:val="TableParagraph"/>
              <w:spacing w:line="240" w:lineRule="auto" w:before="1"/>
              <w:ind w:left="182" w:right="0"/>
              <w:jc w:val="left"/>
              <w:rPr>
                <w:rFonts w:ascii="Times New Roman" w:hAnsi="Times New Roman" w:cs="Times New Roman" w:eastAsia="Times New Roman" w:hint="default"/>
                <w:sz w:val="21"/>
                <w:szCs w:val="21"/>
              </w:rPr>
            </w:pPr>
            <w:r>
              <w:rPr>
                <w:rFonts w:ascii="Times New Roman"/>
                <w:sz w:val="21"/>
              </w:rPr>
              <w:t>788.56</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173,11</w:t>
            </w:r>
          </w:p>
          <w:p>
            <w:pPr>
              <w:pStyle w:val="TableParagraph"/>
              <w:spacing w:line="241" w:lineRule="exact" w:before="1"/>
              <w:ind w:right="98"/>
              <w:jc w:val="right"/>
              <w:rPr>
                <w:rFonts w:ascii="Times New Roman" w:hAnsi="Times New Roman" w:cs="Times New Roman" w:eastAsia="Times New Roman" w:hint="default"/>
                <w:sz w:val="21"/>
                <w:szCs w:val="21"/>
              </w:rPr>
            </w:pPr>
            <w:r>
              <w:rPr>
                <w:rFonts w:ascii="Times New Roman"/>
                <w:sz w:val="21"/>
              </w:rPr>
              <w:t>4,805.3</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756,668.3</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1" w:right="0"/>
              <w:jc w:val="left"/>
              <w:rPr>
                <w:rFonts w:ascii="Times New Roman" w:hAnsi="Times New Roman" w:cs="Times New Roman" w:eastAsia="Times New Roman" w:hint="default"/>
                <w:sz w:val="21"/>
                <w:szCs w:val="21"/>
              </w:rPr>
            </w:pPr>
            <w:r>
              <w:rPr>
                <w:rFonts w:ascii="Times New Roman"/>
                <w:sz w:val="21"/>
              </w:rPr>
              <w:t>297,608,5</w:t>
            </w:r>
          </w:p>
          <w:p>
            <w:pPr>
              <w:pStyle w:val="TableParagraph"/>
              <w:spacing w:line="240" w:lineRule="auto" w:before="1"/>
              <w:ind w:left="509" w:right="0"/>
              <w:jc w:val="left"/>
              <w:rPr>
                <w:rFonts w:ascii="Times New Roman" w:hAnsi="Times New Roman" w:cs="Times New Roman" w:eastAsia="Times New Roman" w:hint="default"/>
                <w:sz w:val="21"/>
                <w:szCs w:val="21"/>
              </w:rPr>
            </w:pPr>
            <w:r>
              <w:rPr>
                <w:rFonts w:ascii="Times New Roman"/>
                <w:sz w:val="21"/>
              </w:rPr>
              <w:t>34.92</w:t>
            </w: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10" w:right="0"/>
              <w:jc w:val="left"/>
              <w:rPr>
                <w:rFonts w:ascii="Times New Roman" w:hAnsi="Times New Roman" w:cs="Times New Roman" w:eastAsia="Times New Roman" w:hint="default"/>
                <w:sz w:val="21"/>
                <w:szCs w:val="21"/>
              </w:rPr>
            </w:pPr>
            <w:r>
              <w:rPr>
                <w:rFonts w:ascii="Times New Roman"/>
                <w:sz w:val="21"/>
              </w:rPr>
              <w:t>45,750,</w:t>
            </w:r>
          </w:p>
          <w:p>
            <w:pPr>
              <w:pStyle w:val="TableParagraph"/>
              <w:spacing w:line="241" w:lineRule="exact"/>
              <w:ind w:left="163" w:right="0"/>
              <w:jc w:val="left"/>
              <w:rPr>
                <w:rFonts w:ascii="Times New Roman" w:hAnsi="Times New Roman" w:cs="Times New Roman" w:eastAsia="Times New Roman" w:hint="default"/>
                <w:sz w:val="21"/>
                <w:szCs w:val="21"/>
              </w:rPr>
            </w:pPr>
            <w:r>
              <w:rPr>
                <w:rFonts w:ascii="Times New Roman"/>
                <w:sz w:val="21"/>
              </w:rPr>
              <w:t>000.00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24" w:right="0"/>
              <w:jc w:val="left"/>
              <w:rPr>
                <w:rFonts w:ascii="Times New Roman" w:hAnsi="Times New Roman" w:cs="Times New Roman" w:eastAsia="Times New Roman" w:hint="default"/>
                <w:sz w:val="21"/>
                <w:szCs w:val="21"/>
              </w:rPr>
            </w:pPr>
            <w:r>
              <w:rPr>
                <w:rFonts w:ascii="Times New Roman"/>
                <w:sz w:val="21"/>
              </w:rPr>
              <w:t>52,762,</w:t>
            </w:r>
          </w:p>
          <w:p>
            <w:pPr>
              <w:pStyle w:val="TableParagraph"/>
              <w:spacing w:line="241" w:lineRule="exact"/>
              <w:ind w:left="177" w:right="0"/>
              <w:jc w:val="left"/>
              <w:rPr>
                <w:rFonts w:ascii="Times New Roman" w:hAnsi="Times New Roman" w:cs="Times New Roman" w:eastAsia="Times New Roman" w:hint="default"/>
                <w:sz w:val="21"/>
                <w:szCs w:val="21"/>
              </w:rPr>
            </w:pPr>
            <w:r>
              <w:rPr>
                <w:rFonts w:ascii="Times New Roman"/>
                <w:sz w:val="21"/>
              </w:rPr>
              <w:t>272.68</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29" w:right="0"/>
              <w:jc w:val="left"/>
              <w:rPr>
                <w:rFonts w:ascii="Times New Roman" w:hAnsi="Times New Roman" w:cs="Times New Roman" w:eastAsia="Times New Roman" w:hint="default"/>
                <w:sz w:val="21"/>
                <w:szCs w:val="21"/>
              </w:rPr>
            </w:pPr>
            <w:r>
              <w:rPr>
                <w:rFonts w:ascii="Times New Roman"/>
                <w:sz w:val="21"/>
              </w:rPr>
              <w:t>25,224,</w:t>
            </w:r>
          </w:p>
          <w:p>
            <w:pPr>
              <w:pStyle w:val="TableParagraph"/>
              <w:spacing w:line="241" w:lineRule="exact"/>
              <w:ind w:left="182" w:right="0"/>
              <w:jc w:val="left"/>
              <w:rPr>
                <w:rFonts w:ascii="Times New Roman" w:hAnsi="Times New Roman" w:cs="Times New Roman" w:eastAsia="Times New Roman" w:hint="default"/>
                <w:sz w:val="21"/>
                <w:szCs w:val="21"/>
              </w:rPr>
            </w:pPr>
            <w:r>
              <w:rPr>
                <w:rFonts w:ascii="Times New Roman"/>
                <w:sz w:val="21"/>
              </w:rPr>
              <w:t>788.56</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pacing w:val="-2"/>
                <w:sz w:val="21"/>
              </w:rPr>
              <w:t>173,11</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4,805.3</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pacing w:val="-1"/>
                <w:sz w:val="21"/>
              </w:rPr>
              <w:t>756,668.3</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41" w:right="0"/>
              <w:jc w:val="left"/>
              <w:rPr>
                <w:rFonts w:ascii="Times New Roman" w:hAnsi="Times New Roman" w:cs="Times New Roman" w:eastAsia="Times New Roman" w:hint="default"/>
                <w:sz w:val="21"/>
                <w:szCs w:val="21"/>
              </w:rPr>
            </w:pPr>
            <w:r>
              <w:rPr>
                <w:rFonts w:ascii="Times New Roman"/>
                <w:sz w:val="21"/>
              </w:rPr>
              <w:t>297,608,5</w:t>
            </w:r>
          </w:p>
          <w:p>
            <w:pPr>
              <w:pStyle w:val="TableParagraph"/>
              <w:spacing w:line="241" w:lineRule="exact"/>
              <w:ind w:left="509" w:right="0"/>
              <w:jc w:val="left"/>
              <w:rPr>
                <w:rFonts w:ascii="Times New Roman" w:hAnsi="Times New Roman" w:cs="Times New Roman" w:eastAsia="Times New Roman" w:hint="default"/>
                <w:sz w:val="21"/>
                <w:szCs w:val="21"/>
              </w:rPr>
            </w:pPr>
            <w:r>
              <w:rPr>
                <w:rFonts w:ascii="Times New Roman"/>
                <w:sz w:val="21"/>
              </w:rPr>
              <w:t>34.92</w:t>
            </w:r>
          </w:p>
        </w:tc>
      </w:tr>
      <w:tr>
        <w:trPr>
          <w:trHeight w:val="73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三、本期增减变动金额（减</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0" w:right="0"/>
              <w:jc w:val="left"/>
              <w:rPr>
                <w:rFonts w:ascii="Times New Roman" w:hAnsi="Times New Roman" w:cs="Times New Roman" w:eastAsia="Times New Roman" w:hint="default"/>
                <w:sz w:val="21"/>
                <w:szCs w:val="21"/>
              </w:rPr>
            </w:pPr>
            <w:r>
              <w:rPr>
                <w:rFonts w:ascii="Times New Roman"/>
                <w:sz w:val="21"/>
              </w:rPr>
              <w:t>15,250,</w:t>
            </w:r>
          </w:p>
          <w:p>
            <w:pPr>
              <w:pStyle w:val="TableParagraph"/>
              <w:spacing w:line="241" w:lineRule="exact"/>
              <w:ind w:left="163" w:right="0"/>
              <w:jc w:val="left"/>
              <w:rPr>
                <w:rFonts w:ascii="Times New Roman" w:hAnsi="Times New Roman" w:cs="Times New Roman" w:eastAsia="Times New Roman" w:hint="default"/>
                <w:sz w:val="21"/>
                <w:szCs w:val="21"/>
              </w:rPr>
            </w:pPr>
            <w:r>
              <w:rPr>
                <w:rFonts w:ascii="Times New Roman"/>
                <w:sz w:val="21"/>
              </w:rPr>
              <w:t>000.00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197,52</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1,653.0</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w w:val="100"/>
                <w:sz w:val="21"/>
              </w:rPr>
              <w:t>4</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8" w:right="0"/>
              <w:jc w:val="center"/>
              <w:rPr>
                <w:rFonts w:ascii="Times New Roman" w:hAnsi="Times New Roman" w:cs="Times New Roman" w:eastAsia="Times New Roman" w:hint="default"/>
                <w:sz w:val="21"/>
                <w:szCs w:val="21"/>
              </w:rPr>
            </w:pPr>
            <w:r>
              <w:rPr>
                <w:rFonts w:ascii="Times New Roman"/>
                <w:sz w:val="21"/>
              </w:rPr>
              <w:t>3,369,0</w:t>
            </w:r>
          </w:p>
          <w:p>
            <w:pPr>
              <w:pStyle w:val="TableParagraph"/>
              <w:spacing w:line="241" w:lineRule="exact"/>
              <w:ind w:left="186" w:right="0"/>
              <w:jc w:val="center"/>
              <w:rPr>
                <w:rFonts w:ascii="Times New Roman" w:hAnsi="Times New Roman" w:cs="Times New Roman" w:eastAsia="Times New Roman" w:hint="default"/>
                <w:sz w:val="21"/>
                <w:szCs w:val="21"/>
              </w:rPr>
            </w:pPr>
            <w:r>
              <w:rPr>
                <w:rFonts w:ascii="Times New Roman"/>
                <w:sz w:val="21"/>
              </w:rPr>
              <w:t>30.68</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61,386,</w:t>
            </w:r>
          </w:p>
          <w:p>
            <w:pPr>
              <w:pStyle w:val="TableParagraph"/>
              <w:spacing w:line="241" w:lineRule="exact"/>
              <w:ind w:left="182" w:right="0"/>
              <w:jc w:val="left"/>
              <w:rPr>
                <w:rFonts w:ascii="Times New Roman" w:hAnsi="Times New Roman" w:cs="Times New Roman" w:eastAsia="Times New Roman" w:hint="default"/>
                <w:sz w:val="21"/>
                <w:szCs w:val="21"/>
              </w:rPr>
            </w:pPr>
            <w:r>
              <w:rPr>
                <w:rFonts w:ascii="Times New Roman"/>
                <w:sz w:val="21"/>
              </w:rPr>
              <w:t>526.41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-296,103.</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33</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1" w:right="0"/>
              <w:jc w:val="left"/>
              <w:rPr>
                <w:rFonts w:ascii="Times New Roman" w:hAnsi="Times New Roman" w:cs="Times New Roman" w:eastAsia="Times New Roman" w:hint="default"/>
                <w:sz w:val="21"/>
                <w:szCs w:val="21"/>
              </w:rPr>
            </w:pPr>
            <w:r>
              <w:rPr>
                <w:rFonts w:ascii="Times New Roman"/>
                <w:sz w:val="21"/>
              </w:rPr>
              <w:t>277,231,1</w:t>
            </w:r>
          </w:p>
          <w:p>
            <w:pPr>
              <w:pStyle w:val="TableParagraph"/>
              <w:spacing w:line="241" w:lineRule="exact"/>
              <w:ind w:left="509" w:right="0"/>
              <w:jc w:val="left"/>
              <w:rPr>
                <w:rFonts w:ascii="Times New Roman" w:hAnsi="Times New Roman" w:cs="Times New Roman" w:eastAsia="Times New Roman" w:hint="default"/>
                <w:sz w:val="21"/>
                <w:szCs w:val="21"/>
              </w:rPr>
            </w:pPr>
            <w:r>
              <w:rPr>
                <w:rFonts w:ascii="Times New Roman"/>
                <w:sz w:val="21"/>
              </w:rPr>
              <w:t>06.80</w:t>
            </w:r>
          </w:p>
        </w:tc>
      </w:tr>
      <w:tr>
        <w:trPr>
          <w:trHeight w:val="49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29" w:right="0"/>
              <w:jc w:val="left"/>
              <w:rPr>
                <w:rFonts w:ascii="Times New Roman" w:hAnsi="Times New Roman" w:cs="Times New Roman" w:eastAsia="Times New Roman" w:hint="default"/>
                <w:sz w:val="21"/>
                <w:szCs w:val="21"/>
              </w:rPr>
            </w:pPr>
            <w:r>
              <w:rPr>
                <w:rFonts w:ascii="Times New Roman"/>
                <w:sz w:val="21"/>
              </w:rPr>
              <w:t>70,245,</w:t>
            </w:r>
          </w:p>
          <w:p>
            <w:pPr>
              <w:pStyle w:val="TableParagraph"/>
              <w:spacing w:line="241" w:lineRule="exact"/>
              <w:ind w:left="182" w:right="0"/>
              <w:jc w:val="left"/>
              <w:rPr>
                <w:rFonts w:ascii="Times New Roman" w:hAnsi="Times New Roman" w:cs="Times New Roman" w:eastAsia="Times New Roman" w:hint="default"/>
                <w:sz w:val="21"/>
                <w:szCs w:val="21"/>
              </w:rPr>
            </w:pPr>
            <w:r>
              <w:rPr>
                <w:rFonts w:ascii="Times New Roman"/>
                <w:sz w:val="21"/>
              </w:rPr>
              <w:t>557.09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pacing w:val="-1"/>
                <w:sz w:val="21"/>
              </w:rPr>
              <w:t>-296,103.</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33</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41" w:right="0"/>
              <w:jc w:val="left"/>
              <w:rPr>
                <w:rFonts w:ascii="Times New Roman" w:hAnsi="Times New Roman" w:cs="Times New Roman" w:eastAsia="Times New Roman" w:hint="default"/>
                <w:sz w:val="21"/>
                <w:szCs w:val="21"/>
              </w:rPr>
            </w:pPr>
            <w:r>
              <w:rPr>
                <w:rFonts w:ascii="Times New Roman"/>
                <w:sz w:val="21"/>
              </w:rPr>
              <w:t>69,949,45</w:t>
            </w:r>
          </w:p>
          <w:p>
            <w:pPr>
              <w:pStyle w:val="TableParagraph"/>
              <w:spacing w:line="241" w:lineRule="exact"/>
              <w:ind w:left="614" w:right="0"/>
              <w:jc w:val="left"/>
              <w:rPr>
                <w:rFonts w:ascii="Times New Roman" w:hAnsi="Times New Roman" w:cs="Times New Roman" w:eastAsia="Times New Roman" w:hint="default"/>
                <w:sz w:val="21"/>
                <w:szCs w:val="21"/>
              </w:rPr>
            </w:pPr>
            <w:r>
              <w:rPr>
                <w:rFonts w:ascii="Times New Roman"/>
                <w:sz w:val="21"/>
              </w:rPr>
              <w:t>3.76</w:t>
            </w:r>
          </w:p>
        </w:tc>
      </w:tr>
      <w:tr>
        <w:trPr>
          <w:trHeight w:val="734"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5"/>
                <w:sz w:val="18"/>
                <w:szCs w:val="18"/>
              </w:rPr>
              <w:t>）</w:t>
            </w:r>
            <w:r>
              <w:rPr>
                <w:rFonts w:ascii="宋体" w:hAnsi="宋体" w:cs="宋体" w:eastAsia="宋体" w:hint="default"/>
                <w:sz w:val="18"/>
                <w:szCs w:val="18"/>
              </w:rPr>
              <w:t>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0" w:right="0"/>
              <w:jc w:val="left"/>
              <w:rPr>
                <w:rFonts w:ascii="Times New Roman" w:hAnsi="Times New Roman" w:cs="Times New Roman" w:eastAsia="Times New Roman" w:hint="default"/>
                <w:sz w:val="21"/>
                <w:szCs w:val="21"/>
              </w:rPr>
            </w:pPr>
            <w:r>
              <w:rPr>
                <w:rFonts w:ascii="Times New Roman"/>
                <w:sz w:val="21"/>
              </w:rPr>
              <w:t>15,250,</w:t>
            </w:r>
          </w:p>
          <w:p>
            <w:pPr>
              <w:pStyle w:val="TableParagraph"/>
              <w:spacing w:line="240" w:lineRule="auto" w:before="1"/>
              <w:ind w:left="163" w:right="0"/>
              <w:jc w:val="left"/>
              <w:rPr>
                <w:rFonts w:ascii="Times New Roman" w:hAnsi="Times New Roman" w:cs="Times New Roman" w:eastAsia="Times New Roman" w:hint="default"/>
                <w:sz w:val="21"/>
                <w:szCs w:val="21"/>
              </w:rPr>
            </w:pPr>
            <w:r>
              <w:rPr>
                <w:rFonts w:ascii="Times New Roman"/>
                <w:sz w:val="21"/>
              </w:rPr>
              <w:t>000.00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197,52</w:t>
            </w:r>
          </w:p>
          <w:p>
            <w:pPr>
              <w:pStyle w:val="TableParagraph"/>
              <w:spacing w:line="241" w:lineRule="exact" w:before="1"/>
              <w:ind w:right="101"/>
              <w:jc w:val="right"/>
              <w:rPr>
                <w:rFonts w:ascii="Times New Roman" w:hAnsi="Times New Roman" w:cs="Times New Roman" w:eastAsia="Times New Roman" w:hint="default"/>
                <w:sz w:val="21"/>
                <w:szCs w:val="21"/>
              </w:rPr>
            </w:pPr>
            <w:r>
              <w:rPr>
                <w:rFonts w:ascii="Times New Roman"/>
                <w:sz w:val="21"/>
              </w:rPr>
              <w:t>1,653.0</w:t>
            </w:r>
          </w:p>
          <w:p>
            <w:pPr>
              <w:pStyle w:val="TableParagraph"/>
              <w:spacing w:line="241" w:lineRule="exact"/>
              <w:ind w:right="103"/>
              <w:jc w:val="right"/>
              <w:rPr>
                <w:rFonts w:ascii="Times New Roman" w:hAnsi="Times New Roman" w:cs="Times New Roman" w:eastAsia="Times New Roman" w:hint="default"/>
                <w:sz w:val="21"/>
                <w:szCs w:val="21"/>
              </w:rPr>
            </w:pPr>
            <w:r>
              <w:rPr>
                <w:rFonts w:ascii="Times New Roman"/>
                <w:w w:val="100"/>
                <w:sz w:val="21"/>
              </w:rPr>
              <w:t>4</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32" w:right="0"/>
              <w:jc w:val="lef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1" w:right="0"/>
              <w:jc w:val="left"/>
              <w:rPr>
                <w:rFonts w:ascii="Times New Roman" w:hAnsi="Times New Roman" w:cs="Times New Roman" w:eastAsia="Times New Roman" w:hint="default"/>
                <w:sz w:val="21"/>
                <w:szCs w:val="21"/>
              </w:rPr>
            </w:pPr>
            <w:r>
              <w:rPr>
                <w:rFonts w:ascii="Times New Roman"/>
                <w:sz w:val="21"/>
              </w:rPr>
              <w:t>212,771,6</w:t>
            </w:r>
          </w:p>
          <w:p>
            <w:pPr>
              <w:pStyle w:val="TableParagraph"/>
              <w:spacing w:line="240" w:lineRule="auto" w:before="1"/>
              <w:ind w:left="509" w:right="0"/>
              <w:jc w:val="left"/>
              <w:rPr>
                <w:rFonts w:ascii="Times New Roman" w:hAnsi="Times New Roman" w:cs="Times New Roman" w:eastAsia="Times New Roman" w:hint="default"/>
                <w:sz w:val="21"/>
                <w:szCs w:val="21"/>
              </w:rPr>
            </w:pPr>
            <w:r>
              <w:rPr>
                <w:rFonts w:ascii="Times New Roman"/>
                <w:sz w:val="21"/>
              </w:rPr>
              <w:t>53.04</w:t>
            </w:r>
          </w:p>
        </w:tc>
      </w:tr>
      <w:tr>
        <w:trPr>
          <w:trHeight w:val="73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0" w:right="0"/>
              <w:jc w:val="left"/>
              <w:rPr>
                <w:rFonts w:ascii="Times New Roman" w:hAnsi="Times New Roman" w:cs="Times New Roman" w:eastAsia="Times New Roman" w:hint="default"/>
                <w:sz w:val="21"/>
                <w:szCs w:val="21"/>
              </w:rPr>
            </w:pPr>
            <w:r>
              <w:rPr>
                <w:rFonts w:ascii="Times New Roman"/>
                <w:sz w:val="21"/>
              </w:rPr>
              <w:t>15,250,</w:t>
            </w:r>
          </w:p>
          <w:p>
            <w:pPr>
              <w:pStyle w:val="TableParagraph"/>
              <w:spacing w:line="240" w:lineRule="auto" w:before="1"/>
              <w:ind w:left="163" w:right="0"/>
              <w:jc w:val="left"/>
              <w:rPr>
                <w:rFonts w:ascii="Times New Roman" w:hAnsi="Times New Roman" w:cs="Times New Roman" w:eastAsia="Times New Roman" w:hint="default"/>
                <w:sz w:val="21"/>
                <w:szCs w:val="21"/>
              </w:rPr>
            </w:pPr>
            <w:r>
              <w:rPr>
                <w:rFonts w:ascii="Times New Roman"/>
                <w:sz w:val="21"/>
              </w:rPr>
              <w:t>000.00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197,52</w:t>
            </w:r>
          </w:p>
          <w:p>
            <w:pPr>
              <w:pStyle w:val="TableParagraph"/>
              <w:spacing w:line="241" w:lineRule="exact" w:before="1"/>
              <w:ind w:right="101"/>
              <w:jc w:val="right"/>
              <w:rPr>
                <w:rFonts w:ascii="Times New Roman" w:hAnsi="Times New Roman" w:cs="Times New Roman" w:eastAsia="Times New Roman" w:hint="default"/>
                <w:sz w:val="21"/>
                <w:szCs w:val="21"/>
              </w:rPr>
            </w:pPr>
            <w:r>
              <w:rPr>
                <w:rFonts w:ascii="Times New Roman"/>
                <w:sz w:val="21"/>
              </w:rPr>
              <w:t>1,653.0</w:t>
            </w:r>
          </w:p>
          <w:p>
            <w:pPr>
              <w:pStyle w:val="TableParagraph"/>
              <w:spacing w:line="241" w:lineRule="exact"/>
              <w:ind w:right="103"/>
              <w:jc w:val="right"/>
              <w:rPr>
                <w:rFonts w:ascii="Times New Roman" w:hAnsi="Times New Roman" w:cs="Times New Roman" w:eastAsia="Times New Roman" w:hint="default"/>
                <w:sz w:val="21"/>
                <w:szCs w:val="21"/>
              </w:rPr>
            </w:pPr>
            <w:r>
              <w:rPr>
                <w:rFonts w:ascii="Times New Roman"/>
                <w:w w:val="100"/>
                <w:sz w:val="21"/>
              </w:rPr>
              <w:t>4</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1" w:right="0"/>
              <w:jc w:val="left"/>
              <w:rPr>
                <w:rFonts w:ascii="Times New Roman" w:hAnsi="Times New Roman" w:cs="Times New Roman" w:eastAsia="Times New Roman" w:hint="default"/>
                <w:sz w:val="21"/>
                <w:szCs w:val="21"/>
              </w:rPr>
            </w:pPr>
            <w:r>
              <w:rPr>
                <w:rFonts w:ascii="Times New Roman"/>
                <w:sz w:val="21"/>
              </w:rPr>
              <w:t>212,771,6</w:t>
            </w:r>
          </w:p>
          <w:p>
            <w:pPr>
              <w:pStyle w:val="TableParagraph"/>
              <w:spacing w:line="240" w:lineRule="auto" w:before="1"/>
              <w:ind w:left="509" w:right="0"/>
              <w:jc w:val="left"/>
              <w:rPr>
                <w:rFonts w:ascii="Times New Roman" w:hAnsi="Times New Roman" w:cs="Times New Roman" w:eastAsia="Times New Roman" w:hint="default"/>
                <w:sz w:val="21"/>
                <w:szCs w:val="21"/>
              </w:rPr>
            </w:pPr>
            <w:r>
              <w:rPr>
                <w:rFonts w:ascii="Times New Roman"/>
                <w:sz w:val="21"/>
              </w:rPr>
              <w:t>53.04</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58"/>
              <w:jc w:val="right"/>
              <w:rPr>
                <w:rFonts w:ascii="Times New Roman" w:hAnsi="Times New Roman" w:cs="Times New Roman" w:eastAsia="Times New Roman" w:hint="default"/>
                <w:sz w:val="21"/>
                <w:szCs w:val="21"/>
              </w:rPr>
            </w:pPr>
            <w:r>
              <w:rPr>
                <w:rFonts w:ascii="Times New Roman"/>
                <w:w w:val="100"/>
                <w:sz w:val="21"/>
              </w:rPr>
              <w:t>-</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58"/>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35" w:lineRule="exact"/>
        <w:jc w:val="right"/>
        <w:rPr>
          <w:rFonts w:ascii="Times New Roman" w:hAnsi="Times New Roman" w:cs="Times New Roman" w:eastAsia="Times New Roman" w:hint="default"/>
          <w:sz w:val="21"/>
          <w:szCs w:val="21"/>
        </w:rPr>
        <w:sectPr>
          <w:type w:val="continuous"/>
          <w:pgSz w:w="16840" w:h="11910" w:orient="landscape"/>
          <w:pgMar w:top="1120" w:bottom="1380" w:left="136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23"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71"/>
        <w:gridCol w:w="874"/>
        <w:gridCol w:w="1102"/>
        <w:gridCol w:w="1095"/>
      </w:tblGrid>
      <w:tr>
        <w:trPr>
          <w:trHeight w:val="25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58"/>
              <w:jc w:val="right"/>
              <w:rPr>
                <w:rFonts w:ascii="Times New Roman" w:hAnsi="Times New Roman" w:cs="Times New Roman" w:eastAsia="Times New Roman" w:hint="default"/>
                <w:sz w:val="21"/>
                <w:szCs w:val="21"/>
              </w:rPr>
            </w:pPr>
            <w:r>
              <w:rPr>
                <w:rFonts w:ascii="Times New Roman"/>
                <w:w w:val="100"/>
                <w:sz w:val="21"/>
              </w:rPr>
              <w:t>-</w:t>
            </w:r>
          </w:p>
        </w:tc>
      </w:tr>
      <w:tr>
        <w:trPr>
          <w:trHeight w:val="494"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13" w:right="0"/>
              <w:jc w:val="left"/>
              <w:rPr>
                <w:rFonts w:ascii="Times New Roman" w:hAnsi="Times New Roman" w:cs="Times New Roman" w:eastAsia="Times New Roman" w:hint="default"/>
                <w:sz w:val="21"/>
                <w:szCs w:val="21"/>
              </w:rPr>
            </w:pPr>
            <w:r>
              <w:rPr>
                <w:rFonts w:ascii="Times New Roman"/>
                <w:w w:val="100"/>
                <w:sz w:val="21"/>
              </w:rPr>
              <w:t>-</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27" w:right="0"/>
              <w:jc w:val="left"/>
              <w:rPr>
                <w:rFonts w:ascii="Times New Roman" w:hAnsi="Times New Roman" w:cs="Times New Roman" w:eastAsia="Times New Roman" w:hint="default"/>
                <w:sz w:val="21"/>
                <w:szCs w:val="21"/>
              </w:rPr>
            </w:pPr>
            <w:r>
              <w:rPr>
                <w:rFonts w:ascii="Times New Roman"/>
                <w:w w:val="100"/>
                <w:sz w:val="21"/>
              </w:rPr>
              <w:t>-</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8" w:right="0"/>
              <w:jc w:val="center"/>
              <w:rPr>
                <w:rFonts w:ascii="Times New Roman" w:hAnsi="Times New Roman" w:cs="Times New Roman" w:eastAsia="Times New Roman" w:hint="default"/>
                <w:sz w:val="21"/>
                <w:szCs w:val="21"/>
              </w:rPr>
            </w:pPr>
            <w:r>
              <w:rPr>
                <w:rFonts w:ascii="Times New Roman"/>
                <w:sz w:val="21"/>
              </w:rPr>
              <w:t>3,369,0</w:t>
            </w:r>
          </w:p>
          <w:p>
            <w:pPr>
              <w:pStyle w:val="TableParagraph"/>
              <w:spacing w:line="241" w:lineRule="exact"/>
              <w:ind w:left="186" w:right="0"/>
              <w:jc w:val="center"/>
              <w:rPr>
                <w:rFonts w:ascii="Times New Roman" w:hAnsi="Times New Roman" w:cs="Times New Roman" w:eastAsia="Times New Roman" w:hint="default"/>
                <w:sz w:val="21"/>
                <w:szCs w:val="21"/>
              </w:rPr>
            </w:pPr>
            <w:r>
              <w:rPr>
                <w:rFonts w:ascii="Times New Roman"/>
                <w:sz w:val="21"/>
              </w:rPr>
              <w:t>30.68</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65" w:right="0"/>
              <w:jc w:val="left"/>
              <w:rPr>
                <w:rFonts w:ascii="Times New Roman" w:hAnsi="Times New Roman" w:cs="Times New Roman" w:eastAsia="Times New Roman" w:hint="default"/>
                <w:sz w:val="21"/>
                <w:szCs w:val="21"/>
              </w:rPr>
            </w:pPr>
            <w:r>
              <w:rPr>
                <w:rFonts w:ascii="Times New Roman"/>
                <w:sz w:val="21"/>
              </w:rPr>
              <w:t>-8,859,</w:t>
            </w:r>
          </w:p>
          <w:p>
            <w:pPr>
              <w:pStyle w:val="TableParagraph"/>
              <w:spacing w:line="241" w:lineRule="exact"/>
              <w:ind w:left="182" w:right="0"/>
              <w:jc w:val="left"/>
              <w:rPr>
                <w:rFonts w:ascii="Times New Roman" w:hAnsi="Times New Roman" w:cs="Times New Roman" w:eastAsia="Times New Roman" w:hint="default"/>
                <w:sz w:val="21"/>
                <w:szCs w:val="21"/>
              </w:rPr>
            </w:pPr>
            <w:r>
              <w:rPr>
                <w:rFonts w:ascii="Times New Roman"/>
                <w:sz w:val="21"/>
              </w:rPr>
              <w:t>030.68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58"/>
              <w:jc w:val="right"/>
              <w:rPr>
                <w:rFonts w:ascii="Times New Roman" w:hAnsi="Times New Roman" w:cs="Times New Roman" w:eastAsia="Times New Roman" w:hint="default"/>
                <w:sz w:val="21"/>
                <w:szCs w:val="21"/>
              </w:rPr>
            </w:pPr>
            <w:r>
              <w:rPr>
                <w:rFonts w:ascii="Times New Roman"/>
                <w:w w:val="100"/>
                <w:sz w:val="21"/>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77" w:right="0"/>
              <w:jc w:val="left"/>
              <w:rPr>
                <w:rFonts w:ascii="Times New Roman" w:hAnsi="Times New Roman" w:cs="Times New Roman" w:eastAsia="Times New Roman" w:hint="default"/>
                <w:sz w:val="21"/>
                <w:szCs w:val="21"/>
              </w:rPr>
            </w:pPr>
            <w:r>
              <w:rPr>
                <w:rFonts w:ascii="Times New Roman"/>
                <w:sz w:val="21"/>
              </w:rPr>
              <w:t>-5,490,00</w:t>
            </w:r>
          </w:p>
          <w:p>
            <w:pPr>
              <w:pStyle w:val="TableParagraph"/>
              <w:spacing w:line="241" w:lineRule="exact"/>
              <w:ind w:left="614" w:right="0"/>
              <w:jc w:val="left"/>
              <w:rPr>
                <w:rFonts w:ascii="Times New Roman" w:hAnsi="Times New Roman" w:cs="Times New Roman" w:eastAsia="Times New Roman" w:hint="default"/>
                <w:sz w:val="21"/>
                <w:szCs w:val="21"/>
              </w:rPr>
            </w:pPr>
            <w:r>
              <w:rPr>
                <w:rFonts w:ascii="Times New Roman"/>
                <w:sz w:val="21"/>
              </w:rPr>
              <w:t>0.00</w:t>
            </w:r>
          </w:p>
        </w:tc>
      </w:tr>
      <w:tr>
        <w:trPr>
          <w:trHeight w:val="49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8" w:right="0"/>
              <w:jc w:val="center"/>
              <w:rPr>
                <w:rFonts w:ascii="Times New Roman" w:hAnsi="Times New Roman" w:cs="Times New Roman" w:eastAsia="Times New Roman" w:hint="default"/>
                <w:sz w:val="21"/>
                <w:szCs w:val="21"/>
              </w:rPr>
            </w:pPr>
            <w:r>
              <w:rPr>
                <w:rFonts w:ascii="Times New Roman"/>
                <w:sz w:val="21"/>
              </w:rPr>
              <w:t>3,369,0</w:t>
            </w:r>
          </w:p>
          <w:p>
            <w:pPr>
              <w:pStyle w:val="TableParagraph"/>
              <w:spacing w:line="240" w:lineRule="auto" w:before="1"/>
              <w:ind w:left="186" w:right="0"/>
              <w:jc w:val="center"/>
              <w:rPr>
                <w:rFonts w:ascii="Times New Roman" w:hAnsi="Times New Roman" w:cs="Times New Roman" w:eastAsia="Times New Roman" w:hint="default"/>
                <w:sz w:val="21"/>
                <w:szCs w:val="21"/>
              </w:rPr>
            </w:pPr>
            <w:r>
              <w:rPr>
                <w:rFonts w:ascii="Times New Roman"/>
                <w:sz w:val="21"/>
              </w:rPr>
              <w:t>30.68</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5" w:right="0"/>
              <w:jc w:val="left"/>
              <w:rPr>
                <w:rFonts w:ascii="Times New Roman" w:hAnsi="Times New Roman" w:cs="Times New Roman" w:eastAsia="Times New Roman" w:hint="default"/>
                <w:sz w:val="21"/>
                <w:szCs w:val="21"/>
              </w:rPr>
            </w:pPr>
            <w:r>
              <w:rPr>
                <w:rFonts w:ascii="Times New Roman"/>
                <w:sz w:val="21"/>
              </w:rPr>
              <w:t>-3,369,</w:t>
            </w:r>
          </w:p>
          <w:p>
            <w:pPr>
              <w:pStyle w:val="TableParagraph"/>
              <w:spacing w:line="240" w:lineRule="auto" w:before="1"/>
              <w:ind w:left="182" w:right="0"/>
              <w:jc w:val="left"/>
              <w:rPr>
                <w:rFonts w:ascii="Times New Roman" w:hAnsi="Times New Roman" w:cs="Times New Roman" w:eastAsia="Times New Roman" w:hint="default"/>
                <w:sz w:val="21"/>
                <w:szCs w:val="21"/>
              </w:rPr>
            </w:pPr>
            <w:r>
              <w:rPr>
                <w:rFonts w:ascii="Times New Roman"/>
                <w:sz w:val="21"/>
              </w:rPr>
              <w:t>030.68</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58"/>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58"/>
              <w:jc w:val="right"/>
              <w:rPr>
                <w:rFonts w:ascii="Times New Roman" w:hAnsi="Times New Roman" w:cs="Times New Roman" w:eastAsia="Times New Roman" w:hint="default"/>
                <w:sz w:val="21"/>
                <w:szCs w:val="21"/>
              </w:rPr>
            </w:pPr>
            <w:r>
              <w:rPr>
                <w:rFonts w:ascii="Times New Roman"/>
                <w:w w:val="100"/>
                <w:sz w:val="21"/>
              </w:rPr>
              <w:t>-</w:t>
            </w:r>
          </w:p>
        </w:tc>
      </w:tr>
      <w:tr>
        <w:trPr>
          <w:trHeight w:val="49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5" w:right="0"/>
              <w:jc w:val="left"/>
              <w:rPr>
                <w:rFonts w:ascii="Times New Roman" w:hAnsi="Times New Roman" w:cs="Times New Roman" w:eastAsia="Times New Roman" w:hint="default"/>
                <w:sz w:val="21"/>
                <w:szCs w:val="21"/>
              </w:rPr>
            </w:pPr>
            <w:r>
              <w:rPr>
                <w:rFonts w:ascii="Times New Roman"/>
                <w:sz w:val="21"/>
              </w:rPr>
              <w:t>-5,490,</w:t>
            </w:r>
          </w:p>
          <w:p>
            <w:pPr>
              <w:pStyle w:val="TableParagraph"/>
              <w:spacing w:line="240" w:lineRule="auto" w:before="1"/>
              <w:ind w:left="182" w:right="0"/>
              <w:jc w:val="left"/>
              <w:rPr>
                <w:rFonts w:ascii="Times New Roman" w:hAnsi="Times New Roman" w:cs="Times New Roman" w:eastAsia="Times New Roman" w:hint="default"/>
                <w:sz w:val="21"/>
                <w:szCs w:val="21"/>
              </w:rPr>
            </w:pPr>
            <w:r>
              <w:rPr>
                <w:rFonts w:ascii="Times New Roman"/>
                <w:sz w:val="21"/>
              </w:rPr>
              <w:t>000.00</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-5,490,00</w:t>
            </w:r>
          </w:p>
          <w:p>
            <w:pPr>
              <w:pStyle w:val="TableParagraph"/>
              <w:spacing w:line="240" w:lineRule="auto" w:before="1"/>
              <w:ind w:left="614" w:right="0"/>
              <w:jc w:val="left"/>
              <w:rPr>
                <w:rFonts w:ascii="Times New Roman" w:hAnsi="Times New Roman" w:cs="Times New Roman" w:eastAsia="Times New Roman" w:hint="default"/>
                <w:sz w:val="21"/>
                <w:szCs w:val="21"/>
              </w:rPr>
            </w:pPr>
            <w:r>
              <w:rPr>
                <w:rFonts w:ascii="Times New Roman"/>
                <w:sz w:val="21"/>
              </w:rPr>
              <w:t>0.00</w:t>
            </w:r>
          </w:p>
        </w:tc>
      </w:tr>
      <w:tr>
        <w:trPr>
          <w:trHeight w:val="25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58"/>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5"/>
                <w:sz w:val="18"/>
                <w:szCs w:val="18"/>
              </w:rPr>
              <w:t>）</w:t>
            </w:r>
            <w:r>
              <w:rPr>
                <w:rFonts w:ascii="宋体" w:hAnsi="宋体" w:cs="宋体" w:eastAsia="宋体" w:hint="default"/>
                <w:sz w:val="18"/>
                <w:szCs w:val="18"/>
              </w:rPr>
              <w:t>所有者权益内部结转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58"/>
              <w:jc w:val="right"/>
              <w:rPr>
                <w:rFonts w:ascii="Times New Roman" w:hAnsi="Times New Roman" w:cs="Times New Roman" w:eastAsia="Times New Roman" w:hint="default"/>
                <w:sz w:val="21"/>
                <w:szCs w:val="21"/>
              </w:rPr>
            </w:pPr>
            <w:r>
              <w:rPr>
                <w:rFonts w:ascii="Times New Roman"/>
                <w:w w:val="100"/>
                <w:sz w:val="21"/>
              </w:rPr>
              <w:t>-</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58"/>
              <w:jc w:val="right"/>
              <w:rPr>
                <w:rFonts w:ascii="Times New Roman" w:hAnsi="Times New Roman" w:cs="Times New Roman" w:eastAsia="Times New Roman" w:hint="default"/>
                <w:sz w:val="21"/>
                <w:szCs w:val="21"/>
              </w:rPr>
            </w:pPr>
            <w:r>
              <w:rPr>
                <w:rFonts w:ascii="Times New Roman"/>
                <w:w w:val="100"/>
                <w:sz w:val="21"/>
              </w:rPr>
              <w:t>-</w:t>
            </w:r>
          </w:p>
        </w:tc>
      </w:tr>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58"/>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58"/>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58"/>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58"/>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58"/>
              <w:jc w:val="right"/>
              <w:rPr>
                <w:rFonts w:ascii="Times New Roman" w:hAnsi="Times New Roman" w:cs="Times New Roman" w:eastAsia="Times New Roman" w:hint="default"/>
                <w:sz w:val="21"/>
                <w:szCs w:val="21"/>
              </w:rPr>
            </w:pPr>
            <w:r>
              <w:rPr>
                <w:rFonts w:ascii="Times New Roman"/>
                <w:w w:val="100"/>
                <w:sz w:val="21"/>
              </w:rPr>
              <w:t>-</w:t>
            </w:r>
          </w:p>
        </w:tc>
      </w:tr>
      <w:tr>
        <w:trPr>
          <w:trHeight w:val="25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58"/>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58"/>
              <w:jc w:val="right"/>
              <w:rPr>
                <w:rFonts w:ascii="Times New Roman" w:hAnsi="Times New Roman" w:cs="Times New Roman" w:eastAsia="Times New Roman" w:hint="default"/>
                <w:sz w:val="21"/>
                <w:szCs w:val="21"/>
              </w:rPr>
            </w:pPr>
            <w:r>
              <w:rPr>
                <w:rFonts w:ascii="Times New Roman"/>
                <w:w w:val="100"/>
                <w:sz w:val="21"/>
              </w:rPr>
              <w:t>-</w:t>
            </w:r>
          </w:p>
        </w:tc>
      </w:tr>
      <w:tr>
        <w:trPr>
          <w:trHeight w:val="73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0" w:right="0"/>
              <w:jc w:val="left"/>
              <w:rPr>
                <w:rFonts w:ascii="Times New Roman" w:hAnsi="Times New Roman" w:cs="Times New Roman" w:eastAsia="Times New Roman" w:hint="default"/>
                <w:sz w:val="21"/>
                <w:szCs w:val="21"/>
              </w:rPr>
            </w:pPr>
            <w:r>
              <w:rPr>
                <w:rFonts w:ascii="Times New Roman"/>
                <w:sz w:val="21"/>
              </w:rPr>
              <w:t>61,000,</w:t>
            </w:r>
          </w:p>
          <w:p>
            <w:pPr>
              <w:pStyle w:val="TableParagraph"/>
              <w:spacing w:line="240" w:lineRule="auto" w:before="1"/>
              <w:ind w:left="163" w:right="0"/>
              <w:jc w:val="left"/>
              <w:rPr>
                <w:rFonts w:ascii="Times New Roman" w:hAnsi="Times New Roman" w:cs="Times New Roman" w:eastAsia="Times New Roman" w:hint="default"/>
                <w:sz w:val="21"/>
                <w:szCs w:val="21"/>
              </w:rPr>
            </w:pPr>
            <w:r>
              <w:rPr>
                <w:rFonts w:ascii="Times New Roman"/>
                <w:sz w:val="21"/>
              </w:rPr>
              <w:t>000.00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250,28</w:t>
            </w:r>
          </w:p>
          <w:p>
            <w:pPr>
              <w:pStyle w:val="TableParagraph"/>
              <w:spacing w:line="241" w:lineRule="exact" w:before="1"/>
              <w:ind w:right="101"/>
              <w:jc w:val="right"/>
              <w:rPr>
                <w:rFonts w:ascii="Times New Roman" w:hAnsi="Times New Roman" w:cs="Times New Roman" w:eastAsia="Times New Roman" w:hint="default"/>
                <w:sz w:val="21"/>
                <w:szCs w:val="21"/>
              </w:rPr>
            </w:pPr>
            <w:r>
              <w:rPr>
                <w:rFonts w:ascii="Times New Roman"/>
                <w:sz w:val="21"/>
              </w:rPr>
              <w:t>3,925.7</w:t>
            </w:r>
          </w:p>
          <w:p>
            <w:pPr>
              <w:pStyle w:val="TableParagraph"/>
              <w:spacing w:line="241" w:lineRule="exact"/>
              <w:ind w:right="103"/>
              <w:jc w:val="right"/>
              <w:rPr>
                <w:rFonts w:ascii="Times New Roman" w:hAnsi="Times New Roman" w:cs="Times New Roman" w:eastAsia="Times New Roman" w:hint="default"/>
                <w:sz w:val="21"/>
                <w:szCs w:val="21"/>
              </w:rPr>
            </w:pPr>
            <w:r>
              <w:rPr>
                <w:rFonts w:ascii="Times New Roman"/>
                <w:w w:val="100"/>
                <w:sz w:val="21"/>
              </w:rPr>
              <w:t>2</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28,593,</w:t>
            </w:r>
          </w:p>
          <w:p>
            <w:pPr>
              <w:pStyle w:val="TableParagraph"/>
              <w:spacing w:line="240" w:lineRule="auto" w:before="1"/>
              <w:ind w:left="182" w:right="0"/>
              <w:jc w:val="left"/>
              <w:rPr>
                <w:rFonts w:ascii="Times New Roman" w:hAnsi="Times New Roman" w:cs="Times New Roman" w:eastAsia="Times New Roman" w:hint="default"/>
                <w:sz w:val="21"/>
                <w:szCs w:val="21"/>
              </w:rPr>
            </w:pPr>
            <w:r>
              <w:rPr>
                <w:rFonts w:ascii="Times New Roman"/>
                <w:sz w:val="21"/>
              </w:rPr>
              <w:t>819.24</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234,50</w:t>
            </w:r>
          </w:p>
          <w:p>
            <w:pPr>
              <w:pStyle w:val="TableParagraph"/>
              <w:spacing w:line="241" w:lineRule="exact" w:before="1"/>
              <w:ind w:right="98"/>
              <w:jc w:val="right"/>
              <w:rPr>
                <w:rFonts w:ascii="Times New Roman" w:hAnsi="Times New Roman" w:cs="Times New Roman" w:eastAsia="Times New Roman" w:hint="default"/>
                <w:sz w:val="21"/>
                <w:szCs w:val="21"/>
              </w:rPr>
            </w:pPr>
            <w:r>
              <w:rPr>
                <w:rFonts w:ascii="Times New Roman"/>
                <w:sz w:val="21"/>
              </w:rPr>
              <w:t>1,331.7</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460,565.0</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5</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1" w:right="0"/>
              <w:jc w:val="left"/>
              <w:rPr>
                <w:rFonts w:ascii="Times New Roman" w:hAnsi="Times New Roman" w:cs="Times New Roman" w:eastAsia="Times New Roman" w:hint="default"/>
                <w:sz w:val="21"/>
                <w:szCs w:val="21"/>
              </w:rPr>
            </w:pPr>
            <w:r>
              <w:rPr>
                <w:rFonts w:ascii="Times New Roman"/>
                <w:sz w:val="21"/>
              </w:rPr>
              <w:t>574,839,6</w:t>
            </w:r>
          </w:p>
          <w:p>
            <w:pPr>
              <w:pStyle w:val="TableParagraph"/>
              <w:spacing w:line="240" w:lineRule="auto" w:before="1"/>
              <w:ind w:left="509" w:right="0"/>
              <w:jc w:val="left"/>
              <w:rPr>
                <w:rFonts w:ascii="Times New Roman" w:hAnsi="Times New Roman" w:cs="Times New Roman" w:eastAsia="Times New Roman" w:hint="default"/>
                <w:sz w:val="21"/>
                <w:szCs w:val="21"/>
              </w:rPr>
            </w:pPr>
            <w:r>
              <w:rPr>
                <w:rFonts w:ascii="Times New Roman"/>
                <w:sz w:val="21"/>
              </w:rPr>
              <w:t>41.72</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2"/>
          <w:szCs w:val="22"/>
        </w:rPr>
      </w:pPr>
    </w:p>
    <w:tbl>
      <w:tblPr>
        <w:tblW w:w="0" w:type="auto"/>
        <w:jc w:val="left"/>
        <w:tblInd w:w="109"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250" w:hRule="exact"/>
        </w:trPr>
        <w:tc>
          <w:tcPr>
            <w:tcW w:w="22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57"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0" w:hRule="exact"/>
        </w:trPr>
        <w:tc>
          <w:tcPr>
            <w:tcW w:w="2285" w:type="dxa"/>
            <w:vMerge/>
            <w:tcBorders>
              <w:left w:val="single" w:sz="4" w:space="0" w:color="000000"/>
              <w:right w:val="single" w:sz="4" w:space="0" w:color="000000"/>
            </w:tcBorders>
          </w:tcPr>
          <w:p>
            <w:pPr/>
          </w:p>
        </w:tc>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8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2"/>
              <w:ind w:left="357" w:right="17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2"/>
              <w:ind w:left="278" w:right="18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94" w:hRule="exact"/>
        </w:trPr>
        <w:tc>
          <w:tcPr>
            <w:tcW w:w="2285" w:type="dxa"/>
            <w:vMerge/>
            <w:tcBorders>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5"/>
              <w:ind w:left="340" w:right="1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01" w:hanging="231"/>
              <w:jc w:val="left"/>
              <w:rPr>
                <w:rFonts w:ascii="宋体" w:hAnsi="宋体" w:cs="宋体" w:eastAsia="宋体" w:hint="default"/>
                <w:sz w:val="18"/>
                <w:szCs w:val="18"/>
              </w:rPr>
            </w:pPr>
            <w:r>
              <w:rPr>
                <w:rFonts w:ascii="宋体" w:hAnsi="宋体" w:cs="宋体" w:eastAsia="宋体" w:hint="default"/>
                <w:spacing w:val="-20"/>
                <w:sz w:val="18"/>
                <w:szCs w:val="18"/>
              </w:rPr>
              <w:t>减：库存</w:t>
            </w:r>
            <w:r>
              <w:rPr>
                <w:rFonts w:ascii="宋体" w:hAnsi="宋体" w:cs="宋体" w:eastAsia="宋体" w:hint="default"/>
                <w:sz w:val="18"/>
                <w:szCs w:val="18"/>
              </w:rPr>
              <w:t> 股</w:t>
            </w:r>
          </w:p>
        </w:tc>
        <w:tc>
          <w:tcPr>
            <w:tcW w:w="886" w:type="dxa"/>
            <w:vMerge w:val="restart"/>
            <w:tcBorders>
              <w:top w:val="single" w:sz="4" w:space="0" w:color="000000"/>
              <w:left w:val="single" w:sz="4" w:space="0" w:color="000000"/>
              <w:right w:val="single" w:sz="4" w:space="0" w:color="000000"/>
            </w:tcBorders>
          </w:tcPr>
          <w:p>
            <w:pPr>
              <w:pStyle w:val="TableParagraph"/>
              <w:spacing w:line="244" w:lineRule="auto" w:before="85"/>
              <w:ind w:left="168" w:right="16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5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85"/>
              <w:ind w:left="340" w:right="15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83" w:type="dxa"/>
            <w:vMerge w:val="restart"/>
            <w:tcBorders>
              <w:top w:val="single" w:sz="4" w:space="0" w:color="000000"/>
              <w:left w:val="single" w:sz="4" w:space="0" w:color="000000"/>
              <w:right w:val="single" w:sz="4" w:space="0" w:color="000000"/>
            </w:tcBorders>
          </w:tcPr>
          <w:p>
            <w:pPr>
              <w:pStyle w:val="TableParagraph"/>
              <w:spacing w:line="244" w:lineRule="auto" w:before="85"/>
              <w:ind w:left="168" w:right="163"/>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5"/>
              <w:ind w:left="251" w:right="156"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082"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3" w:hRule="exact"/>
        </w:trPr>
        <w:tc>
          <w:tcPr>
            <w:tcW w:w="2285"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5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5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r>
        <w:trPr>
          <w:trHeight w:val="73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4" w:right="0"/>
              <w:jc w:val="left"/>
              <w:rPr>
                <w:rFonts w:ascii="Times New Roman" w:hAnsi="Times New Roman" w:cs="Times New Roman" w:eastAsia="Times New Roman" w:hint="default"/>
                <w:sz w:val="21"/>
                <w:szCs w:val="21"/>
              </w:rPr>
            </w:pPr>
            <w:r>
              <w:rPr>
                <w:rFonts w:ascii="Times New Roman"/>
                <w:sz w:val="21"/>
              </w:rPr>
              <w:t>45,750,</w:t>
            </w:r>
          </w:p>
          <w:p>
            <w:pPr>
              <w:pStyle w:val="TableParagraph"/>
              <w:spacing w:line="240" w:lineRule="auto" w:before="1"/>
              <w:ind w:left="177" w:right="0"/>
              <w:jc w:val="left"/>
              <w:rPr>
                <w:rFonts w:ascii="Times New Roman" w:hAnsi="Times New Roman" w:cs="Times New Roman" w:eastAsia="Times New Roman" w:hint="default"/>
                <w:sz w:val="21"/>
                <w:szCs w:val="21"/>
              </w:rPr>
            </w:pPr>
            <w:r>
              <w:rPr>
                <w:rFonts w:ascii="Times New Roman"/>
                <w:sz w:val="21"/>
              </w:rPr>
              <w:t>000.00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7" w:right="0"/>
              <w:jc w:val="left"/>
              <w:rPr>
                <w:rFonts w:ascii="Times New Roman" w:hAnsi="Times New Roman" w:cs="Times New Roman" w:eastAsia="Times New Roman" w:hint="default"/>
                <w:sz w:val="21"/>
                <w:szCs w:val="21"/>
              </w:rPr>
            </w:pPr>
            <w:r>
              <w:rPr>
                <w:rFonts w:ascii="Times New Roman"/>
                <w:sz w:val="21"/>
              </w:rPr>
              <w:t>52,762,</w:t>
            </w:r>
          </w:p>
          <w:p>
            <w:pPr>
              <w:pStyle w:val="TableParagraph"/>
              <w:spacing w:line="240" w:lineRule="auto" w:before="1"/>
              <w:ind w:left="179" w:right="0"/>
              <w:jc w:val="left"/>
              <w:rPr>
                <w:rFonts w:ascii="Times New Roman" w:hAnsi="Times New Roman" w:cs="Times New Roman" w:eastAsia="Times New Roman" w:hint="default"/>
                <w:sz w:val="21"/>
                <w:szCs w:val="21"/>
              </w:rPr>
            </w:pPr>
            <w:r>
              <w:rPr>
                <w:rFonts w:ascii="Times New Roman"/>
                <w:sz w:val="21"/>
              </w:rPr>
              <w:t>272.68</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7" w:right="0"/>
              <w:jc w:val="left"/>
              <w:rPr>
                <w:rFonts w:ascii="Times New Roman" w:hAnsi="Times New Roman" w:cs="Times New Roman" w:eastAsia="Times New Roman" w:hint="default"/>
                <w:sz w:val="21"/>
                <w:szCs w:val="21"/>
              </w:rPr>
            </w:pPr>
            <w:r>
              <w:rPr>
                <w:rFonts w:ascii="Times New Roman"/>
                <w:sz w:val="21"/>
              </w:rPr>
              <w:t>18,908,</w:t>
            </w:r>
          </w:p>
          <w:p>
            <w:pPr>
              <w:pStyle w:val="TableParagraph"/>
              <w:spacing w:line="240" w:lineRule="auto" w:before="1"/>
              <w:ind w:left="179" w:right="0"/>
              <w:jc w:val="left"/>
              <w:rPr>
                <w:rFonts w:ascii="Times New Roman" w:hAnsi="Times New Roman" w:cs="Times New Roman" w:eastAsia="Times New Roman" w:hint="default"/>
                <w:sz w:val="21"/>
                <w:szCs w:val="21"/>
              </w:rPr>
            </w:pPr>
            <w:r>
              <w:rPr>
                <w:rFonts w:ascii="Times New Roman"/>
                <w:sz w:val="21"/>
              </w:rPr>
              <w:t>156.62</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127,62</w:t>
            </w:r>
          </w:p>
          <w:p>
            <w:pPr>
              <w:pStyle w:val="TableParagraph"/>
              <w:spacing w:line="240" w:lineRule="auto" w:before="1"/>
              <w:ind w:right="96"/>
              <w:jc w:val="right"/>
              <w:rPr>
                <w:rFonts w:ascii="Times New Roman" w:hAnsi="Times New Roman" w:cs="Times New Roman" w:eastAsia="Times New Roman" w:hint="default"/>
                <w:sz w:val="21"/>
                <w:szCs w:val="21"/>
              </w:rPr>
            </w:pPr>
            <w:r>
              <w:rPr>
                <w:rFonts w:ascii="Times New Roman"/>
                <w:sz w:val="21"/>
              </w:rPr>
              <w:t>8,993.9</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w w:val="100"/>
                <w:sz w:val="21"/>
              </w:rPr>
              <w:t>5</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512,774.4</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5" w:right="0"/>
              <w:jc w:val="left"/>
              <w:rPr>
                <w:rFonts w:ascii="Times New Roman" w:hAnsi="Times New Roman" w:cs="Times New Roman" w:eastAsia="Times New Roman" w:hint="default"/>
                <w:sz w:val="21"/>
                <w:szCs w:val="21"/>
              </w:rPr>
            </w:pPr>
            <w:r>
              <w:rPr>
                <w:rFonts w:ascii="Times New Roman"/>
                <w:sz w:val="21"/>
              </w:rPr>
              <w:t>245,562,1</w:t>
            </w:r>
          </w:p>
          <w:p>
            <w:pPr>
              <w:pStyle w:val="TableParagraph"/>
              <w:spacing w:line="240" w:lineRule="auto" w:before="1"/>
              <w:ind w:left="523" w:right="0"/>
              <w:jc w:val="left"/>
              <w:rPr>
                <w:rFonts w:ascii="Times New Roman" w:hAnsi="Times New Roman" w:cs="Times New Roman" w:eastAsia="Times New Roman" w:hint="default"/>
                <w:sz w:val="21"/>
                <w:szCs w:val="21"/>
              </w:rPr>
            </w:pPr>
            <w:r>
              <w:rPr>
                <w:rFonts w:ascii="Times New Roman"/>
                <w:sz w:val="21"/>
              </w:rPr>
              <w:t>97.73</w:t>
            </w: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4" w:right="0"/>
              <w:jc w:val="left"/>
              <w:rPr>
                <w:rFonts w:ascii="Times New Roman" w:hAnsi="Times New Roman" w:cs="Times New Roman" w:eastAsia="Times New Roman" w:hint="default"/>
                <w:sz w:val="21"/>
                <w:szCs w:val="21"/>
              </w:rPr>
            </w:pPr>
            <w:r>
              <w:rPr>
                <w:rFonts w:ascii="Times New Roman"/>
                <w:sz w:val="21"/>
              </w:rPr>
              <w:t>45,750,</w:t>
            </w:r>
          </w:p>
          <w:p>
            <w:pPr>
              <w:pStyle w:val="TableParagraph"/>
              <w:spacing w:line="240" w:lineRule="auto" w:before="1"/>
              <w:ind w:left="177" w:right="0"/>
              <w:jc w:val="left"/>
              <w:rPr>
                <w:rFonts w:ascii="Times New Roman" w:hAnsi="Times New Roman" w:cs="Times New Roman" w:eastAsia="Times New Roman" w:hint="default"/>
                <w:sz w:val="21"/>
                <w:szCs w:val="21"/>
              </w:rPr>
            </w:pPr>
            <w:r>
              <w:rPr>
                <w:rFonts w:ascii="Times New Roman"/>
                <w:sz w:val="21"/>
              </w:rPr>
              <w:t>000.00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7" w:right="0"/>
              <w:jc w:val="left"/>
              <w:rPr>
                <w:rFonts w:ascii="Times New Roman" w:hAnsi="Times New Roman" w:cs="Times New Roman" w:eastAsia="Times New Roman" w:hint="default"/>
                <w:sz w:val="21"/>
                <w:szCs w:val="21"/>
              </w:rPr>
            </w:pPr>
            <w:r>
              <w:rPr>
                <w:rFonts w:ascii="Times New Roman"/>
                <w:sz w:val="21"/>
              </w:rPr>
              <w:t>52,762,</w:t>
            </w:r>
          </w:p>
          <w:p>
            <w:pPr>
              <w:pStyle w:val="TableParagraph"/>
              <w:spacing w:line="240" w:lineRule="auto" w:before="1"/>
              <w:ind w:left="179" w:right="0"/>
              <w:jc w:val="left"/>
              <w:rPr>
                <w:rFonts w:ascii="Times New Roman" w:hAnsi="Times New Roman" w:cs="Times New Roman" w:eastAsia="Times New Roman" w:hint="default"/>
                <w:sz w:val="21"/>
                <w:szCs w:val="21"/>
              </w:rPr>
            </w:pPr>
            <w:r>
              <w:rPr>
                <w:rFonts w:ascii="Times New Roman"/>
                <w:sz w:val="21"/>
              </w:rPr>
              <w:t>272.68</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7" w:right="0"/>
              <w:jc w:val="left"/>
              <w:rPr>
                <w:rFonts w:ascii="Times New Roman" w:hAnsi="Times New Roman" w:cs="Times New Roman" w:eastAsia="Times New Roman" w:hint="default"/>
                <w:sz w:val="21"/>
                <w:szCs w:val="21"/>
              </w:rPr>
            </w:pPr>
            <w:r>
              <w:rPr>
                <w:rFonts w:ascii="Times New Roman"/>
                <w:sz w:val="21"/>
              </w:rPr>
              <w:t>18,908,</w:t>
            </w:r>
          </w:p>
          <w:p>
            <w:pPr>
              <w:pStyle w:val="TableParagraph"/>
              <w:spacing w:line="240" w:lineRule="auto" w:before="1"/>
              <w:ind w:left="179" w:right="0"/>
              <w:jc w:val="left"/>
              <w:rPr>
                <w:rFonts w:ascii="Times New Roman" w:hAnsi="Times New Roman" w:cs="Times New Roman" w:eastAsia="Times New Roman" w:hint="default"/>
                <w:sz w:val="21"/>
                <w:szCs w:val="21"/>
              </w:rPr>
            </w:pPr>
            <w:r>
              <w:rPr>
                <w:rFonts w:ascii="Times New Roman"/>
                <w:sz w:val="21"/>
              </w:rPr>
              <w:t>156.62</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127,62</w:t>
            </w:r>
          </w:p>
          <w:p>
            <w:pPr>
              <w:pStyle w:val="TableParagraph"/>
              <w:spacing w:line="241" w:lineRule="exact" w:before="1"/>
              <w:ind w:right="96"/>
              <w:jc w:val="right"/>
              <w:rPr>
                <w:rFonts w:ascii="Times New Roman" w:hAnsi="Times New Roman" w:cs="Times New Roman" w:eastAsia="Times New Roman" w:hint="default"/>
                <w:sz w:val="21"/>
                <w:szCs w:val="21"/>
              </w:rPr>
            </w:pPr>
            <w:r>
              <w:rPr>
                <w:rFonts w:ascii="Times New Roman"/>
                <w:sz w:val="21"/>
              </w:rPr>
              <w:t>8,993.9</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w w:val="100"/>
                <w:sz w:val="21"/>
              </w:rPr>
              <w:t>5</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512,774.4</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5" w:right="0"/>
              <w:jc w:val="left"/>
              <w:rPr>
                <w:rFonts w:ascii="Times New Roman" w:hAnsi="Times New Roman" w:cs="Times New Roman" w:eastAsia="Times New Roman" w:hint="default"/>
                <w:sz w:val="21"/>
                <w:szCs w:val="21"/>
              </w:rPr>
            </w:pPr>
            <w:r>
              <w:rPr>
                <w:rFonts w:ascii="Times New Roman"/>
                <w:sz w:val="21"/>
              </w:rPr>
              <w:t>245,562,1</w:t>
            </w:r>
          </w:p>
          <w:p>
            <w:pPr>
              <w:pStyle w:val="TableParagraph"/>
              <w:spacing w:line="240" w:lineRule="auto" w:before="1"/>
              <w:ind w:left="523" w:right="0"/>
              <w:jc w:val="left"/>
              <w:rPr>
                <w:rFonts w:ascii="Times New Roman" w:hAnsi="Times New Roman" w:cs="Times New Roman" w:eastAsia="Times New Roman" w:hint="default"/>
                <w:sz w:val="21"/>
                <w:szCs w:val="21"/>
              </w:rPr>
            </w:pPr>
            <w:r>
              <w:rPr>
                <w:rFonts w:ascii="Times New Roman"/>
                <w:sz w:val="21"/>
              </w:rPr>
              <w:t>97.73</w:t>
            </w:r>
          </w:p>
        </w:tc>
      </w:tr>
      <w:tr>
        <w:trPr>
          <w:trHeight w:val="49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30"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5" w:right="0"/>
              <w:jc w:val="center"/>
              <w:rPr>
                <w:rFonts w:ascii="Times New Roman" w:hAnsi="Times New Roman" w:cs="Times New Roman" w:eastAsia="Times New Roman" w:hint="default"/>
                <w:sz w:val="21"/>
                <w:szCs w:val="21"/>
              </w:rPr>
            </w:pPr>
            <w:r>
              <w:rPr>
                <w:rFonts w:ascii="Times New Roman"/>
                <w:sz w:val="21"/>
              </w:rPr>
              <w:t>6,316,6</w:t>
            </w:r>
          </w:p>
          <w:p>
            <w:pPr>
              <w:pStyle w:val="TableParagraph"/>
              <w:spacing w:line="240" w:lineRule="auto" w:before="1"/>
              <w:ind w:left="184" w:right="0"/>
              <w:jc w:val="center"/>
              <w:rPr>
                <w:rFonts w:ascii="Times New Roman" w:hAnsi="Times New Roman" w:cs="Times New Roman" w:eastAsia="Times New Roman" w:hint="default"/>
                <w:sz w:val="21"/>
                <w:szCs w:val="21"/>
              </w:rPr>
            </w:pPr>
            <w:r>
              <w:rPr>
                <w:rFonts w:ascii="Times New Roman"/>
                <w:sz w:val="21"/>
              </w:rPr>
              <w:t>31.94</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45,485,</w:t>
            </w:r>
          </w:p>
          <w:p>
            <w:pPr>
              <w:pStyle w:val="TableParagraph"/>
              <w:spacing w:line="240" w:lineRule="auto" w:before="1"/>
              <w:ind w:left="191" w:right="0"/>
              <w:jc w:val="left"/>
              <w:rPr>
                <w:rFonts w:ascii="Times New Roman" w:hAnsi="Times New Roman" w:cs="Times New Roman" w:eastAsia="Times New Roman" w:hint="default"/>
                <w:sz w:val="21"/>
                <w:szCs w:val="21"/>
              </w:rPr>
            </w:pPr>
            <w:r>
              <w:rPr>
                <w:rFonts w:ascii="Times New Roman"/>
                <w:sz w:val="21"/>
              </w:rPr>
              <w:t>811.35</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243,893.9</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5" w:right="0"/>
              <w:jc w:val="left"/>
              <w:rPr>
                <w:rFonts w:ascii="Times New Roman" w:hAnsi="Times New Roman" w:cs="Times New Roman" w:eastAsia="Times New Roman" w:hint="default"/>
                <w:sz w:val="21"/>
                <w:szCs w:val="21"/>
              </w:rPr>
            </w:pPr>
            <w:r>
              <w:rPr>
                <w:rFonts w:ascii="Times New Roman"/>
                <w:sz w:val="21"/>
              </w:rPr>
              <w:t>52,046,33</w:t>
            </w:r>
          </w:p>
          <w:p>
            <w:pPr>
              <w:pStyle w:val="TableParagraph"/>
              <w:spacing w:line="240" w:lineRule="auto" w:before="1"/>
              <w:ind w:left="629" w:right="0"/>
              <w:jc w:val="left"/>
              <w:rPr>
                <w:rFonts w:ascii="Times New Roman" w:hAnsi="Times New Roman" w:cs="Times New Roman" w:eastAsia="Times New Roman" w:hint="default"/>
                <w:sz w:val="21"/>
                <w:szCs w:val="21"/>
              </w:rPr>
            </w:pPr>
            <w:r>
              <w:rPr>
                <w:rFonts w:ascii="Times New Roman"/>
                <w:sz w:val="21"/>
              </w:rPr>
              <w:t>7.19</w:t>
            </w:r>
          </w:p>
        </w:tc>
      </w:tr>
      <w:tr>
        <w:trPr>
          <w:trHeight w:val="49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9" w:right="0"/>
              <w:jc w:val="left"/>
              <w:rPr>
                <w:rFonts w:ascii="Times New Roman" w:hAnsi="Times New Roman" w:cs="Times New Roman" w:eastAsia="Times New Roman" w:hint="default"/>
                <w:sz w:val="21"/>
                <w:szCs w:val="21"/>
              </w:rPr>
            </w:pPr>
            <w:r>
              <w:rPr>
                <w:rFonts w:ascii="Times New Roman"/>
                <w:sz w:val="21"/>
              </w:rPr>
              <w:t>56,377,</w:t>
            </w:r>
          </w:p>
          <w:p>
            <w:pPr>
              <w:pStyle w:val="TableParagraph"/>
              <w:spacing w:line="241" w:lineRule="exact"/>
              <w:ind w:left="182" w:right="0"/>
              <w:jc w:val="left"/>
              <w:rPr>
                <w:rFonts w:ascii="Times New Roman" w:hAnsi="Times New Roman" w:cs="Times New Roman" w:eastAsia="Times New Roman" w:hint="default"/>
                <w:sz w:val="21"/>
                <w:szCs w:val="21"/>
              </w:rPr>
            </w:pPr>
            <w:r>
              <w:rPr>
                <w:rFonts w:ascii="Times New Roman"/>
                <w:sz w:val="21"/>
              </w:rPr>
              <w:t>443.29</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243,893.9</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55" w:right="0"/>
              <w:jc w:val="left"/>
              <w:rPr>
                <w:rFonts w:ascii="Times New Roman" w:hAnsi="Times New Roman" w:cs="Times New Roman" w:eastAsia="Times New Roman" w:hint="default"/>
                <w:sz w:val="21"/>
                <w:szCs w:val="21"/>
              </w:rPr>
            </w:pPr>
            <w:r>
              <w:rPr>
                <w:rFonts w:ascii="Times New Roman"/>
                <w:sz w:val="21"/>
              </w:rPr>
              <w:t>56,621,33</w:t>
            </w:r>
          </w:p>
          <w:p>
            <w:pPr>
              <w:pStyle w:val="TableParagraph"/>
              <w:spacing w:line="241" w:lineRule="exact"/>
              <w:ind w:left="629" w:right="0"/>
              <w:jc w:val="left"/>
              <w:rPr>
                <w:rFonts w:ascii="Times New Roman" w:hAnsi="Times New Roman" w:cs="Times New Roman" w:eastAsia="Times New Roman" w:hint="default"/>
                <w:sz w:val="21"/>
                <w:szCs w:val="21"/>
              </w:rPr>
            </w:pPr>
            <w:r>
              <w:rPr>
                <w:rFonts w:ascii="Times New Roman"/>
                <w:sz w:val="21"/>
              </w:rPr>
              <w:t>7.19</w:t>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（二）所有者投入和减少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5" w:right="0"/>
              <w:jc w:val="center"/>
              <w:rPr>
                <w:rFonts w:ascii="Times New Roman" w:hAnsi="Times New Roman" w:cs="Times New Roman" w:eastAsia="Times New Roman" w:hint="default"/>
                <w:sz w:val="21"/>
                <w:szCs w:val="21"/>
              </w:rPr>
            </w:pPr>
            <w:r>
              <w:rPr>
                <w:rFonts w:ascii="Times New Roman"/>
                <w:sz w:val="21"/>
              </w:rPr>
              <w:t>6,316,6</w:t>
            </w:r>
          </w:p>
          <w:p>
            <w:pPr>
              <w:pStyle w:val="TableParagraph"/>
              <w:spacing w:line="240" w:lineRule="auto" w:before="1"/>
              <w:ind w:left="184" w:right="0"/>
              <w:jc w:val="center"/>
              <w:rPr>
                <w:rFonts w:ascii="Times New Roman" w:hAnsi="Times New Roman" w:cs="Times New Roman" w:eastAsia="Times New Roman" w:hint="default"/>
                <w:sz w:val="21"/>
                <w:szCs w:val="21"/>
              </w:rPr>
            </w:pPr>
            <w:r>
              <w:rPr>
                <w:rFonts w:ascii="Times New Roman"/>
                <w:sz w:val="21"/>
              </w:rPr>
              <w:t>31.94</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2" w:right="0"/>
              <w:jc w:val="left"/>
              <w:rPr>
                <w:rFonts w:ascii="Times New Roman" w:hAnsi="Times New Roman" w:cs="Times New Roman" w:eastAsia="Times New Roman" w:hint="default"/>
                <w:sz w:val="21"/>
                <w:szCs w:val="21"/>
              </w:rPr>
            </w:pPr>
            <w:r>
              <w:rPr>
                <w:rFonts w:ascii="Times New Roman"/>
                <w:sz w:val="21"/>
              </w:rPr>
              <w:t>-10,891</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,631.94</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1" w:right="0"/>
              <w:jc w:val="left"/>
              <w:rPr>
                <w:rFonts w:ascii="Times New Roman" w:hAnsi="Times New Roman" w:cs="Times New Roman" w:eastAsia="Times New Roman" w:hint="default"/>
                <w:sz w:val="21"/>
                <w:szCs w:val="21"/>
              </w:rPr>
            </w:pPr>
            <w:r>
              <w:rPr>
                <w:rFonts w:ascii="Times New Roman"/>
                <w:sz w:val="21"/>
              </w:rPr>
              <w:t>-4,575,00</w:t>
            </w:r>
          </w:p>
          <w:p>
            <w:pPr>
              <w:pStyle w:val="TableParagraph"/>
              <w:spacing w:line="240" w:lineRule="auto" w:before="1"/>
              <w:ind w:left="629" w:right="0"/>
              <w:jc w:val="left"/>
              <w:rPr>
                <w:rFonts w:ascii="Times New Roman" w:hAnsi="Times New Roman" w:cs="Times New Roman" w:eastAsia="Times New Roman" w:hint="default"/>
                <w:sz w:val="21"/>
                <w:szCs w:val="21"/>
              </w:rPr>
            </w:pPr>
            <w:r>
              <w:rPr>
                <w:rFonts w:ascii="Times New Roman"/>
                <w:sz w:val="21"/>
              </w:rPr>
              <w:t>0.00</w:t>
            </w:r>
          </w:p>
        </w:tc>
      </w:tr>
      <w:tr>
        <w:trPr>
          <w:trHeight w:val="49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5" w:right="0"/>
              <w:jc w:val="center"/>
              <w:rPr>
                <w:rFonts w:ascii="Times New Roman" w:hAnsi="Times New Roman" w:cs="Times New Roman" w:eastAsia="Times New Roman" w:hint="default"/>
                <w:sz w:val="21"/>
                <w:szCs w:val="21"/>
              </w:rPr>
            </w:pPr>
            <w:r>
              <w:rPr>
                <w:rFonts w:ascii="Times New Roman"/>
                <w:sz w:val="21"/>
              </w:rPr>
              <w:t>6,316,6</w:t>
            </w:r>
          </w:p>
          <w:p>
            <w:pPr>
              <w:pStyle w:val="TableParagraph"/>
              <w:spacing w:line="240" w:lineRule="auto" w:before="1"/>
              <w:ind w:left="184" w:right="0"/>
              <w:jc w:val="center"/>
              <w:rPr>
                <w:rFonts w:ascii="Times New Roman" w:hAnsi="Times New Roman" w:cs="Times New Roman" w:eastAsia="Times New Roman" w:hint="default"/>
                <w:sz w:val="21"/>
                <w:szCs w:val="21"/>
              </w:rPr>
            </w:pPr>
            <w:r>
              <w:rPr>
                <w:rFonts w:ascii="Times New Roman"/>
                <w:sz w:val="21"/>
              </w:rPr>
              <w:t>31.94</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5" w:right="0"/>
              <w:jc w:val="left"/>
              <w:rPr>
                <w:rFonts w:ascii="Times New Roman" w:hAnsi="Times New Roman" w:cs="Times New Roman" w:eastAsia="Times New Roman" w:hint="default"/>
                <w:sz w:val="21"/>
                <w:szCs w:val="21"/>
              </w:rPr>
            </w:pPr>
            <w:r>
              <w:rPr>
                <w:rFonts w:ascii="Times New Roman"/>
                <w:sz w:val="21"/>
              </w:rPr>
              <w:t>-6,316,</w:t>
            </w:r>
          </w:p>
          <w:p>
            <w:pPr>
              <w:pStyle w:val="TableParagraph"/>
              <w:spacing w:line="240" w:lineRule="auto" w:before="1"/>
              <w:ind w:left="182" w:right="0"/>
              <w:jc w:val="left"/>
              <w:rPr>
                <w:rFonts w:ascii="Times New Roman" w:hAnsi="Times New Roman" w:cs="Times New Roman" w:eastAsia="Times New Roman" w:hint="default"/>
                <w:sz w:val="21"/>
                <w:szCs w:val="21"/>
              </w:rPr>
            </w:pPr>
            <w:r>
              <w:rPr>
                <w:rFonts w:ascii="Times New Roman"/>
                <w:sz w:val="21"/>
              </w:rPr>
              <w:t>631.94</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5" w:right="0"/>
              <w:jc w:val="left"/>
              <w:rPr>
                <w:rFonts w:ascii="Times New Roman" w:hAnsi="Times New Roman" w:cs="Times New Roman" w:eastAsia="Times New Roman" w:hint="default"/>
                <w:sz w:val="21"/>
                <w:szCs w:val="21"/>
              </w:rPr>
            </w:pPr>
            <w:r>
              <w:rPr>
                <w:rFonts w:ascii="Times New Roman"/>
                <w:sz w:val="21"/>
              </w:rPr>
              <w:t>-4,575,</w:t>
            </w:r>
          </w:p>
          <w:p>
            <w:pPr>
              <w:pStyle w:val="TableParagraph"/>
              <w:spacing w:line="240" w:lineRule="auto" w:before="1"/>
              <w:ind w:left="182" w:right="0"/>
              <w:jc w:val="left"/>
              <w:rPr>
                <w:rFonts w:ascii="Times New Roman" w:hAnsi="Times New Roman" w:cs="Times New Roman" w:eastAsia="Times New Roman" w:hint="default"/>
                <w:sz w:val="21"/>
                <w:szCs w:val="21"/>
              </w:rPr>
            </w:pPr>
            <w:r>
              <w:rPr>
                <w:rFonts w:ascii="Times New Roman"/>
                <w:sz w:val="21"/>
              </w:rPr>
              <w:t>000.00</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1" w:right="0"/>
              <w:jc w:val="left"/>
              <w:rPr>
                <w:rFonts w:ascii="Times New Roman" w:hAnsi="Times New Roman" w:cs="Times New Roman" w:eastAsia="Times New Roman" w:hint="default"/>
                <w:sz w:val="21"/>
                <w:szCs w:val="21"/>
              </w:rPr>
            </w:pPr>
            <w:r>
              <w:rPr>
                <w:rFonts w:ascii="Times New Roman"/>
                <w:sz w:val="21"/>
              </w:rPr>
              <w:t>-4,575,00</w:t>
            </w:r>
          </w:p>
          <w:p>
            <w:pPr>
              <w:pStyle w:val="TableParagraph"/>
              <w:spacing w:line="240" w:lineRule="auto" w:before="1"/>
              <w:ind w:left="629" w:right="0"/>
              <w:jc w:val="left"/>
              <w:rPr>
                <w:rFonts w:ascii="Times New Roman" w:hAnsi="Times New Roman" w:cs="Times New Roman" w:eastAsia="Times New Roman" w:hint="default"/>
                <w:sz w:val="21"/>
                <w:szCs w:val="21"/>
              </w:rPr>
            </w:pPr>
            <w:r>
              <w:rPr>
                <w:rFonts w:ascii="Times New Roman"/>
                <w:sz w:val="21"/>
              </w:rPr>
              <w:t>0.00</w:t>
            </w:r>
          </w:p>
        </w:tc>
      </w:tr>
      <w:tr>
        <w:trPr>
          <w:trHeight w:val="25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58"/>
              <w:jc w:val="right"/>
              <w:rPr>
                <w:rFonts w:ascii="Times New Roman" w:hAnsi="Times New Roman" w:cs="Times New Roman" w:eastAsia="Times New Roman" w:hint="default"/>
                <w:sz w:val="21"/>
                <w:szCs w:val="21"/>
              </w:rPr>
            </w:pPr>
            <w:r>
              <w:rPr>
                <w:rFonts w:ascii="Times New Roman"/>
                <w:w w:val="100"/>
                <w:sz w:val="21"/>
              </w:rPr>
              <w:t>-</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（四）所有者权益内部结</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58"/>
              <w:jc w:val="right"/>
              <w:rPr>
                <w:rFonts w:ascii="Times New Roman" w:hAnsi="Times New Roman" w:cs="Times New Roman" w:eastAsia="Times New Roman" w:hint="default"/>
                <w:sz w:val="21"/>
                <w:szCs w:val="21"/>
              </w:rPr>
            </w:pPr>
            <w:r>
              <w:rPr>
                <w:rFonts w:ascii="Times New Roman"/>
                <w:w w:val="100"/>
                <w:sz w:val="21"/>
              </w:rPr>
              <w:t>-</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58"/>
              <w:jc w:val="right"/>
              <w:rPr>
                <w:rFonts w:ascii="Times New Roman" w:hAnsi="Times New Roman" w:cs="Times New Roman" w:eastAsia="Times New Roman" w:hint="default"/>
                <w:sz w:val="21"/>
                <w:szCs w:val="21"/>
              </w:rPr>
            </w:pPr>
            <w:r>
              <w:rPr>
                <w:rFonts w:ascii="Times New Roman"/>
                <w:w w:val="100"/>
                <w:sz w:val="21"/>
              </w:rPr>
              <w:t>-</w:t>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58"/>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58"/>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58"/>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58"/>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58"/>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35" w:lineRule="exact"/>
        <w:jc w:val="right"/>
        <w:rPr>
          <w:rFonts w:ascii="Times New Roman" w:hAnsi="Times New Roman" w:cs="Times New Roman" w:eastAsia="Times New Roman" w:hint="default"/>
          <w:sz w:val="21"/>
          <w:szCs w:val="21"/>
        </w:rPr>
        <w:sectPr>
          <w:footerReference w:type="default" r:id="rId47"/>
          <w:pgSz w:w="16840" w:h="11910" w:orient="landscape"/>
          <w:pgMar w:footer="1195" w:header="882" w:top="1120" w:bottom="1380" w:left="13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25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58"/>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58"/>
              <w:jc w:val="right"/>
              <w:rPr>
                <w:rFonts w:ascii="Times New Roman" w:hAnsi="Times New Roman" w:cs="Times New Roman" w:eastAsia="Times New Roman" w:hint="default"/>
                <w:sz w:val="21"/>
                <w:szCs w:val="21"/>
              </w:rPr>
            </w:pPr>
            <w:r>
              <w:rPr>
                <w:rFonts w:ascii="Times New Roman"/>
                <w:w w:val="100"/>
                <w:sz w:val="21"/>
              </w:rPr>
              <w:t>-</w:t>
            </w:r>
          </w:p>
        </w:tc>
      </w:tr>
      <w:tr>
        <w:trPr>
          <w:trHeight w:val="73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4" w:right="0"/>
              <w:jc w:val="left"/>
              <w:rPr>
                <w:rFonts w:ascii="Times New Roman" w:hAnsi="Times New Roman" w:cs="Times New Roman" w:eastAsia="Times New Roman" w:hint="default"/>
                <w:sz w:val="21"/>
                <w:szCs w:val="21"/>
              </w:rPr>
            </w:pPr>
            <w:r>
              <w:rPr>
                <w:rFonts w:ascii="Times New Roman"/>
                <w:sz w:val="21"/>
              </w:rPr>
              <w:t>45,750,</w:t>
            </w:r>
          </w:p>
          <w:p>
            <w:pPr>
              <w:pStyle w:val="TableParagraph"/>
              <w:spacing w:line="240" w:lineRule="auto" w:before="1"/>
              <w:ind w:left="177" w:right="0"/>
              <w:jc w:val="left"/>
              <w:rPr>
                <w:rFonts w:ascii="Times New Roman" w:hAnsi="Times New Roman" w:cs="Times New Roman" w:eastAsia="Times New Roman" w:hint="default"/>
                <w:sz w:val="21"/>
                <w:szCs w:val="21"/>
              </w:rPr>
            </w:pPr>
            <w:r>
              <w:rPr>
                <w:rFonts w:ascii="Times New Roman"/>
                <w:sz w:val="21"/>
              </w:rPr>
              <w:t>000.00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7" w:right="0"/>
              <w:jc w:val="left"/>
              <w:rPr>
                <w:rFonts w:ascii="Times New Roman" w:hAnsi="Times New Roman" w:cs="Times New Roman" w:eastAsia="Times New Roman" w:hint="default"/>
                <w:sz w:val="21"/>
                <w:szCs w:val="21"/>
              </w:rPr>
            </w:pPr>
            <w:r>
              <w:rPr>
                <w:rFonts w:ascii="Times New Roman"/>
                <w:sz w:val="21"/>
              </w:rPr>
              <w:t>52,762,</w:t>
            </w:r>
          </w:p>
          <w:p>
            <w:pPr>
              <w:pStyle w:val="TableParagraph"/>
              <w:spacing w:line="240" w:lineRule="auto" w:before="1"/>
              <w:ind w:left="179" w:right="0"/>
              <w:jc w:val="left"/>
              <w:rPr>
                <w:rFonts w:ascii="Times New Roman" w:hAnsi="Times New Roman" w:cs="Times New Roman" w:eastAsia="Times New Roman" w:hint="default"/>
                <w:sz w:val="21"/>
                <w:szCs w:val="21"/>
              </w:rPr>
            </w:pPr>
            <w:r>
              <w:rPr>
                <w:rFonts w:ascii="Times New Roman"/>
                <w:sz w:val="21"/>
              </w:rPr>
              <w:t>272.68</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7" w:right="0"/>
              <w:jc w:val="left"/>
              <w:rPr>
                <w:rFonts w:ascii="Times New Roman" w:hAnsi="Times New Roman" w:cs="Times New Roman" w:eastAsia="Times New Roman" w:hint="default"/>
                <w:sz w:val="21"/>
                <w:szCs w:val="21"/>
              </w:rPr>
            </w:pPr>
            <w:r>
              <w:rPr>
                <w:rFonts w:ascii="Times New Roman"/>
                <w:sz w:val="21"/>
              </w:rPr>
              <w:t>25,224,</w:t>
            </w:r>
          </w:p>
          <w:p>
            <w:pPr>
              <w:pStyle w:val="TableParagraph"/>
              <w:spacing w:line="240" w:lineRule="auto" w:before="1"/>
              <w:ind w:left="179" w:right="0"/>
              <w:jc w:val="left"/>
              <w:rPr>
                <w:rFonts w:ascii="Times New Roman" w:hAnsi="Times New Roman" w:cs="Times New Roman" w:eastAsia="Times New Roman" w:hint="default"/>
                <w:sz w:val="21"/>
                <w:szCs w:val="21"/>
              </w:rPr>
            </w:pPr>
            <w:r>
              <w:rPr>
                <w:rFonts w:ascii="Times New Roman"/>
                <w:sz w:val="21"/>
              </w:rPr>
              <w:t>788.56</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173,11</w:t>
            </w:r>
          </w:p>
          <w:p>
            <w:pPr>
              <w:pStyle w:val="TableParagraph"/>
              <w:spacing w:line="240" w:lineRule="auto" w:before="1"/>
              <w:ind w:right="96"/>
              <w:jc w:val="right"/>
              <w:rPr>
                <w:rFonts w:ascii="Times New Roman" w:hAnsi="Times New Roman" w:cs="Times New Roman" w:eastAsia="Times New Roman" w:hint="default"/>
                <w:sz w:val="21"/>
                <w:szCs w:val="21"/>
              </w:rPr>
            </w:pPr>
            <w:r>
              <w:rPr>
                <w:rFonts w:ascii="Times New Roman"/>
                <w:sz w:val="21"/>
              </w:rPr>
              <w:t>4,805.3</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w w:val="100"/>
                <w:sz w:val="21"/>
              </w:rPr>
              <w:t>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756,668.3</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5" w:right="0"/>
              <w:jc w:val="left"/>
              <w:rPr>
                <w:rFonts w:ascii="Times New Roman" w:hAnsi="Times New Roman" w:cs="Times New Roman" w:eastAsia="Times New Roman" w:hint="default"/>
                <w:sz w:val="21"/>
                <w:szCs w:val="21"/>
              </w:rPr>
            </w:pPr>
            <w:r>
              <w:rPr>
                <w:rFonts w:ascii="Times New Roman"/>
                <w:sz w:val="21"/>
              </w:rPr>
              <w:t>297,608,5</w:t>
            </w:r>
          </w:p>
          <w:p>
            <w:pPr>
              <w:pStyle w:val="TableParagraph"/>
              <w:spacing w:line="240" w:lineRule="auto" w:before="1"/>
              <w:ind w:left="523" w:right="0"/>
              <w:jc w:val="left"/>
              <w:rPr>
                <w:rFonts w:ascii="Times New Roman" w:hAnsi="Times New Roman" w:cs="Times New Roman" w:eastAsia="Times New Roman" w:hint="default"/>
                <w:sz w:val="21"/>
                <w:szCs w:val="21"/>
              </w:rPr>
            </w:pPr>
            <w:r>
              <w:rPr>
                <w:rFonts w:ascii="Times New Roman"/>
                <w:sz w:val="21"/>
              </w:rPr>
              <w:t>34.92</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6"/>
        <w:ind w:left="184" w:right="0"/>
        <w:jc w:val="left"/>
      </w:pPr>
      <w:r>
        <w:rPr/>
        <w:t>法定代表人：孔令钢主管会计工作负责人：顾峰会计机构负责人：宋炜明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48"/>
          <w:pgSz w:w="16840" w:h="11910" w:orient="landscape"/>
          <w:pgMar w:footer="1195" w:header="882" w:top="1120" w:bottom="1380" w:left="1340" w:right="1220"/>
          <w:pgNumType w:start="81"/>
        </w:sectPr>
      </w:pPr>
    </w:p>
    <w:p>
      <w:pPr>
        <w:pStyle w:val="Heading2"/>
        <w:spacing w:line="273" w:lineRule="exact" w:before="36"/>
        <w:ind w:left="0" w:right="0"/>
        <w:jc w:val="right"/>
        <w:rPr>
          <w:b w:val="0"/>
          <w:bCs w:val="0"/>
        </w:rPr>
      </w:pPr>
      <w:r>
        <w:rPr>
          <w:spacing w:val="-1"/>
        </w:rPr>
        <w:t>母公司所有者权益变动表</w:t>
      </w:r>
      <w:r>
        <w:rPr>
          <w:b w:val="0"/>
          <w:bCs w:val="0"/>
          <w:spacing w:val="-1"/>
        </w:rPr>
      </w:r>
    </w:p>
    <w:p>
      <w:pPr>
        <w:pStyle w:val="BodyText"/>
        <w:spacing w:line="289" w:lineRule="exact"/>
        <w:ind w:left="0" w:right="396"/>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6"/>
        <w:rPr>
          <w:rFonts w:ascii="宋体" w:hAnsi="宋体" w:cs="宋体" w:eastAsia="宋体" w:hint="default"/>
          <w:sz w:val="22"/>
          <w:szCs w:val="22"/>
        </w:rPr>
      </w:pPr>
    </w:p>
    <w:p>
      <w:pPr>
        <w:pStyle w:val="BodyText"/>
        <w:spacing w:line="240" w:lineRule="auto"/>
        <w:ind w:left="3949"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120" w:bottom="1380" w:left="1340" w:right="1220"/>
          <w:cols w:num="2" w:equalWidth="0">
            <w:col w:w="8271" w:space="40"/>
            <w:col w:w="5969"/>
          </w:cols>
        </w:sectPr>
      </w:pPr>
    </w:p>
    <w:tbl>
      <w:tblPr>
        <w:tblW w:w="0" w:type="auto"/>
        <w:jc w:val="left"/>
        <w:tblInd w:w="121"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50" w:hRule="exact"/>
        </w:trPr>
        <w:tc>
          <w:tcPr>
            <w:tcW w:w="2451"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6" w:hRule="exact"/>
        </w:trPr>
        <w:tc>
          <w:tcPr>
            <w:tcW w:w="2451"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32" w:lineRule="exact" w:before="73"/>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32" w:lineRule="exact" w:before="73"/>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6" w:space="0" w:color="000000"/>
              <w:left w:val="single" w:sz="6" w:space="0" w:color="000000"/>
              <w:right w:val="single" w:sz="6" w:space="0" w:color="000000"/>
            </w:tcBorders>
          </w:tcPr>
          <w:p>
            <w:pPr>
              <w:pStyle w:val="TableParagraph"/>
              <w:spacing w:line="232" w:lineRule="exact" w:before="73"/>
              <w:ind w:left="235" w:right="14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2" w:hRule="exact"/>
        </w:trPr>
        <w:tc>
          <w:tcPr>
            <w:tcW w:w="2451"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49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left="122" w:right="0"/>
              <w:jc w:val="left"/>
              <w:rPr>
                <w:rFonts w:ascii="Times New Roman" w:hAnsi="Times New Roman" w:cs="Times New Roman" w:eastAsia="Times New Roman" w:hint="default"/>
                <w:sz w:val="21"/>
                <w:szCs w:val="21"/>
              </w:rPr>
            </w:pPr>
            <w:r>
              <w:rPr>
                <w:rFonts w:ascii="Times New Roman"/>
                <w:sz w:val="21"/>
              </w:rPr>
              <w:t>45,750,00</w:t>
            </w:r>
          </w:p>
          <w:p>
            <w:pPr>
              <w:pStyle w:val="TableParagraph"/>
              <w:spacing w:line="240" w:lineRule="auto" w:before="1"/>
              <w:ind w:left="595" w:right="0"/>
              <w:jc w:val="left"/>
              <w:rPr>
                <w:rFonts w:ascii="Times New Roman" w:hAnsi="Times New Roman" w:cs="Times New Roman" w:eastAsia="Times New Roman" w:hint="default"/>
                <w:sz w:val="21"/>
                <w:szCs w:val="21"/>
              </w:rPr>
            </w:pPr>
            <w:r>
              <w:rPr>
                <w:rFonts w:ascii="Times New Roman"/>
                <w:sz w:val="21"/>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left="189" w:right="0"/>
              <w:jc w:val="left"/>
              <w:rPr>
                <w:rFonts w:ascii="Times New Roman" w:hAnsi="Times New Roman" w:cs="Times New Roman" w:eastAsia="Times New Roman" w:hint="default"/>
                <w:sz w:val="21"/>
                <w:szCs w:val="21"/>
              </w:rPr>
            </w:pPr>
            <w:r>
              <w:rPr>
                <w:rFonts w:ascii="Times New Roman"/>
                <w:sz w:val="21"/>
              </w:rPr>
              <w:t>52,989,3</w:t>
            </w:r>
          </w:p>
          <w:p>
            <w:pPr>
              <w:pStyle w:val="TableParagraph"/>
              <w:spacing w:line="240" w:lineRule="auto" w:before="1"/>
              <w:ind w:left="451" w:right="0"/>
              <w:jc w:val="left"/>
              <w:rPr>
                <w:rFonts w:ascii="Times New Roman" w:hAnsi="Times New Roman" w:cs="Times New Roman" w:eastAsia="Times New Roman" w:hint="default"/>
                <w:sz w:val="21"/>
                <w:szCs w:val="21"/>
              </w:rPr>
            </w:pPr>
            <w:r>
              <w:rPr>
                <w:rFonts w:ascii="Times New Roman"/>
                <w:sz w:val="21"/>
              </w:rPr>
              <w:t>60.00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2" w:right="0"/>
              <w:jc w:val="left"/>
              <w:rPr>
                <w:rFonts w:ascii="Times New Roman" w:hAnsi="Times New Roman" w:cs="Times New Roman" w:eastAsia="Times New Roman" w:hint="default"/>
                <w:sz w:val="21"/>
                <w:szCs w:val="21"/>
              </w:rPr>
            </w:pPr>
            <w:r>
              <w:rPr>
                <w:rFonts w:ascii="Times New Roman"/>
                <w:sz w:val="21"/>
              </w:rPr>
              <w:t>25,224,7</w:t>
            </w:r>
          </w:p>
          <w:p>
            <w:pPr>
              <w:pStyle w:val="TableParagraph"/>
              <w:spacing w:line="240" w:lineRule="auto" w:before="1"/>
              <w:ind w:left="434" w:right="0"/>
              <w:jc w:val="left"/>
              <w:rPr>
                <w:rFonts w:ascii="Times New Roman" w:hAnsi="Times New Roman" w:cs="Times New Roman" w:eastAsia="Times New Roman" w:hint="default"/>
                <w:sz w:val="21"/>
                <w:szCs w:val="21"/>
              </w:rPr>
            </w:pPr>
            <w:r>
              <w:rPr>
                <w:rFonts w:ascii="Times New Roman"/>
                <w:sz w:val="21"/>
              </w:rPr>
              <w:t>88.56</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0" w:right="0"/>
              <w:jc w:val="center"/>
              <w:rPr>
                <w:rFonts w:ascii="Times New Roman" w:hAnsi="Times New Roman" w:cs="Times New Roman" w:eastAsia="Times New Roman" w:hint="default"/>
                <w:sz w:val="21"/>
                <w:szCs w:val="21"/>
              </w:rPr>
            </w:pPr>
            <w:r>
              <w:rPr>
                <w:rFonts w:ascii="Times New Roman"/>
                <w:sz w:val="21"/>
              </w:rPr>
              <w:t>157,195,</w:t>
            </w:r>
          </w:p>
          <w:p>
            <w:pPr>
              <w:pStyle w:val="TableParagraph"/>
              <w:spacing w:line="240" w:lineRule="auto" w:before="1"/>
              <w:ind w:left="215" w:right="0"/>
              <w:jc w:val="center"/>
              <w:rPr>
                <w:rFonts w:ascii="Times New Roman" w:hAnsi="Times New Roman" w:cs="Times New Roman" w:eastAsia="Times New Roman" w:hint="default"/>
                <w:sz w:val="21"/>
                <w:szCs w:val="21"/>
              </w:rPr>
            </w:pPr>
            <w:r>
              <w:rPr>
                <w:rFonts w:ascii="Times New Roman"/>
                <w:sz w:val="21"/>
              </w:rPr>
              <w:t>843.46</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81" w:right="0"/>
              <w:jc w:val="center"/>
              <w:rPr>
                <w:rFonts w:ascii="Times New Roman" w:hAnsi="Times New Roman" w:cs="Times New Roman" w:eastAsia="Times New Roman" w:hint="default"/>
                <w:sz w:val="21"/>
                <w:szCs w:val="21"/>
              </w:rPr>
            </w:pPr>
            <w:r>
              <w:rPr>
                <w:rFonts w:ascii="Times New Roman"/>
                <w:sz w:val="21"/>
              </w:rPr>
              <w:t>281,159,</w:t>
            </w:r>
          </w:p>
          <w:p>
            <w:pPr>
              <w:pStyle w:val="TableParagraph"/>
              <w:spacing w:line="240" w:lineRule="auto" w:before="1"/>
              <w:ind w:left="238" w:right="0"/>
              <w:jc w:val="center"/>
              <w:rPr>
                <w:rFonts w:ascii="Times New Roman" w:hAnsi="Times New Roman" w:cs="Times New Roman" w:eastAsia="Times New Roman" w:hint="default"/>
                <w:sz w:val="21"/>
                <w:szCs w:val="21"/>
              </w:rPr>
            </w:pPr>
            <w:r>
              <w:rPr>
                <w:rFonts w:ascii="Times New Roman"/>
                <w:sz w:val="21"/>
              </w:rPr>
              <w:t>992.02</w:t>
            </w: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9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left="122" w:right="0"/>
              <w:jc w:val="left"/>
              <w:rPr>
                <w:rFonts w:ascii="Times New Roman" w:hAnsi="Times New Roman" w:cs="Times New Roman" w:eastAsia="Times New Roman" w:hint="default"/>
                <w:sz w:val="21"/>
                <w:szCs w:val="21"/>
              </w:rPr>
            </w:pPr>
            <w:r>
              <w:rPr>
                <w:rFonts w:ascii="Times New Roman"/>
                <w:sz w:val="21"/>
              </w:rPr>
              <w:t>45,750,00</w:t>
            </w:r>
          </w:p>
          <w:p>
            <w:pPr>
              <w:pStyle w:val="TableParagraph"/>
              <w:spacing w:line="240" w:lineRule="auto" w:before="1"/>
              <w:ind w:left="595" w:right="0"/>
              <w:jc w:val="left"/>
              <w:rPr>
                <w:rFonts w:ascii="Times New Roman" w:hAnsi="Times New Roman" w:cs="Times New Roman" w:eastAsia="Times New Roman" w:hint="default"/>
                <w:sz w:val="21"/>
                <w:szCs w:val="21"/>
              </w:rPr>
            </w:pPr>
            <w:r>
              <w:rPr>
                <w:rFonts w:ascii="Times New Roman"/>
                <w:sz w:val="21"/>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left="189" w:right="0"/>
              <w:jc w:val="left"/>
              <w:rPr>
                <w:rFonts w:ascii="Times New Roman" w:hAnsi="Times New Roman" w:cs="Times New Roman" w:eastAsia="Times New Roman" w:hint="default"/>
                <w:sz w:val="21"/>
                <w:szCs w:val="21"/>
              </w:rPr>
            </w:pPr>
            <w:r>
              <w:rPr>
                <w:rFonts w:ascii="Times New Roman"/>
                <w:sz w:val="21"/>
              </w:rPr>
              <w:t>52,989,3</w:t>
            </w:r>
          </w:p>
          <w:p>
            <w:pPr>
              <w:pStyle w:val="TableParagraph"/>
              <w:spacing w:line="240" w:lineRule="auto" w:before="1"/>
              <w:ind w:left="451" w:right="0"/>
              <w:jc w:val="left"/>
              <w:rPr>
                <w:rFonts w:ascii="Times New Roman" w:hAnsi="Times New Roman" w:cs="Times New Roman" w:eastAsia="Times New Roman" w:hint="default"/>
                <w:sz w:val="21"/>
                <w:szCs w:val="21"/>
              </w:rPr>
            </w:pPr>
            <w:r>
              <w:rPr>
                <w:rFonts w:ascii="Times New Roman"/>
                <w:sz w:val="21"/>
              </w:rPr>
              <w:t>60.00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2" w:right="0"/>
              <w:jc w:val="left"/>
              <w:rPr>
                <w:rFonts w:ascii="Times New Roman" w:hAnsi="Times New Roman" w:cs="Times New Roman" w:eastAsia="Times New Roman" w:hint="default"/>
                <w:sz w:val="21"/>
                <w:szCs w:val="21"/>
              </w:rPr>
            </w:pPr>
            <w:r>
              <w:rPr>
                <w:rFonts w:ascii="Times New Roman"/>
                <w:sz w:val="21"/>
              </w:rPr>
              <w:t>25,224,7</w:t>
            </w:r>
          </w:p>
          <w:p>
            <w:pPr>
              <w:pStyle w:val="TableParagraph"/>
              <w:spacing w:line="240" w:lineRule="auto" w:before="1"/>
              <w:ind w:left="434" w:right="0"/>
              <w:jc w:val="left"/>
              <w:rPr>
                <w:rFonts w:ascii="Times New Roman" w:hAnsi="Times New Roman" w:cs="Times New Roman" w:eastAsia="Times New Roman" w:hint="default"/>
                <w:sz w:val="21"/>
                <w:szCs w:val="21"/>
              </w:rPr>
            </w:pPr>
            <w:r>
              <w:rPr>
                <w:rFonts w:ascii="Times New Roman"/>
                <w:sz w:val="21"/>
              </w:rPr>
              <w:t>88.56</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0" w:right="0"/>
              <w:jc w:val="center"/>
              <w:rPr>
                <w:rFonts w:ascii="Times New Roman" w:hAnsi="Times New Roman" w:cs="Times New Roman" w:eastAsia="Times New Roman" w:hint="default"/>
                <w:sz w:val="21"/>
                <w:szCs w:val="21"/>
              </w:rPr>
            </w:pPr>
            <w:r>
              <w:rPr>
                <w:rFonts w:ascii="Times New Roman"/>
                <w:sz w:val="21"/>
              </w:rPr>
              <w:t>157,195,</w:t>
            </w:r>
          </w:p>
          <w:p>
            <w:pPr>
              <w:pStyle w:val="TableParagraph"/>
              <w:spacing w:line="240" w:lineRule="auto" w:before="1"/>
              <w:ind w:left="215" w:right="0"/>
              <w:jc w:val="center"/>
              <w:rPr>
                <w:rFonts w:ascii="Times New Roman" w:hAnsi="Times New Roman" w:cs="Times New Roman" w:eastAsia="Times New Roman" w:hint="default"/>
                <w:sz w:val="21"/>
                <w:szCs w:val="21"/>
              </w:rPr>
            </w:pPr>
            <w:r>
              <w:rPr>
                <w:rFonts w:ascii="Times New Roman"/>
                <w:sz w:val="21"/>
              </w:rPr>
              <w:t>843.46</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81" w:right="0"/>
              <w:jc w:val="center"/>
              <w:rPr>
                <w:rFonts w:ascii="Times New Roman" w:hAnsi="Times New Roman" w:cs="Times New Roman" w:eastAsia="Times New Roman" w:hint="default"/>
                <w:sz w:val="21"/>
                <w:szCs w:val="21"/>
              </w:rPr>
            </w:pPr>
            <w:r>
              <w:rPr>
                <w:rFonts w:ascii="Times New Roman"/>
                <w:sz w:val="21"/>
              </w:rPr>
              <w:t>281,159,</w:t>
            </w:r>
          </w:p>
          <w:p>
            <w:pPr>
              <w:pStyle w:val="TableParagraph"/>
              <w:spacing w:line="240" w:lineRule="auto" w:before="1"/>
              <w:ind w:left="238" w:right="0"/>
              <w:jc w:val="center"/>
              <w:rPr>
                <w:rFonts w:ascii="Times New Roman" w:hAnsi="Times New Roman" w:cs="Times New Roman" w:eastAsia="Times New Roman" w:hint="default"/>
                <w:sz w:val="21"/>
                <w:szCs w:val="21"/>
              </w:rPr>
            </w:pPr>
            <w:r>
              <w:rPr>
                <w:rFonts w:ascii="Times New Roman"/>
                <w:sz w:val="21"/>
              </w:rPr>
              <w:t>992.02</w:t>
            </w:r>
          </w:p>
        </w:tc>
      </w:tr>
      <w:tr>
        <w:trPr>
          <w:trHeight w:val="49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w:t>
            </w:r>
          </w:p>
          <w:p>
            <w:pPr>
              <w:pStyle w:val="TableParagraph"/>
              <w:spacing w:line="248"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left="122" w:right="0"/>
              <w:jc w:val="left"/>
              <w:rPr>
                <w:rFonts w:ascii="Times New Roman" w:hAnsi="Times New Roman" w:cs="Times New Roman" w:eastAsia="Times New Roman" w:hint="default"/>
                <w:sz w:val="21"/>
                <w:szCs w:val="21"/>
              </w:rPr>
            </w:pPr>
            <w:r>
              <w:rPr>
                <w:rFonts w:ascii="Times New Roman"/>
                <w:sz w:val="21"/>
              </w:rPr>
              <w:t>15,250,00</w:t>
            </w:r>
          </w:p>
          <w:p>
            <w:pPr>
              <w:pStyle w:val="TableParagraph"/>
              <w:spacing w:line="241" w:lineRule="exact"/>
              <w:ind w:left="595" w:right="0"/>
              <w:jc w:val="left"/>
              <w:rPr>
                <w:rFonts w:ascii="Times New Roman" w:hAnsi="Times New Roman" w:cs="Times New Roman" w:eastAsia="Times New Roman" w:hint="default"/>
                <w:sz w:val="21"/>
                <w:szCs w:val="21"/>
              </w:rPr>
            </w:pPr>
            <w:r>
              <w:rPr>
                <w:rFonts w:ascii="Times New Roman"/>
                <w:sz w:val="21"/>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88" w:right="0"/>
              <w:jc w:val="center"/>
              <w:rPr>
                <w:rFonts w:ascii="Times New Roman" w:hAnsi="Times New Roman" w:cs="Times New Roman" w:eastAsia="Times New Roman" w:hint="default"/>
                <w:sz w:val="21"/>
                <w:szCs w:val="21"/>
              </w:rPr>
            </w:pPr>
            <w:r>
              <w:rPr>
                <w:rFonts w:ascii="Times New Roman"/>
                <w:sz w:val="21"/>
              </w:rPr>
              <w:t>197,521,</w:t>
            </w:r>
          </w:p>
          <w:p>
            <w:pPr>
              <w:pStyle w:val="TableParagraph"/>
              <w:spacing w:line="241" w:lineRule="exact"/>
              <w:ind w:left="244" w:right="0"/>
              <w:jc w:val="center"/>
              <w:rPr>
                <w:rFonts w:ascii="Times New Roman" w:hAnsi="Times New Roman" w:cs="Times New Roman" w:eastAsia="Times New Roman" w:hint="default"/>
                <w:sz w:val="21"/>
                <w:szCs w:val="21"/>
              </w:rPr>
            </w:pPr>
            <w:r>
              <w:rPr>
                <w:rFonts w:ascii="Times New Roman"/>
                <w:sz w:val="21"/>
              </w:rPr>
              <w:t>653.04</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72" w:right="0"/>
              <w:jc w:val="left"/>
              <w:rPr>
                <w:rFonts w:ascii="Times New Roman" w:hAnsi="Times New Roman" w:cs="Times New Roman" w:eastAsia="Times New Roman" w:hint="default"/>
                <w:sz w:val="21"/>
                <w:szCs w:val="21"/>
              </w:rPr>
            </w:pPr>
            <w:r>
              <w:rPr>
                <w:rFonts w:ascii="Times New Roman"/>
                <w:sz w:val="21"/>
              </w:rPr>
              <w:t>3,369,03</w:t>
            </w:r>
          </w:p>
          <w:p>
            <w:pPr>
              <w:pStyle w:val="TableParagraph"/>
              <w:spacing w:line="241" w:lineRule="exact"/>
              <w:ind w:left="539" w:right="0"/>
              <w:jc w:val="left"/>
              <w:rPr>
                <w:rFonts w:ascii="Times New Roman" w:hAnsi="Times New Roman" w:cs="Times New Roman" w:eastAsia="Times New Roman" w:hint="default"/>
                <w:sz w:val="21"/>
                <w:szCs w:val="21"/>
              </w:rPr>
            </w:pPr>
            <w:r>
              <w:rPr>
                <w:rFonts w:ascii="Times New Roman"/>
                <w:sz w:val="21"/>
              </w:rPr>
              <w:t>0.68</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58" w:right="0"/>
              <w:jc w:val="left"/>
              <w:rPr>
                <w:rFonts w:ascii="Times New Roman" w:hAnsi="Times New Roman" w:cs="Times New Roman" w:eastAsia="Times New Roman" w:hint="default"/>
                <w:sz w:val="21"/>
                <w:szCs w:val="21"/>
              </w:rPr>
            </w:pPr>
            <w:r>
              <w:rPr>
                <w:rFonts w:ascii="Times New Roman"/>
                <w:sz w:val="21"/>
              </w:rPr>
              <w:t>24,831,2</w:t>
            </w:r>
          </w:p>
          <w:p>
            <w:pPr>
              <w:pStyle w:val="TableParagraph"/>
              <w:spacing w:line="241" w:lineRule="exact"/>
              <w:ind w:left="419" w:right="0"/>
              <w:jc w:val="left"/>
              <w:rPr>
                <w:rFonts w:ascii="Times New Roman" w:hAnsi="Times New Roman" w:cs="Times New Roman" w:eastAsia="Times New Roman" w:hint="default"/>
                <w:sz w:val="21"/>
                <w:szCs w:val="21"/>
              </w:rPr>
            </w:pPr>
            <w:r>
              <w:rPr>
                <w:rFonts w:ascii="Times New Roman"/>
                <w:sz w:val="21"/>
              </w:rPr>
              <w:t>76.13</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81" w:right="0"/>
              <w:jc w:val="center"/>
              <w:rPr>
                <w:rFonts w:ascii="Times New Roman" w:hAnsi="Times New Roman" w:cs="Times New Roman" w:eastAsia="Times New Roman" w:hint="default"/>
                <w:sz w:val="21"/>
                <w:szCs w:val="21"/>
              </w:rPr>
            </w:pPr>
            <w:r>
              <w:rPr>
                <w:rFonts w:ascii="Times New Roman"/>
                <w:sz w:val="21"/>
              </w:rPr>
              <w:t>240,971,</w:t>
            </w:r>
          </w:p>
          <w:p>
            <w:pPr>
              <w:pStyle w:val="TableParagraph"/>
              <w:spacing w:line="241" w:lineRule="exact"/>
              <w:ind w:left="238" w:right="0"/>
              <w:jc w:val="center"/>
              <w:rPr>
                <w:rFonts w:ascii="Times New Roman" w:hAnsi="Times New Roman" w:cs="Times New Roman" w:eastAsia="Times New Roman" w:hint="default"/>
                <w:sz w:val="21"/>
                <w:szCs w:val="21"/>
              </w:rPr>
            </w:pPr>
            <w:r>
              <w:rPr>
                <w:rFonts w:ascii="Times New Roman"/>
                <w:sz w:val="21"/>
              </w:rPr>
              <w:t>959.85</w:t>
            </w:r>
          </w:p>
        </w:tc>
      </w:tr>
      <w:tr>
        <w:trPr>
          <w:trHeight w:val="49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8" w:right="0"/>
              <w:jc w:val="left"/>
              <w:rPr>
                <w:rFonts w:ascii="Times New Roman" w:hAnsi="Times New Roman" w:cs="Times New Roman" w:eastAsia="Times New Roman" w:hint="default"/>
                <w:sz w:val="21"/>
                <w:szCs w:val="21"/>
              </w:rPr>
            </w:pPr>
            <w:r>
              <w:rPr>
                <w:rFonts w:ascii="Times New Roman"/>
                <w:sz w:val="21"/>
              </w:rPr>
              <w:t>33,690,3</w:t>
            </w:r>
          </w:p>
          <w:p>
            <w:pPr>
              <w:pStyle w:val="TableParagraph"/>
              <w:spacing w:line="240" w:lineRule="auto" w:before="1"/>
              <w:ind w:left="419" w:right="0"/>
              <w:jc w:val="left"/>
              <w:rPr>
                <w:rFonts w:ascii="Times New Roman" w:hAnsi="Times New Roman" w:cs="Times New Roman" w:eastAsia="Times New Roman" w:hint="default"/>
                <w:sz w:val="21"/>
                <w:szCs w:val="21"/>
              </w:rPr>
            </w:pPr>
            <w:r>
              <w:rPr>
                <w:rFonts w:ascii="Times New Roman"/>
                <w:sz w:val="21"/>
              </w:rPr>
              <w:t>06.81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33,690,3</w:t>
            </w:r>
          </w:p>
          <w:p>
            <w:pPr>
              <w:pStyle w:val="TableParagraph"/>
              <w:spacing w:line="240" w:lineRule="auto" w:before="1"/>
              <w:ind w:left="439" w:right="0"/>
              <w:jc w:val="left"/>
              <w:rPr>
                <w:rFonts w:ascii="Times New Roman" w:hAnsi="Times New Roman" w:cs="Times New Roman" w:eastAsia="Times New Roman" w:hint="default"/>
                <w:sz w:val="21"/>
                <w:szCs w:val="21"/>
              </w:rPr>
            </w:pPr>
            <w:r>
              <w:rPr>
                <w:rFonts w:ascii="Times New Roman"/>
                <w:sz w:val="21"/>
              </w:rPr>
              <w:t>06.81</w:t>
            </w:r>
          </w:p>
        </w:tc>
      </w:tr>
      <w:tr>
        <w:trPr>
          <w:trHeight w:val="49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（二）所有者投入和减少资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left="122" w:right="0"/>
              <w:jc w:val="left"/>
              <w:rPr>
                <w:rFonts w:ascii="Times New Roman" w:hAnsi="Times New Roman" w:cs="Times New Roman" w:eastAsia="Times New Roman" w:hint="default"/>
                <w:sz w:val="21"/>
                <w:szCs w:val="21"/>
              </w:rPr>
            </w:pPr>
            <w:r>
              <w:rPr>
                <w:rFonts w:ascii="Times New Roman"/>
                <w:sz w:val="21"/>
              </w:rPr>
              <w:t>15,250,00</w:t>
            </w:r>
          </w:p>
          <w:p>
            <w:pPr>
              <w:pStyle w:val="TableParagraph"/>
              <w:spacing w:line="241" w:lineRule="exact"/>
              <w:ind w:left="595" w:right="0"/>
              <w:jc w:val="left"/>
              <w:rPr>
                <w:rFonts w:ascii="Times New Roman" w:hAnsi="Times New Roman" w:cs="Times New Roman" w:eastAsia="Times New Roman" w:hint="default"/>
                <w:sz w:val="21"/>
                <w:szCs w:val="21"/>
              </w:rPr>
            </w:pPr>
            <w:r>
              <w:rPr>
                <w:rFonts w:ascii="Times New Roman"/>
                <w:sz w:val="21"/>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88" w:right="0"/>
              <w:jc w:val="center"/>
              <w:rPr>
                <w:rFonts w:ascii="Times New Roman" w:hAnsi="Times New Roman" w:cs="Times New Roman" w:eastAsia="Times New Roman" w:hint="default"/>
                <w:sz w:val="21"/>
                <w:szCs w:val="21"/>
              </w:rPr>
            </w:pPr>
            <w:r>
              <w:rPr>
                <w:rFonts w:ascii="Times New Roman"/>
                <w:sz w:val="21"/>
              </w:rPr>
              <w:t>197,521,</w:t>
            </w:r>
          </w:p>
          <w:p>
            <w:pPr>
              <w:pStyle w:val="TableParagraph"/>
              <w:spacing w:line="241" w:lineRule="exact"/>
              <w:ind w:left="244" w:right="0"/>
              <w:jc w:val="center"/>
              <w:rPr>
                <w:rFonts w:ascii="Times New Roman" w:hAnsi="Times New Roman" w:cs="Times New Roman" w:eastAsia="Times New Roman" w:hint="default"/>
                <w:sz w:val="21"/>
                <w:szCs w:val="21"/>
              </w:rPr>
            </w:pPr>
            <w:r>
              <w:rPr>
                <w:rFonts w:ascii="Times New Roman"/>
                <w:sz w:val="21"/>
              </w:rPr>
              <w:t>653.04</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81" w:right="0"/>
              <w:jc w:val="center"/>
              <w:rPr>
                <w:rFonts w:ascii="Times New Roman" w:hAnsi="Times New Roman" w:cs="Times New Roman" w:eastAsia="Times New Roman" w:hint="default"/>
                <w:sz w:val="21"/>
                <w:szCs w:val="21"/>
              </w:rPr>
            </w:pPr>
            <w:r>
              <w:rPr>
                <w:rFonts w:ascii="Times New Roman"/>
                <w:sz w:val="21"/>
              </w:rPr>
              <w:t>212,771,</w:t>
            </w:r>
          </w:p>
          <w:p>
            <w:pPr>
              <w:pStyle w:val="TableParagraph"/>
              <w:spacing w:line="241" w:lineRule="exact"/>
              <w:ind w:left="238" w:right="0"/>
              <w:jc w:val="center"/>
              <w:rPr>
                <w:rFonts w:ascii="Times New Roman" w:hAnsi="Times New Roman" w:cs="Times New Roman" w:eastAsia="Times New Roman" w:hint="default"/>
                <w:sz w:val="21"/>
                <w:szCs w:val="21"/>
              </w:rPr>
            </w:pPr>
            <w:r>
              <w:rPr>
                <w:rFonts w:ascii="Times New Roman"/>
                <w:sz w:val="21"/>
              </w:rPr>
              <w:t>653.04</w:t>
            </w:r>
          </w:p>
        </w:tc>
      </w:tr>
      <w:tr>
        <w:trPr>
          <w:trHeight w:val="49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left="122" w:right="0"/>
              <w:jc w:val="left"/>
              <w:rPr>
                <w:rFonts w:ascii="Times New Roman" w:hAnsi="Times New Roman" w:cs="Times New Roman" w:eastAsia="Times New Roman" w:hint="default"/>
                <w:sz w:val="21"/>
                <w:szCs w:val="21"/>
              </w:rPr>
            </w:pPr>
            <w:r>
              <w:rPr>
                <w:rFonts w:ascii="Times New Roman"/>
                <w:sz w:val="21"/>
              </w:rPr>
              <w:t>15,250,00</w:t>
            </w:r>
          </w:p>
          <w:p>
            <w:pPr>
              <w:pStyle w:val="TableParagraph"/>
              <w:spacing w:line="240" w:lineRule="auto" w:before="1"/>
              <w:ind w:left="595" w:right="0"/>
              <w:jc w:val="left"/>
              <w:rPr>
                <w:rFonts w:ascii="Times New Roman" w:hAnsi="Times New Roman" w:cs="Times New Roman" w:eastAsia="Times New Roman" w:hint="default"/>
                <w:sz w:val="21"/>
                <w:szCs w:val="21"/>
              </w:rPr>
            </w:pPr>
            <w:r>
              <w:rPr>
                <w:rFonts w:ascii="Times New Roman"/>
                <w:sz w:val="21"/>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88" w:right="0"/>
              <w:jc w:val="center"/>
              <w:rPr>
                <w:rFonts w:ascii="Times New Roman" w:hAnsi="Times New Roman" w:cs="Times New Roman" w:eastAsia="Times New Roman" w:hint="default"/>
                <w:sz w:val="21"/>
                <w:szCs w:val="21"/>
              </w:rPr>
            </w:pPr>
            <w:r>
              <w:rPr>
                <w:rFonts w:ascii="Times New Roman"/>
                <w:sz w:val="21"/>
              </w:rPr>
              <w:t>197,521,</w:t>
            </w:r>
          </w:p>
          <w:p>
            <w:pPr>
              <w:pStyle w:val="TableParagraph"/>
              <w:spacing w:line="240" w:lineRule="auto" w:before="1"/>
              <w:ind w:left="244" w:right="0"/>
              <w:jc w:val="center"/>
              <w:rPr>
                <w:rFonts w:ascii="Times New Roman" w:hAnsi="Times New Roman" w:cs="Times New Roman" w:eastAsia="Times New Roman" w:hint="default"/>
                <w:sz w:val="21"/>
                <w:szCs w:val="21"/>
              </w:rPr>
            </w:pPr>
            <w:r>
              <w:rPr>
                <w:rFonts w:ascii="Times New Roman"/>
                <w:sz w:val="21"/>
              </w:rPr>
              <w:t>653.04</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81" w:right="0"/>
              <w:jc w:val="center"/>
              <w:rPr>
                <w:rFonts w:ascii="Times New Roman" w:hAnsi="Times New Roman" w:cs="Times New Roman" w:eastAsia="Times New Roman" w:hint="default"/>
                <w:sz w:val="21"/>
                <w:szCs w:val="21"/>
              </w:rPr>
            </w:pPr>
            <w:r>
              <w:rPr>
                <w:rFonts w:ascii="Times New Roman"/>
                <w:sz w:val="21"/>
              </w:rPr>
              <w:t>212,771,</w:t>
            </w:r>
          </w:p>
          <w:p>
            <w:pPr>
              <w:pStyle w:val="TableParagraph"/>
              <w:spacing w:line="240" w:lineRule="auto" w:before="1"/>
              <w:ind w:left="238" w:right="0"/>
              <w:jc w:val="center"/>
              <w:rPr>
                <w:rFonts w:ascii="Times New Roman" w:hAnsi="Times New Roman" w:cs="Times New Roman" w:eastAsia="Times New Roman" w:hint="default"/>
                <w:sz w:val="21"/>
                <w:szCs w:val="21"/>
              </w:rPr>
            </w:pPr>
            <w:r>
              <w:rPr>
                <w:rFonts w:ascii="Times New Roman"/>
                <w:sz w:val="21"/>
              </w:rPr>
              <w:t>653.04</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20" w:bottom="1380" w:left="13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9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2" w:right="0"/>
              <w:jc w:val="left"/>
              <w:rPr>
                <w:rFonts w:ascii="Times New Roman" w:hAnsi="Times New Roman" w:cs="Times New Roman" w:eastAsia="Times New Roman" w:hint="default"/>
                <w:sz w:val="21"/>
                <w:szCs w:val="21"/>
              </w:rPr>
            </w:pPr>
            <w:r>
              <w:rPr>
                <w:rFonts w:ascii="Times New Roman"/>
                <w:sz w:val="21"/>
              </w:rPr>
              <w:t>3,369,03</w:t>
            </w:r>
          </w:p>
          <w:p>
            <w:pPr>
              <w:pStyle w:val="TableParagraph"/>
              <w:spacing w:line="240" w:lineRule="auto" w:before="1"/>
              <w:ind w:left="539" w:right="0"/>
              <w:jc w:val="left"/>
              <w:rPr>
                <w:rFonts w:ascii="Times New Roman" w:hAnsi="Times New Roman" w:cs="Times New Roman" w:eastAsia="Times New Roman" w:hint="default"/>
                <w:sz w:val="21"/>
                <w:szCs w:val="21"/>
              </w:rPr>
            </w:pPr>
            <w:r>
              <w:rPr>
                <w:rFonts w:ascii="Times New Roman"/>
                <w:sz w:val="21"/>
              </w:rPr>
              <w:t>0.68</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91" w:right="0"/>
              <w:jc w:val="left"/>
              <w:rPr>
                <w:rFonts w:ascii="Times New Roman" w:hAnsi="Times New Roman" w:cs="Times New Roman" w:eastAsia="Times New Roman" w:hint="default"/>
                <w:sz w:val="21"/>
                <w:szCs w:val="21"/>
              </w:rPr>
            </w:pPr>
            <w:r>
              <w:rPr>
                <w:rFonts w:ascii="Times New Roman"/>
                <w:sz w:val="21"/>
              </w:rPr>
              <w:t>-8,859,0</w:t>
            </w:r>
          </w:p>
          <w:p>
            <w:pPr>
              <w:pStyle w:val="TableParagraph"/>
              <w:spacing w:line="240" w:lineRule="auto" w:before="1"/>
              <w:ind w:left="419" w:right="0"/>
              <w:jc w:val="left"/>
              <w:rPr>
                <w:rFonts w:ascii="Times New Roman" w:hAnsi="Times New Roman" w:cs="Times New Roman" w:eastAsia="Times New Roman" w:hint="default"/>
                <w:sz w:val="21"/>
                <w:szCs w:val="21"/>
              </w:rPr>
            </w:pPr>
            <w:r>
              <w:rPr>
                <w:rFonts w:ascii="Times New Roman"/>
                <w:sz w:val="21"/>
              </w:rPr>
              <w:t>30.68</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8" w:right="0"/>
              <w:jc w:val="left"/>
              <w:rPr>
                <w:rFonts w:ascii="Times New Roman" w:hAnsi="Times New Roman" w:cs="Times New Roman" w:eastAsia="Times New Roman" w:hint="default"/>
                <w:sz w:val="21"/>
                <w:szCs w:val="21"/>
              </w:rPr>
            </w:pPr>
            <w:r>
              <w:rPr>
                <w:rFonts w:ascii="Times New Roman"/>
                <w:sz w:val="21"/>
              </w:rPr>
              <w:t>-5,490,00</w:t>
            </w:r>
          </w:p>
          <w:p>
            <w:pPr>
              <w:pStyle w:val="TableParagraph"/>
              <w:spacing w:line="240" w:lineRule="auto" w:before="1"/>
              <w:ind w:left="545" w:right="0"/>
              <w:jc w:val="left"/>
              <w:rPr>
                <w:rFonts w:ascii="Times New Roman" w:hAnsi="Times New Roman" w:cs="Times New Roman" w:eastAsia="Times New Roman" w:hint="default"/>
                <w:sz w:val="21"/>
                <w:szCs w:val="21"/>
              </w:rPr>
            </w:pPr>
            <w:r>
              <w:rPr>
                <w:rFonts w:ascii="Times New Roman"/>
                <w:sz w:val="21"/>
              </w:rPr>
              <w:t>0.00</w:t>
            </w:r>
          </w:p>
        </w:tc>
      </w:tr>
      <w:tr>
        <w:trPr>
          <w:trHeight w:val="49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2" w:right="0"/>
              <w:jc w:val="left"/>
              <w:rPr>
                <w:rFonts w:ascii="Times New Roman" w:hAnsi="Times New Roman" w:cs="Times New Roman" w:eastAsia="Times New Roman" w:hint="default"/>
                <w:sz w:val="21"/>
                <w:szCs w:val="21"/>
              </w:rPr>
            </w:pPr>
            <w:r>
              <w:rPr>
                <w:rFonts w:ascii="Times New Roman"/>
                <w:sz w:val="21"/>
              </w:rPr>
              <w:t>3,369,03</w:t>
            </w:r>
          </w:p>
          <w:p>
            <w:pPr>
              <w:pStyle w:val="TableParagraph"/>
              <w:spacing w:line="240" w:lineRule="auto" w:before="1"/>
              <w:ind w:left="539" w:right="0"/>
              <w:jc w:val="left"/>
              <w:rPr>
                <w:rFonts w:ascii="Times New Roman" w:hAnsi="Times New Roman" w:cs="Times New Roman" w:eastAsia="Times New Roman" w:hint="default"/>
                <w:sz w:val="21"/>
                <w:szCs w:val="21"/>
              </w:rPr>
            </w:pPr>
            <w:r>
              <w:rPr>
                <w:rFonts w:ascii="Times New Roman"/>
                <w:sz w:val="21"/>
              </w:rPr>
              <w:t>0.68</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91" w:right="0"/>
              <w:jc w:val="left"/>
              <w:rPr>
                <w:rFonts w:ascii="Times New Roman" w:hAnsi="Times New Roman" w:cs="Times New Roman" w:eastAsia="Times New Roman" w:hint="default"/>
                <w:sz w:val="21"/>
                <w:szCs w:val="21"/>
              </w:rPr>
            </w:pPr>
            <w:r>
              <w:rPr>
                <w:rFonts w:ascii="Times New Roman"/>
                <w:sz w:val="21"/>
              </w:rPr>
              <w:t>-3,369,0</w:t>
            </w:r>
          </w:p>
          <w:p>
            <w:pPr>
              <w:pStyle w:val="TableParagraph"/>
              <w:spacing w:line="240" w:lineRule="auto" w:before="1"/>
              <w:ind w:left="419" w:right="0"/>
              <w:jc w:val="left"/>
              <w:rPr>
                <w:rFonts w:ascii="Times New Roman" w:hAnsi="Times New Roman" w:cs="Times New Roman" w:eastAsia="Times New Roman" w:hint="default"/>
                <w:sz w:val="21"/>
                <w:szCs w:val="21"/>
              </w:rPr>
            </w:pPr>
            <w:r>
              <w:rPr>
                <w:rFonts w:ascii="Times New Roman"/>
                <w:sz w:val="21"/>
              </w:rPr>
              <w:t>30.68</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54"/>
              <w:jc w:val="right"/>
              <w:rPr>
                <w:rFonts w:ascii="Times New Roman" w:hAnsi="Times New Roman" w:cs="Times New Roman" w:eastAsia="Times New Roman" w:hint="default"/>
                <w:sz w:val="21"/>
                <w:szCs w:val="21"/>
              </w:rPr>
            </w:pPr>
            <w:r>
              <w:rPr>
                <w:rFonts w:ascii="Times New Roman"/>
                <w:w w:val="100"/>
                <w:sz w:val="21"/>
              </w:rPr>
              <w:t>-</w:t>
            </w:r>
          </w:p>
        </w:tc>
      </w:tr>
      <w:tr>
        <w:trPr>
          <w:trHeight w:val="49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91" w:right="0"/>
              <w:jc w:val="left"/>
              <w:rPr>
                <w:rFonts w:ascii="Times New Roman" w:hAnsi="Times New Roman" w:cs="Times New Roman" w:eastAsia="Times New Roman" w:hint="default"/>
                <w:sz w:val="21"/>
                <w:szCs w:val="21"/>
              </w:rPr>
            </w:pPr>
            <w:r>
              <w:rPr>
                <w:rFonts w:ascii="Times New Roman"/>
                <w:sz w:val="21"/>
              </w:rPr>
              <w:t>-5,490,0</w:t>
            </w:r>
          </w:p>
          <w:p>
            <w:pPr>
              <w:pStyle w:val="TableParagraph"/>
              <w:spacing w:line="240" w:lineRule="auto" w:before="1"/>
              <w:ind w:left="419" w:right="0"/>
              <w:jc w:val="left"/>
              <w:rPr>
                <w:rFonts w:ascii="Times New Roman" w:hAnsi="Times New Roman" w:cs="Times New Roman" w:eastAsia="Times New Roman" w:hint="default"/>
                <w:sz w:val="21"/>
                <w:szCs w:val="21"/>
              </w:rPr>
            </w:pPr>
            <w:r>
              <w:rPr>
                <w:rFonts w:ascii="Times New Roman"/>
                <w:sz w:val="21"/>
              </w:rPr>
              <w:t>00.00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8" w:right="0"/>
              <w:jc w:val="left"/>
              <w:rPr>
                <w:rFonts w:ascii="Times New Roman" w:hAnsi="Times New Roman" w:cs="Times New Roman" w:eastAsia="Times New Roman" w:hint="default"/>
                <w:sz w:val="21"/>
                <w:szCs w:val="21"/>
              </w:rPr>
            </w:pPr>
            <w:r>
              <w:rPr>
                <w:rFonts w:ascii="Times New Roman"/>
                <w:sz w:val="21"/>
              </w:rPr>
              <w:t>-5,490,00</w:t>
            </w:r>
          </w:p>
          <w:p>
            <w:pPr>
              <w:pStyle w:val="TableParagraph"/>
              <w:spacing w:line="240" w:lineRule="auto" w:before="1"/>
              <w:ind w:left="545" w:right="0"/>
              <w:jc w:val="left"/>
              <w:rPr>
                <w:rFonts w:ascii="Times New Roman" w:hAnsi="Times New Roman" w:cs="Times New Roman" w:eastAsia="Times New Roman" w:hint="default"/>
                <w:sz w:val="21"/>
                <w:szCs w:val="21"/>
              </w:rPr>
            </w:pPr>
            <w:r>
              <w:rPr>
                <w:rFonts w:ascii="Times New Roman"/>
                <w:sz w:val="21"/>
              </w:rPr>
              <w:t>0.00</w:t>
            </w: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50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left="122" w:right="0"/>
              <w:jc w:val="left"/>
              <w:rPr>
                <w:rFonts w:ascii="Times New Roman" w:hAnsi="Times New Roman" w:cs="Times New Roman" w:eastAsia="Times New Roman" w:hint="default"/>
                <w:sz w:val="21"/>
                <w:szCs w:val="21"/>
              </w:rPr>
            </w:pPr>
            <w:r>
              <w:rPr>
                <w:rFonts w:ascii="Times New Roman"/>
                <w:sz w:val="21"/>
              </w:rPr>
              <w:t>61,000,00</w:t>
            </w:r>
          </w:p>
          <w:p>
            <w:pPr>
              <w:pStyle w:val="TableParagraph"/>
              <w:spacing w:line="241" w:lineRule="exact"/>
              <w:ind w:left="595" w:right="0"/>
              <w:jc w:val="left"/>
              <w:rPr>
                <w:rFonts w:ascii="Times New Roman" w:hAnsi="Times New Roman" w:cs="Times New Roman" w:eastAsia="Times New Roman" w:hint="default"/>
                <w:sz w:val="21"/>
                <w:szCs w:val="21"/>
              </w:rPr>
            </w:pPr>
            <w:r>
              <w:rPr>
                <w:rFonts w:ascii="Times New Roman"/>
                <w:sz w:val="21"/>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96" w:right="0"/>
              <w:jc w:val="center"/>
              <w:rPr>
                <w:rFonts w:ascii="Times New Roman" w:hAnsi="Times New Roman" w:cs="Times New Roman" w:eastAsia="Times New Roman" w:hint="default"/>
                <w:sz w:val="21"/>
                <w:szCs w:val="21"/>
              </w:rPr>
            </w:pPr>
            <w:r>
              <w:rPr>
                <w:rFonts w:ascii="Times New Roman"/>
                <w:sz w:val="21"/>
              </w:rPr>
              <w:t>250,511,</w:t>
            </w:r>
          </w:p>
          <w:p>
            <w:pPr>
              <w:pStyle w:val="TableParagraph"/>
              <w:spacing w:line="241" w:lineRule="exact"/>
              <w:ind w:left="244" w:right="0"/>
              <w:jc w:val="center"/>
              <w:rPr>
                <w:rFonts w:ascii="Times New Roman" w:hAnsi="Times New Roman" w:cs="Times New Roman" w:eastAsia="Times New Roman" w:hint="default"/>
                <w:sz w:val="21"/>
                <w:szCs w:val="21"/>
              </w:rPr>
            </w:pPr>
            <w:r>
              <w:rPr>
                <w:rFonts w:ascii="Times New Roman"/>
                <w:sz w:val="21"/>
              </w:rPr>
              <w:t>013.04</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72" w:right="0"/>
              <w:jc w:val="left"/>
              <w:rPr>
                <w:rFonts w:ascii="Times New Roman" w:hAnsi="Times New Roman" w:cs="Times New Roman" w:eastAsia="Times New Roman" w:hint="default"/>
                <w:sz w:val="21"/>
                <w:szCs w:val="21"/>
              </w:rPr>
            </w:pPr>
            <w:r>
              <w:rPr>
                <w:rFonts w:ascii="Times New Roman"/>
                <w:sz w:val="21"/>
              </w:rPr>
              <w:t>28,593,8</w:t>
            </w:r>
          </w:p>
          <w:p>
            <w:pPr>
              <w:pStyle w:val="TableParagraph"/>
              <w:spacing w:line="241" w:lineRule="exact"/>
              <w:ind w:left="434" w:right="0"/>
              <w:jc w:val="left"/>
              <w:rPr>
                <w:rFonts w:ascii="Times New Roman" w:hAnsi="Times New Roman" w:cs="Times New Roman" w:eastAsia="Times New Roman" w:hint="default"/>
                <w:sz w:val="21"/>
                <w:szCs w:val="21"/>
              </w:rPr>
            </w:pPr>
            <w:r>
              <w:rPr>
                <w:rFonts w:ascii="Times New Roman"/>
                <w:sz w:val="21"/>
              </w:rPr>
              <w:t>19.24</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60" w:right="0"/>
              <w:jc w:val="center"/>
              <w:rPr>
                <w:rFonts w:ascii="Times New Roman" w:hAnsi="Times New Roman" w:cs="Times New Roman" w:eastAsia="Times New Roman" w:hint="default"/>
                <w:sz w:val="21"/>
                <w:szCs w:val="21"/>
              </w:rPr>
            </w:pPr>
            <w:r>
              <w:rPr>
                <w:rFonts w:ascii="Times New Roman"/>
                <w:sz w:val="21"/>
              </w:rPr>
              <w:t>182,027,</w:t>
            </w:r>
          </w:p>
          <w:p>
            <w:pPr>
              <w:pStyle w:val="TableParagraph"/>
              <w:spacing w:line="241" w:lineRule="exact"/>
              <w:ind w:left="225" w:right="0"/>
              <w:jc w:val="center"/>
              <w:rPr>
                <w:rFonts w:ascii="Times New Roman" w:hAnsi="Times New Roman" w:cs="Times New Roman" w:eastAsia="Times New Roman" w:hint="default"/>
                <w:sz w:val="21"/>
                <w:szCs w:val="21"/>
              </w:rPr>
            </w:pPr>
            <w:r>
              <w:rPr>
                <w:rFonts w:ascii="Times New Roman"/>
                <w:sz w:val="21"/>
              </w:rPr>
              <w:t>119.59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81" w:right="0"/>
              <w:jc w:val="center"/>
              <w:rPr>
                <w:rFonts w:ascii="Times New Roman" w:hAnsi="Times New Roman" w:cs="Times New Roman" w:eastAsia="Times New Roman" w:hint="default"/>
                <w:sz w:val="21"/>
                <w:szCs w:val="21"/>
              </w:rPr>
            </w:pPr>
            <w:r>
              <w:rPr>
                <w:rFonts w:ascii="Times New Roman"/>
                <w:sz w:val="21"/>
              </w:rPr>
              <w:t>522,131,</w:t>
            </w:r>
          </w:p>
          <w:p>
            <w:pPr>
              <w:pStyle w:val="TableParagraph"/>
              <w:spacing w:line="241" w:lineRule="exact"/>
              <w:ind w:left="238" w:right="0"/>
              <w:jc w:val="center"/>
              <w:rPr>
                <w:rFonts w:ascii="Times New Roman" w:hAnsi="Times New Roman" w:cs="Times New Roman" w:eastAsia="Times New Roman" w:hint="default"/>
                <w:sz w:val="21"/>
                <w:szCs w:val="21"/>
              </w:rPr>
            </w:pPr>
            <w:r>
              <w:rPr>
                <w:rFonts w:ascii="Times New Roman"/>
                <w:sz w:val="21"/>
              </w:rPr>
              <w:t>951.87</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15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50"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6" w:hRule="exact"/>
        </w:trPr>
        <w:tc>
          <w:tcPr>
            <w:tcW w:w="2396"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32" w:lineRule="exact" w:before="73"/>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32" w:lineRule="exact" w:before="73"/>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6" w:space="0" w:color="000000"/>
              <w:left w:val="single" w:sz="6" w:space="0" w:color="000000"/>
              <w:right w:val="single" w:sz="6" w:space="0" w:color="000000"/>
            </w:tcBorders>
          </w:tcPr>
          <w:p>
            <w:pPr>
              <w:pStyle w:val="TableParagraph"/>
              <w:spacing w:line="232" w:lineRule="exact" w:before="73"/>
              <w:ind w:left="235" w:right="14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2" w:hRule="exact"/>
        </w:trPr>
        <w:tc>
          <w:tcPr>
            <w:tcW w:w="2396"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49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left="122" w:right="0"/>
              <w:jc w:val="left"/>
              <w:rPr>
                <w:rFonts w:ascii="Times New Roman" w:hAnsi="Times New Roman" w:cs="Times New Roman" w:eastAsia="Times New Roman" w:hint="default"/>
                <w:sz w:val="21"/>
                <w:szCs w:val="21"/>
              </w:rPr>
            </w:pPr>
            <w:r>
              <w:rPr>
                <w:rFonts w:ascii="Times New Roman"/>
                <w:sz w:val="21"/>
              </w:rPr>
              <w:t>45,750,00</w:t>
            </w:r>
          </w:p>
          <w:p>
            <w:pPr>
              <w:pStyle w:val="TableParagraph"/>
              <w:spacing w:line="240" w:lineRule="auto" w:before="1"/>
              <w:ind w:left="595" w:right="0"/>
              <w:jc w:val="left"/>
              <w:rPr>
                <w:rFonts w:ascii="Times New Roman" w:hAnsi="Times New Roman" w:cs="Times New Roman" w:eastAsia="Times New Roman" w:hint="default"/>
                <w:sz w:val="21"/>
                <w:szCs w:val="21"/>
              </w:rPr>
            </w:pPr>
            <w:r>
              <w:rPr>
                <w:rFonts w:ascii="Times New Roman"/>
                <w:sz w:val="21"/>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left="189" w:right="0"/>
              <w:jc w:val="left"/>
              <w:rPr>
                <w:rFonts w:ascii="Times New Roman" w:hAnsi="Times New Roman" w:cs="Times New Roman" w:eastAsia="Times New Roman" w:hint="default"/>
                <w:sz w:val="21"/>
                <w:szCs w:val="21"/>
              </w:rPr>
            </w:pPr>
            <w:r>
              <w:rPr>
                <w:rFonts w:ascii="Times New Roman"/>
                <w:sz w:val="21"/>
              </w:rPr>
              <w:t>52,989,3</w:t>
            </w:r>
          </w:p>
          <w:p>
            <w:pPr>
              <w:pStyle w:val="TableParagraph"/>
              <w:spacing w:line="240" w:lineRule="auto" w:before="1"/>
              <w:ind w:left="451" w:right="0"/>
              <w:jc w:val="left"/>
              <w:rPr>
                <w:rFonts w:ascii="Times New Roman" w:hAnsi="Times New Roman" w:cs="Times New Roman" w:eastAsia="Times New Roman" w:hint="default"/>
                <w:sz w:val="21"/>
                <w:szCs w:val="21"/>
              </w:rPr>
            </w:pPr>
            <w:r>
              <w:rPr>
                <w:rFonts w:ascii="Times New Roman"/>
                <w:sz w:val="21"/>
              </w:rPr>
              <w:t>60.00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2" w:right="0"/>
              <w:jc w:val="left"/>
              <w:rPr>
                <w:rFonts w:ascii="Times New Roman" w:hAnsi="Times New Roman" w:cs="Times New Roman" w:eastAsia="Times New Roman" w:hint="default"/>
                <w:sz w:val="21"/>
                <w:szCs w:val="21"/>
              </w:rPr>
            </w:pPr>
            <w:r>
              <w:rPr>
                <w:rFonts w:ascii="Times New Roman"/>
                <w:sz w:val="21"/>
              </w:rPr>
              <w:t>18,908,1</w:t>
            </w:r>
          </w:p>
          <w:p>
            <w:pPr>
              <w:pStyle w:val="TableParagraph"/>
              <w:spacing w:line="240" w:lineRule="auto" w:before="1"/>
              <w:ind w:left="434" w:right="0"/>
              <w:jc w:val="left"/>
              <w:rPr>
                <w:rFonts w:ascii="Times New Roman" w:hAnsi="Times New Roman" w:cs="Times New Roman" w:eastAsia="Times New Roman" w:hint="default"/>
                <w:sz w:val="21"/>
                <w:szCs w:val="21"/>
              </w:rPr>
            </w:pPr>
            <w:r>
              <w:rPr>
                <w:rFonts w:ascii="Times New Roman"/>
                <w:sz w:val="21"/>
              </w:rPr>
              <w:t>56.62</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0" w:right="0"/>
              <w:jc w:val="center"/>
              <w:rPr>
                <w:rFonts w:ascii="Times New Roman" w:hAnsi="Times New Roman" w:cs="Times New Roman" w:eastAsia="Times New Roman" w:hint="default"/>
                <w:sz w:val="21"/>
                <w:szCs w:val="21"/>
              </w:rPr>
            </w:pPr>
            <w:r>
              <w:rPr>
                <w:rFonts w:ascii="Times New Roman"/>
                <w:sz w:val="21"/>
              </w:rPr>
              <w:t>104,921,</w:t>
            </w:r>
          </w:p>
          <w:p>
            <w:pPr>
              <w:pStyle w:val="TableParagraph"/>
              <w:spacing w:line="240" w:lineRule="auto" w:before="1"/>
              <w:ind w:left="215" w:right="0"/>
              <w:jc w:val="center"/>
              <w:rPr>
                <w:rFonts w:ascii="Times New Roman" w:hAnsi="Times New Roman" w:cs="Times New Roman" w:eastAsia="Times New Roman" w:hint="default"/>
                <w:sz w:val="21"/>
                <w:szCs w:val="21"/>
              </w:rPr>
            </w:pPr>
            <w:r>
              <w:rPr>
                <w:rFonts w:ascii="Times New Roman"/>
                <w:sz w:val="21"/>
              </w:rPr>
              <w:t>155.98</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81" w:right="0"/>
              <w:jc w:val="center"/>
              <w:rPr>
                <w:rFonts w:ascii="Times New Roman" w:hAnsi="Times New Roman" w:cs="Times New Roman" w:eastAsia="Times New Roman" w:hint="default"/>
                <w:sz w:val="21"/>
                <w:szCs w:val="21"/>
              </w:rPr>
            </w:pPr>
            <w:r>
              <w:rPr>
                <w:rFonts w:ascii="Times New Roman"/>
                <w:sz w:val="21"/>
              </w:rPr>
              <w:t>222,568,</w:t>
            </w:r>
          </w:p>
          <w:p>
            <w:pPr>
              <w:pStyle w:val="TableParagraph"/>
              <w:spacing w:line="240" w:lineRule="auto" w:before="1"/>
              <w:ind w:left="238" w:right="0"/>
              <w:jc w:val="center"/>
              <w:rPr>
                <w:rFonts w:ascii="Times New Roman" w:hAnsi="Times New Roman" w:cs="Times New Roman" w:eastAsia="Times New Roman" w:hint="default"/>
                <w:sz w:val="21"/>
                <w:szCs w:val="21"/>
              </w:rPr>
            </w:pPr>
            <w:r>
              <w:rPr>
                <w:rFonts w:ascii="Times New Roman"/>
                <w:sz w:val="21"/>
              </w:rPr>
              <w:t>672.60</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5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9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left="122" w:right="0"/>
              <w:jc w:val="left"/>
              <w:rPr>
                <w:rFonts w:ascii="Times New Roman" w:hAnsi="Times New Roman" w:cs="Times New Roman" w:eastAsia="Times New Roman" w:hint="default"/>
                <w:sz w:val="21"/>
                <w:szCs w:val="21"/>
              </w:rPr>
            </w:pPr>
            <w:r>
              <w:rPr>
                <w:rFonts w:ascii="Times New Roman"/>
                <w:sz w:val="21"/>
              </w:rPr>
              <w:t>45,750,00</w:t>
            </w:r>
          </w:p>
          <w:p>
            <w:pPr>
              <w:pStyle w:val="TableParagraph"/>
              <w:spacing w:line="240" w:lineRule="auto" w:before="1"/>
              <w:ind w:left="595" w:right="0"/>
              <w:jc w:val="left"/>
              <w:rPr>
                <w:rFonts w:ascii="Times New Roman" w:hAnsi="Times New Roman" w:cs="Times New Roman" w:eastAsia="Times New Roman" w:hint="default"/>
                <w:sz w:val="21"/>
                <w:szCs w:val="21"/>
              </w:rPr>
            </w:pPr>
            <w:r>
              <w:rPr>
                <w:rFonts w:ascii="Times New Roman"/>
                <w:sz w:val="21"/>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left="189" w:right="0"/>
              <w:jc w:val="left"/>
              <w:rPr>
                <w:rFonts w:ascii="Times New Roman" w:hAnsi="Times New Roman" w:cs="Times New Roman" w:eastAsia="Times New Roman" w:hint="default"/>
                <w:sz w:val="21"/>
                <w:szCs w:val="21"/>
              </w:rPr>
            </w:pPr>
            <w:r>
              <w:rPr>
                <w:rFonts w:ascii="Times New Roman"/>
                <w:sz w:val="21"/>
              </w:rPr>
              <w:t>52,989,3</w:t>
            </w:r>
          </w:p>
          <w:p>
            <w:pPr>
              <w:pStyle w:val="TableParagraph"/>
              <w:spacing w:line="240" w:lineRule="auto" w:before="1"/>
              <w:ind w:left="451" w:right="0"/>
              <w:jc w:val="left"/>
              <w:rPr>
                <w:rFonts w:ascii="Times New Roman" w:hAnsi="Times New Roman" w:cs="Times New Roman" w:eastAsia="Times New Roman" w:hint="default"/>
                <w:sz w:val="21"/>
                <w:szCs w:val="21"/>
              </w:rPr>
            </w:pPr>
            <w:r>
              <w:rPr>
                <w:rFonts w:ascii="Times New Roman"/>
                <w:sz w:val="21"/>
              </w:rPr>
              <w:t>60.00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2" w:right="0"/>
              <w:jc w:val="left"/>
              <w:rPr>
                <w:rFonts w:ascii="Times New Roman" w:hAnsi="Times New Roman" w:cs="Times New Roman" w:eastAsia="Times New Roman" w:hint="default"/>
                <w:sz w:val="21"/>
                <w:szCs w:val="21"/>
              </w:rPr>
            </w:pPr>
            <w:r>
              <w:rPr>
                <w:rFonts w:ascii="Times New Roman"/>
                <w:sz w:val="21"/>
              </w:rPr>
              <w:t>18,908,1</w:t>
            </w:r>
          </w:p>
          <w:p>
            <w:pPr>
              <w:pStyle w:val="TableParagraph"/>
              <w:spacing w:line="240" w:lineRule="auto" w:before="1"/>
              <w:ind w:left="434" w:right="0"/>
              <w:jc w:val="left"/>
              <w:rPr>
                <w:rFonts w:ascii="Times New Roman" w:hAnsi="Times New Roman" w:cs="Times New Roman" w:eastAsia="Times New Roman" w:hint="default"/>
                <w:sz w:val="21"/>
                <w:szCs w:val="21"/>
              </w:rPr>
            </w:pPr>
            <w:r>
              <w:rPr>
                <w:rFonts w:ascii="Times New Roman"/>
                <w:sz w:val="21"/>
              </w:rPr>
              <w:t>56.62</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0" w:right="0"/>
              <w:jc w:val="center"/>
              <w:rPr>
                <w:rFonts w:ascii="Times New Roman" w:hAnsi="Times New Roman" w:cs="Times New Roman" w:eastAsia="Times New Roman" w:hint="default"/>
                <w:sz w:val="21"/>
                <w:szCs w:val="21"/>
              </w:rPr>
            </w:pPr>
            <w:r>
              <w:rPr>
                <w:rFonts w:ascii="Times New Roman"/>
                <w:sz w:val="21"/>
              </w:rPr>
              <w:t>104,921,</w:t>
            </w:r>
          </w:p>
          <w:p>
            <w:pPr>
              <w:pStyle w:val="TableParagraph"/>
              <w:spacing w:line="240" w:lineRule="auto" w:before="1"/>
              <w:ind w:left="215" w:right="0"/>
              <w:jc w:val="center"/>
              <w:rPr>
                <w:rFonts w:ascii="Times New Roman" w:hAnsi="Times New Roman" w:cs="Times New Roman" w:eastAsia="Times New Roman" w:hint="default"/>
                <w:sz w:val="21"/>
                <w:szCs w:val="21"/>
              </w:rPr>
            </w:pPr>
            <w:r>
              <w:rPr>
                <w:rFonts w:ascii="Times New Roman"/>
                <w:sz w:val="21"/>
              </w:rPr>
              <w:t>155.98</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81" w:right="0"/>
              <w:jc w:val="center"/>
              <w:rPr>
                <w:rFonts w:ascii="Times New Roman" w:hAnsi="Times New Roman" w:cs="Times New Roman" w:eastAsia="Times New Roman" w:hint="default"/>
                <w:sz w:val="21"/>
                <w:szCs w:val="21"/>
              </w:rPr>
            </w:pPr>
            <w:r>
              <w:rPr>
                <w:rFonts w:ascii="Times New Roman"/>
                <w:sz w:val="21"/>
              </w:rPr>
              <w:t>222,568,</w:t>
            </w:r>
          </w:p>
          <w:p>
            <w:pPr>
              <w:pStyle w:val="TableParagraph"/>
              <w:spacing w:line="240" w:lineRule="auto" w:before="1"/>
              <w:ind w:left="238" w:right="0"/>
              <w:jc w:val="center"/>
              <w:rPr>
                <w:rFonts w:ascii="Times New Roman" w:hAnsi="Times New Roman" w:cs="Times New Roman" w:eastAsia="Times New Roman" w:hint="default"/>
                <w:sz w:val="21"/>
                <w:szCs w:val="21"/>
              </w:rPr>
            </w:pPr>
            <w:r>
              <w:rPr>
                <w:rFonts w:ascii="Times New Roman"/>
                <w:sz w:val="21"/>
              </w:rPr>
              <w:t>672.60</w:t>
            </w:r>
          </w:p>
        </w:tc>
      </w:tr>
      <w:tr>
        <w:trPr>
          <w:trHeight w:val="49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48" w:lineRule="exact"/>
              <w:ind w:left="101"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72" w:right="0"/>
              <w:jc w:val="left"/>
              <w:rPr>
                <w:rFonts w:ascii="Times New Roman" w:hAnsi="Times New Roman" w:cs="Times New Roman" w:eastAsia="Times New Roman" w:hint="default"/>
                <w:sz w:val="21"/>
                <w:szCs w:val="21"/>
              </w:rPr>
            </w:pPr>
            <w:r>
              <w:rPr>
                <w:rFonts w:ascii="Times New Roman"/>
                <w:sz w:val="21"/>
              </w:rPr>
              <w:t>6,316,63</w:t>
            </w:r>
          </w:p>
          <w:p>
            <w:pPr>
              <w:pStyle w:val="TableParagraph"/>
              <w:spacing w:line="241" w:lineRule="exact"/>
              <w:ind w:left="539" w:right="0"/>
              <w:jc w:val="left"/>
              <w:rPr>
                <w:rFonts w:ascii="Times New Roman" w:hAnsi="Times New Roman" w:cs="Times New Roman" w:eastAsia="Times New Roman" w:hint="default"/>
                <w:sz w:val="21"/>
                <w:szCs w:val="21"/>
              </w:rPr>
            </w:pPr>
            <w:r>
              <w:rPr>
                <w:rFonts w:ascii="Times New Roman"/>
                <w:sz w:val="21"/>
              </w:rPr>
              <w:t>1.94</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58" w:right="0"/>
              <w:jc w:val="left"/>
              <w:rPr>
                <w:rFonts w:ascii="Times New Roman" w:hAnsi="Times New Roman" w:cs="Times New Roman" w:eastAsia="Times New Roman" w:hint="default"/>
                <w:sz w:val="21"/>
                <w:szCs w:val="21"/>
              </w:rPr>
            </w:pPr>
            <w:r>
              <w:rPr>
                <w:rFonts w:ascii="Times New Roman"/>
                <w:sz w:val="21"/>
              </w:rPr>
              <w:t>52,274,6</w:t>
            </w:r>
          </w:p>
          <w:p>
            <w:pPr>
              <w:pStyle w:val="TableParagraph"/>
              <w:spacing w:line="241" w:lineRule="exact"/>
              <w:ind w:left="419" w:right="0"/>
              <w:jc w:val="left"/>
              <w:rPr>
                <w:rFonts w:ascii="Times New Roman" w:hAnsi="Times New Roman" w:cs="Times New Roman" w:eastAsia="Times New Roman" w:hint="default"/>
                <w:sz w:val="21"/>
                <w:szCs w:val="21"/>
              </w:rPr>
            </w:pPr>
            <w:r>
              <w:rPr>
                <w:rFonts w:ascii="Times New Roman"/>
                <w:sz w:val="21"/>
              </w:rPr>
              <w:t>87.48</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77" w:right="0"/>
              <w:jc w:val="left"/>
              <w:rPr>
                <w:rFonts w:ascii="Times New Roman" w:hAnsi="Times New Roman" w:cs="Times New Roman" w:eastAsia="Times New Roman" w:hint="default"/>
                <w:sz w:val="21"/>
                <w:szCs w:val="21"/>
              </w:rPr>
            </w:pPr>
            <w:r>
              <w:rPr>
                <w:rFonts w:ascii="Times New Roman"/>
                <w:sz w:val="21"/>
              </w:rPr>
              <w:t>58,591,3</w:t>
            </w:r>
          </w:p>
          <w:p>
            <w:pPr>
              <w:pStyle w:val="TableParagraph"/>
              <w:spacing w:line="241" w:lineRule="exact"/>
              <w:ind w:left="439" w:right="0"/>
              <w:jc w:val="left"/>
              <w:rPr>
                <w:rFonts w:ascii="Times New Roman" w:hAnsi="Times New Roman" w:cs="Times New Roman" w:eastAsia="Times New Roman" w:hint="default"/>
                <w:sz w:val="21"/>
                <w:szCs w:val="21"/>
              </w:rPr>
            </w:pPr>
            <w:r>
              <w:rPr>
                <w:rFonts w:ascii="Times New Roman"/>
                <w:sz w:val="21"/>
              </w:rPr>
              <w:t>19.42</w:t>
            </w:r>
          </w:p>
        </w:tc>
      </w:tr>
    </w:tbl>
    <w:p>
      <w:pPr>
        <w:spacing w:after="0" w:line="241" w:lineRule="exact"/>
        <w:jc w:val="left"/>
        <w:rPr>
          <w:rFonts w:ascii="Times New Roman" w:hAnsi="Times New Roman" w:cs="Times New Roman" w:eastAsia="Times New Roman" w:hint="default"/>
          <w:sz w:val="21"/>
          <w:szCs w:val="21"/>
        </w:rPr>
        <w:sectPr>
          <w:pgSz w:w="16840" w:h="11910" w:orient="landscape"/>
          <w:pgMar w:header="882" w:footer="1195"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49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8" w:right="0"/>
              <w:jc w:val="left"/>
              <w:rPr>
                <w:rFonts w:ascii="Times New Roman" w:hAnsi="Times New Roman" w:cs="Times New Roman" w:eastAsia="Times New Roman" w:hint="default"/>
                <w:sz w:val="21"/>
                <w:szCs w:val="21"/>
              </w:rPr>
            </w:pPr>
            <w:r>
              <w:rPr>
                <w:rFonts w:ascii="Times New Roman"/>
                <w:sz w:val="21"/>
              </w:rPr>
              <w:t>63,166,3</w:t>
            </w:r>
          </w:p>
          <w:p>
            <w:pPr>
              <w:pStyle w:val="TableParagraph"/>
              <w:spacing w:line="240" w:lineRule="auto" w:before="1"/>
              <w:ind w:left="419" w:right="0"/>
              <w:jc w:val="left"/>
              <w:rPr>
                <w:rFonts w:ascii="Times New Roman" w:hAnsi="Times New Roman" w:cs="Times New Roman" w:eastAsia="Times New Roman" w:hint="default"/>
                <w:sz w:val="21"/>
                <w:szCs w:val="21"/>
              </w:rPr>
            </w:pPr>
            <w:r>
              <w:rPr>
                <w:rFonts w:ascii="Times New Roman"/>
                <w:sz w:val="21"/>
              </w:rPr>
              <w:t>19.42</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63,166,3</w:t>
            </w:r>
          </w:p>
          <w:p>
            <w:pPr>
              <w:pStyle w:val="TableParagraph"/>
              <w:spacing w:line="240" w:lineRule="auto" w:before="1"/>
              <w:ind w:left="439" w:right="0"/>
              <w:jc w:val="left"/>
              <w:rPr>
                <w:rFonts w:ascii="Times New Roman" w:hAnsi="Times New Roman" w:cs="Times New Roman" w:eastAsia="Times New Roman" w:hint="default"/>
                <w:sz w:val="21"/>
                <w:szCs w:val="21"/>
              </w:rPr>
            </w:pPr>
            <w:r>
              <w:rPr>
                <w:rFonts w:ascii="Times New Roman"/>
                <w:sz w:val="21"/>
              </w:rPr>
              <w:t>19.42</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p>
            <w:pPr>
              <w:pStyle w:val="TableParagraph"/>
              <w:spacing w:line="227" w:lineRule="exact"/>
              <w:ind w:left="101"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股份支付计入所有者权益</w:t>
            </w:r>
          </w:p>
          <w:p>
            <w:pPr>
              <w:pStyle w:val="TableParagraph"/>
              <w:spacing w:line="229" w:lineRule="exact"/>
              <w:ind w:left="101"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9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2" w:right="0"/>
              <w:jc w:val="left"/>
              <w:rPr>
                <w:rFonts w:ascii="Times New Roman" w:hAnsi="Times New Roman" w:cs="Times New Roman" w:eastAsia="Times New Roman" w:hint="default"/>
                <w:sz w:val="21"/>
                <w:szCs w:val="21"/>
              </w:rPr>
            </w:pPr>
            <w:r>
              <w:rPr>
                <w:rFonts w:ascii="Times New Roman"/>
                <w:sz w:val="21"/>
              </w:rPr>
              <w:t>6,316,63</w:t>
            </w:r>
          </w:p>
          <w:p>
            <w:pPr>
              <w:pStyle w:val="TableParagraph"/>
              <w:spacing w:line="241" w:lineRule="exact"/>
              <w:ind w:left="539" w:right="0"/>
              <w:jc w:val="left"/>
              <w:rPr>
                <w:rFonts w:ascii="Times New Roman" w:hAnsi="Times New Roman" w:cs="Times New Roman" w:eastAsia="Times New Roman" w:hint="default"/>
                <w:sz w:val="21"/>
                <w:szCs w:val="21"/>
              </w:rPr>
            </w:pPr>
            <w:r>
              <w:rPr>
                <w:rFonts w:ascii="Times New Roman"/>
                <w:sz w:val="21"/>
              </w:rPr>
              <w:t>1.94</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91" w:right="0"/>
              <w:jc w:val="center"/>
              <w:rPr>
                <w:rFonts w:ascii="Times New Roman" w:hAnsi="Times New Roman" w:cs="Times New Roman" w:eastAsia="Times New Roman" w:hint="default"/>
                <w:sz w:val="21"/>
                <w:szCs w:val="21"/>
              </w:rPr>
            </w:pPr>
            <w:r>
              <w:rPr>
                <w:rFonts w:ascii="Times New Roman"/>
                <w:sz w:val="21"/>
              </w:rPr>
              <w:t>-10,891,</w:t>
            </w:r>
          </w:p>
          <w:p>
            <w:pPr>
              <w:pStyle w:val="TableParagraph"/>
              <w:spacing w:line="241" w:lineRule="exact"/>
              <w:ind w:left="215" w:right="0"/>
              <w:jc w:val="center"/>
              <w:rPr>
                <w:rFonts w:ascii="Times New Roman" w:hAnsi="Times New Roman" w:cs="Times New Roman" w:eastAsia="Times New Roman" w:hint="default"/>
                <w:sz w:val="21"/>
                <w:szCs w:val="21"/>
              </w:rPr>
            </w:pPr>
            <w:r>
              <w:rPr>
                <w:rFonts w:ascii="Times New Roman"/>
                <w:sz w:val="21"/>
              </w:rPr>
              <w:t>631.94</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8" w:right="0"/>
              <w:jc w:val="left"/>
              <w:rPr>
                <w:rFonts w:ascii="Times New Roman" w:hAnsi="Times New Roman" w:cs="Times New Roman" w:eastAsia="Times New Roman" w:hint="default"/>
                <w:sz w:val="21"/>
                <w:szCs w:val="21"/>
              </w:rPr>
            </w:pPr>
            <w:r>
              <w:rPr>
                <w:rFonts w:ascii="Times New Roman"/>
                <w:sz w:val="21"/>
              </w:rPr>
              <w:t>-4,575,00</w:t>
            </w:r>
          </w:p>
          <w:p>
            <w:pPr>
              <w:pStyle w:val="TableParagraph"/>
              <w:spacing w:line="241" w:lineRule="exact"/>
              <w:ind w:left="545" w:right="0"/>
              <w:jc w:val="left"/>
              <w:rPr>
                <w:rFonts w:ascii="Times New Roman" w:hAnsi="Times New Roman" w:cs="Times New Roman" w:eastAsia="Times New Roman" w:hint="default"/>
                <w:sz w:val="21"/>
                <w:szCs w:val="21"/>
              </w:rPr>
            </w:pPr>
            <w:r>
              <w:rPr>
                <w:rFonts w:ascii="Times New Roman"/>
                <w:sz w:val="21"/>
              </w:rPr>
              <w:t>0.00</w:t>
            </w:r>
          </w:p>
        </w:tc>
      </w:tr>
      <w:tr>
        <w:trPr>
          <w:trHeight w:val="49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2" w:right="0"/>
              <w:jc w:val="left"/>
              <w:rPr>
                <w:rFonts w:ascii="Times New Roman" w:hAnsi="Times New Roman" w:cs="Times New Roman" w:eastAsia="Times New Roman" w:hint="default"/>
                <w:sz w:val="21"/>
                <w:szCs w:val="21"/>
              </w:rPr>
            </w:pPr>
            <w:r>
              <w:rPr>
                <w:rFonts w:ascii="Times New Roman"/>
                <w:sz w:val="21"/>
              </w:rPr>
              <w:t>6,316,63</w:t>
            </w:r>
          </w:p>
          <w:p>
            <w:pPr>
              <w:pStyle w:val="TableParagraph"/>
              <w:spacing w:line="240" w:lineRule="auto" w:before="1"/>
              <w:ind w:left="539" w:right="0"/>
              <w:jc w:val="left"/>
              <w:rPr>
                <w:rFonts w:ascii="Times New Roman" w:hAnsi="Times New Roman" w:cs="Times New Roman" w:eastAsia="Times New Roman" w:hint="default"/>
                <w:sz w:val="21"/>
                <w:szCs w:val="21"/>
              </w:rPr>
            </w:pPr>
            <w:r>
              <w:rPr>
                <w:rFonts w:ascii="Times New Roman"/>
                <w:sz w:val="21"/>
              </w:rPr>
              <w:t>1.94</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91" w:right="0"/>
              <w:jc w:val="left"/>
              <w:rPr>
                <w:rFonts w:ascii="Times New Roman" w:hAnsi="Times New Roman" w:cs="Times New Roman" w:eastAsia="Times New Roman" w:hint="default"/>
                <w:sz w:val="21"/>
                <w:szCs w:val="21"/>
              </w:rPr>
            </w:pPr>
            <w:r>
              <w:rPr>
                <w:rFonts w:ascii="Times New Roman"/>
                <w:sz w:val="21"/>
              </w:rPr>
              <w:t>-6,316,6</w:t>
            </w:r>
          </w:p>
          <w:p>
            <w:pPr>
              <w:pStyle w:val="TableParagraph"/>
              <w:spacing w:line="240" w:lineRule="auto" w:before="1"/>
              <w:ind w:left="419" w:right="0"/>
              <w:jc w:val="left"/>
              <w:rPr>
                <w:rFonts w:ascii="Times New Roman" w:hAnsi="Times New Roman" w:cs="Times New Roman" w:eastAsia="Times New Roman" w:hint="default"/>
                <w:sz w:val="21"/>
                <w:szCs w:val="21"/>
              </w:rPr>
            </w:pPr>
            <w:r>
              <w:rPr>
                <w:rFonts w:ascii="Times New Roman"/>
                <w:sz w:val="21"/>
              </w:rPr>
              <w:t>31.94</w:t>
            </w: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9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27" w:lineRule="exact"/>
              <w:ind w:left="101"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91" w:right="0"/>
              <w:jc w:val="left"/>
              <w:rPr>
                <w:rFonts w:ascii="Times New Roman" w:hAnsi="Times New Roman" w:cs="Times New Roman" w:eastAsia="Times New Roman" w:hint="default"/>
                <w:sz w:val="21"/>
                <w:szCs w:val="21"/>
              </w:rPr>
            </w:pPr>
            <w:r>
              <w:rPr>
                <w:rFonts w:ascii="Times New Roman"/>
                <w:sz w:val="21"/>
              </w:rPr>
              <w:t>-4,575,0</w:t>
            </w:r>
          </w:p>
          <w:p>
            <w:pPr>
              <w:pStyle w:val="TableParagraph"/>
              <w:spacing w:line="241" w:lineRule="exact"/>
              <w:ind w:left="419" w:right="0"/>
              <w:jc w:val="left"/>
              <w:rPr>
                <w:rFonts w:ascii="Times New Roman" w:hAnsi="Times New Roman" w:cs="Times New Roman" w:eastAsia="Times New Roman" w:hint="default"/>
                <w:sz w:val="21"/>
                <w:szCs w:val="21"/>
              </w:rPr>
            </w:pPr>
            <w:r>
              <w:rPr>
                <w:rFonts w:ascii="Times New Roman"/>
                <w:sz w:val="21"/>
              </w:rPr>
              <w:t>00.00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08" w:right="0"/>
              <w:jc w:val="left"/>
              <w:rPr>
                <w:rFonts w:ascii="Times New Roman" w:hAnsi="Times New Roman" w:cs="Times New Roman" w:eastAsia="Times New Roman" w:hint="default"/>
                <w:sz w:val="21"/>
                <w:szCs w:val="21"/>
              </w:rPr>
            </w:pPr>
            <w:r>
              <w:rPr>
                <w:rFonts w:ascii="Times New Roman"/>
                <w:sz w:val="21"/>
              </w:rPr>
              <w:t>-4,575,00</w:t>
            </w:r>
          </w:p>
          <w:p>
            <w:pPr>
              <w:pStyle w:val="TableParagraph"/>
              <w:spacing w:line="241" w:lineRule="exact"/>
              <w:ind w:left="545" w:right="0"/>
              <w:jc w:val="left"/>
              <w:rPr>
                <w:rFonts w:ascii="Times New Roman" w:hAnsi="Times New Roman" w:cs="Times New Roman" w:eastAsia="Times New Roman" w:hint="default"/>
                <w:sz w:val="21"/>
                <w:szCs w:val="21"/>
              </w:rPr>
            </w:pPr>
            <w:r>
              <w:rPr>
                <w:rFonts w:ascii="Times New Roman"/>
                <w:sz w:val="21"/>
              </w:rPr>
              <w:t>0.00</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29"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27"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9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left="122" w:right="0"/>
              <w:jc w:val="left"/>
              <w:rPr>
                <w:rFonts w:ascii="Times New Roman" w:hAnsi="Times New Roman" w:cs="Times New Roman" w:eastAsia="Times New Roman" w:hint="default"/>
                <w:sz w:val="21"/>
                <w:szCs w:val="21"/>
              </w:rPr>
            </w:pPr>
            <w:r>
              <w:rPr>
                <w:rFonts w:ascii="Times New Roman"/>
                <w:sz w:val="21"/>
              </w:rPr>
              <w:t>45,750,00</w:t>
            </w:r>
          </w:p>
          <w:p>
            <w:pPr>
              <w:pStyle w:val="TableParagraph"/>
              <w:spacing w:line="240" w:lineRule="auto" w:before="1"/>
              <w:ind w:left="595" w:right="0"/>
              <w:jc w:val="left"/>
              <w:rPr>
                <w:rFonts w:ascii="Times New Roman" w:hAnsi="Times New Roman" w:cs="Times New Roman" w:eastAsia="Times New Roman" w:hint="default"/>
                <w:sz w:val="21"/>
                <w:szCs w:val="21"/>
              </w:rPr>
            </w:pPr>
            <w:r>
              <w:rPr>
                <w:rFonts w:ascii="Times New Roman"/>
                <w:sz w:val="21"/>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7" w:right="0"/>
              <w:jc w:val="left"/>
              <w:rPr>
                <w:rFonts w:ascii="Times New Roman" w:hAnsi="Times New Roman" w:cs="Times New Roman" w:eastAsia="Times New Roman" w:hint="default"/>
                <w:sz w:val="21"/>
                <w:szCs w:val="21"/>
              </w:rPr>
            </w:pPr>
            <w:r>
              <w:rPr>
                <w:rFonts w:ascii="Times New Roman"/>
                <w:sz w:val="21"/>
              </w:rPr>
              <w:t>52,989,3</w:t>
            </w:r>
          </w:p>
          <w:p>
            <w:pPr>
              <w:pStyle w:val="TableParagraph"/>
              <w:spacing w:line="240" w:lineRule="auto" w:before="1"/>
              <w:ind w:left="448" w:right="0"/>
              <w:jc w:val="left"/>
              <w:rPr>
                <w:rFonts w:ascii="Times New Roman" w:hAnsi="Times New Roman" w:cs="Times New Roman" w:eastAsia="Times New Roman" w:hint="default"/>
                <w:sz w:val="21"/>
                <w:szCs w:val="21"/>
              </w:rPr>
            </w:pPr>
            <w:r>
              <w:rPr>
                <w:rFonts w:ascii="Times New Roman"/>
                <w:sz w:val="21"/>
              </w:rPr>
              <w:t>60.00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2" w:right="0"/>
              <w:jc w:val="left"/>
              <w:rPr>
                <w:rFonts w:ascii="Times New Roman" w:hAnsi="Times New Roman" w:cs="Times New Roman" w:eastAsia="Times New Roman" w:hint="default"/>
                <w:sz w:val="21"/>
                <w:szCs w:val="21"/>
              </w:rPr>
            </w:pPr>
            <w:r>
              <w:rPr>
                <w:rFonts w:ascii="Times New Roman"/>
                <w:sz w:val="21"/>
              </w:rPr>
              <w:t>25,224,7</w:t>
            </w:r>
          </w:p>
          <w:p>
            <w:pPr>
              <w:pStyle w:val="TableParagraph"/>
              <w:spacing w:line="240" w:lineRule="auto" w:before="1"/>
              <w:ind w:left="434" w:right="0"/>
              <w:jc w:val="left"/>
              <w:rPr>
                <w:rFonts w:ascii="Times New Roman" w:hAnsi="Times New Roman" w:cs="Times New Roman" w:eastAsia="Times New Roman" w:hint="default"/>
                <w:sz w:val="21"/>
                <w:szCs w:val="21"/>
              </w:rPr>
            </w:pPr>
            <w:r>
              <w:rPr>
                <w:rFonts w:ascii="Times New Roman"/>
                <w:sz w:val="21"/>
              </w:rPr>
              <w:t>88.56</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0" w:right="0"/>
              <w:jc w:val="center"/>
              <w:rPr>
                <w:rFonts w:ascii="Times New Roman" w:hAnsi="Times New Roman" w:cs="Times New Roman" w:eastAsia="Times New Roman" w:hint="default"/>
                <w:sz w:val="21"/>
                <w:szCs w:val="21"/>
              </w:rPr>
            </w:pPr>
            <w:r>
              <w:rPr>
                <w:rFonts w:ascii="Times New Roman"/>
                <w:sz w:val="21"/>
              </w:rPr>
              <w:t>157,195,</w:t>
            </w:r>
          </w:p>
          <w:p>
            <w:pPr>
              <w:pStyle w:val="TableParagraph"/>
              <w:spacing w:line="240" w:lineRule="auto" w:before="1"/>
              <w:ind w:left="215" w:right="0"/>
              <w:jc w:val="center"/>
              <w:rPr>
                <w:rFonts w:ascii="Times New Roman" w:hAnsi="Times New Roman" w:cs="Times New Roman" w:eastAsia="Times New Roman" w:hint="default"/>
                <w:sz w:val="21"/>
                <w:szCs w:val="21"/>
              </w:rPr>
            </w:pPr>
            <w:r>
              <w:rPr>
                <w:rFonts w:ascii="Times New Roman"/>
                <w:sz w:val="21"/>
              </w:rPr>
              <w:t>843.46</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81" w:right="0"/>
              <w:jc w:val="center"/>
              <w:rPr>
                <w:rFonts w:ascii="Times New Roman" w:hAnsi="Times New Roman" w:cs="Times New Roman" w:eastAsia="Times New Roman" w:hint="default"/>
                <w:sz w:val="21"/>
                <w:szCs w:val="21"/>
              </w:rPr>
            </w:pPr>
            <w:r>
              <w:rPr>
                <w:rFonts w:ascii="Times New Roman"/>
                <w:sz w:val="21"/>
              </w:rPr>
              <w:t>281,159,</w:t>
            </w:r>
          </w:p>
          <w:p>
            <w:pPr>
              <w:pStyle w:val="TableParagraph"/>
              <w:spacing w:line="240" w:lineRule="auto" w:before="1"/>
              <w:ind w:left="238" w:right="0"/>
              <w:jc w:val="center"/>
              <w:rPr>
                <w:rFonts w:ascii="Times New Roman" w:hAnsi="Times New Roman" w:cs="Times New Roman" w:eastAsia="Times New Roman" w:hint="default"/>
                <w:sz w:val="21"/>
                <w:szCs w:val="21"/>
              </w:rPr>
            </w:pPr>
            <w:r>
              <w:rPr>
                <w:rFonts w:ascii="Times New Roman"/>
                <w:sz w:val="21"/>
              </w:rPr>
              <w:t>992.02</w:t>
            </w:r>
          </w:p>
        </w:tc>
      </w:tr>
    </w:tbl>
    <w:p>
      <w:pPr>
        <w:spacing w:line="240" w:lineRule="auto" w:before="0"/>
        <w:rPr>
          <w:rFonts w:ascii="Times New Roman" w:hAnsi="Times New Roman" w:cs="Times New Roman" w:eastAsia="Times New Roman" w:hint="default"/>
          <w:sz w:val="15"/>
          <w:szCs w:val="15"/>
        </w:rPr>
      </w:pPr>
    </w:p>
    <w:p>
      <w:pPr>
        <w:pStyle w:val="BodyText"/>
        <w:spacing w:line="240" w:lineRule="auto" w:before="36"/>
        <w:ind w:left="144" w:right="0"/>
        <w:jc w:val="left"/>
      </w:pPr>
      <w:r>
        <w:rPr/>
        <w:t>法定代表人：孔令钢主管会计工作负责人：顾峰会计机构负责人：宋炜明</w:t>
      </w:r>
    </w:p>
    <w:p>
      <w:pPr>
        <w:spacing w:after="0" w:line="240" w:lineRule="auto"/>
        <w:jc w:val="left"/>
        <w:sectPr>
          <w:pgSz w:w="16840" w:h="11910" w:orient="landscape"/>
          <w:pgMar w:header="882" w:footer="1195" w:top="1120" w:bottom="1380" w:left="1380" w:right="1280"/>
        </w:sectPr>
      </w:pPr>
    </w:p>
    <w:p>
      <w:pPr>
        <w:spacing w:line="240" w:lineRule="auto" w:before="9"/>
        <w:rPr>
          <w:rFonts w:ascii="宋体" w:hAnsi="宋体" w:cs="宋体" w:eastAsia="宋体" w:hint="default"/>
          <w:sz w:val="29"/>
          <w:szCs w:val="29"/>
        </w:rPr>
      </w:pPr>
    </w:p>
    <w:p>
      <w:pPr>
        <w:pStyle w:val="Heading2"/>
        <w:tabs>
          <w:tab w:pos="557" w:val="left" w:leader="none"/>
        </w:tabs>
        <w:spacing w:line="290" w:lineRule="auto" w:before="36"/>
        <w:ind w:left="138" w:right="7354"/>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spacing w:line="274" w:lineRule="exact" w:before="38"/>
        <w:ind w:left="138" w:right="207"/>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spacing w:val="-1"/>
        </w:rPr>
        <w:t>上海格尔软件股份有限公司</w:t>
      </w:r>
      <w:r>
        <w:rPr>
          <w:rFonts w:ascii="Garamond" w:hAnsi="Garamond" w:cs="Garamond" w:eastAsia="Garamond" w:hint="default"/>
          <w:spacing w:val="-1"/>
        </w:rPr>
        <w:t>(</w:t>
      </w:r>
      <w:r>
        <w:rPr>
          <w:spacing w:val="-1"/>
        </w:rPr>
        <w:t>以下简称“公司”或“格尔软件”</w:t>
      </w:r>
      <w:r>
        <w:rPr>
          <w:rFonts w:ascii="Garamond" w:hAnsi="Garamond" w:cs="Garamond" w:eastAsia="Garamond" w:hint="default"/>
          <w:spacing w:val="-1"/>
        </w:rPr>
        <w:t>)</w:t>
      </w:r>
      <w:r>
        <w:rPr>
          <w:spacing w:val="-1"/>
        </w:rPr>
        <w:t>系上海格尔软件有限公司</w:t>
      </w:r>
      <w:r>
        <w:rPr>
          <w:rFonts w:ascii="Garamond" w:hAnsi="Garamond" w:cs="Garamond" w:eastAsia="Garamond" w:hint="default"/>
          <w:spacing w:val="-1"/>
        </w:rPr>
        <w:t>(</w:t>
      </w:r>
      <w:r>
        <w:rPr>
          <w:spacing w:val="-1"/>
        </w:rPr>
        <w:t>以下简</w:t>
      </w:r>
    </w:p>
    <w:p>
      <w:pPr>
        <w:pStyle w:val="BodyText"/>
        <w:spacing w:line="240" w:lineRule="auto" w:before="86"/>
        <w:ind w:left="138" w:right="0"/>
        <w:jc w:val="both"/>
      </w:pPr>
      <w:r>
        <w:rPr/>
        <w:t>称“格尔有限”</w:t>
      </w:r>
      <w:r>
        <w:rPr>
          <w:rFonts w:ascii="Garamond" w:hAnsi="Garamond" w:cs="Garamond" w:eastAsia="Garamond" w:hint="default"/>
        </w:rPr>
        <w:t>)</w:t>
      </w:r>
      <w:r>
        <w:rPr/>
        <w:t>整体改制设立的股份有限公司。</w:t>
      </w:r>
    </w:p>
    <w:p>
      <w:pPr>
        <w:spacing w:line="240" w:lineRule="auto" w:before="1"/>
        <w:rPr>
          <w:rFonts w:ascii="宋体" w:hAnsi="宋体" w:cs="宋体" w:eastAsia="宋体" w:hint="default"/>
          <w:sz w:val="32"/>
          <w:szCs w:val="32"/>
        </w:rPr>
      </w:pPr>
    </w:p>
    <w:p>
      <w:pPr>
        <w:pStyle w:val="BodyText"/>
        <w:spacing w:line="314" w:lineRule="auto"/>
        <w:ind w:left="138" w:right="207"/>
        <w:jc w:val="both"/>
      </w:pPr>
      <w:r>
        <w:rPr>
          <w:rFonts w:ascii="Garamond" w:hAnsi="Garamond" w:cs="Garamond" w:eastAsia="Garamond" w:hint="default"/>
        </w:rPr>
        <w:t>2000</w:t>
      </w:r>
      <w:r>
        <w:rPr>
          <w:rFonts w:ascii="Garamond" w:hAnsi="Garamond" w:cs="Garamond" w:eastAsia="Garamond" w:hint="default"/>
          <w:spacing w:val="-6"/>
        </w:rPr>
        <w:t> </w:t>
      </w:r>
      <w:r>
        <w:rPr/>
        <w:t>年</w:t>
      </w:r>
      <w:r>
        <w:rPr>
          <w:spacing w:val="-58"/>
        </w:rPr>
        <w:t> </w:t>
      </w:r>
      <w:r>
        <w:rPr>
          <w:rFonts w:ascii="Garamond" w:hAnsi="Garamond" w:cs="Garamond" w:eastAsia="Garamond" w:hint="default"/>
        </w:rPr>
        <w:t>3</w:t>
      </w:r>
      <w:r>
        <w:rPr>
          <w:rFonts w:ascii="Garamond" w:hAnsi="Garamond" w:cs="Garamond" w:eastAsia="Garamond" w:hint="default"/>
          <w:spacing w:val="-6"/>
        </w:rPr>
        <w:t> </w:t>
      </w:r>
      <w:r>
        <w:rPr/>
        <w:t>月，格尔有限股东会通过决议，以格尔有限经评估的全部资本，同时吸收上海科技投资</w:t>
      </w:r>
      <w:r>
        <w:rPr>
          <w:w w:val="100"/>
        </w:rPr>
        <w:t> </w:t>
      </w:r>
      <w:r>
        <w:rPr>
          <w:spacing w:val="-2"/>
        </w:rPr>
        <w:t>公司、上海飞乐音响股份有限公司等新增股东的部分出资共同设立上海格尔软件股份有限公司。</w:t>
      </w:r>
      <w:r>
        <w:rPr>
          <w:spacing w:val="-25"/>
        </w:rPr>
        <w:t> </w:t>
      </w:r>
      <w:r>
        <w:rPr>
          <w:spacing w:val="-25"/>
        </w:rPr>
      </w:r>
      <w:r>
        <w:rPr>
          <w:rFonts w:ascii="Garamond" w:hAnsi="Garamond" w:cs="Garamond" w:eastAsia="Garamond" w:hint="default"/>
        </w:rPr>
        <w:t>2000</w:t>
      </w:r>
      <w:r>
        <w:rPr>
          <w:rFonts w:ascii="Garamond" w:hAnsi="Garamond" w:cs="Garamond" w:eastAsia="Garamond" w:hint="default"/>
          <w:spacing w:val="10"/>
        </w:rPr>
        <w:t> </w:t>
      </w:r>
      <w:r>
        <w:rPr/>
        <w:t>年</w:t>
      </w:r>
      <w:r>
        <w:rPr>
          <w:spacing w:val="-42"/>
        </w:rPr>
        <w:t> </w:t>
      </w:r>
      <w:r>
        <w:rPr>
          <w:rFonts w:ascii="Garamond" w:hAnsi="Garamond" w:cs="Garamond" w:eastAsia="Garamond" w:hint="default"/>
        </w:rPr>
        <w:t>7</w:t>
      </w:r>
      <w:r>
        <w:rPr>
          <w:rFonts w:ascii="Garamond" w:hAnsi="Garamond" w:cs="Garamond" w:eastAsia="Garamond" w:hint="default"/>
          <w:spacing w:val="10"/>
        </w:rPr>
        <w:t> </w:t>
      </w:r>
      <w:r>
        <w:rPr>
          <w:spacing w:val="-3"/>
        </w:rPr>
        <w:t>月，众华事务所出具“沪众会字</w:t>
      </w:r>
      <w:r>
        <w:rPr>
          <w:rFonts w:ascii="Garamond" w:hAnsi="Garamond" w:cs="Garamond" w:eastAsia="Garamond" w:hint="default"/>
          <w:spacing w:val="-3"/>
        </w:rPr>
        <w:t>(2000)</w:t>
      </w:r>
      <w:r>
        <w:rPr>
          <w:spacing w:val="-3"/>
        </w:rPr>
        <w:t>第</w:t>
      </w:r>
      <w:r>
        <w:rPr>
          <w:spacing w:val="-41"/>
        </w:rPr>
        <w:t> </w:t>
      </w:r>
      <w:r>
        <w:rPr>
          <w:rFonts w:ascii="Garamond" w:hAnsi="Garamond" w:cs="Garamond" w:eastAsia="Garamond" w:hint="default"/>
        </w:rPr>
        <w:t>920</w:t>
      </w:r>
      <w:r>
        <w:rPr>
          <w:rFonts w:ascii="Garamond" w:hAnsi="Garamond" w:cs="Garamond" w:eastAsia="Garamond" w:hint="default"/>
          <w:spacing w:val="10"/>
        </w:rPr>
        <w:t> </w:t>
      </w:r>
      <w:r>
        <w:rPr>
          <w:spacing w:val="-5"/>
        </w:rPr>
        <w:t>号”《验资报告》，对上海格尔软件股份有</w:t>
      </w:r>
      <w:r>
        <w:rPr>
          <w:spacing w:val="-99"/>
        </w:rPr>
        <w:t> </w:t>
      </w:r>
      <w:r>
        <w:rPr>
          <w:spacing w:val="-99"/>
        </w:rPr>
      </w:r>
      <w:r>
        <w:rPr/>
        <w:t>限公司的注册资本予以验证。</w:t>
      </w:r>
      <w:r>
        <w:rPr>
          <w:rFonts w:ascii="Garamond" w:hAnsi="Garamond" w:cs="Garamond" w:eastAsia="Garamond" w:hint="default"/>
        </w:rPr>
        <w:t>2000</w:t>
      </w:r>
      <w:r>
        <w:rPr>
          <w:rFonts w:ascii="Garamond" w:hAnsi="Garamond" w:cs="Garamond" w:eastAsia="Garamond" w:hint="default"/>
          <w:spacing w:val="-5"/>
        </w:rPr>
        <w:t> </w:t>
      </w:r>
      <w:r>
        <w:rPr/>
        <w:t>年</w:t>
      </w:r>
      <w:r>
        <w:rPr>
          <w:spacing w:val="-57"/>
        </w:rPr>
        <w:t> </w:t>
      </w:r>
      <w:r>
        <w:rPr>
          <w:rFonts w:ascii="Garamond" w:hAnsi="Garamond" w:cs="Garamond" w:eastAsia="Garamond" w:hint="default"/>
        </w:rPr>
        <w:t>8</w:t>
      </w:r>
      <w:r>
        <w:rPr>
          <w:rFonts w:ascii="Garamond" w:hAnsi="Garamond" w:cs="Garamond" w:eastAsia="Garamond" w:hint="default"/>
          <w:spacing w:val="-7"/>
        </w:rPr>
        <w:t> </w:t>
      </w:r>
      <w:r>
        <w:rPr/>
        <w:t>月，上海市人民政府出具“沪府体改审</w:t>
      </w:r>
      <w:r>
        <w:rPr>
          <w:rFonts w:ascii="Garamond" w:hAnsi="Garamond" w:cs="Garamond" w:eastAsia="Garamond" w:hint="default"/>
        </w:rPr>
        <w:t>(2000)016</w:t>
      </w:r>
      <w:r>
        <w:rPr>
          <w:rFonts w:ascii="Garamond" w:hAnsi="Garamond" w:cs="Garamond" w:eastAsia="Garamond" w:hint="default"/>
          <w:spacing w:val="-7"/>
        </w:rPr>
        <w:t> </w:t>
      </w:r>
      <w:r>
        <w:rPr>
          <w:spacing w:val="-5"/>
        </w:rPr>
        <w:t>号”《关</w:t>
      </w:r>
      <w:r>
        <w:rPr>
          <w:w w:val="100"/>
        </w:rPr>
        <w:t> </w:t>
      </w:r>
      <w:r>
        <w:rPr/>
        <w:t>于同意设立上海格尔软件股份有限公司的批复》，同月公司完成股份公司的工商登记手续。</w:t>
      </w:r>
    </w:p>
    <w:p>
      <w:pPr>
        <w:spacing w:line="240" w:lineRule="auto" w:before="0"/>
        <w:rPr>
          <w:rFonts w:ascii="宋体" w:hAnsi="宋体" w:cs="宋体" w:eastAsia="宋体" w:hint="default"/>
          <w:sz w:val="20"/>
          <w:szCs w:val="20"/>
        </w:rPr>
      </w:pPr>
    </w:p>
    <w:p>
      <w:pPr>
        <w:pStyle w:val="BodyText"/>
        <w:spacing w:line="343" w:lineRule="auto" w:before="137"/>
        <w:ind w:left="138" w:right="210"/>
        <w:jc w:val="both"/>
      </w:pPr>
      <w:r>
        <w:rPr>
          <w:rFonts w:ascii="Garamond" w:hAnsi="Garamond" w:cs="Garamond" w:eastAsia="Garamond" w:hint="default"/>
        </w:rPr>
        <w:t>2011</w:t>
      </w:r>
      <w:r>
        <w:rPr>
          <w:rFonts w:ascii="Garamond" w:hAnsi="Garamond" w:cs="Garamond" w:eastAsia="Garamond" w:hint="default"/>
          <w:spacing w:val="7"/>
        </w:rPr>
        <w:t> </w:t>
      </w:r>
      <w:r>
        <w:rPr/>
        <w:t>年</w:t>
      </w:r>
      <w:r>
        <w:rPr>
          <w:spacing w:val="-45"/>
        </w:rPr>
        <w:t> </w:t>
      </w:r>
      <w:r>
        <w:rPr>
          <w:rFonts w:ascii="Garamond" w:hAnsi="Garamond" w:cs="Garamond" w:eastAsia="Garamond" w:hint="default"/>
        </w:rPr>
        <w:t>8</w:t>
      </w:r>
      <w:r>
        <w:rPr>
          <w:rFonts w:ascii="Garamond" w:hAnsi="Garamond" w:cs="Garamond" w:eastAsia="Garamond" w:hint="default"/>
          <w:spacing w:val="7"/>
        </w:rPr>
        <w:t> </w:t>
      </w:r>
      <w:r>
        <w:rPr/>
        <w:t>月，公司注册资本由</w:t>
      </w:r>
      <w:r>
        <w:rPr>
          <w:spacing w:val="-45"/>
        </w:rPr>
        <w:t> </w:t>
      </w:r>
      <w:r>
        <w:rPr>
          <w:rFonts w:ascii="Garamond" w:hAnsi="Garamond" w:cs="Garamond" w:eastAsia="Garamond" w:hint="default"/>
        </w:rPr>
        <w:t>3,500.00</w:t>
      </w:r>
      <w:r>
        <w:rPr>
          <w:rFonts w:ascii="Garamond" w:hAnsi="Garamond" w:cs="Garamond" w:eastAsia="Garamond" w:hint="default"/>
          <w:spacing w:val="7"/>
        </w:rPr>
        <w:t> </w:t>
      </w:r>
      <w:r>
        <w:rPr/>
        <w:t>万元增加至</w:t>
      </w:r>
      <w:r>
        <w:rPr>
          <w:spacing w:val="-45"/>
        </w:rPr>
        <w:t> </w:t>
      </w:r>
      <w:r>
        <w:rPr>
          <w:rFonts w:ascii="Garamond" w:hAnsi="Garamond" w:cs="Garamond" w:eastAsia="Garamond" w:hint="default"/>
        </w:rPr>
        <w:t>3,900.00</w:t>
      </w:r>
      <w:r>
        <w:rPr>
          <w:rFonts w:ascii="Garamond" w:hAnsi="Garamond" w:cs="Garamond" w:eastAsia="Garamond" w:hint="default"/>
          <w:spacing w:val="7"/>
        </w:rPr>
        <w:t> </w:t>
      </w:r>
      <w:r>
        <w:rPr/>
        <w:t>万元，新增注册资本</w:t>
      </w:r>
      <w:r>
        <w:rPr>
          <w:spacing w:val="-45"/>
        </w:rPr>
        <w:t> </w:t>
      </w:r>
      <w:r>
        <w:rPr>
          <w:rFonts w:ascii="Garamond" w:hAnsi="Garamond" w:cs="Garamond" w:eastAsia="Garamond" w:hint="default"/>
        </w:rPr>
        <w:t>400.00</w:t>
      </w:r>
      <w:r>
        <w:rPr>
          <w:rFonts w:ascii="Garamond" w:hAnsi="Garamond" w:cs="Garamond" w:eastAsia="Garamond" w:hint="default"/>
          <w:spacing w:val="7"/>
        </w:rPr>
        <w:t> </w:t>
      </w:r>
      <w:r>
        <w:rPr/>
        <w:t>万元由上</w:t>
      </w:r>
      <w:r>
        <w:rPr>
          <w:w w:val="100"/>
        </w:rPr>
        <w:t> </w:t>
      </w:r>
      <w:r>
        <w:rPr>
          <w:spacing w:val="-6"/>
        </w:rPr>
        <w:t>海圣睿投资管理合伙企业以货币资金方式认缴。上海信捷会计师事务所（特殊普通合伙）出具“信</w:t>
      </w:r>
      <w:r>
        <w:rPr>
          <w:spacing w:val="-54"/>
        </w:rPr>
        <w:t> </w:t>
      </w:r>
      <w:r>
        <w:rPr>
          <w:spacing w:val="-54"/>
        </w:rPr>
      </w:r>
      <w:r>
        <w:rPr>
          <w:spacing w:val="-1"/>
        </w:rPr>
        <w:t>捷会师字</w:t>
      </w:r>
      <w:r>
        <w:rPr>
          <w:rFonts w:ascii="Garamond" w:hAnsi="Garamond" w:cs="Garamond" w:eastAsia="Garamond" w:hint="default"/>
          <w:spacing w:val="-1"/>
        </w:rPr>
        <w:t>(2011)</w:t>
      </w:r>
      <w:r>
        <w:rPr>
          <w:spacing w:val="-1"/>
        </w:rPr>
        <w:t>第</w:t>
      </w:r>
      <w:r>
        <w:rPr>
          <w:rFonts w:ascii="Garamond" w:hAnsi="Garamond" w:cs="Garamond" w:eastAsia="Garamond" w:hint="default"/>
          <w:spacing w:val="-1"/>
        </w:rPr>
        <w:t>N1634</w:t>
      </w:r>
      <w:r>
        <w:rPr>
          <w:rFonts w:ascii="Garamond" w:hAnsi="Garamond" w:cs="Garamond" w:eastAsia="Garamond" w:hint="default"/>
          <w:spacing w:val="51"/>
        </w:rPr>
        <w:t> </w:t>
      </w:r>
      <w:r>
        <w:rPr>
          <w:spacing w:val="-2"/>
        </w:rPr>
        <w:t>号”《验资报告》对上述增资事项予以验证。</w:t>
      </w:r>
    </w:p>
    <w:p>
      <w:pPr>
        <w:spacing w:line="240" w:lineRule="auto" w:before="8"/>
        <w:rPr>
          <w:rFonts w:ascii="宋体" w:hAnsi="宋体" w:cs="宋体" w:eastAsia="宋体" w:hint="default"/>
          <w:sz w:val="27"/>
          <w:szCs w:val="27"/>
        </w:rPr>
      </w:pPr>
    </w:p>
    <w:p>
      <w:pPr>
        <w:pStyle w:val="BodyText"/>
        <w:spacing w:line="240" w:lineRule="auto"/>
        <w:ind w:left="138" w:right="0"/>
        <w:jc w:val="both"/>
      </w:pPr>
      <w:r>
        <w:rPr>
          <w:rFonts w:ascii="Garamond" w:hAnsi="Garamond" w:cs="Garamond" w:eastAsia="Garamond" w:hint="default"/>
        </w:rPr>
        <w:t>2012</w:t>
      </w:r>
      <w:r>
        <w:rPr>
          <w:rFonts w:ascii="Garamond" w:hAnsi="Garamond" w:cs="Garamond" w:eastAsia="Garamond" w:hint="default"/>
          <w:spacing w:val="9"/>
        </w:rPr>
        <w:t> </w:t>
      </w:r>
      <w:r>
        <w:rPr/>
        <w:t>年</w:t>
      </w:r>
      <w:r>
        <w:rPr>
          <w:spacing w:val="-43"/>
        </w:rPr>
        <w:t> </w:t>
      </w:r>
      <w:r>
        <w:rPr>
          <w:rFonts w:ascii="Garamond" w:hAnsi="Garamond" w:cs="Garamond" w:eastAsia="Garamond" w:hint="default"/>
        </w:rPr>
        <w:t>10</w:t>
      </w:r>
      <w:r>
        <w:rPr>
          <w:rFonts w:ascii="Garamond" w:hAnsi="Garamond" w:cs="Garamond" w:eastAsia="Garamond" w:hint="default"/>
          <w:spacing w:val="9"/>
        </w:rPr>
        <w:t> </w:t>
      </w:r>
      <w:r>
        <w:rPr/>
        <w:t>月，公司主要股东对公司</w:t>
      </w:r>
      <w:r>
        <w:rPr>
          <w:spacing w:val="-43"/>
        </w:rPr>
        <w:t> </w:t>
      </w:r>
      <w:r>
        <w:rPr>
          <w:rFonts w:ascii="Garamond" w:hAnsi="Garamond" w:cs="Garamond" w:eastAsia="Garamond" w:hint="default"/>
        </w:rPr>
        <w:t>2000</w:t>
      </w:r>
      <w:r>
        <w:rPr>
          <w:rFonts w:ascii="Garamond" w:hAnsi="Garamond" w:cs="Garamond" w:eastAsia="Garamond" w:hint="default"/>
          <w:spacing w:val="7"/>
        </w:rPr>
        <w:t> </w:t>
      </w:r>
      <w:r>
        <w:rPr/>
        <w:t>年改制时的</w:t>
      </w:r>
      <w:r>
        <w:rPr>
          <w:spacing w:val="-42"/>
        </w:rPr>
        <w:t> </w:t>
      </w:r>
      <w:r>
        <w:rPr>
          <w:rFonts w:ascii="Garamond" w:hAnsi="Garamond" w:cs="Garamond" w:eastAsia="Garamond" w:hint="default"/>
        </w:rPr>
        <w:t>1,213.88</w:t>
      </w:r>
      <w:r>
        <w:rPr>
          <w:rFonts w:ascii="Garamond" w:hAnsi="Garamond" w:cs="Garamond" w:eastAsia="Garamond" w:hint="default"/>
          <w:spacing w:val="9"/>
        </w:rPr>
        <w:t> </w:t>
      </w:r>
      <w:r>
        <w:rPr/>
        <w:t>万元无形资产出资以货币资金方式</w:t>
      </w:r>
    </w:p>
    <w:p>
      <w:pPr>
        <w:pStyle w:val="BodyText"/>
        <w:spacing w:line="326" w:lineRule="auto" w:before="107"/>
        <w:ind w:left="138" w:right="207"/>
        <w:jc w:val="both"/>
      </w:pPr>
      <w:r>
        <w:rPr/>
        <w:t>予以夯实。立信会计师事务所（特殊普通合伙）出具“信会师报字</w:t>
      </w:r>
      <w:r>
        <w:rPr>
          <w:rFonts w:ascii="Garamond" w:hAnsi="Garamond" w:cs="Garamond" w:eastAsia="Garamond" w:hint="default"/>
        </w:rPr>
        <w:t>[2012]</w:t>
      </w:r>
      <w:r>
        <w:rPr/>
        <w:t>第 </w:t>
      </w:r>
      <w:r>
        <w:rPr>
          <w:rFonts w:ascii="Garamond" w:hAnsi="Garamond" w:cs="Garamond" w:eastAsia="Garamond" w:hint="default"/>
        </w:rPr>
        <w:t>151162</w:t>
      </w:r>
      <w:r>
        <w:rPr>
          <w:rFonts w:ascii="Garamond" w:hAnsi="Garamond" w:cs="Garamond" w:eastAsia="Garamond" w:hint="default"/>
          <w:spacing w:val="9"/>
        </w:rPr>
        <w:t> </w:t>
      </w:r>
      <w:r>
        <w:rPr/>
        <w:t>号”《验资复</w:t>
      </w:r>
      <w:r>
        <w:rPr>
          <w:w w:val="100"/>
        </w:rPr>
        <w:t> </w:t>
      </w:r>
      <w:r>
        <w:rPr/>
        <w:t>核报告》对上述补足出资事项予以验证。</w:t>
      </w:r>
    </w:p>
    <w:p>
      <w:pPr>
        <w:spacing w:line="240" w:lineRule="auto" w:before="0"/>
        <w:rPr>
          <w:rFonts w:ascii="宋体" w:hAnsi="宋体" w:cs="宋体" w:eastAsia="宋体" w:hint="default"/>
          <w:sz w:val="20"/>
          <w:szCs w:val="20"/>
        </w:rPr>
      </w:pPr>
    </w:p>
    <w:p>
      <w:pPr>
        <w:pStyle w:val="BodyText"/>
        <w:spacing w:line="324" w:lineRule="auto" w:before="151"/>
        <w:ind w:left="138" w:right="207"/>
        <w:jc w:val="both"/>
      </w:pPr>
      <w:r>
        <w:rPr>
          <w:rFonts w:ascii="Garamond" w:hAnsi="Garamond" w:cs="Garamond" w:eastAsia="Garamond" w:hint="default"/>
        </w:rPr>
        <w:t>2012</w:t>
      </w:r>
      <w:r>
        <w:rPr>
          <w:rFonts w:ascii="Garamond" w:hAnsi="Garamond" w:cs="Garamond" w:eastAsia="Garamond" w:hint="default"/>
          <w:spacing w:val="2"/>
        </w:rPr>
        <w:t> </w:t>
      </w:r>
      <w:r>
        <w:rPr/>
        <w:t>年</w:t>
      </w:r>
      <w:r>
        <w:rPr>
          <w:spacing w:val="-50"/>
        </w:rPr>
        <w:t> </w:t>
      </w:r>
      <w:r>
        <w:rPr>
          <w:rFonts w:ascii="Garamond" w:hAnsi="Garamond" w:cs="Garamond" w:eastAsia="Garamond" w:hint="default"/>
        </w:rPr>
        <w:t>12</w:t>
      </w:r>
      <w:r>
        <w:rPr>
          <w:rFonts w:ascii="Garamond" w:hAnsi="Garamond" w:cs="Garamond" w:eastAsia="Garamond" w:hint="default"/>
          <w:spacing w:val="2"/>
        </w:rPr>
        <w:t> </w:t>
      </w:r>
      <w:r>
        <w:rPr>
          <w:spacing w:val="-3"/>
        </w:rPr>
        <w:t>月，公司注册资本由</w:t>
      </w:r>
      <w:r>
        <w:rPr>
          <w:spacing w:val="-49"/>
        </w:rPr>
        <w:t> </w:t>
      </w:r>
      <w:r>
        <w:rPr>
          <w:rFonts w:ascii="Garamond" w:hAnsi="Garamond" w:cs="Garamond" w:eastAsia="Garamond" w:hint="default"/>
        </w:rPr>
        <w:t>3,900.00</w:t>
      </w:r>
      <w:r>
        <w:rPr>
          <w:rFonts w:ascii="Garamond" w:hAnsi="Garamond" w:cs="Garamond" w:eastAsia="Garamond" w:hint="default"/>
          <w:spacing w:val="2"/>
        </w:rPr>
        <w:t> </w:t>
      </w:r>
      <w:r>
        <w:rPr/>
        <w:t>万元增加至</w:t>
      </w:r>
      <w:r>
        <w:rPr>
          <w:spacing w:val="-49"/>
        </w:rPr>
        <w:t> </w:t>
      </w:r>
      <w:r>
        <w:rPr>
          <w:rFonts w:ascii="Garamond" w:hAnsi="Garamond" w:cs="Garamond" w:eastAsia="Garamond" w:hint="default"/>
        </w:rPr>
        <w:t>4,450.00</w:t>
      </w:r>
      <w:r>
        <w:rPr>
          <w:rFonts w:ascii="Garamond" w:hAnsi="Garamond" w:cs="Garamond" w:eastAsia="Garamond" w:hint="default"/>
          <w:spacing w:val="2"/>
        </w:rPr>
        <w:t> </w:t>
      </w:r>
      <w:r>
        <w:rPr>
          <w:spacing w:val="-3"/>
        </w:rPr>
        <w:t>万元。新增注册资本</w:t>
      </w:r>
      <w:r>
        <w:rPr>
          <w:spacing w:val="-49"/>
        </w:rPr>
        <w:t> </w:t>
      </w:r>
      <w:r>
        <w:rPr>
          <w:rFonts w:ascii="Garamond" w:hAnsi="Garamond" w:cs="Garamond" w:eastAsia="Garamond" w:hint="default"/>
        </w:rPr>
        <w:t>550.00</w:t>
      </w:r>
      <w:r>
        <w:rPr>
          <w:rFonts w:ascii="Garamond" w:hAnsi="Garamond" w:cs="Garamond" w:eastAsia="Garamond" w:hint="default"/>
          <w:spacing w:val="2"/>
        </w:rPr>
        <w:t> </w:t>
      </w:r>
      <w:r>
        <w:rPr/>
        <w:t>万元由上</w:t>
      </w:r>
      <w:r>
        <w:rPr>
          <w:w w:val="100"/>
        </w:rPr>
        <w:t> </w:t>
      </w:r>
      <w:r>
        <w:rPr>
          <w:spacing w:val="-1"/>
        </w:rPr>
        <w:t>海展荣投资管理有限公司及四位自然人股东以货币资金方式认缴。上海信捷会计师事务所（特殊</w:t>
      </w:r>
      <w:r>
        <w:rPr>
          <w:spacing w:val="-55"/>
        </w:rPr>
        <w:t> </w:t>
      </w:r>
      <w:r>
        <w:rPr>
          <w:spacing w:val="-55"/>
        </w:rPr>
      </w:r>
      <w:r>
        <w:rPr/>
        <w:t>普通合伙）于</w:t>
      </w:r>
      <w:r>
        <w:rPr>
          <w:spacing w:val="-49"/>
        </w:rPr>
        <w:t> </w:t>
      </w:r>
      <w:r>
        <w:rPr>
          <w:rFonts w:ascii="Garamond" w:hAnsi="Garamond" w:cs="Garamond" w:eastAsia="Garamond" w:hint="default"/>
        </w:rPr>
        <w:t>2012</w:t>
      </w:r>
      <w:r>
        <w:rPr>
          <w:rFonts w:ascii="Garamond" w:hAnsi="Garamond" w:cs="Garamond" w:eastAsia="Garamond" w:hint="default"/>
          <w:spacing w:val="1"/>
        </w:rPr>
        <w:t> </w:t>
      </w:r>
      <w:r>
        <w:rPr/>
        <w:t>年</w:t>
      </w:r>
      <w:r>
        <w:rPr>
          <w:spacing w:val="-48"/>
        </w:rPr>
        <w:t> </w:t>
      </w:r>
      <w:r>
        <w:rPr>
          <w:rFonts w:ascii="Garamond" w:hAnsi="Garamond" w:cs="Garamond" w:eastAsia="Garamond" w:hint="default"/>
        </w:rPr>
        <w:t>12</w:t>
      </w:r>
      <w:r>
        <w:rPr>
          <w:rFonts w:ascii="Garamond" w:hAnsi="Garamond" w:cs="Garamond" w:eastAsia="Garamond" w:hint="default"/>
          <w:spacing w:val="1"/>
        </w:rPr>
        <w:t> </w:t>
      </w:r>
      <w:r>
        <w:rPr/>
        <w:t>月出具“信捷会师字</w:t>
      </w:r>
      <w:r>
        <w:rPr>
          <w:rFonts w:ascii="Garamond" w:hAnsi="Garamond" w:cs="Garamond" w:eastAsia="Garamond" w:hint="default"/>
        </w:rPr>
        <w:t>(2012)</w:t>
      </w:r>
      <w:r>
        <w:rPr/>
        <w:t>第</w:t>
      </w:r>
      <w:r>
        <w:rPr>
          <w:rFonts w:ascii="Garamond" w:hAnsi="Garamond" w:cs="Garamond" w:eastAsia="Garamond" w:hint="default"/>
        </w:rPr>
        <w:t>N2262</w:t>
      </w:r>
      <w:r>
        <w:rPr>
          <w:rFonts w:ascii="Garamond" w:hAnsi="Garamond" w:cs="Garamond" w:eastAsia="Garamond" w:hint="default"/>
          <w:spacing w:val="1"/>
        </w:rPr>
        <w:t> </w:t>
      </w:r>
      <w:r>
        <w:rPr>
          <w:spacing w:val="-3"/>
        </w:rPr>
        <w:t>号”《验资报告》对上述增资事项予</w:t>
      </w:r>
      <w:r>
        <w:rPr>
          <w:w w:val="100"/>
        </w:rPr>
        <w:t> </w:t>
      </w:r>
      <w:r>
        <w:rPr/>
        <w:t>以验证。</w:t>
      </w:r>
    </w:p>
    <w:p>
      <w:pPr>
        <w:spacing w:line="240" w:lineRule="auto" w:before="11"/>
        <w:rPr>
          <w:rFonts w:ascii="宋体" w:hAnsi="宋体" w:cs="宋体" w:eastAsia="宋体" w:hint="default"/>
          <w:sz w:val="29"/>
          <w:szCs w:val="29"/>
        </w:rPr>
      </w:pPr>
    </w:p>
    <w:p>
      <w:pPr>
        <w:pStyle w:val="BodyText"/>
        <w:spacing w:line="314" w:lineRule="auto"/>
        <w:ind w:left="138" w:right="208"/>
        <w:jc w:val="both"/>
      </w:pPr>
      <w:r>
        <w:rPr>
          <w:rFonts w:ascii="Garamond" w:hAnsi="Garamond" w:cs="Garamond" w:eastAsia="Garamond" w:hint="default"/>
        </w:rPr>
        <w:t>2013</w:t>
      </w:r>
      <w:r>
        <w:rPr>
          <w:rFonts w:ascii="Garamond" w:hAnsi="Garamond" w:cs="Garamond" w:eastAsia="Garamond" w:hint="default"/>
          <w:spacing w:val="7"/>
        </w:rPr>
        <w:t> </w:t>
      </w:r>
      <w:r>
        <w:rPr/>
        <w:t>年</w:t>
      </w:r>
      <w:r>
        <w:rPr>
          <w:spacing w:val="-45"/>
        </w:rPr>
        <w:t> </w:t>
      </w:r>
      <w:r>
        <w:rPr>
          <w:rFonts w:ascii="Garamond" w:hAnsi="Garamond" w:cs="Garamond" w:eastAsia="Garamond" w:hint="default"/>
        </w:rPr>
        <w:t>8</w:t>
      </w:r>
      <w:r>
        <w:rPr>
          <w:rFonts w:ascii="Garamond" w:hAnsi="Garamond" w:cs="Garamond" w:eastAsia="Garamond" w:hint="default"/>
          <w:spacing w:val="7"/>
        </w:rPr>
        <w:t> </w:t>
      </w:r>
      <w:r>
        <w:rPr/>
        <w:t>月，公司注册资本由</w:t>
      </w:r>
      <w:r>
        <w:rPr>
          <w:spacing w:val="-45"/>
        </w:rPr>
        <w:t> </w:t>
      </w:r>
      <w:r>
        <w:rPr>
          <w:rFonts w:ascii="Garamond" w:hAnsi="Garamond" w:cs="Garamond" w:eastAsia="Garamond" w:hint="default"/>
        </w:rPr>
        <w:t>4,450.00</w:t>
      </w:r>
      <w:r>
        <w:rPr>
          <w:rFonts w:ascii="Garamond" w:hAnsi="Garamond" w:cs="Garamond" w:eastAsia="Garamond" w:hint="default"/>
          <w:spacing w:val="7"/>
        </w:rPr>
        <w:t> </w:t>
      </w:r>
      <w:r>
        <w:rPr/>
        <w:t>万元增加至</w:t>
      </w:r>
      <w:r>
        <w:rPr>
          <w:spacing w:val="-45"/>
        </w:rPr>
        <w:t> </w:t>
      </w:r>
      <w:r>
        <w:rPr>
          <w:rFonts w:ascii="Garamond" w:hAnsi="Garamond" w:cs="Garamond" w:eastAsia="Garamond" w:hint="default"/>
        </w:rPr>
        <w:t>4,575.00</w:t>
      </w:r>
      <w:r>
        <w:rPr>
          <w:rFonts w:ascii="Garamond" w:hAnsi="Garamond" w:cs="Garamond" w:eastAsia="Garamond" w:hint="default"/>
          <w:spacing w:val="7"/>
        </w:rPr>
        <w:t> </w:t>
      </w:r>
      <w:r>
        <w:rPr/>
        <w:t>万元。新增注册资本</w:t>
      </w:r>
      <w:r>
        <w:rPr>
          <w:spacing w:val="-45"/>
        </w:rPr>
        <w:t> </w:t>
      </w:r>
      <w:r>
        <w:rPr>
          <w:rFonts w:ascii="Garamond" w:hAnsi="Garamond" w:cs="Garamond" w:eastAsia="Garamond" w:hint="default"/>
        </w:rPr>
        <w:t>125.00</w:t>
      </w:r>
      <w:r>
        <w:rPr>
          <w:rFonts w:ascii="Garamond" w:hAnsi="Garamond" w:cs="Garamond" w:eastAsia="Garamond" w:hint="default"/>
          <w:spacing w:val="7"/>
        </w:rPr>
        <w:t> </w:t>
      </w:r>
      <w:r>
        <w:rPr/>
        <w:t>万元由马</w:t>
      </w:r>
      <w:r>
        <w:rPr>
          <w:w w:val="100"/>
        </w:rPr>
        <w:t> </w:t>
      </w:r>
      <w:r>
        <w:rPr>
          <w:spacing w:val="-4"/>
        </w:rPr>
        <w:t>晓娜、张燕以其持有的西安朗锐软件有限公司 </w:t>
      </w:r>
      <w:r>
        <w:rPr>
          <w:rFonts w:ascii="Garamond" w:hAnsi="Garamond" w:cs="Garamond" w:eastAsia="Garamond" w:hint="default"/>
          <w:spacing w:val="-4"/>
        </w:rPr>
        <w:t>100%</w:t>
      </w:r>
      <w:r>
        <w:rPr>
          <w:spacing w:val="-4"/>
        </w:rPr>
        <w:t>股权及部分货币资金予以认缴。立信会计师事</w:t>
      </w:r>
      <w:r>
        <w:rPr>
          <w:spacing w:val="-79"/>
        </w:rPr>
        <w:t> </w:t>
      </w:r>
      <w:r>
        <w:rPr>
          <w:spacing w:val="-79"/>
        </w:rPr>
      </w:r>
      <w:r>
        <w:rPr/>
        <w:t>务所（特殊普通合伙）出具“信会师报字</w:t>
      </w:r>
      <w:r>
        <w:rPr>
          <w:rFonts w:ascii="Garamond" w:hAnsi="Garamond" w:cs="Garamond" w:eastAsia="Garamond" w:hint="default"/>
        </w:rPr>
        <w:t>[2013]</w:t>
      </w:r>
      <w:r>
        <w:rPr/>
        <w:t>第 </w:t>
      </w:r>
      <w:r>
        <w:rPr>
          <w:rFonts w:ascii="Garamond" w:hAnsi="Garamond" w:cs="Garamond" w:eastAsia="Garamond" w:hint="default"/>
        </w:rPr>
        <w:t>151075</w:t>
      </w:r>
      <w:r>
        <w:rPr>
          <w:rFonts w:ascii="Garamond" w:hAnsi="Garamond" w:cs="Garamond" w:eastAsia="Garamond" w:hint="default"/>
          <w:spacing w:val="8"/>
        </w:rPr>
        <w:t> </w:t>
      </w:r>
      <w:r>
        <w:rPr/>
        <w:t>号”《验资报告》对上述增资事项予以</w:t>
      </w:r>
      <w:r>
        <w:rPr>
          <w:w w:val="100"/>
        </w:rPr>
        <w:t> </w:t>
      </w:r>
      <w:r>
        <w:rPr/>
        <w:t>验证。</w:t>
      </w:r>
    </w:p>
    <w:p>
      <w:pPr>
        <w:spacing w:line="240" w:lineRule="auto" w:before="0"/>
        <w:rPr>
          <w:rFonts w:ascii="宋体" w:hAnsi="宋体" w:cs="宋体" w:eastAsia="宋体" w:hint="default"/>
          <w:sz w:val="20"/>
          <w:szCs w:val="20"/>
        </w:rPr>
      </w:pPr>
    </w:p>
    <w:p>
      <w:pPr>
        <w:pStyle w:val="BodyText"/>
        <w:spacing w:line="240" w:lineRule="auto" w:before="137"/>
        <w:ind w:left="138" w:right="0"/>
        <w:jc w:val="both"/>
      </w:pPr>
      <w:r>
        <w:rPr>
          <w:rFonts w:ascii="Garamond" w:hAnsi="Garamond" w:cs="Garamond" w:eastAsia="Garamond" w:hint="default"/>
        </w:rPr>
        <w:t>2017</w:t>
      </w:r>
      <w:r>
        <w:rPr>
          <w:rFonts w:ascii="Garamond" w:hAnsi="Garamond" w:cs="Garamond" w:eastAsia="Garamond" w:hint="default"/>
          <w:spacing w:val="-1"/>
        </w:rPr>
        <w:t> </w:t>
      </w:r>
      <w:r>
        <w:rPr/>
        <w:t>年</w:t>
      </w:r>
      <w:r>
        <w:rPr>
          <w:spacing w:val="-53"/>
        </w:rPr>
        <w:t> </w:t>
      </w:r>
      <w:r>
        <w:rPr>
          <w:rFonts w:ascii="Garamond" w:hAnsi="Garamond" w:cs="Garamond" w:eastAsia="Garamond" w:hint="default"/>
        </w:rPr>
        <w:t>4</w:t>
      </w:r>
      <w:r>
        <w:rPr>
          <w:rFonts w:ascii="Garamond" w:hAnsi="Garamond" w:cs="Garamond" w:eastAsia="Garamond" w:hint="default"/>
          <w:spacing w:val="-1"/>
        </w:rPr>
        <w:t> </w:t>
      </w:r>
      <w:r>
        <w:rPr/>
        <w:t>月，根据</w:t>
      </w:r>
      <w:r>
        <w:rPr>
          <w:spacing w:val="-53"/>
        </w:rPr>
        <w:t> </w:t>
      </w:r>
      <w:r>
        <w:rPr>
          <w:rFonts w:ascii="Garamond" w:hAnsi="Garamond" w:cs="Garamond" w:eastAsia="Garamond" w:hint="default"/>
        </w:rPr>
        <w:t>2016 </w:t>
      </w:r>
      <w:r>
        <w:rPr/>
        <w:t>年年度股东大会决议及中国证券监督管理委员会证监许可</w:t>
      </w:r>
      <w:r>
        <w:rPr>
          <w:rFonts w:ascii="Garamond" w:hAnsi="Garamond" w:cs="Garamond" w:eastAsia="Garamond" w:hint="default"/>
        </w:rPr>
        <w:t>[2017]431</w:t>
      </w:r>
      <w:r>
        <w:rPr>
          <w:rFonts w:ascii="Garamond" w:hAnsi="Garamond" w:cs="Garamond" w:eastAsia="Garamond" w:hint="default"/>
          <w:spacing w:val="-3"/>
        </w:rPr>
        <w:t> </w:t>
      </w:r>
      <w:r>
        <w:rPr/>
        <w:t>号文，</w:t>
      </w:r>
    </w:p>
    <w:p>
      <w:pPr>
        <w:pStyle w:val="BodyText"/>
        <w:spacing w:line="240" w:lineRule="auto" w:before="93"/>
        <w:ind w:left="138" w:right="0"/>
        <w:jc w:val="both"/>
        <w:rPr>
          <w:rFonts w:ascii="Garamond" w:hAnsi="Garamond" w:cs="Garamond" w:eastAsia="Garamond" w:hint="default"/>
        </w:rPr>
      </w:pPr>
      <w:r>
        <w:rPr/>
        <w:t>公司向社会发行人民币普通股</w:t>
      </w:r>
      <w:r>
        <w:rPr>
          <w:spacing w:val="-38"/>
        </w:rPr>
        <w:t> </w:t>
      </w:r>
      <w:r>
        <w:rPr>
          <w:rFonts w:ascii="Garamond" w:hAnsi="Garamond" w:cs="Garamond" w:eastAsia="Garamond" w:hint="default"/>
        </w:rPr>
        <w:t>1,525</w:t>
      </w:r>
      <w:r>
        <w:rPr>
          <w:rFonts w:ascii="Garamond" w:hAnsi="Garamond" w:cs="Garamond" w:eastAsia="Garamond" w:hint="default"/>
          <w:spacing w:val="14"/>
        </w:rPr>
        <w:t> </w:t>
      </w:r>
      <w:r>
        <w:rPr/>
        <w:t>万股，发行后公司总股本变更为</w:t>
      </w:r>
      <w:r>
        <w:rPr>
          <w:spacing w:val="-38"/>
        </w:rPr>
        <w:t> </w:t>
      </w:r>
      <w:r>
        <w:rPr>
          <w:rFonts w:ascii="Garamond" w:hAnsi="Garamond" w:cs="Garamond" w:eastAsia="Garamond" w:hint="default"/>
        </w:rPr>
        <w:t>6,100</w:t>
      </w:r>
      <w:r>
        <w:rPr>
          <w:rFonts w:ascii="Garamond" w:hAnsi="Garamond" w:cs="Garamond" w:eastAsia="Garamond" w:hint="default"/>
          <w:spacing w:val="14"/>
        </w:rPr>
        <w:t> </w:t>
      </w:r>
      <w:r>
        <w:rPr/>
        <w:t>万股。</w:t>
      </w:r>
      <w:r>
        <w:rPr>
          <w:rFonts w:ascii="Garamond" w:hAnsi="Garamond" w:cs="Garamond" w:eastAsia="Garamond" w:hint="default"/>
        </w:rPr>
        <w:t>2017</w:t>
      </w:r>
      <w:r>
        <w:rPr>
          <w:rFonts w:ascii="Garamond" w:hAnsi="Garamond" w:cs="Garamond" w:eastAsia="Garamond" w:hint="default"/>
          <w:spacing w:val="14"/>
        </w:rPr>
        <w:t> </w:t>
      </w:r>
      <w:r>
        <w:rPr/>
        <w:t>年</w:t>
      </w:r>
      <w:r>
        <w:rPr>
          <w:spacing w:val="-38"/>
        </w:rPr>
        <w:t> </w:t>
      </w:r>
      <w:r>
        <w:rPr>
          <w:rFonts w:ascii="Garamond" w:hAnsi="Garamond" w:cs="Garamond" w:eastAsia="Garamond" w:hint="default"/>
        </w:rPr>
        <w:t>4</w:t>
      </w:r>
      <w:r>
        <w:rPr>
          <w:rFonts w:ascii="Garamond" w:hAnsi="Garamond" w:cs="Garamond" w:eastAsia="Garamond" w:hint="default"/>
          <w:spacing w:val="14"/>
        </w:rPr>
        <w:t> </w:t>
      </w:r>
      <w:r>
        <w:rPr/>
        <w:t>月</w:t>
      </w:r>
      <w:r>
        <w:rPr>
          <w:spacing w:val="-38"/>
        </w:rPr>
        <w:t> </w:t>
      </w:r>
      <w:r>
        <w:rPr>
          <w:rFonts w:ascii="Garamond" w:hAnsi="Garamond" w:cs="Garamond" w:eastAsia="Garamond" w:hint="default"/>
        </w:rPr>
        <w:t>21</w:t>
      </w:r>
    </w:p>
    <w:p>
      <w:pPr>
        <w:pStyle w:val="BodyText"/>
        <w:spacing w:line="240" w:lineRule="auto" w:before="95"/>
        <w:ind w:left="138" w:right="0"/>
        <w:jc w:val="both"/>
      </w:pPr>
      <w:r>
        <w:rPr>
          <w:spacing w:val="-9"/>
        </w:rPr>
        <w:t>日，公司</w:t>
      </w:r>
      <w:r>
        <w:rPr>
          <w:rFonts w:ascii="Garamond" w:hAnsi="Garamond" w:cs="Garamond" w:eastAsia="Garamond" w:hint="default"/>
          <w:spacing w:val="-9"/>
        </w:rPr>
        <w:t>A</w:t>
      </w:r>
      <w:r>
        <w:rPr>
          <w:spacing w:val="-9"/>
        </w:rPr>
        <w:t>股股票在上海证券交易所上市交易，证券简称为“格尔软件”，证券代码为“</w:t>
      </w:r>
      <w:r>
        <w:rPr>
          <w:rFonts w:ascii="Garamond" w:hAnsi="Garamond" w:cs="Garamond" w:eastAsia="Garamond" w:hint="default"/>
          <w:spacing w:val="-9"/>
        </w:rPr>
        <w:t>603232</w:t>
      </w:r>
      <w:r>
        <w:rPr>
          <w:spacing w:val="-9"/>
        </w:rPr>
        <w:t>”。</w:t>
      </w:r>
      <w:r>
        <w:rPr/>
      </w:r>
    </w:p>
    <w:p>
      <w:pPr>
        <w:spacing w:line="240" w:lineRule="auto" w:before="0"/>
        <w:rPr>
          <w:rFonts w:ascii="宋体" w:hAnsi="宋体" w:cs="宋体" w:eastAsia="宋体" w:hint="default"/>
          <w:sz w:val="22"/>
          <w:szCs w:val="22"/>
        </w:rPr>
      </w:pPr>
    </w:p>
    <w:p>
      <w:pPr>
        <w:pStyle w:val="BodyText"/>
        <w:spacing w:line="240" w:lineRule="auto" w:before="165"/>
        <w:ind w:left="138" w:right="0"/>
        <w:jc w:val="both"/>
      </w:pPr>
      <w:r>
        <w:rPr/>
        <w:t>截至</w:t>
      </w:r>
      <w:r>
        <w:rPr>
          <w:spacing w:val="-54"/>
        </w:rPr>
        <w:t> </w:t>
      </w:r>
      <w:r>
        <w:rPr>
          <w:rFonts w:ascii="Garamond" w:hAnsi="Garamond" w:cs="Garamond" w:eastAsia="Garamond" w:hint="default"/>
        </w:rPr>
        <w:t>2017</w:t>
      </w:r>
      <w:r>
        <w:rPr>
          <w:rFonts w:ascii="Garamond" w:hAnsi="Garamond" w:cs="Garamond" w:eastAsia="Garamond" w:hint="default"/>
          <w:spacing w:val="-4"/>
        </w:rPr>
        <w:t> </w:t>
      </w:r>
      <w:r>
        <w:rPr/>
        <w:t>年</w:t>
      </w:r>
      <w:r>
        <w:rPr>
          <w:spacing w:val="-54"/>
        </w:rPr>
        <w:t> </w:t>
      </w:r>
      <w:r>
        <w:rPr>
          <w:rFonts w:ascii="Garamond" w:hAnsi="Garamond" w:cs="Garamond" w:eastAsia="Garamond" w:hint="default"/>
        </w:rPr>
        <w:t>12</w:t>
      </w:r>
      <w:r>
        <w:rPr>
          <w:rFonts w:ascii="Garamond" w:hAnsi="Garamond" w:cs="Garamond" w:eastAsia="Garamond" w:hint="default"/>
          <w:spacing w:val="-2"/>
        </w:rPr>
        <w:t> </w:t>
      </w:r>
      <w:r>
        <w:rPr/>
        <w:t>月</w:t>
      </w:r>
      <w:r>
        <w:rPr>
          <w:spacing w:val="-54"/>
        </w:rPr>
        <w:t> </w:t>
      </w:r>
      <w:r>
        <w:rPr>
          <w:rFonts w:ascii="Garamond" w:hAnsi="Garamond" w:cs="Garamond" w:eastAsia="Garamond" w:hint="default"/>
        </w:rPr>
        <w:t>31</w:t>
      </w:r>
      <w:r>
        <w:rPr>
          <w:rFonts w:ascii="Garamond" w:hAnsi="Garamond" w:cs="Garamond" w:eastAsia="Garamond" w:hint="default"/>
          <w:spacing w:val="-2"/>
        </w:rPr>
        <w:t> </w:t>
      </w:r>
      <w:r>
        <w:rPr/>
        <w:t>日，公司的总股本</w:t>
      </w:r>
      <w:r>
        <w:rPr>
          <w:spacing w:val="-53"/>
        </w:rPr>
        <w:t> </w:t>
      </w:r>
      <w:r>
        <w:rPr>
          <w:rFonts w:ascii="Garamond" w:hAnsi="Garamond" w:cs="Garamond" w:eastAsia="Garamond" w:hint="default"/>
        </w:rPr>
        <w:t>61,000,000</w:t>
      </w:r>
      <w:r>
        <w:rPr>
          <w:rFonts w:ascii="Garamond" w:hAnsi="Garamond" w:cs="Garamond" w:eastAsia="Garamond" w:hint="default"/>
          <w:spacing w:val="-1"/>
        </w:rPr>
        <w:t> </w:t>
      </w:r>
      <w:r>
        <w:rPr>
          <w:spacing w:val="-3"/>
        </w:rPr>
        <w:t>股。</w:t>
      </w:r>
      <w:r>
        <w:rPr/>
      </w:r>
    </w:p>
    <w:p>
      <w:pPr>
        <w:pStyle w:val="BodyText"/>
        <w:spacing w:line="240" w:lineRule="auto" w:before="93"/>
        <w:ind w:left="138" w:right="0"/>
        <w:jc w:val="both"/>
      </w:pPr>
      <w:r>
        <w:rPr/>
        <w:t>公司注册资本：人民币</w:t>
      </w:r>
      <w:r>
        <w:rPr>
          <w:spacing w:val="-54"/>
        </w:rPr>
        <w:t> </w:t>
      </w:r>
      <w:r>
        <w:rPr>
          <w:rFonts w:ascii="Garamond" w:hAnsi="Garamond" w:cs="Garamond" w:eastAsia="Garamond" w:hint="default"/>
        </w:rPr>
        <w:t>61,000,000</w:t>
      </w:r>
      <w:r>
        <w:rPr>
          <w:rFonts w:ascii="Garamond" w:hAnsi="Garamond" w:cs="Garamond" w:eastAsia="Garamond" w:hint="default"/>
          <w:spacing w:val="-3"/>
        </w:rPr>
        <w:t> </w:t>
      </w:r>
      <w:r>
        <w:rPr/>
        <w:t>元。</w:t>
      </w:r>
    </w:p>
    <w:p>
      <w:pPr>
        <w:spacing w:after="0" w:line="240" w:lineRule="auto"/>
        <w:jc w:val="both"/>
        <w:sectPr>
          <w:headerReference w:type="default" r:id="rId49"/>
          <w:footerReference w:type="default" r:id="rId50"/>
          <w:pgSz w:w="11910" w:h="16840"/>
          <w:pgMar w:header="882" w:footer="1195" w:top="1120" w:bottom="1380" w:left="1660" w:right="1060"/>
          <w:pgNumType w:start="84"/>
        </w:sectPr>
      </w:pPr>
    </w:p>
    <w:p>
      <w:pPr>
        <w:spacing w:line="240" w:lineRule="auto" w:before="4"/>
        <w:rPr>
          <w:rFonts w:ascii="宋体" w:hAnsi="宋体" w:cs="宋体" w:eastAsia="宋体" w:hint="default"/>
          <w:sz w:val="25"/>
          <w:szCs w:val="25"/>
        </w:rPr>
      </w:pPr>
    </w:p>
    <w:p>
      <w:pPr>
        <w:pStyle w:val="BodyText"/>
        <w:spacing w:line="240" w:lineRule="auto" w:before="36"/>
        <w:ind w:left="138" w:right="0"/>
        <w:jc w:val="left"/>
      </w:pPr>
      <w:r>
        <w:rPr/>
        <w:t>公司注册地址及经营地址：上海市静安区江场西路</w:t>
      </w:r>
      <w:r>
        <w:rPr>
          <w:spacing w:val="-55"/>
        </w:rPr>
        <w:t> </w:t>
      </w:r>
      <w:r>
        <w:rPr>
          <w:rFonts w:ascii="宋体" w:hAnsi="宋体" w:cs="宋体" w:eastAsia="宋体" w:hint="default"/>
        </w:rPr>
        <w:t>299</w:t>
      </w:r>
      <w:r>
        <w:rPr>
          <w:rFonts w:ascii="宋体" w:hAnsi="宋体" w:cs="宋体" w:eastAsia="宋体" w:hint="default"/>
          <w:spacing w:val="-53"/>
        </w:rPr>
        <w:t> </w:t>
      </w:r>
      <w:r>
        <w:rPr/>
        <w:t>弄</w:t>
      </w:r>
      <w:r>
        <w:rPr>
          <w:spacing w:val="-55"/>
        </w:rPr>
        <w:t> </w:t>
      </w:r>
      <w:r>
        <w:rPr>
          <w:rFonts w:ascii="宋体" w:hAnsi="宋体" w:cs="宋体" w:eastAsia="宋体" w:hint="default"/>
        </w:rPr>
        <w:t>5</w:t>
      </w:r>
      <w:r>
        <w:rPr>
          <w:rFonts w:ascii="宋体" w:hAnsi="宋体" w:cs="宋体" w:eastAsia="宋体" w:hint="default"/>
          <w:spacing w:val="-53"/>
        </w:rPr>
        <w:t> </w:t>
      </w:r>
      <w:r>
        <w:rPr/>
        <w:t>号</w:t>
      </w:r>
      <w:r>
        <w:rPr>
          <w:spacing w:val="-55"/>
        </w:rPr>
        <w:t> </w:t>
      </w:r>
      <w:r>
        <w:rPr>
          <w:rFonts w:ascii="宋体" w:hAnsi="宋体" w:cs="宋体" w:eastAsia="宋体" w:hint="default"/>
        </w:rPr>
        <w:t>601</w:t>
      </w:r>
      <w:r>
        <w:rPr>
          <w:rFonts w:ascii="宋体" w:hAnsi="宋体" w:cs="宋体" w:eastAsia="宋体" w:hint="default"/>
          <w:spacing w:val="-55"/>
        </w:rPr>
        <w:t> </w:t>
      </w:r>
      <w:r>
        <w:rPr/>
        <w:t>室。</w:t>
      </w:r>
    </w:p>
    <w:p>
      <w:pPr>
        <w:spacing w:line="240" w:lineRule="auto" w:before="6"/>
        <w:rPr>
          <w:rFonts w:ascii="宋体" w:hAnsi="宋体" w:cs="宋体" w:eastAsia="宋体" w:hint="default"/>
          <w:sz w:val="29"/>
          <w:szCs w:val="29"/>
        </w:rPr>
      </w:pPr>
    </w:p>
    <w:p>
      <w:pPr>
        <w:pStyle w:val="BodyText"/>
        <w:spacing w:line="343" w:lineRule="auto"/>
        <w:ind w:left="138" w:right="0"/>
        <w:jc w:val="left"/>
      </w:pPr>
      <w:r>
        <w:rPr>
          <w:spacing w:val="-1"/>
        </w:rPr>
        <w:t>公司经营范围为：软件开发，软件生产，信息网络安全产品的研制、开发、销售，系统集成，专</w:t>
      </w:r>
      <w:r>
        <w:rPr>
          <w:spacing w:val="-56"/>
        </w:rPr>
        <w:t> </w:t>
      </w:r>
      <w:r>
        <w:rPr>
          <w:spacing w:val="-56"/>
        </w:rPr>
      </w:r>
      <w:r>
        <w:rPr/>
        <w:t>业四技服务</w:t>
      </w:r>
      <w:r>
        <w:rPr>
          <w:rFonts w:ascii="Garamond" w:hAnsi="Garamond" w:cs="Garamond" w:eastAsia="Garamond" w:hint="default"/>
        </w:rPr>
        <w:t>(</w:t>
      </w:r>
      <w:r>
        <w:rPr/>
        <w:t>上述项目除专项规定</w:t>
      </w:r>
      <w:r>
        <w:rPr>
          <w:rFonts w:ascii="Garamond" w:hAnsi="Garamond" w:cs="Garamond" w:eastAsia="Garamond" w:hint="default"/>
        </w:rPr>
        <w:t>)</w:t>
      </w:r>
      <w:r>
        <w:rPr/>
        <w:t>。</w:t>
      </w:r>
    </w:p>
    <w:p>
      <w:pPr>
        <w:pStyle w:val="BodyText"/>
        <w:spacing w:line="269" w:lineRule="exact"/>
        <w:ind w:left="138" w:right="0"/>
        <w:jc w:val="left"/>
      </w:pPr>
      <w:r>
        <w:rPr/>
        <w:t>法定代表人姓名：孔令钢。</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2"/>
        <w:tabs>
          <w:tab w:pos="557" w:val="left" w:leader="none"/>
        </w:tabs>
        <w:spacing w:line="240" w:lineRule="auto"/>
        <w:ind w:left="138" w:right="0"/>
        <w:jc w:val="left"/>
        <w:rPr>
          <w:b w:val="0"/>
          <w:bCs w:val="0"/>
        </w:rPr>
      </w:pPr>
      <w:r>
        <w:rPr>
          <w:rFonts w:ascii="宋体" w:hAnsi="宋体" w:cs="宋体" w:eastAsia="宋体" w:hint="default"/>
          <w:w w:val="95"/>
        </w:rPr>
        <w:t>2.</w:t>
        <w:tab/>
      </w:r>
      <w:r>
        <w:rPr/>
        <w:t>合并财务报表范围</w:t>
      </w:r>
      <w:r>
        <w:rPr>
          <w:b w:val="0"/>
          <w:bCs w:val="0"/>
        </w:rPr>
      </w:r>
    </w:p>
    <w:p>
      <w:pPr>
        <w:pStyle w:val="BodyText"/>
        <w:spacing w:line="230" w:lineRule="auto" w:before="66"/>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spacing w:val="-1"/>
        </w:rPr>
        <w:t>本公司合并财务报表范围包括上海格尔安全科技有限公司、北京格尔国信科技有限公司、郑州信</w:t>
      </w:r>
      <w:r>
        <w:rPr>
          <w:spacing w:val="-55"/>
        </w:rPr>
        <w:t> </w:t>
      </w:r>
      <w:r>
        <w:rPr>
          <w:spacing w:val="-55"/>
        </w:rPr>
      </w:r>
      <w:r>
        <w:rPr/>
        <w:t>领软件有限公司等</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家公司。与上年相比，本年合并财务报表范围没有变化。</w:t>
      </w:r>
      <w:r>
        <w:rPr>
          <w:w w:val="100"/>
        </w:rPr>
        <w:t> </w:t>
      </w:r>
      <w:r>
        <w:rPr/>
        <w:t>详见本附注“七、合并范围的变更”及本附注“八、在其他主体中的权益”相关内容。</w:t>
      </w:r>
    </w:p>
    <w:p>
      <w:pPr>
        <w:spacing w:line="240" w:lineRule="auto" w:before="12"/>
        <w:rPr>
          <w:rFonts w:ascii="宋体" w:hAnsi="宋体" w:cs="宋体" w:eastAsia="宋体" w:hint="default"/>
          <w:sz w:val="22"/>
          <w:szCs w:val="22"/>
        </w:rPr>
      </w:pPr>
    </w:p>
    <w:p>
      <w:pPr>
        <w:pStyle w:val="Heading2"/>
        <w:tabs>
          <w:tab w:pos="562" w:val="left" w:leader="none"/>
        </w:tabs>
        <w:spacing w:line="290" w:lineRule="auto"/>
        <w:ind w:left="138" w:right="6640"/>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237" w:lineRule="auto" w:before="17"/>
        <w:ind w:left="138" w:right="128"/>
        <w:jc w:val="both"/>
      </w:pPr>
      <w:r>
        <w:rPr>
          <w:spacing w:val="-1"/>
        </w:rPr>
        <w:t>公司以持续经营为财务报表的编制基础，以权责发生制为记账基础。公司一般采用历史成本对会</w:t>
      </w:r>
      <w:r>
        <w:rPr>
          <w:spacing w:val="-55"/>
        </w:rPr>
        <w:t> </w:t>
      </w:r>
      <w:r>
        <w:rPr>
          <w:spacing w:val="-55"/>
        </w:rPr>
      </w:r>
      <w:r>
        <w:rPr>
          <w:spacing w:val="-1"/>
        </w:rPr>
        <w:t>计要素进行计量，在保证所确定的会计要素金额能够取得并可靠计量的前提下采用重置成本、可</w:t>
      </w:r>
      <w:r>
        <w:rPr>
          <w:spacing w:val="-55"/>
        </w:rPr>
        <w:t> </w:t>
      </w:r>
      <w:r>
        <w:rPr>
          <w:spacing w:val="-55"/>
        </w:rPr>
      </w:r>
      <w:r>
        <w:rPr/>
        <w:t>变现净值、现值及公允价值进行计量。计量属性在本期未发生变化。</w:t>
      </w:r>
    </w:p>
    <w:p>
      <w:pPr>
        <w:spacing w:line="240" w:lineRule="auto" w:before="11"/>
        <w:rPr>
          <w:rFonts w:ascii="宋体" w:hAnsi="宋体" w:cs="宋体" w:eastAsia="宋体" w:hint="default"/>
          <w:sz w:val="22"/>
          <w:szCs w:val="22"/>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2.</w:t>
        <w:tab/>
      </w:r>
      <w:r>
        <w:rPr/>
        <w:t>持续经营</w:t>
      </w:r>
      <w:r>
        <w:rPr>
          <w:b w:val="0"/>
          <w:bCs w:val="0"/>
        </w:rPr>
      </w:r>
    </w:p>
    <w:p>
      <w:pPr>
        <w:pStyle w:val="BodyText"/>
        <w:spacing w:line="230" w:lineRule="auto" w:before="66"/>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spacing w:val="-2"/>
        </w:rPr>
        <w:t>公司近期有获利经营的历史且有财务资源支持，认为以持续经营为基础编制财务报表是合理的，</w:t>
      </w:r>
      <w:r>
        <w:rPr>
          <w:spacing w:val="-25"/>
        </w:rPr>
        <w:t> </w:t>
      </w:r>
      <w:r>
        <w:rPr>
          <w:spacing w:val="-25"/>
        </w:rPr>
      </w:r>
      <w:r>
        <w:rPr/>
        <w:t>自报告期末起</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个月内不存在影响持续经营能力的重大事项。</w:t>
      </w:r>
    </w:p>
    <w:p>
      <w:pPr>
        <w:spacing w:line="240" w:lineRule="auto" w:before="10"/>
        <w:rPr>
          <w:rFonts w:ascii="宋体" w:hAnsi="宋体" w:cs="宋体" w:eastAsia="宋体" w:hint="default"/>
          <w:sz w:val="21"/>
          <w:szCs w:val="21"/>
        </w:rPr>
      </w:pPr>
    </w:p>
    <w:p>
      <w:pPr>
        <w:spacing w:line="290" w:lineRule="auto" w:before="0"/>
        <w:ind w:left="138" w:right="4942"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27" w:lineRule="exact"/>
        <w:ind w:left="138" w:right="0"/>
        <w:jc w:val="left"/>
      </w:pPr>
      <w:r>
        <w:rPr/>
        <w:t>□适用√不适用</w:t>
      </w:r>
    </w:p>
    <w:p>
      <w:pPr>
        <w:spacing w:line="240" w:lineRule="auto" w:before="11"/>
        <w:rPr>
          <w:rFonts w:ascii="宋体" w:hAnsi="宋体" w:cs="宋体" w:eastAsia="宋体" w:hint="default"/>
          <w:sz w:val="22"/>
          <w:szCs w:val="22"/>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1.</w:t>
        <w:tab/>
      </w:r>
      <w:r>
        <w:rPr/>
        <w:t>遵循企业会计准则的声明</w:t>
      </w:r>
      <w:r>
        <w:rPr>
          <w:b w:val="0"/>
          <w:bCs w:val="0"/>
        </w:rPr>
      </w:r>
    </w:p>
    <w:p>
      <w:pPr>
        <w:pStyle w:val="BodyText"/>
        <w:spacing w:line="272" w:lineRule="exact" w:before="86"/>
        <w:ind w:left="138" w:right="124"/>
        <w:jc w:val="left"/>
      </w:pPr>
      <w:r>
        <w:rPr>
          <w:w w:val="100"/>
        </w:rPr>
        <w:t>公司</w:t>
      </w:r>
      <w:r>
        <w:rPr>
          <w:spacing w:val="-3"/>
          <w:w w:val="100"/>
        </w:rPr>
        <w:t>财</w:t>
      </w:r>
      <w:r>
        <w:rPr>
          <w:w w:val="100"/>
        </w:rPr>
        <w:t>务</w:t>
      </w:r>
      <w:r>
        <w:rPr>
          <w:spacing w:val="-3"/>
          <w:w w:val="100"/>
        </w:rPr>
        <w:t>报</w:t>
      </w:r>
      <w:r>
        <w:rPr>
          <w:w w:val="100"/>
        </w:rPr>
        <w:t>表</w:t>
      </w:r>
      <w:r>
        <w:rPr>
          <w:spacing w:val="-3"/>
          <w:w w:val="100"/>
        </w:rPr>
        <w:t>及</w:t>
      </w:r>
      <w:r>
        <w:rPr>
          <w:w w:val="100"/>
        </w:rPr>
        <w:t>附</w:t>
      </w:r>
      <w:r>
        <w:rPr>
          <w:spacing w:val="-3"/>
          <w:w w:val="100"/>
        </w:rPr>
        <w:t>注</w:t>
      </w:r>
      <w:r>
        <w:rPr>
          <w:w w:val="100"/>
        </w:rPr>
        <w:t>系</w:t>
      </w:r>
      <w:r>
        <w:rPr>
          <w:spacing w:val="-3"/>
          <w:w w:val="100"/>
        </w:rPr>
        <w:t>按</w:t>
      </w:r>
      <w:r>
        <w:rPr>
          <w:w w:val="100"/>
        </w:rPr>
        <w:t>财政</w:t>
      </w:r>
      <w:r>
        <w:rPr>
          <w:spacing w:val="-3"/>
          <w:w w:val="100"/>
        </w:rPr>
        <w:t>部</w:t>
      </w:r>
      <w:r>
        <w:rPr>
          <w:w w:val="100"/>
        </w:rPr>
        <w:t>颁</w:t>
      </w:r>
      <w:r>
        <w:rPr>
          <w:spacing w:val="-3"/>
          <w:w w:val="100"/>
        </w:rPr>
        <w:t>布</w:t>
      </w:r>
      <w:r>
        <w:rPr>
          <w:spacing w:val="-25"/>
          <w:w w:val="100"/>
        </w:rPr>
        <w:t>的</w:t>
      </w:r>
      <w:r>
        <w:rPr>
          <w:spacing w:val="-3"/>
          <w:w w:val="100"/>
        </w:rPr>
        <w:t>《</w:t>
      </w:r>
      <w:r>
        <w:rPr>
          <w:w w:val="100"/>
        </w:rPr>
        <w:t>企</w:t>
      </w:r>
      <w:r>
        <w:rPr>
          <w:spacing w:val="-3"/>
          <w:w w:val="100"/>
        </w:rPr>
        <w:t>业</w:t>
      </w:r>
      <w:r>
        <w:rPr>
          <w:w w:val="100"/>
        </w:rPr>
        <w:t>会</w:t>
      </w:r>
      <w:r>
        <w:rPr>
          <w:spacing w:val="-3"/>
          <w:w w:val="100"/>
        </w:rPr>
        <w:t>计</w:t>
      </w:r>
      <w:r>
        <w:rPr>
          <w:w w:val="100"/>
        </w:rPr>
        <w:t>准则</w:t>
      </w:r>
      <w:r>
        <w:rPr>
          <w:spacing w:val="-106"/>
          <w:w w:val="100"/>
        </w:rPr>
        <w:t>》</w:t>
      </w:r>
      <w:r>
        <w:rPr>
          <w:spacing w:val="-27"/>
          <w:w w:val="100"/>
        </w:rPr>
        <w:t>、</w:t>
      </w:r>
      <w:r>
        <w:rPr>
          <w:w w:val="100"/>
        </w:rPr>
        <w:t>应</w:t>
      </w:r>
      <w:r>
        <w:rPr>
          <w:spacing w:val="-3"/>
          <w:w w:val="100"/>
        </w:rPr>
        <w:t>用</w:t>
      </w:r>
      <w:r>
        <w:rPr>
          <w:w w:val="100"/>
        </w:rPr>
        <w:t>指南</w:t>
      </w:r>
      <w:r>
        <w:rPr>
          <w:spacing w:val="-27"/>
          <w:w w:val="100"/>
        </w:rPr>
        <w:t>、</w:t>
      </w:r>
      <w:r>
        <w:rPr>
          <w:w w:val="100"/>
        </w:rPr>
        <w:t>企</w:t>
      </w:r>
      <w:r>
        <w:rPr>
          <w:spacing w:val="-3"/>
          <w:w w:val="100"/>
        </w:rPr>
        <w:t>业会</w:t>
      </w:r>
      <w:r>
        <w:rPr>
          <w:w w:val="100"/>
        </w:rPr>
        <w:t>计准</w:t>
      </w:r>
      <w:r>
        <w:rPr>
          <w:spacing w:val="-3"/>
          <w:w w:val="100"/>
        </w:rPr>
        <w:t>则</w:t>
      </w:r>
      <w:r>
        <w:rPr>
          <w:w w:val="100"/>
        </w:rPr>
        <w:t>解</w:t>
      </w:r>
      <w:r>
        <w:rPr>
          <w:spacing w:val="-3"/>
          <w:w w:val="100"/>
        </w:rPr>
        <w:t>释</w:t>
      </w:r>
      <w:r>
        <w:rPr>
          <w:spacing w:val="-25"/>
          <w:w w:val="100"/>
        </w:rPr>
        <w:t>、</w:t>
      </w:r>
      <w:r>
        <w:rPr>
          <w:spacing w:val="-3"/>
          <w:w w:val="100"/>
        </w:rPr>
        <w:t>中</w:t>
      </w:r>
      <w:r>
        <w:rPr>
          <w:w w:val="100"/>
        </w:rPr>
        <w:t>国证</w:t>
      </w:r>
      <w:r>
        <w:rPr>
          <w:w w:val="100"/>
        </w:rPr>
        <w:t> 券监</w:t>
      </w:r>
      <w:r>
        <w:rPr>
          <w:spacing w:val="-3"/>
          <w:w w:val="100"/>
        </w:rPr>
        <w:t>督</w:t>
      </w:r>
      <w:r>
        <w:rPr>
          <w:w w:val="100"/>
        </w:rPr>
        <w:t>管</w:t>
      </w:r>
      <w:r>
        <w:rPr>
          <w:spacing w:val="-3"/>
          <w:w w:val="100"/>
        </w:rPr>
        <w:t>理</w:t>
      </w:r>
      <w:r>
        <w:rPr>
          <w:w w:val="100"/>
        </w:rPr>
        <w:t>委</w:t>
      </w:r>
      <w:r>
        <w:rPr>
          <w:spacing w:val="-3"/>
          <w:w w:val="100"/>
        </w:rPr>
        <w:t>员</w:t>
      </w:r>
      <w:r>
        <w:rPr>
          <w:w w:val="100"/>
        </w:rPr>
        <w:t>会</w:t>
      </w:r>
      <w:r>
        <w:rPr>
          <w:spacing w:val="-3"/>
          <w:w w:val="100"/>
        </w:rPr>
        <w:t>发</w:t>
      </w:r>
      <w:r>
        <w:rPr>
          <w:w w:val="100"/>
        </w:rPr>
        <w:t>布</w:t>
      </w:r>
      <w:r>
        <w:rPr>
          <w:spacing w:val="-94"/>
          <w:w w:val="100"/>
        </w:rPr>
        <w:t>的</w:t>
      </w:r>
      <w:r>
        <w:rPr>
          <w:spacing w:val="-3"/>
          <w:w w:val="100"/>
        </w:rPr>
        <w:t>《</w:t>
      </w:r>
      <w:r>
        <w:rPr>
          <w:w w:val="100"/>
        </w:rPr>
        <w:t>公开</w:t>
      </w:r>
      <w:r>
        <w:rPr>
          <w:spacing w:val="-3"/>
          <w:w w:val="100"/>
        </w:rPr>
        <w:t>发</w:t>
      </w:r>
      <w:r>
        <w:rPr>
          <w:w w:val="100"/>
        </w:rPr>
        <w:t>行</w:t>
      </w:r>
      <w:r>
        <w:rPr>
          <w:spacing w:val="-3"/>
          <w:w w:val="100"/>
        </w:rPr>
        <w:t>证</w:t>
      </w:r>
      <w:r>
        <w:rPr>
          <w:w w:val="100"/>
        </w:rPr>
        <w:t>券</w:t>
      </w:r>
      <w:r>
        <w:rPr>
          <w:spacing w:val="-3"/>
          <w:w w:val="100"/>
        </w:rPr>
        <w:t>的</w:t>
      </w:r>
      <w:r>
        <w:rPr>
          <w:w w:val="100"/>
        </w:rPr>
        <w:t>公</w:t>
      </w:r>
      <w:r>
        <w:rPr>
          <w:spacing w:val="-3"/>
          <w:w w:val="100"/>
        </w:rPr>
        <w:t>司</w:t>
      </w:r>
      <w:r>
        <w:rPr>
          <w:w w:val="100"/>
        </w:rPr>
        <w:t>信</w:t>
      </w:r>
      <w:r>
        <w:rPr>
          <w:spacing w:val="-3"/>
          <w:w w:val="100"/>
        </w:rPr>
        <w:t>息</w:t>
      </w:r>
      <w:r>
        <w:rPr>
          <w:w w:val="100"/>
        </w:rPr>
        <w:t>披露</w:t>
      </w:r>
      <w:r>
        <w:rPr>
          <w:spacing w:val="-3"/>
          <w:w w:val="100"/>
        </w:rPr>
        <w:t>编</w:t>
      </w:r>
      <w:r>
        <w:rPr>
          <w:w w:val="100"/>
        </w:rPr>
        <w:t>报</w:t>
      </w:r>
      <w:r>
        <w:rPr>
          <w:spacing w:val="-3"/>
          <w:w w:val="100"/>
        </w:rPr>
        <w:t>规则</w:t>
      </w:r>
      <w:r>
        <w:rPr>
          <w:w w:val="100"/>
        </w:rPr>
        <w:t>第</w:t>
      </w:r>
      <w:r>
        <w:rPr>
          <w:spacing w:val="-53"/>
        </w:rPr>
        <w:t> </w:t>
      </w:r>
      <w:r>
        <w:rPr>
          <w:rFonts w:ascii="Times New Roman" w:hAnsi="Times New Roman" w:cs="Times New Roman" w:eastAsia="Times New Roman" w:hint="default"/>
          <w:w w:val="100"/>
        </w:rPr>
        <w:t>15</w:t>
      </w:r>
      <w:r>
        <w:rPr>
          <w:rFonts w:ascii="Times New Roman" w:hAnsi="Times New Roman" w:cs="Times New Roman" w:eastAsia="Times New Roman" w:hint="default"/>
          <w:spacing w:val="-3"/>
        </w:rPr>
        <w:t> </w:t>
      </w:r>
      <w:r>
        <w:rPr>
          <w:w w:val="100"/>
        </w:rPr>
        <w:t>号</w:t>
      </w:r>
      <w:r>
        <w:rPr>
          <w:spacing w:val="-3"/>
          <w:w w:val="100"/>
        </w:rPr>
        <w:t>—财</w:t>
      </w:r>
      <w:r>
        <w:rPr>
          <w:w w:val="100"/>
        </w:rPr>
        <w:t>务报</w:t>
      </w:r>
      <w:r>
        <w:rPr>
          <w:spacing w:val="-3"/>
          <w:w w:val="100"/>
        </w:rPr>
        <w:t>告</w:t>
      </w:r>
      <w:r>
        <w:rPr>
          <w:w w:val="100"/>
        </w:rPr>
        <w:t>的</w:t>
      </w:r>
      <w:r>
        <w:rPr>
          <w:spacing w:val="-3"/>
          <w:w w:val="100"/>
        </w:rPr>
        <w:t>一</w:t>
      </w:r>
      <w:r>
        <w:rPr>
          <w:w w:val="100"/>
        </w:rPr>
        <w:t>般</w:t>
      </w:r>
      <w:r>
        <w:rPr>
          <w:spacing w:val="-3"/>
          <w:w w:val="100"/>
        </w:rPr>
        <w:t>规</w:t>
      </w:r>
      <w:r>
        <w:rPr>
          <w:w w:val="100"/>
        </w:rPr>
        <w:t>定</w:t>
      </w:r>
    </w:p>
    <w:p>
      <w:pPr>
        <w:pStyle w:val="BodyText"/>
        <w:spacing w:line="272" w:lineRule="exact" w:before="1"/>
        <w:ind w:left="138" w:right="123"/>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23"/>
        </w:rPr>
        <w:t> </w:t>
      </w:r>
      <w:r>
        <w:rPr/>
        <w:t>年修订</w:t>
      </w:r>
      <w:r>
        <w:rPr>
          <w:rFonts w:ascii="Times New Roman" w:hAnsi="Times New Roman" w:cs="Times New Roman" w:eastAsia="Times New Roman" w:hint="default"/>
        </w:rPr>
        <w:t>]</w:t>
      </w:r>
      <w:r>
        <w:rPr/>
        <w:t>》以及相关补充规定的要求编制，真实、完整地反映了本公司的财务状况、经营成</w:t>
      </w:r>
      <w:r>
        <w:rPr>
          <w:w w:val="100"/>
        </w:rPr>
        <w:t> </w:t>
      </w:r>
      <w:r>
        <w:rPr/>
        <w:t>果和现金流量等有关信息。</w:t>
      </w:r>
    </w:p>
    <w:p>
      <w:pPr>
        <w:spacing w:line="240" w:lineRule="auto" w:before="13"/>
        <w:rPr>
          <w:rFonts w:ascii="宋体" w:hAnsi="宋体" w:cs="宋体" w:eastAsia="宋体" w:hint="default"/>
          <w:sz w:val="20"/>
          <w:szCs w:val="20"/>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8"/>
        <w:ind w:left="138" w:right="0"/>
        <w:jc w:val="left"/>
      </w:pPr>
      <w:r>
        <w:rPr/>
        <w:t>会计年度自公历</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 </w:t>
      </w:r>
      <w:r>
        <w:rPr/>
        <w:t>日起至</w:t>
      </w:r>
      <w:r>
        <w:rPr>
          <w:spacing w:val="-53"/>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31 </w:t>
      </w:r>
      <w:r>
        <w:rPr/>
        <w:t>日止。</w:t>
      </w:r>
    </w:p>
    <w:p>
      <w:pPr>
        <w:spacing w:line="240" w:lineRule="auto" w:before="8"/>
        <w:rPr>
          <w:rFonts w:ascii="宋体" w:hAnsi="宋体" w:cs="宋体" w:eastAsia="宋体" w:hint="default"/>
          <w:sz w:val="21"/>
          <w:szCs w:val="21"/>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3.</w:t>
        <w:tab/>
      </w:r>
      <w:r>
        <w:rPr/>
        <w:t>营业周期</w:t>
      </w:r>
      <w:r>
        <w:rPr>
          <w:b w:val="0"/>
          <w:bCs w:val="0"/>
        </w:rPr>
      </w:r>
    </w:p>
    <w:p>
      <w:pPr>
        <w:pStyle w:val="BodyText"/>
        <w:spacing w:line="274" w:lineRule="exact" w:before="82"/>
        <w:ind w:left="138" w:right="585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spacing w:val="-2"/>
          <w:w w:val="100"/>
        </w:rPr>
        <w:t>公司营业周期为一年（</w:t>
      </w:r>
      <w:r>
        <w:rPr>
          <w:rFonts w:ascii="Times New Roman" w:hAnsi="Times New Roman" w:cs="Times New Roman" w:eastAsia="Times New Roman" w:hint="default"/>
          <w:spacing w:val="-2"/>
          <w:w w:val="100"/>
        </w:rPr>
        <w:t>12</w:t>
      </w:r>
      <w:r>
        <w:rPr>
          <w:rFonts w:ascii="Times New Roman" w:hAnsi="Times New Roman" w:cs="Times New Roman" w:eastAsia="Times New Roman" w:hint="default"/>
          <w:spacing w:val="5"/>
          <w:w w:val="100"/>
        </w:rPr>
        <w:t> </w:t>
      </w:r>
      <w:r>
        <w:rPr>
          <w:spacing w:val="-27"/>
          <w:w w:val="100"/>
        </w:rPr>
        <w:t>个月）。</w:t>
      </w:r>
    </w:p>
    <w:p>
      <w:pPr>
        <w:spacing w:line="240" w:lineRule="auto" w:before="12"/>
        <w:rPr>
          <w:rFonts w:ascii="宋体" w:hAnsi="宋体" w:cs="宋体" w:eastAsia="宋体" w:hint="default"/>
          <w:sz w:val="20"/>
          <w:szCs w:val="20"/>
        </w:rPr>
      </w:pPr>
    </w:p>
    <w:p>
      <w:pPr>
        <w:tabs>
          <w:tab w:pos="562" w:val="left" w:leader="none"/>
        </w:tabs>
        <w:spacing w:line="290" w:lineRule="auto" w:before="0"/>
        <w:ind w:left="138" w:right="7485"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z w:val="21"/>
          <w:szCs w:val="21"/>
        </w:rPr>
        <w:t>人民币元。</w:t>
      </w:r>
    </w:p>
    <w:p>
      <w:pPr>
        <w:spacing w:line="240" w:lineRule="auto" w:before="6"/>
        <w:rPr>
          <w:rFonts w:ascii="宋体" w:hAnsi="宋体" w:cs="宋体" w:eastAsia="宋体" w:hint="default"/>
          <w:sz w:val="19"/>
          <w:szCs w:val="19"/>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spacing w:line="240" w:lineRule="auto" w:before="58"/>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footerReference w:type="default" r:id="rId51"/>
          <w:pgSz w:w="11910" w:h="16840"/>
          <w:pgMar w:footer="1195" w:header="882" w:top="1120" w:bottom="1380" w:left="1660" w:right="1140"/>
          <w:pgNumType w:start="85"/>
        </w:sectPr>
      </w:pPr>
    </w:p>
    <w:p>
      <w:pPr>
        <w:spacing w:line="240" w:lineRule="auto" w:before="1"/>
        <w:rPr>
          <w:rFonts w:ascii="宋体" w:hAnsi="宋体" w:cs="宋体" w:eastAsia="宋体" w:hint="default"/>
          <w:sz w:val="25"/>
          <w:szCs w:val="25"/>
        </w:rPr>
      </w:pPr>
    </w:p>
    <w:p>
      <w:pPr>
        <w:pStyle w:val="BodyText"/>
        <w:spacing w:line="237" w:lineRule="auto" w:before="38"/>
        <w:ind w:left="138" w:right="10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在同一控制下的企业合并中，公司作为购买方取得对其他参与合并企业的控制权，如以支付</w:t>
      </w:r>
      <w:r>
        <w:rPr>
          <w:w w:val="100"/>
        </w:rPr>
        <w:t> </w:t>
      </w:r>
      <w:r>
        <w:rPr>
          <w:spacing w:val="-1"/>
        </w:rPr>
        <w:t>现金、转让非现金资产或承担债务方式作为合并对价的，在合并日按照被合并方所有者权益在最</w:t>
      </w:r>
      <w:r>
        <w:rPr>
          <w:spacing w:val="-55"/>
        </w:rPr>
        <w:t> </w:t>
      </w:r>
      <w:r>
        <w:rPr>
          <w:spacing w:val="-55"/>
        </w:rPr>
      </w:r>
      <w:r>
        <w:rPr>
          <w:spacing w:val="-1"/>
        </w:rPr>
        <w:t>终控制方合并财务报表中的账面价值的份额作为长期股权投资的初始投资成本，长期股权投资初</w:t>
      </w:r>
      <w:r>
        <w:rPr>
          <w:spacing w:val="-55"/>
        </w:rPr>
        <w:t> </w:t>
      </w:r>
      <w:r>
        <w:rPr>
          <w:spacing w:val="-55"/>
        </w:rPr>
      </w:r>
      <w:r>
        <w:rPr>
          <w:spacing w:val="-1"/>
        </w:rPr>
        <w:t>始投资成本与支付的现金、转让的非现金资产以及所承担债务账面价值之间的差额，调整资本公</w:t>
      </w:r>
      <w:r>
        <w:rPr>
          <w:spacing w:val="-55"/>
        </w:rPr>
        <w:t> </w:t>
      </w:r>
      <w:r>
        <w:rPr>
          <w:spacing w:val="-55"/>
        </w:rPr>
      </w:r>
      <w:r>
        <w:rPr>
          <w:spacing w:val="-1"/>
        </w:rPr>
        <w:t>积；资本公积不足冲减的，调整留存收益；如以发行权益性证券作为合并对价的，在合并日按照</w:t>
      </w:r>
      <w:r>
        <w:rPr>
          <w:spacing w:val="-55"/>
        </w:rPr>
        <w:t> </w:t>
      </w:r>
      <w:r>
        <w:rPr>
          <w:spacing w:val="-55"/>
        </w:rPr>
      </w:r>
      <w:r>
        <w:rPr>
          <w:spacing w:val="-1"/>
        </w:rPr>
        <w:t>被合并方所有者权益在最终控制方合并财务报表中的账面价值的份额作为长期股权投资的初始投</w:t>
      </w:r>
      <w:r>
        <w:rPr>
          <w:spacing w:val="-55"/>
        </w:rPr>
        <w:t> </w:t>
      </w:r>
      <w:r>
        <w:rPr>
          <w:spacing w:val="-55"/>
        </w:rPr>
      </w:r>
      <w:r>
        <w:rPr>
          <w:spacing w:val="-1"/>
        </w:rPr>
        <w:t>资成本，按照发行股份的面值总额作为股本，长期股权投资初始投资成本与所发行股份面值总额</w:t>
      </w:r>
      <w:r>
        <w:rPr>
          <w:spacing w:val="-55"/>
        </w:rPr>
        <w:t> </w:t>
      </w:r>
      <w:r>
        <w:rPr>
          <w:spacing w:val="-55"/>
        </w:rPr>
      </w:r>
      <w:r>
        <w:rPr>
          <w:spacing w:val="-6"/>
        </w:rPr>
        <w:t>之间的差额，调整资本公积，资本公积不足冲减的，调整留存收益。为进行企业合并发生的审计、</w:t>
      </w:r>
      <w:r>
        <w:rPr>
          <w:spacing w:val="-52"/>
        </w:rPr>
        <w:t> </w:t>
      </w:r>
      <w:r>
        <w:rPr>
          <w:spacing w:val="-52"/>
        </w:rPr>
      </w:r>
      <w:r>
        <w:rPr>
          <w:spacing w:val="-1"/>
        </w:rPr>
        <w:t>法律服务、评估咨询等中介费用以及其他相关管理费用，于发生时计入当期损益。为企业合并发</w:t>
      </w:r>
      <w:r>
        <w:rPr>
          <w:spacing w:val="-55"/>
        </w:rPr>
        <w:t> </w:t>
      </w:r>
      <w:r>
        <w:rPr>
          <w:spacing w:val="-55"/>
        </w:rPr>
      </w:r>
      <w:r>
        <w:rPr>
          <w:spacing w:val="-1"/>
        </w:rPr>
        <w:t>行的债券或承担其他债务支付的手续费、佣金等，应当计入所发行债券及其他债务的初始计量金</w:t>
      </w:r>
      <w:r>
        <w:rPr>
          <w:spacing w:val="-55"/>
        </w:rPr>
        <w:t> </w:t>
      </w:r>
      <w:r>
        <w:rPr>
          <w:spacing w:val="-55"/>
        </w:rPr>
      </w:r>
      <w:r>
        <w:rPr>
          <w:spacing w:val="-1"/>
        </w:rPr>
        <w:t>额。企业合并中发行权益性证券发生的手续费、佣金等费用，应当抵减权益性证券溢价收入，溢</w:t>
      </w:r>
      <w:r>
        <w:rPr>
          <w:spacing w:val="-55"/>
        </w:rPr>
        <w:t> </w:t>
      </w:r>
      <w:r>
        <w:rPr>
          <w:spacing w:val="-55"/>
        </w:rPr>
      </w:r>
      <w:r>
        <w:rPr/>
        <w:t>价收入不足冲减的，冲减留存收益。</w:t>
      </w:r>
    </w:p>
    <w:p>
      <w:pPr>
        <w:spacing w:line="240" w:lineRule="auto" w:before="4"/>
        <w:rPr>
          <w:rFonts w:ascii="宋体" w:hAnsi="宋体" w:cs="宋体" w:eastAsia="宋体" w:hint="default"/>
          <w:sz w:val="18"/>
          <w:szCs w:val="18"/>
        </w:rPr>
      </w:pPr>
    </w:p>
    <w:p>
      <w:pPr>
        <w:pStyle w:val="BodyText"/>
        <w:spacing w:line="281" w:lineRule="exact"/>
        <w:ind w:left="138" w:right="0"/>
        <w:jc w:val="left"/>
      </w:pPr>
      <w:r>
        <w:rPr>
          <w:rFonts w:ascii="Times New Roman" w:hAnsi="Times New Roman" w:cs="Times New Roman" w:eastAsia="Times New Roman" w:hint="default"/>
          <w:spacing w:val="-1"/>
        </w:rPr>
        <w:t>(2)</w:t>
      </w:r>
      <w:r>
        <w:rPr>
          <w:rFonts w:ascii="Times New Roman" w:hAnsi="Times New Roman" w:cs="Times New Roman" w:eastAsia="Times New Roman" w:hint="default"/>
        </w:rPr>
        <w:t> </w:t>
      </w:r>
      <w:r>
        <w:rPr>
          <w:rFonts w:ascii="Times New Roman" w:hAnsi="Times New Roman" w:cs="Times New Roman" w:eastAsia="Times New Roman" w:hint="default"/>
          <w:spacing w:val="51"/>
        </w:rPr>
        <w:t> </w:t>
      </w:r>
      <w:r>
        <w:rPr>
          <w:spacing w:val="-2"/>
        </w:rPr>
        <w:t>公司对外合并如属非同一控制下的企业合并，按下列情况确定长期股权投资的初始投资成本：</w:t>
      </w:r>
    </w:p>
    <w:p>
      <w:pPr>
        <w:pStyle w:val="BodyText"/>
        <w:spacing w:line="274" w:lineRule="exact" w:before="16"/>
        <w:ind w:left="138" w:right="100"/>
        <w:jc w:val="left"/>
      </w:pPr>
      <w:r>
        <w:rPr>
          <w:spacing w:val="-1"/>
        </w:rPr>
        <w:t>①一次交换交易实现的企业合并，长期股权投资的初始投资成本为购买方在购买日为取得对被购</w:t>
      </w:r>
      <w:r>
        <w:rPr>
          <w:spacing w:val="-55"/>
        </w:rPr>
        <w:t> </w:t>
      </w:r>
      <w:r>
        <w:rPr>
          <w:spacing w:val="-55"/>
        </w:rPr>
      </w:r>
      <w:r>
        <w:rPr/>
        <w:t>买方的控制权而付出的资产、发生或承担的负债以及发行的权益性证券的公允价值；</w:t>
      </w:r>
    </w:p>
    <w:p>
      <w:pPr>
        <w:pStyle w:val="BodyText"/>
        <w:spacing w:line="245" w:lineRule="exact"/>
        <w:ind w:left="138" w:right="100"/>
        <w:jc w:val="left"/>
      </w:pPr>
      <w:r>
        <w:rPr/>
        <w:t>②通过多次交换交易分步实现的企业合并，长期股权投资的初始投资成本为每一单项交易成本之</w:t>
      </w:r>
    </w:p>
    <w:p>
      <w:pPr>
        <w:pStyle w:val="BodyText"/>
        <w:spacing w:line="272" w:lineRule="exact"/>
        <w:ind w:left="138" w:right="100"/>
        <w:jc w:val="left"/>
      </w:pPr>
      <w:r>
        <w:rPr/>
        <w:t>和；</w:t>
      </w:r>
    </w:p>
    <w:p>
      <w:pPr>
        <w:pStyle w:val="BodyText"/>
        <w:spacing w:line="237" w:lineRule="auto"/>
        <w:ind w:left="138" w:right="208"/>
        <w:jc w:val="both"/>
      </w:pPr>
      <w:r>
        <w:rPr>
          <w:spacing w:val="-1"/>
        </w:rPr>
        <w:t>③为进行企业合并发生的审计、法律服务、评估咨询等中介费用以及其他相关管理费用，于发生</w:t>
      </w:r>
      <w:r>
        <w:rPr>
          <w:spacing w:val="-55"/>
        </w:rPr>
        <w:t> </w:t>
      </w:r>
      <w:r>
        <w:rPr>
          <w:spacing w:val="-55"/>
        </w:rPr>
      </w:r>
      <w:r>
        <w:rPr>
          <w:spacing w:val="-1"/>
        </w:rPr>
        <w:t>时计入当期损益；作为合并对价发行的权益性证券或债务性证券的交易费用，计入权益性证券或</w:t>
      </w:r>
      <w:r>
        <w:rPr>
          <w:spacing w:val="-55"/>
        </w:rPr>
        <w:t> </w:t>
      </w:r>
      <w:r>
        <w:rPr>
          <w:spacing w:val="-55"/>
        </w:rPr>
      </w:r>
      <w:r>
        <w:rPr/>
        <w:t>债务性证券的初始确认金额；</w:t>
      </w:r>
    </w:p>
    <w:p>
      <w:pPr>
        <w:pStyle w:val="BodyText"/>
        <w:spacing w:line="272" w:lineRule="exact" w:before="26"/>
        <w:ind w:left="138" w:right="100"/>
        <w:jc w:val="left"/>
      </w:pPr>
      <w:r>
        <w:rPr/>
        <w:t>④在合并合同或协议中对可能影响合并成本的未来事项作出约定的，在购买日如果估计未来事项</w:t>
      </w:r>
      <w:r>
        <w:rPr>
          <w:spacing w:val="-97"/>
        </w:rPr>
        <w:t> </w:t>
      </w:r>
      <w:r>
        <w:rPr>
          <w:spacing w:val="-97"/>
        </w:rPr>
      </w:r>
      <w:r>
        <w:rPr>
          <w:spacing w:val="-4"/>
          <w:w w:val="100"/>
        </w:rPr>
        <w:t>很可能发生并且对合并成本的影响金额能够可靠计量的，将其计入长期股权投资的初始投资成本。</w:t>
      </w:r>
    </w:p>
    <w:p>
      <w:pPr>
        <w:spacing w:line="240" w:lineRule="auto" w:before="12"/>
        <w:rPr>
          <w:rFonts w:ascii="宋体" w:hAnsi="宋体" w:cs="宋体" w:eastAsia="宋体" w:hint="default"/>
          <w:sz w:val="16"/>
          <w:szCs w:val="16"/>
        </w:rPr>
      </w:pPr>
    </w:p>
    <w:p>
      <w:pPr>
        <w:pStyle w:val="BodyText"/>
        <w:spacing w:line="232" w:lineRule="auto"/>
        <w:ind w:left="138" w:right="10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公司对外合并如属非同一控制下的企业合并，对长期股权投资的初始投资成本大于合并中取</w:t>
      </w:r>
      <w:r>
        <w:rPr>
          <w:w w:val="100"/>
        </w:rPr>
        <w:t> </w:t>
      </w:r>
      <w:r>
        <w:rPr/>
        <w:t>得的被购买方可辨认净资产公允价值份额的差额，确认为商誉。</w:t>
      </w:r>
      <w:r>
        <w:rPr>
          <w:w w:val="100"/>
        </w:rPr>
        <w:t> </w:t>
      </w:r>
      <w:r>
        <w:rPr>
          <w:spacing w:val="-1"/>
        </w:rPr>
        <w:t>对长期股权投资的初始投资成本小于合并中取得的被购买方可辨认净资产公允价值份额的差额，</w:t>
      </w:r>
      <w:r>
        <w:rPr>
          <w:spacing w:val="-55"/>
        </w:rPr>
        <w:t> </w:t>
      </w:r>
      <w:r>
        <w:rPr>
          <w:spacing w:val="-55"/>
        </w:rPr>
      </w:r>
      <w:r>
        <w:rPr/>
        <w:t>按照下列方法处理：</w:t>
      </w:r>
    </w:p>
    <w:p>
      <w:pPr>
        <w:pStyle w:val="BodyText"/>
        <w:spacing w:line="271" w:lineRule="exact"/>
        <w:ind w:left="138" w:right="0"/>
        <w:jc w:val="left"/>
      </w:pPr>
      <w:r>
        <w:rPr>
          <w:w w:val="100"/>
        </w:rPr>
        <w:t>①对</w:t>
      </w:r>
      <w:r>
        <w:rPr>
          <w:spacing w:val="-3"/>
          <w:w w:val="100"/>
        </w:rPr>
        <w:t>取</w:t>
      </w:r>
      <w:r>
        <w:rPr>
          <w:w w:val="100"/>
        </w:rPr>
        <w:t>得</w:t>
      </w:r>
      <w:r>
        <w:rPr>
          <w:spacing w:val="-3"/>
          <w:w w:val="100"/>
        </w:rPr>
        <w:t>的</w:t>
      </w:r>
      <w:r>
        <w:rPr>
          <w:w w:val="100"/>
        </w:rPr>
        <w:t>被</w:t>
      </w:r>
      <w:r>
        <w:rPr>
          <w:spacing w:val="-3"/>
          <w:w w:val="100"/>
        </w:rPr>
        <w:t>购</w:t>
      </w:r>
      <w:r>
        <w:rPr>
          <w:w w:val="100"/>
        </w:rPr>
        <w:t>买</w:t>
      </w:r>
      <w:r>
        <w:rPr>
          <w:spacing w:val="-3"/>
          <w:w w:val="100"/>
        </w:rPr>
        <w:t>方</w:t>
      </w:r>
      <w:r>
        <w:rPr>
          <w:w w:val="100"/>
        </w:rPr>
        <w:t>各</w:t>
      </w:r>
      <w:r>
        <w:rPr>
          <w:spacing w:val="-3"/>
          <w:w w:val="100"/>
        </w:rPr>
        <w:t>项</w:t>
      </w:r>
      <w:r>
        <w:rPr>
          <w:w w:val="100"/>
        </w:rPr>
        <w:t>可辨</w:t>
      </w:r>
      <w:r>
        <w:rPr>
          <w:spacing w:val="-3"/>
          <w:w w:val="100"/>
        </w:rPr>
        <w:t>认</w:t>
      </w:r>
      <w:r>
        <w:rPr>
          <w:w w:val="100"/>
        </w:rPr>
        <w:t>资</w:t>
      </w:r>
      <w:r>
        <w:rPr>
          <w:spacing w:val="-3"/>
          <w:w w:val="100"/>
        </w:rPr>
        <w:t>产</w:t>
      </w:r>
      <w:r>
        <w:rPr>
          <w:spacing w:val="-94"/>
          <w:w w:val="100"/>
        </w:rPr>
        <w:t>、</w:t>
      </w:r>
      <w:r>
        <w:rPr>
          <w:w w:val="100"/>
        </w:rPr>
        <w:t>负</w:t>
      </w:r>
      <w:r>
        <w:rPr>
          <w:spacing w:val="-3"/>
          <w:w w:val="100"/>
        </w:rPr>
        <w:t>债</w:t>
      </w:r>
      <w:r>
        <w:rPr>
          <w:w w:val="100"/>
        </w:rPr>
        <w:t>及</w:t>
      </w:r>
      <w:r>
        <w:rPr>
          <w:spacing w:val="-3"/>
          <w:w w:val="100"/>
        </w:rPr>
        <w:t>或</w:t>
      </w:r>
      <w:r>
        <w:rPr>
          <w:w w:val="100"/>
        </w:rPr>
        <w:t>有</w:t>
      </w:r>
      <w:r>
        <w:rPr>
          <w:spacing w:val="-3"/>
          <w:w w:val="100"/>
        </w:rPr>
        <w:t>负</w:t>
      </w:r>
      <w:r>
        <w:rPr>
          <w:w w:val="100"/>
        </w:rPr>
        <w:t>债的</w:t>
      </w:r>
      <w:r>
        <w:rPr>
          <w:spacing w:val="-3"/>
          <w:w w:val="100"/>
        </w:rPr>
        <w:t>公</w:t>
      </w:r>
      <w:r>
        <w:rPr>
          <w:w w:val="100"/>
        </w:rPr>
        <w:t>允</w:t>
      </w:r>
      <w:r>
        <w:rPr>
          <w:spacing w:val="-3"/>
          <w:w w:val="100"/>
        </w:rPr>
        <w:t>价</w:t>
      </w:r>
      <w:r>
        <w:rPr>
          <w:w w:val="100"/>
        </w:rPr>
        <w:t>值</w:t>
      </w:r>
      <w:r>
        <w:rPr>
          <w:spacing w:val="-3"/>
          <w:w w:val="100"/>
        </w:rPr>
        <w:t>以</w:t>
      </w:r>
      <w:r>
        <w:rPr>
          <w:w w:val="100"/>
        </w:rPr>
        <w:t>及</w:t>
      </w:r>
      <w:r>
        <w:rPr>
          <w:spacing w:val="-3"/>
          <w:w w:val="100"/>
        </w:rPr>
        <w:t>合</w:t>
      </w:r>
      <w:r>
        <w:rPr>
          <w:w w:val="100"/>
        </w:rPr>
        <w:t>并</w:t>
      </w:r>
      <w:r>
        <w:rPr>
          <w:spacing w:val="-3"/>
          <w:w w:val="100"/>
        </w:rPr>
        <w:t>成</w:t>
      </w:r>
      <w:r>
        <w:rPr>
          <w:w w:val="100"/>
        </w:rPr>
        <w:t>本的</w:t>
      </w:r>
      <w:r>
        <w:rPr>
          <w:spacing w:val="-3"/>
          <w:w w:val="100"/>
        </w:rPr>
        <w:t>计</w:t>
      </w:r>
      <w:r>
        <w:rPr>
          <w:w w:val="100"/>
        </w:rPr>
        <w:t>量</w:t>
      </w:r>
      <w:r>
        <w:rPr>
          <w:spacing w:val="-3"/>
          <w:w w:val="100"/>
        </w:rPr>
        <w:t>进行复核</w:t>
      </w:r>
      <w:r>
        <w:rPr>
          <w:w w:val="100"/>
        </w:rPr>
        <w:t>；</w:t>
      </w:r>
    </w:p>
    <w:p>
      <w:pPr>
        <w:pStyle w:val="BodyText"/>
        <w:spacing w:line="272" w:lineRule="exact" w:before="27"/>
        <w:ind w:left="138" w:right="100"/>
        <w:jc w:val="left"/>
      </w:pPr>
      <w:r>
        <w:rPr>
          <w:spacing w:val="-1"/>
        </w:rPr>
        <w:t>②经复核后合并成本仍小于合并中取得的被购买方可辨认净资产公允价值份额的，其差额应当计</w:t>
      </w:r>
      <w:r>
        <w:rPr>
          <w:spacing w:val="-55"/>
        </w:rPr>
        <w:t> </w:t>
      </w:r>
      <w:r>
        <w:rPr>
          <w:spacing w:val="-55"/>
        </w:rPr>
      </w:r>
      <w:r>
        <w:rPr/>
        <w:t>入当期损益。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2"/>
        <w:tabs>
          <w:tab w:pos="562" w:val="left" w:leader="none"/>
        </w:tabs>
        <w:spacing w:line="240" w:lineRule="auto"/>
        <w:ind w:left="138" w:right="100"/>
        <w:jc w:val="left"/>
        <w:rPr>
          <w:b w:val="0"/>
          <w:bCs w:val="0"/>
        </w:rPr>
      </w:pPr>
      <w:r>
        <w:rPr>
          <w:rFonts w:ascii="宋体" w:hAnsi="宋体" w:cs="宋体" w:eastAsia="宋体" w:hint="default"/>
          <w:w w:val="95"/>
        </w:rPr>
        <w:t>6.</w:t>
        <w:tab/>
      </w:r>
      <w:r>
        <w:rPr/>
        <w:t>合并财务报表的编制方法</w:t>
      </w:r>
      <w:r>
        <w:rPr>
          <w:b w:val="0"/>
          <w:bCs w:val="0"/>
        </w:rPr>
      </w:r>
    </w:p>
    <w:p>
      <w:pPr>
        <w:pStyle w:val="BodyText"/>
        <w:spacing w:line="230" w:lineRule="auto" w:before="66"/>
        <w:ind w:left="138" w:right="10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t>合并财务报表的合并范围以控制为基础予以确定。控制，是指投资方拥有对被投资方的权力，通</w:t>
      </w:r>
      <w:r>
        <w:rPr>
          <w:spacing w:val="-97"/>
        </w:rPr>
        <w:t> </w:t>
      </w:r>
      <w:r>
        <w:rPr>
          <w:spacing w:val="-97"/>
        </w:rPr>
      </w:r>
      <w:r>
        <w:rPr>
          <w:spacing w:val="-4"/>
          <w:w w:val="100"/>
        </w:rPr>
        <w:t>过参与被投资方的相关活动而享有可变回报，并且有能力运用对被投资方的权力影响其回报金额。</w:t>
      </w:r>
      <w:r>
        <w:rPr>
          <w:spacing w:val="-89"/>
          <w:w w:val="100"/>
        </w:rPr>
        <w:t> </w:t>
      </w:r>
      <w:r>
        <w:rPr>
          <w:spacing w:val="-89"/>
          <w:w w:val="100"/>
        </w:rPr>
      </w:r>
      <w:r>
        <w:rPr>
          <w:spacing w:val="-3"/>
        </w:rPr>
        <w:t>母公司应当将其全部子公司纳入合并财务报表的合并范围。子公司，是指被公司控制的主体</w:t>
      </w:r>
      <w:r>
        <w:rPr>
          <w:rFonts w:ascii="Times New Roman" w:hAnsi="Times New Roman" w:cs="Times New Roman" w:eastAsia="Times New Roman" w:hint="default"/>
          <w:spacing w:val="-3"/>
        </w:rPr>
        <w:t>(</w:t>
      </w:r>
      <w:r>
        <w:rPr>
          <w:spacing w:val="-3"/>
        </w:rPr>
        <w:t>含企</w:t>
      </w:r>
      <w:r>
        <w:rPr>
          <w:spacing w:val="-44"/>
        </w:rPr>
        <w:t> </w:t>
      </w:r>
      <w:r>
        <w:rPr/>
        <w:t>业、被投资单位中可分割的部分，以及企业所控制的结构化主体等</w:t>
      </w:r>
      <w:r>
        <w:rPr>
          <w:rFonts w:ascii="Times New Roman" w:hAnsi="Times New Roman" w:cs="Times New Roman" w:eastAsia="Times New Roman" w:hint="default"/>
        </w:rPr>
        <w:t>)</w:t>
      </w:r>
      <w:r>
        <w:rPr/>
        <w:t>。</w:t>
      </w:r>
      <w:r>
        <w:rPr>
          <w:w w:val="100"/>
        </w:rPr>
        <w:t> </w:t>
      </w:r>
      <w:r>
        <w:rPr/>
        <w:t>如果母公司是投资性主体，则母公司应当仅将为其投资活动提供相关服务的子公司</w:t>
      </w:r>
      <w:r>
        <w:rPr>
          <w:rFonts w:ascii="Times New Roman" w:hAnsi="Times New Roman" w:cs="Times New Roman" w:eastAsia="Times New Roman" w:hint="default"/>
        </w:rPr>
        <w:t>(</w:t>
      </w:r>
      <w:r>
        <w:rPr/>
        <w:t>如有</w:t>
      </w:r>
      <w:r>
        <w:rPr>
          <w:rFonts w:ascii="Times New Roman" w:hAnsi="Times New Roman" w:cs="Times New Roman" w:eastAsia="Times New Roman" w:hint="default"/>
        </w:rPr>
        <w:t>)</w:t>
      </w:r>
      <w:r>
        <w:rPr/>
        <w:t>纳入合</w:t>
      </w:r>
      <w:r>
        <w:rPr>
          <w:spacing w:val="-21"/>
        </w:rPr>
        <w:t> </w:t>
      </w:r>
      <w:r>
        <w:rPr/>
        <w:t>并范围并编制合并财务报表；其他子公司不应当予以合并，母公司对其他子公司的投资应当按照</w:t>
      </w:r>
      <w:r>
        <w:rPr>
          <w:spacing w:val="-97"/>
        </w:rPr>
        <w:t> </w:t>
      </w:r>
      <w:r>
        <w:rPr>
          <w:spacing w:val="-97"/>
        </w:rPr>
      </w:r>
      <w:r>
        <w:rPr>
          <w:spacing w:val="-7"/>
          <w:w w:val="100"/>
        </w:rPr>
        <w:t>公允价值计量且其变动计入当期损益。当母公司同时满足下列条件时，该母公司属于投资性主体：</w:t>
      </w:r>
      <w:r>
        <w:rPr>
          <w:spacing w:val="-66"/>
          <w:w w:val="100"/>
        </w:rPr>
        <w:t> </w:t>
      </w:r>
      <w:r>
        <w:rPr>
          <w:spacing w:val="-66"/>
          <w:w w:val="100"/>
        </w:rPr>
      </w: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该母公司是以向投资者提供投资管理服务为目的，从一个或多个投资者处获取资金；</w:t>
      </w:r>
    </w:p>
    <w:p>
      <w:pPr>
        <w:pStyle w:val="BodyText"/>
        <w:spacing w:line="264" w:lineRule="exact"/>
        <w:ind w:left="138" w:right="10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7"/>
        </w:rPr>
        <w:t> </w:t>
      </w:r>
      <w:r>
        <w:rPr/>
        <w:t>该母公司的唯一经营目的，是通过资本增值、投资收益或两者兼有而让投资者获得回报；</w:t>
      </w:r>
    </w:p>
    <w:p>
      <w:pPr>
        <w:pStyle w:val="BodyText"/>
        <w:spacing w:line="235" w:lineRule="auto"/>
        <w:ind w:left="138" w:right="20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该母公司按照公允价值对几乎所有投资的业绩进行考量和评价。</w:t>
      </w:r>
      <w:r>
        <w:rPr>
          <w:w w:val="100"/>
        </w:rPr>
        <w:t> </w:t>
      </w:r>
      <w:r>
        <w:rPr>
          <w:spacing w:val="-1"/>
        </w:rPr>
        <w:t>编制合并报表时，本公司与被合并子公司采用的统一的会计政策和期间。合并财务报表以本公司</w:t>
      </w:r>
      <w:r>
        <w:rPr>
          <w:spacing w:val="-55"/>
        </w:rPr>
        <w:t> </w:t>
      </w:r>
      <w:r>
        <w:rPr>
          <w:spacing w:val="-55"/>
        </w:rPr>
      </w:r>
      <w:r>
        <w:rPr>
          <w:spacing w:val="-1"/>
        </w:rPr>
        <w:t>和子公司的财务报表为基础，在抵销本公司与子公司、子公司相互之间发生的内部交易对合并财</w:t>
      </w:r>
      <w:r>
        <w:rPr>
          <w:spacing w:val="-55"/>
        </w:rPr>
        <w:t> </w:t>
      </w:r>
      <w:r>
        <w:rPr>
          <w:spacing w:val="-55"/>
        </w:rPr>
      </w:r>
      <w:r>
        <w:rPr>
          <w:spacing w:val="-1"/>
        </w:rPr>
        <w:t>务报表的影响后，由本公司合并编制。本公司在报告期内因同一控制下企业合并增加的子公司，</w:t>
      </w:r>
      <w:r>
        <w:rPr>
          <w:spacing w:val="-55"/>
        </w:rPr>
        <w:t> </w:t>
      </w:r>
      <w:r>
        <w:rPr>
          <w:spacing w:val="-55"/>
        </w:rPr>
      </w:r>
      <w:r>
        <w:rPr>
          <w:spacing w:val="-6"/>
          <w:w w:val="100"/>
        </w:rPr>
        <w:t>编制合并资产负债表时，调整合并资产负债表的年初数。因非同一控制下企业合并增加的子公司，</w:t>
      </w:r>
      <w:r>
        <w:rPr>
          <w:spacing w:val="-104"/>
          <w:w w:val="100"/>
        </w:rPr>
        <w:t> </w:t>
      </w:r>
      <w:r>
        <w:rPr>
          <w:spacing w:val="-104"/>
          <w:w w:val="100"/>
        </w:rPr>
      </w:r>
      <w:r>
        <w:rPr>
          <w:spacing w:val="-1"/>
        </w:rPr>
        <w:t>编制合并资产负债表时，不调整合并资产负债表的年初数。本公司在报告期内因同一控制下企业</w:t>
      </w:r>
    </w:p>
    <w:p>
      <w:pPr>
        <w:spacing w:after="0" w:line="235"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37" w:lineRule="auto" w:before="38"/>
        <w:ind w:left="138" w:right="128"/>
        <w:jc w:val="both"/>
      </w:pPr>
      <w:r>
        <w:rPr>
          <w:spacing w:val="-1"/>
        </w:rPr>
        <w:t>合并增加的子公司，将该子公司合并当期年初至报告期末的收入、费用、利润及现金流量纳入合</w:t>
      </w:r>
      <w:r>
        <w:rPr>
          <w:spacing w:val="-55"/>
        </w:rPr>
        <w:t> </w:t>
      </w:r>
      <w:r>
        <w:rPr>
          <w:spacing w:val="-55"/>
        </w:rPr>
      </w:r>
      <w:r>
        <w:rPr>
          <w:spacing w:val="-1"/>
        </w:rPr>
        <w:t>并利润表及现金流量表。因非同一控制下企业合并增加的子公司，将该子公司购买日至报告期末</w:t>
      </w:r>
      <w:r>
        <w:rPr>
          <w:spacing w:val="-55"/>
        </w:rPr>
        <w:t> </w:t>
      </w:r>
      <w:r>
        <w:rPr>
          <w:spacing w:val="-55"/>
        </w:rPr>
      </w:r>
      <w:r>
        <w:rPr>
          <w:spacing w:val="-1"/>
        </w:rPr>
        <w:t>的收入、费用、利润及现金流量纳入合并利润表及现金流量表。本公司在报告期内处置子公司，</w:t>
      </w:r>
      <w:r>
        <w:rPr>
          <w:spacing w:val="-55"/>
        </w:rPr>
        <w:t> </w:t>
      </w:r>
      <w:r>
        <w:rPr>
          <w:spacing w:val="-55"/>
        </w:rPr>
      </w:r>
      <w:r>
        <w:rPr/>
        <w:t>将该子公司年初至处置日的收入、费用、利润及现金流量纳入合并利润表及现金流量表。</w:t>
      </w:r>
    </w:p>
    <w:p>
      <w:pPr>
        <w:spacing w:line="240" w:lineRule="auto" w:before="8"/>
        <w:rPr>
          <w:rFonts w:ascii="宋体" w:hAnsi="宋体" w:cs="宋体" w:eastAsia="宋体" w:hint="default"/>
          <w:sz w:val="18"/>
          <w:szCs w:val="18"/>
        </w:rPr>
      </w:pPr>
    </w:p>
    <w:p>
      <w:pPr>
        <w:pStyle w:val="BodyText"/>
        <w:spacing w:line="235" w:lineRule="auto"/>
        <w:ind w:left="138" w:right="0"/>
        <w:jc w:val="left"/>
      </w:pPr>
      <w:r>
        <w:rPr>
          <w:spacing w:val="-1"/>
        </w:rPr>
        <w:t>母公司购买子公司少数股东拥有的子公司股权，在合并财务报表中，因购买少数股权新取得的长</w:t>
      </w:r>
      <w:r>
        <w:rPr>
          <w:spacing w:val="-55"/>
        </w:rPr>
        <w:t> </w:t>
      </w:r>
      <w:r>
        <w:rPr>
          <w:spacing w:val="-55"/>
        </w:rPr>
      </w:r>
      <w:r>
        <w:rPr>
          <w:spacing w:val="-1"/>
        </w:rPr>
        <w:t>期股权投资与按照新增持股比例计算应享有子公司自购买日或合并日开始持续计算的净资产份额</w:t>
      </w:r>
      <w:r>
        <w:rPr>
          <w:spacing w:val="-55"/>
        </w:rPr>
        <w:t> </w:t>
      </w:r>
      <w:r>
        <w:rPr>
          <w:spacing w:val="-55"/>
        </w:rPr>
      </w:r>
      <w:r>
        <w:rPr/>
        <w:t>之间的差额，应当调整资本公积</w:t>
      </w:r>
      <w:r>
        <w:rPr>
          <w:rFonts w:ascii="Times New Roman" w:hAnsi="Times New Roman" w:cs="Times New Roman" w:eastAsia="Times New Roman" w:hint="default"/>
        </w:rPr>
        <w:t>(</w:t>
      </w:r>
      <w:r>
        <w:rPr/>
        <w:t>资本溢价或股本溢价</w:t>
      </w:r>
      <w:r>
        <w:rPr>
          <w:rFonts w:ascii="Times New Roman" w:hAnsi="Times New Roman" w:cs="Times New Roman" w:eastAsia="Times New Roman" w:hint="default"/>
        </w:rPr>
        <w:t>)</w:t>
      </w:r>
      <w:r>
        <w:rPr/>
        <w:t>，资本公积不足冲减的，调整留存收益。</w:t>
      </w:r>
      <w:r>
        <w:rPr>
          <w:w w:val="100"/>
        </w:rPr>
        <w:t> </w:t>
      </w:r>
      <w:r>
        <w:rPr>
          <w:spacing w:val="-1"/>
        </w:rPr>
        <w:t>母公司在不丧失控制权的情况下部分处置对子公司的长期股权投资，在合并财务报表中，处置价</w:t>
      </w:r>
      <w:r>
        <w:rPr>
          <w:spacing w:val="-55"/>
        </w:rPr>
        <w:t> </w:t>
      </w:r>
      <w:r>
        <w:rPr>
          <w:spacing w:val="-55"/>
        </w:rPr>
      </w:r>
      <w:r>
        <w:rPr>
          <w:spacing w:val="-1"/>
        </w:rPr>
        <w:t>款与处置长期股权投资相对应享有子公司自购买日或合并日开始持续计算的净资产份额之间的差</w:t>
      </w:r>
      <w:r>
        <w:rPr>
          <w:spacing w:val="-55"/>
        </w:rPr>
        <w:t> </w:t>
      </w:r>
      <w:r>
        <w:rPr>
          <w:spacing w:val="-55"/>
        </w:rPr>
      </w:r>
      <w:r>
        <w:rPr/>
        <w:t>额，应当调整资本公积</w:t>
      </w:r>
      <w:r>
        <w:rPr>
          <w:rFonts w:ascii="Times New Roman" w:hAnsi="Times New Roman" w:cs="Times New Roman" w:eastAsia="Times New Roman" w:hint="default"/>
        </w:rPr>
        <w:t>(</w:t>
      </w:r>
      <w:r>
        <w:rPr/>
        <w:t>资本溢价或股本溢价</w:t>
      </w:r>
      <w:r>
        <w:rPr>
          <w:rFonts w:ascii="Times New Roman" w:hAnsi="Times New Roman" w:cs="Times New Roman" w:eastAsia="Times New Roman" w:hint="default"/>
        </w:rPr>
        <w:t>)</w:t>
      </w:r>
      <w:r>
        <w:rPr/>
        <w:t>，资本公积不足冲减的，调整留存收益。</w:t>
      </w:r>
      <w:r>
        <w:rPr>
          <w:w w:val="100"/>
        </w:rPr>
        <w:t> </w:t>
      </w:r>
      <w:r>
        <w:rPr>
          <w:spacing w:val="-1"/>
        </w:rPr>
        <w:t>企业因处置部分股权投资等原因丧失了对被投资方的控制权的，在编制合并财务报表时，对于剩</w:t>
      </w:r>
      <w:r>
        <w:rPr>
          <w:spacing w:val="-55"/>
        </w:rPr>
        <w:t> </w:t>
      </w:r>
      <w:r>
        <w:rPr>
          <w:spacing w:val="-55"/>
        </w:rPr>
      </w:r>
      <w:r>
        <w:rPr>
          <w:spacing w:val="-1"/>
        </w:rPr>
        <w:t>余股权，应当按照其在丧失控制权日的公允价值进行重新计量。处置股权取得的对价与剩余股权</w:t>
      </w:r>
      <w:r>
        <w:rPr>
          <w:spacing w:val="-55"/>
        </w:rPr>
        <w:t> </w:t>
      </w:r>
      <w:r>
        <w:rPr>
          <w:spacing w:val="-55"/>
        </w:rPr>
      </w:r>
      <w:r>
        <w:rPr>
          <w:spacing w:val="-1"/>
        </w:rPr>
        <w:t>公允价值之和，减去按原持股比例计算应享有原有子公司自购买日或合并日开始持续计算的净资</w:t>
      </w:r>
      <w:r>
        <w:rPr>
          <w:spacing w:val="-55"/>
        </w:rPr>
        <w:t> </w:t>
      </w:r>
      <w:r>
        <w:rPr>
          <w:spacing w:val="-55"/>
        </w:rPr>
      </w:r>
      <w:r>
        <w:rPr>
          <w:spacing w:val="-1"/>
        </w:rPr>
        <w:t>产的份额之间的差额，计入丧失控制权当期的投资收益，同时冲减商誉。与原有子公司股权投资</w:t>
      </w:r>
      <w:r>
        <w:rPr>
          <w:spacing w:val="-55"/>
        </w:rPr>
        <w:t> </w:t>
      </w:r>
      <w:r>
        <w:rPr>
          <w:spacing w:val="-55"/>
        </w:rPr>
      </w:r>
      <w:r>
        <w:rPr>
          <w:spacing w:val="-1"/>
        </w:rPr>
        <w:t>相关的其他综合收益等，应当在丧失控制权时转为当期投资收益，由于被投资方重新计量设定受</w:t>
      </w:r>
      <w:r>
        <w:rPr>
          <w:spacing w:val="-55"/>
        </w:rPr>
        <w:t> </w:t>
      </w:r>
      <w:r>
        <w:rPr>
          <w:spacing w:val="-55"/>
        </w:rPr>
      </w:r>
      <w:r>
        <w:rPr/>
        <w:t>益计划净负债或净资产变动而产生的其他综合收益除外。</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BodyText"/>
        <w:spacing w:line="274" w:lineRule="exact" w:before="82"/>
        <w:ind w:left="138" w:right="4942"/>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spacing w:val="-2"/>
        </w:rPr>
        <w:t>合营安排分为共同经营和合营企业。</w:t>
      </w:r>
    </w:p>
    <w:p>
      <w:pPr>
        <w:pStyle w:val="BodyText"/>
        <w:spacing w:line="245" w:lineRule="exact"/>
        <w:ind w:left="138" w:right="0"/>
        <w:jc w:val="left"/>
      </w:pPr>
      <w:r>
        <w:rPr/>
        <w:t>共同经营，是指合营方享有该安排相关资产且承担该安排相关负债的合营安排。公司确认其与共</w:t>
      </w:r>
    </w:p>
    <w:p>
      <w:pPr>
        <w:pStyle w:val="BodyText"/>
        <w:spacing w:line="273" w:lineRule="exact"/>
        <w:ind w:left="138" w:right="0"/>
        <w:jc w:val="left"/>
      </w:pPr>
      <w:r>
        <w:rPr/>
        <w:t>同经营中利益份额相关的下列项目，并按照相关企业会计准则的规定进行会计处理：</w:t>
      </w:r>
    </w:p>
    <w:p>
      <w:pPr>
        <w:pStyle w:val="BodyText"/>
        <w:spacing w:line="281" w:lineRule="exact"/>
        <w:ind w:left="13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确认单独所持有的资产，以及按其份额确认共同持有的资产；</w:t>
      </w:r>
    </w:p>
    <w:p>
      <w:pPr>
        <w:pStyle w:val="BodyText"/>
        <w:spacing w:line="272" w:lineRule="exact"/>
        <w:ind w:left="13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确认单独所承担的负债，以及按其份额确认共同承担的负债；</w:t>
      </w:r>
    </w:p>
    <w:p>
      <w:pPr>
        <w:pStyle w:val="BodyText"/>
        <w:spacing w:line="272" w:lineRule="exact"/>
        <w:ind w:left="138"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9"/>
        </w:rPr>
        <w:t> </w:t>
      </w:r>
      <w:r>
        <w:rPr/>
        <w:t>确认出售其享有的共同经营产出份额所产生的收入；</w:t>
      </w:r>
    </w:p>
    <w:p>
      <w:pPr>
        <w:pStyle w:val="BodyText"/>
        <w:spacing w:line="272" w:lineRule="exact"/>
        <w:ind w:left="138"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按其份额确认共同经营因出售产出所产生的收入；</w:t>
      </w:r>
    </w:p>
    <w:p>
      <w:pPr>
        <w:pStyle w:val="BodyText"/>
        <w:spacing w:line="230" w:lineRule="auto"/>
        <w:ind w:left="138"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51"/>
        </w:rPr>
        <w:t> </w:t>
      </w:r>
      <w:r>
        <w:rPr/>
        <w:t>确认单独所发生的费用，以及按其份额确认共同经营发生的费用。</w:t>
      </w:r>
      <w:r>
        <w:rPr>
          <w:w w:val="100"/>
        </w:rPr>
        <w:t> </w:t>
      </w:r>
      <w:r>
        <w:rPr>
          <w:spacing w:val="-1"/>
        </w:rPr>
        <w:t>合营企业，是指合营方仅对该安排的净资产享有权利的合营安排。公司按照权益法对合营企业的</w:t>
      </w:r>
      <w:r>
        <w:rPr>
          <w:spacing w:val="-55"/>
        </w:rPr>
        <w:t> </w:t>
      </w:r>
      <w:r>
        <w:rPr>
          <w:spacing w:val="-55"/>
        </w:rPr>
      </w:r>
      <w:r>
        <w:rPr/>
        <w:t>投资进行会计处理。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tabs>
          <w:tab w:pos="562" w:val="left" w:leader="none"/>
        </w:tabs>
        <w:spacing w:line="290" w:lineRule="auto" w:before="0"/>
        <w:ind w:left="138" w:right="588" w:firstLine="0"/>
        <w:jc w:val="left"/>
        <w:rPr>
          <w:rFonts w:ascii="宋体" w:hAnsi="宋体" w:cs="宋体" w:eastAsia="宋体" w:hint="default"/>
          <w:sz w:val="21"/>
          <w:szCs w:val="21"/>
        </w:rPr>
      </w:pPr>
      <w:r>
        <w:rPr>
          <w:rFonts w:ascii="宋体" w:hAnsi="宋体" w:cs="宋体" w:eastAsia="宋体" w:hint="default"/>
          <w:b/>
          <w:bCs/>
          <w:w w:val="95"/>
          <w:sz w:val="21"/>
          <w:szCs w:val="21"/>
        </w:rPr>
        <w:t>8.</w:t>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是指公司持有的期限短、流动性强、易于转换为已知金额现金、价值变动风险很小的投资。</w:t>
      </w:r>
    </w:p>
    <w:p>
      <w:pPr>
        <w:spacing w:line="240" w:lineRule="auto" w:before="7"/>
        <w:rPr>
          <w:rFonts w:ascii="宋体" w:hAnsi="宋体" w:cs="宋体" w:eastAsia="宋体" w:hint="default"/>
          <w:sz w:val="19"/>
          <w:szCs w:val="19"/>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9.</w:t>
        <w:tab/>
      </w:r>
      <w:r>
        <w:rPr/>
        <w:t>外币业务和外币报表折算</w:t>
      </w:r>
      <w:r>
        <w:rPr>
          <w:b w:val="0"/>
          <w:bCs w:val="0"/>
        </w:rPr>
      </w:r>
    </w:p>
    <w:p>
      <w:pPr>
        <w:pStyle w:val="BodyText"/>
        <w:spacing w:line="281" w:lineRule="exact" w:before="58"/>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74" w:lineRule="exact" w:before="16"/>
        <w:ind w:left="13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外币交易在初始确认时，采用交易发生当日中国人民银行公布的人民币外汇牌价中间价将外</w:t>
      </w:r>
      <w:r>
        <w:rPr>
          <w:spacing w:val="-100"/>
        </w:rPr>
        <w:t> </w:t>
      </w:r>
      <w:r>
        <w:rPr>
          <w:spacing w:val="-100"/>
        </w:rPr>
      </w:r>
      <w:r>
        <w:rPr/>
        <w:t>币金额折算为人民币金额。</w:t>
      </w:r>
    </w:p>
    <w:p>
      <w:pPr>
        <w:spacing w:line="240" w:lineRule="auto" w:before="4"/>
        <w:rPr>
          <w:rFonts w:ascii="宋体" w:hAnsi="宋体" w:cs="宋体" w:eastAsia="宋体" w:hint="default"/>
          <w:sz w:val="16"/>
          <w:szCs w:val="16"/>
        </w:rPr>
      </w:pPr>
    </w:p>
    <w:p>
      <w:pPr>
        <w:pStyle w:val="BodyText"/>
        <w:spacing w:line="281" w:lineRule="exact"/>
        <w:ind w:left="13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7"/>
        </w:rPr>
        <w:t> </w:t>
      </w:r>
      <w:r>
        <w:rPr/>
        <w:t>于资产负债表日，按照下列方法对外币货币性项目和外币非货币性项目进行处理：</w:t>
      </w:r>
    </w:p>
    <w:p>
      <w:pPr>
        <w:pStyle w:val="BodyText"/>
        <w:spacing w:line="237" w:lineRule="auto"/>
        <w:ind w:left="138" w:right="128"/>
        <w:jc w:val="both"/>
      </w:pPr>
      <w:r>
        <w:rPr>
          <w:spacing w:val="-1"/>
        </w:rPr>
        <w:t>①外币货币性项目，采用资产负债表日中国人民银行公布的人民币外汇牌价中间价折算。因资产</w:t>
      </w:r>
      <w:r>
        <w:rPr>
          <w:spacing w:val="-54"/>
        </w:rPr>
        <w:t> </w:t>
      </w:r>
      <w:r>
        <w:rPr>
          <w:spacing w:val="-54"/>
        </w:rPr>
      </w:r>
      <w:r>
        <w:rPr>
          <w:spacing w:val="-1"/>
        </w:rPr>
        <w:t>负债表日即期汇率与初始确认时或者前一资产负债表日即期汇率不同而产生的汇兑差额，计入当</w:t>
      </w:r>
      <w:r>
        <w:rPr>
          <w:spacing w:val="-55"/>
        </w:rPr>
        <w:t> </w:t>
      </w:r>
      <w:r>
        <w:rPr>
          <w:spacing w:val="-55"/>
        </w:rPr>
      </w:r>
      <w:r>
        <w:rPr/>
        <w:t>期损益。</w:t>
      </w:r>
    </w:p>
    <w:p>
      <w:pPr>
        <w:pStyle w:val="BodyText"/>
        <w:spacing w:line="235" w:lineRule="auto" w:before="4"/>
        <w:ind w:left="138" w:right="0"/>
        <w:jc w:val="left"/>
      </w:pPr>
      <w:r>
        <w:rPr>
          <w:spacing w:val="-1"/>
        </w:rPr>
        <w:t>②以历史成本计量的外币非货币性项目，仍采用交易发生日的即期汇率折算，不改变其记账本位</w:t>
      </w:r>
      <w:r>
        <w:rPr>
          <w:spacing w:val="-55"/>
        </w:rPr>
        <w:t> </w:t>
      </w:r>
      <w:r>
        <w:rPr>
          <w:spacing w:val="-55"/>
        </w:rPr>
      </w:r>
      <w:r>
        <w:rPr>
          <w:spacing w:val="-1"/>
        </w:rPr>
        <w:t>币金额；以公允价值计量的外币非货币性项目，采用公允价值确定日的即期汇率折算，折算后的</w:t>
      </w:r>
      <w:r>
        <w:rPr>
          <w:spacing w:val="-55"/>
        </w:rPr>
        <w:t> </w:t>
      </w:r>
      <w:r>
        <w:rPr>
          <w:spacing w:val="-55"/>
        </w:rPr>
      </w:r>
      <w:r>
        <w:rPr/>
        <w:t>记账本位币金额与原记账本位币金额的差额，作为公允价值变动</w:t>
      </w:r>
      <w:r>
        <w:rPr>
          <w:rFonts w:ascii="Times New Roman" w:hAnsi="Times New Roman" w:cs="Times New Roman" w:eastAsia="Times New Roman" w:hint="default"/>
        </w:rPr>
        <w:t>(</w:t>
      </w:r>
      <w:r>
        <w:rPr/>
        <w:t>含汇率变动</w:t>
      </w:r>
      <w:r>
        <w:rPr>
          <w:rFonts w:ascii="Times New Roman" w:hAnsi="Times New Roman" w:cs="Times New Roman" w:eastAsia="Times New Roman" w:hint="default"/>
        </w:rPr>
        <w:t>)</w:t>
      </w:r>
      <w:r>
        <w:rPr/>
        <w:t>处理，并根据非货</w:t>
      </w:r>
      <w:r>
        <w:rPr>
          <w:spacing w:val="-21"/>
        </w:rPr>
        <w:t> </w:t>
      </w:r>
      <w:r>
        <w:rPr>
          <w:spacing w:val="-21"/>
        </w:rPr>
      </w:r>
      <w:r>
        <w:rPr/>
        <w:t>币性项目的性质计入当期损益或其他综合收益。</w:t>
      </w:r>
      <w:r>
        <w:rPr>
          <w:w w:val="100"/>
        </w:rPr>
        <w:t> </w:t>
      </w:r>
      <w:r>
        <w:rPr>
          <w:spacing w:val="-2"/>
        </w:rPr>
        <w:t>货币性项目，是指公司持有的货币资金和将以固定或可确定的金额收取的资产或者偿付的负债。</w:t>
      </w:r>
    </w:p>
    <w:p>
      <w:pPr>
        <w:spacing w:after="0" w:line="235"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left"/>
      </w:pPr>
      <w:r>
        <w:rPr/>
        <w:t>非货币性项目，是指货币性项目以外的项目。</w:t>
      </w:r>
    </w:p>
    <w:p>
      <w:pPr>
        <w:spacing w:line="240" w:lineRule="auto" w:before="6"/>
        <w:rPr>
          <w:rFonts w:ascii="宋体" w:hAnsi="宋体" w:cs="宋体" w:eastAsia="宋体" w:hint="default"/>
          <w:sz w:val="18"/>
          <w:szCs w:val="18"/>
        </w:rPr>
      </w:pPr>
    </w:p>
    <w:p>
      <w:pPr>
        <w:pStyle w:val="BodyText"/>
        <w:spacing w:line="281" w:lineRule="exact"/>
        <w:ind w:left="138"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境外经营实体的外币财务报表的折算方法：</w:t>
      </w:r>
    </w:p>
    <w:p>
      <w:pPr>
        <w:pStyle w:val="BodyText"/>
        <w:spacing w:line="272" w:lineRule="exact" w:before="18"/>
        <w:ind w:left="138" w:right="0"/>
        <w:jc w:val="left"/>
      </w:pPr>
      <w:r>
        <w:rPr>
          <w:spacing w:val="-1"/>
        </w:rPr>
        <w:t>①资产负债表中的资产和负债项目，采用资产负债表日的即期汇率折算，所有者权益项目除“未</w:t>
      </w:r>
      <w:r>
        <w:rPr>
          <w:spacing w:val="-55"/>
        </w:rPr>
        <w:t> </w:t>
      </w:r>
      <w:r>
        <w:rPr>
          <w:spacing w:val="-55"/>
        </w:rPr>
      </w:r>
      <w:r>
        <w:rPr/>
        <w:t>分配利润”项目外，其他项目采用发生时的即期汇率折算；</w:t>
      </w:r>
    </w:p>
    <w:p>
      <w:pPr>
        <w:pStyle w:val="BodyText"/>
        <w:spacing w:line="272" w:lineRule="exact" w:before="1"/>
        <w:ind w:left="138" w:right="0"/>
        <w:jc w:val="left"/>
      </w:pPr>
      <w:r>
        <w:rPr>
          <w:spacing w:val="-3"/>
        </w:rPr>
        <w:t>②利润表中的收入和费用项目，采用交易发生日的即期汇率折算</w:t>
      </w:r>
      <w:r>
        <w:rPr>
          <w:rFonts w:ascii="Times New Roman" w:hAnsi="Times New Roman" w:cs="Times New Roman" w:eastAsia="Times New Roman" w:hint="default"/>
          <w:spacing w:val="-3"/>
        </w:rPr>
        <w:t>(</w:t>
      </w:r>
      <w:r>
        <w:rPr>
          <w:spacing w:val="-3"/>
        </w:rPr>
        <w:t>或采用按照系统合理的方法确定</w:t>
      </w:r>
      <w:r>
        <w:rPr>
          <w:spacing w:val="-40"/>
        </w:rPr>
        <w:t> </w:t>
      </w:r>
      <w:r>
        <w:rPr>
          <w:spacing w:val="-40"/>
        </w:rPr>
      </w:r>
      <w:r>
        <w:rPr/>
        <w:t>的、与交易发生日即期汇率近似的汇率折算</w:t>
      </w:r>
      <w:r>
        <w:rPr>
          <w:rFonts w:ascii="Times New Roman" w:hAnsi="Times New Roman" w:cs="Times New Roman" w:eastAsia="Times New Roman" w:hint="default"/>
        </w:rPr>
        <w:t>)</w:t>
      </w:r>
      <w:r>
        <w:rPr/>
        <w:t>；</w:t>
      </w:r>
    </w:p>
    <w:p>
      <w:pPr>
        <w:pStyle w:val="BodyText"/>
        <w:spacing w:line="272" w:lineRule="exact" w:before="1"/>
        <w:ind w:left="138" w:right="0"/>
        <w:jc w:val="left"/>
      </w:pPr>
      <w:r>
        <w:rPr>
          <w:spacing w:val="-1"/>
        </w:rPr>
        <w:t>③按照上述①、②折算产生的外币财务报表折算差额，在资产负债表中所有者权益项目下单独列</w:t>
      </w:r>
      <w:r>
        <w:rPr>
          <w:spacing w:val="-55"/>
        </w:rPr>
        <w:t> </w:t>
      </w:r>
      <w:r>
        <w:rPr>
          <w:spacing w:val="-55"/>
        </w:rPr>
      </w:r>
      <w:r>
        <w:rPr/>
        <w:t>示。</w:t>
      </w:r>
    </w:p>
    <w:p>
      <w:pPr>
        <w:spacing w:line="240" w:lineRule="auto" w:before="9"/>
        <w:rPr>
          <w:rFonts w:ascii="宋体" w:hAnsi="宋体" w:cs="宋体" w:eastAsia="宋体" w:hint="default"/>
          <w:sz w:val="16"/>
          <w:szCs w:val="16"/>
        </w:rPr>
      </w:pPr>
    </w:p>
    <w:p>
      <w:pPr>
        <w:pStyle w:val="BodyText"/>
        <w:spacing w:line="235" w:lineRule="auto"/>
        <w:ind w:left="138"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1"/>
        </w:rPr>
        <w:t> </w:t>
      </w:r>
      <w:r>
        <w:rPr/>
        <w:t>公司对处于恶性通货膨胀经济中的境外经营的财务报表，按照下列方法进行折算：</w:t>
      </w:r>
      <w:r>
        <w:rPr>
          <w:w w:val="100"/>
        </w:rPr>
        <w:t> </w:t>
      </w:r>
      <w:r>
        <w:rPr>
          <w:spacing w:val="-1"/>
        </w:rPr>
        <w:t>对资产负债表项目运用一般物价指数予以重述，对利润表项目运用一般物价指数变动予以重述，</w:t>
      </w:r>
      <w:r>
        <w:rPr>
          <w:spacing w:val="-55"/>
        </w:rPr>
        <w:t> </w:t>
      </w:r>
      <w:r>
        <w:rPr>
          <w:spacing w:val="-55"/>
        </w:rPr>
      </w:r>
      <w:r>
        <w:rPr/>
        <w:t>再按照最近资产负债表日的即期汇率进行折算。</w:t>
      </w:r>
      <w:r>
        <w:rPr>
          <w:w w:val="100"/>
        </w:rPr>
        <w:t> </w:t>
      </w:r>
      <w:r>
        <w:rPr>
          <w:spacing w:val="-1"/>
        </w:rPr>
        <w:t>在境外经营不再处于恶性通货膨胀经济中时，停止重述，按照停止之日的价格水平重述的财务报</w:t>
      </w:r>
      <w:r>
        <w:rPr>
          <w:spacing w:val="-55"/>
        </w:rPr>
        <w:t> </w:t>
      </w:r>
      <w:r>
        <w:rPr>
          <w:spacing w:val="-55"/>
        </w:rPr>
      </w:r>
      <w:r>
        <w:rPr/>
        <w:t>表进行折算。</w:t>
      </w:r>
    </w:p>
    <w:p>
      <w:pPr>
        <w:spacing w:line="240" w:lineRule="auto" w:before="1"/>
        <w:rPr>
          <w:rFonts w:ascii="宋体" w:hAnsi="宋体" w:cs="宋体" w:eastAsia="宋体" w:hint="default"/>
          <w:sz w:val="19"/>
          <w:szCs w:val="19"/>
        </w:rPr>
      </w:pPr>
    </w:p>
    <w:p>
      <w:pPr>
        <w:pStyle w:val="BodyText"/>
        <w:spacing w:line="230" w:lineRule="auto"/>
        <w:ind w:left="138" w:right="128"/>
        <w:jc w:val="both"/>
      </w:pPr>
      <w:r>
        <w:rPr>
          <w:rFonts w:ascii="Times New Roman" w:hAnsi="Times New Roman" w:cs="Times New Roman" w:eastAsia="Times New Roman" w:hint="default"/>
        </w:rPr>
        <w:t>(5) </w:t>
      </w:r>
      <w:r>
        <w:rPr/>
        <w:t>公司在处置境外经营时，将资产负债表中所有者权益项目下列示的、与该境外经营相关的外</w:t>
      </w:r>
      <w:r>
        <w:rPr>
          <w:spacing w:val="-80"/>
        </w:rPr>
        <w:t> </w:t>
      </w:r>
      <w:r>
        <w:rPr>
          <w:spacing w:val="-80"/>
        </w:rPr>
      </w:r>
      <w:r>
        <w:rPr>
          <w:spacing w:val="-1"/>
        </w:rPr>
        <w:t>币财务报表折算差额，自所有者权益项目转入处置当期损益；部分处置境外经营的，按处置的比</w:t>
      </w:r>
      <w:r>
        <w:rPr>
          <w:spacing w:val="-55"/>
        </w:rPr>
        <w:t> </w:t>
      </w:r>
      <w:r>
        <w:rPr>
          <w:spacing w:val="-55"/>
        </w:rPr>
      </w:r>
      <w:r>
        <w:rPr/>
        <w:t>例计算处置部分的外币财务报表折算差额，转入处置当期损益。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2"/>
        <w:spacing w:line="240" w:lineRule="auto"/>
        <w:ind w:left="138" w:right="0"/>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81" w:lineRule="exact" w:before="58"/>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73" w:lineRule="exact"/>
        <w:ind w:left="13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金融工具的分类、确认依据和计量方法</w:t>
      </w:r>
    </w:p>
    <w:p>
      <w:pPr>
        <w:pStyle w:val="BodyText"/>
        <w:spacing w:line="265" w:lineRule="exact"/>
        <w:ind w:left="138" w:right="0"/>
        <w:jc w:val="left"/>
      </w:pPr>
      <w:r>
        <w:rPr/>
        <w:t>①金融资产在初始确认时划分为下列四类：</w:t>
      </w:r>
    </w:p>
    <w:p>
      <w:pPr>
        <w:pStyle w:val="BodyText"/>
        <w:spacing w:line="274" w:lineRule="exact" w:before="24"/>
        <w:ind w:left="138" w:right="0"/>
        <w:jc w:val="left"/>
      </w:pPr>
      <w:r>
        <w:rPr>
          <w:rFonts w:ascii="Times New Roman" w:hAnsi="Times New Roman" w:cs="Times New Roman" w:eastAsia="Times New Roman" w:hint="default"/>
        </w:rPr>
        <w:t>1) </w:t>
      </w:r>
      <w:r>
        <w:rPr>
          <w:spacing w:val="-3"/>
        </w:rPr>
        <w:t>以公允价值计量且其变动计入当期损益的金融资产，包括交易性金融资产和指定为以公允价值</w:t>
      </w:r>
      <w:r>
        <w:rPr>
          <w:spacing w:val="-101"/>
        </w:rPr>
        <w:t> </w:t>
      </w:r>
      <w:r>
        <w:rPr>
          <w:spacing w:val="-101"/>
        </w:rPr>
      </w:r>
      <w:r>
        <w:rPr/>
        <w:t>计量且其变动计入当期损益的金融资产；</w:t>
      </w:r>
    </w:p>
    <w:p>
      <w:pPr>
        <w:pStyle w:val="BodyText"/>
        <w:spacing w:line="252" w:lineRule="exact"/>
        <w:ind w:left="138" w:right="0"/>
        <w:jc w:val="left"/>
      </w:pPr>
      <w:r>
        <w:rPr>
          <w:rFonts w:ascii="Times New Roman" w:hAnsi="Times New Roman" w:cs="Times New Roman" w:eastAsia="Times New Roman" w:hint="default"/>
        </w:rPr>
        <w:t>2)  </w:t>
      </w:r>
      <w:r>
        <w:rPr/>
        <w:t>持有至到期投资；</w:t>
      </w:r>
    </w:p>
    <w:p>
      <w:pPr>
        <w:pStyle w:val="BodyText"/>
        <w:spacing w:line="272" w:lineRule="exact"/>
        <w:ind w:left="138" w:right="0"/>
        <w:jc w:val="left"/>
      </w:pPr>
      <w:r>
        <w:rPr>
          <w:rFonts w:ascii="Times New Roman" w:hAnsi="Times New Roman" w:cs="Times New Roman" w:eastAsia="Times New Roman" w:hint="default"/>
        </w:rPr>
        <w:t>3)  </w:t>
      </w:r>
      <w:r>
        <w:rPr/>
        <w:t>应收款项；</w:t>
      </w:r>
    </w:p>
    <w:p>
      <w:pPr>
        <w:pStyle w:val="BodyText"/>
        <w:spacing w:line="282" w:lineRule="exact"/>
        <w:ind w:left="138"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1"/>
        </w:rPr>
        <w:t> </w:t>
      </w:r>
      <w:r>
        <w:rPr/>
        <w:t>可供出售金融资产。</w:t>
      </w:r>
    </w:p>
    <w:p>
      <w:pPr>
        <w:spacing w:line="240" w:lineRule="auto" w:before="0"/>
        <w:rPr>
          <w:rFonts w:ascii="宋体" w:hAnsi="宋体" w:cs="宋体" w:eastAsia="宋体" w:hint="default"/>
          <w:sz w:val="17"/>
          <w:szCs w:val="17"/>
        </w:rPr>
      </w:pPr>
    </w:p>
    <w:p>
      <w:pPr>
        <w:pStyle w:val="BodyText"/>
        <w:spacing w:line="274" w:lineRule="exact"/>
        <w:ind w:left="138" w:right="0"/>
        <w:jc w:val="left"/>
      </w:pPr>
      <w:r>
        <w:rPr/>
        <w:t>②金融负债在初始确认时划分为下列两类：</w:t>
      </w:r>
    </w:p>
    <w:p>
      <w:pPr>
        <w:pStyle w:val="BodyText"/>
        <w:spacing w:line="272" w:lineRule="exact" w:before="27"/>
        <w:ind w:left="138" w:right="0"/>
        <w:jc w:val="left"/>
      </w:pPr>
      <w:r>
        <w:rPr>
          <w:rFonts w:ascii="Times New Roman" w:hAnsi="Times New Roman" w:cs="Times New Roman" w:eastAsia="Times New Roman" w:hint="default"/>
        </w:rPr>
        <w:t>1) </w:t>
      </w:r>
      <w:r>
        <w:rPr>
          <w:spacing w:val="-3"/>
        </w:rPr>
        <w:t>以公允价值计量且其变动计入当期损益的金融负债，包括交易性金融负债和指定为以公允价值</w:t>
      </w:r>
      <w:r>
        <w:rPr>
          <w:spacing w:val="-101"/>
        </w:rPr>
        <w:t> </w:t>
      </w:r>
      <w:r>
        <w:rPr>
          <w:spacing w:val="-101"/>
        </w:rPr>
      </w:r>
      <w:r>
        <w:rPr/>
        <w:t>计量且其变动计入当期损益的金融负债；</w:t>
      </w:r>
    </w:p>
    <w:p>
      <w:pPr>
        <w:pStyle w:val="BodyText"/>
        <w:spacing w:line="262" w:lineRule="exact"/>
        <w:ind w:left="13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其他金融负债。</w:t>
      </w:r>
    </w:p>
    <w:p>
      <w:pPr>
        <w:spacing w:line="240" w:lineRule="auto" w:before="6"/>
        <w:rPr>
          <w:rFonts w:ascii="宋体" w:hAnsi="宋体" w:cs="宋体" w:eastAsia="宋体" w:hint="default"/>
          <w:sz w:val="17"/>
          <w:szCs w:val="17"/>
        </w:rPr>
      </w:pPr>
    </w:p>
    <w:p>
      <w:pPr>
        <w:pStyle w:val="BodyText"/>
        <w:spacing w:line="237" w:lineRule="auto"/>
        <w:ind w:left="138" w:right="0"/>
        <w:jc w:val="left"/>
      </w:pPr>
      <w:r>
        <w:rPr/>
        <w:t>③以公允价值计量且其变动计入当期损益的金融资产或金融负债</w:t>
      </w:r>
      <w:r>
        <w:rPr>
          <w:w w:val="100"/>
        </w:rPr>
        <w:t> </w:t>
      </w:r>
      <w:r>
        <w:rPr>
          <w:spacing w:val="-1"/>
        </w:rPr>
        <w:t>此类金融资产或金融负债进一步分为交易性金融资产或金融负债和直接指定为以公允价值计量且</w:t>
      </w:r>
      <w:r>
        <w:rPr>
          <w:spacing w:val="-55"/>
        </w:rPr>
        <w:t> </w:t>
      </w:r>
      <w:r>
        <w:rPr>
          <w:spacing w:val="-55"/>
        </w:rPr>
      </w:r>
      <w:r>
        <w:rPr/>
        <w:t>其变动计入当期损益的金融资产或金融负债。</w:t>
      </w:r>
      <w:r>
        <w:rPr>
          <w:w w:val="100"/>
        </w:rPr>
        <w:t> </w:t>
      </w:r>
      <w:r>
        <w:rPr>
          <w:spacing w:val="-1"/>
        </w:rPr>
        <w:t>交易性金融资产或金融负债，主要是指公司为了近期内出售而持有的金融资产或近期内回购而承</w:t>
      </w:r>
      <w:r>
        <w:rPr>
          <w:spacing w:val="-55"/>
        </w:rPr>
        <w:t> </w:t>
      </w:r>
      <w:r>
        <w:rPr>
          <w:spacing w:val="-55"/>
        </w:rPr>
      </w:r>
      <w:r>
        <w:rPr/>
        <w:t>担的金融负债。</w:t>
      </w:r>
      <w:r>
        <w:rPr>
          <w:spacing w:val="-103"/>
        </w:rPr>
        <w:t> </w:t>
      </w:r>
      <w:r>
        <w:rPr>
          <w:spacing w:val="-103"/>
        </w:rPr>
      </w:r>
      <w:r>
        <w:rPr>
          <w:spacing w:val="-1"/>
        </w:rPr>
        <w:t>直接指定为以公允价值计量且其变动计入当期损益的金融资产或金融负债，主要是指公司基于风</w:t>
      </w:r>
      <w:r>
        <w:rPr>
          <w:spacing w:val="-55"/>
        </w:rPr>
        <w:t> </w:t>
      </w:r>
      <w:r>
        <w:rPr>
          <w:spacing w:val="-55"/>
        </w:rPr>
      </w:r>
      <w:r>
        <w:rPr/>
        <w:t>险管理、战略投资需要等所作的指定。</w:t>
      </w:r>
      <w:r>
        <w:rPr>
          <w:w w:val="100"/>
        </w:rPr>
        <w:t> </w:t>
      </w:r>
      <w:r>
        <w:rPr>
          <w:spacing w:val="-1"/>
        </w:rPr>
        <w:t>以公允价值计量且其变动计入当期损益的金融资产按照取得时的公允价值作为初始确认金额，相</w:t>
      </w:r>
      <w:r>
        <w:rPr>
          <w:spacing w:val="-55"/>
        </w:rPr>
        <w:t> </w:t>
      </w:r>
      <w:r>
        <w:rPr>
          <w:spacing w:val="-55"/>
        </w:rPr>
      </w:r>
      <w:r>
        <w:rPr>
          <w:spacing w:val="-1"/>
        </w:rPr>
        <w:t>关的交易费用在发生时计入当期损益。支付的价款中包含已宣告但尚未发放的现金股利或已到付</w:t>
      </w:r>
      <w:r>
        <w:rPr>
          <w:spacing w:val="-55"/>
        </w:rPr>
        <w:t> </w:t>
      </w:r>
      <w:r>
        <w:rPr>
          <w:spacing w:val="-55"/>
        </w:rPr>
      </w:r>
      <w:r>
        <w:rPr/>
        <w:t>息期但尚未领取的债券利息，单独确认为应收项目。</w:t>
      </w:r>
      <w:r>
        <w:rPr>
          <w:w w:val="100"/>
        </w:rPr>
        <w:t> </w:t>
      </w:r>
      <w:r>
        <w:rPr>
          <w:spacing w:val="-1"/>
        </w:rPr>
        <w:t>在持有以公允价值计量且其变动计入当期损益的金融资产期间取得的利息或现金股利，确认为投</w:t>
      </w:r>
      <w:r>
        <w:rPr>
          <w:spacing w:val="-55"/>
        </w:rPr>
        <w:t> </w:t>
      </w:r>
      <w:r>
        <w:rPr>
          <w:spacing w:val="-55"/>
        </w:rPr>
      </w:r>
      <w:r>
        <w:rPr>
          <w:spacing w:val="-1"/>
        </w:rPr>
        <w:t>资收益。资产负债表日，将以公允价值计量且其变动计入当期损益的金融资产或金融负债的公允</w:t>
      </w:r>
      <w:r>
        <w:rPr>
          <w:spacing w:val="-55"/>
        </w:rPr>
        <w:t> </w:t>
      </w:r>
      <w:r>
        <w:rPr>
          <w:spacing w:val="-55"/>
        </w:rPr>
      </w:r>
      <w:r>
        <w:rPr/>
        <w:t>价值变动计入当期损益。</w:t>
      </w:r>
      <w:r>
        <w:rPr>
          <w:w w:val="100"/>
        </w:rPr>
        <w:t> </w:t>
      </w:r>
      <w:r>
        <w:rPr>
          <w:spacing w:val="-1"/>
        </w:rPr>
        <w:t>处置以公允价值计量且其变动计入当期损益的金融资产或金融负债时，其公允价值与初始入账金</w:t>
      </w:r>
      <w:r>
        <w:rPr>
          <w:spacing w:val="-55"/>
        </w:rPr>
        <w:t> </w:t>
      </w:r>
      <w:r>
        <w:rPr>
          <w:spacing w:val="-55"/>
        </w:rPr>
      </w:r>
      <w:r>
        <w:rPr/>
        <w:t>额之间的差额确认为投资收益，同时调整公允价值变动损益。</w:t>
      </w:r>
    </w:p>
    <w:p>
      <w:pPr>
        <w:spacing w:after="0" w:line="237"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35" w:lineRule="auto" w:before="41"/>
        <w:ind w:left="138" w:right="100"/>
        <w:jc w:val="left"/>
      </w:pPr>
      <w:r>
        <w:rPr/>
        <w:t>④持有至到期投资</w:t>
      </w:r>
      <w:r>
        <w:rPr>
          <w:w w:val="100"/>
        </w:rPr>
        <w:t> </w:t>
      </w:r>
      <w:r>
        <w:rPr>
          <w:spacing w:val="-1"/>
        </w:rPr>
        <w:t>此类金融资产是指到期日固定、回收金额固定或可确定，且公司有明确意图和能力持有至到期的</w:t>
      </w:r>
      <w:r>
        <w:rPr>
          <w:spacing w:val="-55"/>
        </w:rPr>
        <w:t> </w:t>
      </w:r>
      <w:r>
        <w:rPr>
          <w:spacing w:val="-55"/>
        </w:rPr>
      </w:r>
      <w:r>
        <w:rPr/>
        <w:t>非衍生金融资产。</w:t>
      </w:r>
      <w:r>
        <w:rPr>
          <w:w w:val="100"/>
        </w:rPr>
        <w:t> </w:t>
      </w:r>
      <w:r>
        <w:rPr>
          <w:spacing w:val="-1"/>
        </w:rPr>
        <w:t>持有至到期投资按取得时的公允价值和相关交易费用之和作为初始确认金额。支付的价款中包含</w:t>
      </w:r>
      <w:r>
        <w:rPr>
          <w:spacing w:val="-55"/>
        </w:rPr>
        <w:t> </w:t>
      </w:r>
      <w:r>
        <w:rPr>
          <w:spacing w:val="-55"/>
        </w:rPr>
      </w:r>
      <w:r>
        <w:rPr/>
        <w:t>的已到付息期但尚未领取的债券利息，应单独确认为应收项目。</w:t>
      </w:r>
      <w:r>
        <w:rPr>
          <w:w w:val="100"/>
        </w:rPr>
        <w:t> </w:t>
      </w:r>
      <w:r>
        <w:rPr>
          <w:spacing w:val="-1"/>
        </w:rPr>
        <w:t>持有至到期投资在持有期间按照摊余成本和实际利率计算确认利息收入，计入投资收益。实际利</w:t>
      </w:r>
      <w:r>
        <w:rPr>
          <w:spacing w:val="-55"/>
        </w:rPr>
        <w:t> </w:t>
      </w:r>
      <w:r>
        <w:rPr>
          <w:spacing w:val="-55"/>
        </w:rPr>
      </w:r>
      <w:r>
        <w:rPr>
          <w:spacing w:val="-1"/>
        </w:rPr>
        <w:t>率应当在取得持有至到期投资时确定，在该持有至到期投资预期存续期间或适用的更短期间内保</w:t>
      </w:r>
      <w:r>
        <w:rPr>
          <w:spacing w:val="-55"/>
        </w:rPr>
        <w:t> </w:t>
      </w:r>
      <w:r>
        <w:rPr>
          <w:spacing w:val="-55"/>
        </w:rPr>
      </w:r>
      <w:r>
        <w:rPr/>
        <w:t>持不变。</w:t>
      </w:r>
      <w:r>
        <w:rPr>
          <w:rFonts w:ascii="Times New Roman" w:hAnsi="Times New Roman" w:cs="Times New Roman" w:eastAsia="Times New Roman" w:hint="default"/>
        </w:rPr>
        <w:t>(</w:t>
      </w:r>
      <w:r>
        <w:rPr/>
        <w:t>实际利率与票面利率差别较小的，也可按票面利率计算利息收入，计入投资收益。</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处置持有至到期投资时，应将所取得价款与该投资账面价值之间的差额计入投资收益。</w:t>
      </w:r>
    </w:p>
    <w:p>
      <w:pPr>
        <w:spacing w:line="240" w:lineRule="auto" w:before="6"/>
        <w:rPr>
          <w:rFonts w:ascii="宋体" w:hAnsi="宋体" w:cs="宋体" w:eastAsia="宋体" w:hint="default"/>
          <w:sz w:val="18"/>
          <w:szCs w:val="18"/>
        </w:rPr>
      </w:pPr>
    </w:p>
    <w:p>
      <w:pPr>
        <w:pStyle w:val="BodyText"/>
        <w:spacing w:line="237" w:lineRule="auto"/>
        <w:ind w:left="138" w:right="204"/>
        <w:jc w:val="left"/>
      </w:pPr>
      <w:r>
        <w:rPr/>
        <w:t>⑤贷款和应收款项</w:t>
      </w:r>
      <w:r>
        <w:rPr>
          <w:w w:val="100"/>
        </w:rPr>
        <w:t> </w:t>
      </w:r>
      <w:r>
        <w:rPr>
          <w:spacing w:val="-1"/>
        </w:rPr>
        <w:t>贷款主要是指金融企业发放的贷款，金融企业按当前市场条件发放的贷款，按发放贷款的本金和</w:t>
      </w:r>
      <w:r>
        <w:rPr>
          <w:spacing w:val="-55"/>
        </w:rPr>
        <w:t> </w:t>
      </w:r>
      <w:r>
        <w:rPr>
          <w:spacing w:val="-55"/>
        </w:rPr>
      </w:r>
      <w:r>
        <w:rPr>
          <w:spacing w:val="-6"/>
          <w:w w:val="100"/>
        </w:rPr>
        <w:t>相关交易费用之和作为初始确认金额。贷款持有期间所确认的利息收入，应当根据实际利率计算。</w:t>
      </w:r>
      <w:r>
        <w:rPr>
          <w:w w:val="100"/>
        </w:rPr>
        <w:t> </w:t>
      </w:r>
      <w:r>
        <w:rPr>
          <w:spacing w:val="-1"/>
        </w:rPr>
        <w:t>实际利率应在取得贷款时确定，在该贷款预期存续期间或适用的更短期间内保持不变。实际利率</w:t>
      </w:r>
      <w:r>
        <w:rPr>
          <w:spacing w:val="-55"/>
        </w:rPr>
        <w:t> </w:t>
      </w:r>
      <w:r>
        <w:rPr>
          <w:spacing w:val="-55"/>
        </w:rPr>
      </w:r>
      <w:r>
        <w:rPr/>
        <w:t>与合同利率差别较小的，也可按合同利率计算利息收入。</w:t>
      </w:r>
      <w:r>
        <w:rPr>
          <w:w w:val="100"/>
        </w:rPr>
        <w:t> </w:t>
      </w:r>
      <w:r>
        <w:rPr>
          <w:spacing w:val="-1"/>
        </w:rPr>
        <w:t>应收款项主要是指公司销售商品或提供劳务形成的应收款项等债权，通常应按从购货方应收的合</w:t>
      </w:r>
      <w:r>
        <w:rPr>
          <w:spacing w:val="-55"/>
        </w:rPr>
        <w:t> </w:t>
      </w:r>
      <w:r>
        <w:rPr>
          <w:spacing w:val="-55"/>
        </w:rPr>
      </w:r>
      <w:r>
        <w:rPr>
          <w:spacing w:val="-1"/>
        </w:rPr>
        <w:t>同或协议价款作为初始确认金额。收回或处置贷款和应收款项时，应将取得的价款与该贷款和应</w:t>
      </w:r>
      <w:r>
        <w:rPr>
          <w:spacing w:val="-55"/>
        </w:rPr>
        <w:t> </w:t>
      </w:r>
      <w:r>
        <w:rPr>
          <w:spacing w:val="-55"/>
        </w:rPr>
      </w:r>
      <w:r>
        <w:rPr/>
        <w:t>收款项账面价值之间的差额计入当期损益。</w:t>
      </w:r>
    </w:p>
    <w:p>
      <w:pPr>
        <w:spacing w:line="240" w:lineRule="auto" w:before="6"/>
        <w:rPr>
          <w:rFonts w:ascii="宋体" w:hAnsi="宋体" w:cs="宋体" w:eastAsia="宋体" w:hint="default"/>
          <w:sz w:val="18"/>
          <w:szCs w:val="18"/>
        </w:rPr>
      </w:pPr>
    </w:p>
    <w:p>
      <w:pPr>
        <w:pStyle w:val="BodyText"/>
        <w:spacing w:line="237" w:lineRule="auto"/>
        <w:ind w:left="138" w:right="204"/>
        <w:jc w:val="left"/>
      </w:pPr>
      <w:r>
        <w:rPr/>
        <w:t>⑥可供出售金融资产</w:t>
      </w:r>
      <w:r>
        <w:rPr>
          <w:w w:val="100"/>
        </w:rPr>
        <w:t> </w:t>
      </w:r>
      <w:r>
        <w:rPr>
          <w:spacing w:val="-1"/>
        </w:rPr>
        <w:t>可供出售金融资产通常是指企业没有划分为以公允价值计量且其变动计入当期损益的金融资产、</w:t>
      </w:r>
      <w:r>
        <w:rPr>
          <w:spacing w:val="-55"/>
        </w:rPr>
        <w:t> </w:t>
      </w:r>
      <w:r>
        <w:rPr>
          <w:spacing w:val="-55"/>
        </w:rPr>
      </w:r>
      <w:r>
        <w:rPr/>
        <w:t>持有至到期投资、贷款和应收款项的金融资产。</w:t>
      </w:r>
      <w:r>
        <w:rPr>
          <w:w w:val="100"/>
        </w:rPr>
        <w:t> </w:t>
      </w:r>
      <w:r>
        <w:rPr>
          <w:spacing w:val="-1"/>
        </w:rPr>
        <w:t>可供出售金融资产按取得该金融资产的公允价值和相关交易费用之和作为初始确认金额。支付的</w:t>
      </w:r>
      <w:r>
        <w:rPr>
          <w:spacing w:val="-55"/>
        </w:rPr>
        <w:t> </w:t>
      </w:r>
      <w:r>
        <w:rPr>
          <w:spacing w:val="-55"/>
        </w:rPr>
      </w:r>
      <w:r>
        <w:rPr>
          <w:spacing w:val="-1"/>
        </w:rPr>
        <w:t>价款中包含的已到付息期但尚未领取的债券利息或已宣告但尚未发放的现金股利，应单独确认为</w:t>
      </w:r>
      <w:r>
        <w:rPr>
          <w:spacing w:val="-55"/>
        </w:rPr>
        <w:t> </w:t>
      </w:r>
      <w:r>
        <w:rPr>
          <w:spacing w:val="-55"/>
        </w:rPr>
      </w:r>
      <w:r>
        <w:rPr/>
        <w:t>应收项目。</w:t>
      </w:r>
      <w:r>
        <w:rPr>
          <w:spacing w:val="-102"/>
        </w:rPr>
        <w:t> </w:t>
      </w:r>
      <w:r>
        <w:rPr>
          <w:spacing w:val="-102"/>
        </w:rPr>
      </w:r>
      <w:r>
        <w:rPr>
          <w:spacing w:val="-1"/>
        </w:rPr>
        <w:t>可供出售金融资产持有期间取得的利息或现金股利，应当计入投资收益。资产负债表日，可供出</w:t>
      </w:r>
      <w:r>
        <w:rPr>
          <w:spacing w:val="-55"/>
        </w:rPr>
        <w:t> </w:t>
      </w:r>
      <w:r>
        <w:rPr>
          <w:spacing w:val="-55"/>
        </w:rPr>
      </w:r>
      <w:r>
        <w:rPr/>
        <w:t>售金融资产应当以公允价值计量，且公允价值变动计入资本公积</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w:t>
      </w:r>
      <w:r>
        <w:rPr>
          <w:w w:val="100"/>
        </w:rPr>
        <w:t> </w:t>
      </w:r>
      <w:r>
        <w:rPr>
          <w:spacing w:val="-1"/>
        </w:rPr>
        <w:t>处置可供出售金融资产时，应将取得的价款与该金融资产账面价值之间的差额，计入投资损益；</w:t>
      </w:r>
      <w:r>
        <w:rPr>
          <w:spacing w:val="-55"/>
        </w:rPr>
        <w:t> </w:t>
      </w:r>
      <w:r>
        <w:rPr>
          <w:spacing w:val="-55"/>
        </w:rPr>
      </w:r>
      <w:r>
        <w:rPr>
          <w:spacing w:val="-6"/>
          <w:w w:val="100"/>
        </w:rPr>
        <w:t>同时，将原直接计入所有者权益的公允价值变动累计额对应处置部分的金额转出，计入投资损益。</w:t>
      </w:r>
    </w:p>
    <w:p>
      <w:pPr>
        <w:spacing w:line="240" w:lineRule="auto" w:before="6"/>
        <w:rPr>
          <w:rFonts w:ascii="宋体" w:hAnsi="宋体" w:cs="宋体" w:eastAsia="宋体" w:hint="default"/>
          <w:sz w:val="18"/>
          <w:szCs w:val="18"/>
        </w:rPr>
      </w:pPr>
    </w:p>
    <w:p>
      <w:pPr>
        <w:pStyle w:val="BodyText"/>
        <w:spacing w:line="237" w:lineRule="auto"/>
        <w:ind w:left="138" w:right="100"/>
        <w:jc w:val="left"/>
      </w:pPr>
      <w:r>
        <w:rPr/>
        <w:t>⑦其他金融负债</w:t>
      </w:r>
      <w:r>
        <w:rPr>
          <w:spacing w:val="-103"/>
        </w:rPr>
        <w:t> </w:t>
      </w:r>
      <w:r>
        <w:rPr>
          <w:spacing w:val="-103"/>
        </w:rPr>
      </w:r>
      <w:r>
        <w:rPr>
          <w:spacing w:val="-1"/>
        </w:rPr>
        <w:t>其他金融负债是指除以公允价值计量且其变动计入当期损益的金融负债以外的金融负债。通常情</w:t>
      </w:r>
      <w:r>
        <w:rPr>
          <w:spacing w:val="-55"/>
        </w:rPr>
        <w:t> </w:t>
      </w:r>
      <w:r>
        <w:rPr>
          <w:spacing w:val="-55"/>
        </w:rPr>
      </w:r>
      <w:r>
        <w:rPr>
          <w:spacing w:val="-7"/>
        </w:rPr>
        <w:t>况下，公司发行的债券、因购买商品产生的应付账款、长期应付款等，应当划分为其他金融负债。</w:t>
      </w:r>
      <w:r>
        <w:rPr>
          <w:spacing w:val="-13"/>
        </w:rPr>
        <w:t> </w:t>
      </w:r>
      <w:r>
        <w:rPr>
          <w:spacing w:val="-13"/>
        </w:rPr>
      </w:r>
      <w:r>
        <w:rPr>
          <w:spacing w:val="-1"/>
        </w:rPr>
        <w:t>其他金融负债应当按其公允价值和相关交易费用之和作为初始确认金额。其他金融负债通常采用</w:t>
      </w:r>
      <w:r>
        <w:rPr>
          <w:spacing w:val="-55"/>
        </w:rPr>
        <w:t> </w:t>
      </w:r>
      <w:r>
        <w:rPr>
          <w:spacing w:val="-55"/>
        </w:rPr>
      </w:r>
      <w:r>
        <w:rPr/>
        <w:t>摊余成本进行后续计量。</w:t>
      </w:r>
    </w:p>
    <w:p>
      <w:pPr>
        <w:spacing w:line="240" w:lineRule="auto" w:before="9"/>
        <w:rPr>
          <w:rFonts w:ascii="宋体" w:hAnsi="宋体" w:cs="宋体" w:eastAsia="宋体" w:hint="default"/>
          <w:sz w:val="18"/>
          <w:szCs w:val="18"/>
        </w:rPr>
      </w:pPr>
    </w:p>
    <w:p>
      <w:pPr>
        <w:pStyle w:val="BodyText"/>
        <w:spacing w:line="235" w:lineRule="auto"/>
        <w:ind w:left="138" w:right="10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金融资产转移的确认依据和计量方法</w:t>
      </w:r>
      <w:r>
        <w:rPr>
          <w:w w:val="100"/>
        </w:rPr>
        <w:t> </w:t>
      </w:r>
      <w:r>
        <w:rPr/>
        <w:t>公司已将金融资产所有权上几乎所有的风险和报酬转移给转入方的，终止确认该金融资产；保留</w:t>
      </w:r>
      <w:r>
        <w:rPr>
          <w:spacing w:val="-97"/>
        </w:rPr>
        <w:t> </w:t>
      </w:r>
      <w:r>
        <w:rPr>
          <w:spacing w:val="-97"/>
        </w:rPr>
      </w:r>
      <w:r>
        <w:rPr/>
        <w:t>了金融资产所有权上几乎所有的风险和报酬的，不终止确认该金融资产。终止确认，是指将金融</w:t>
      </w:r>
      <w:r>
        <w:rPr>
          <w:spacing w:val="-97"/>
        </w:rPr>
        <w:t> </w:t>
      </w:r>
      <w:r>
        <w:rPr>
          <w:spacing w:val="-97"/>
        </w:rPr>
      </w:r>
      <w:r>
        <w:rPr>
          <w:spacing w:val="-4"/>
          <w:w w:val="100"/>
        </w:rPr>
        <w:t>资产或金融负债从公司的账户和资产负债表内予以转销。金融资产整体转移满足终止确认条件的，</w:t>
      </w:r>
      <w:r>
        <w:rPr>
          <w:spacing w:val="-87"/>
          <w:w w:val="100"/>
        </w:rPr>
        <w:t> </w:t>
      </w:r>
      <w:r>
        <w:rPr>
          <w:spacing w:val="-87"/>
          <w:w w:val="100"/>
        </w:rPr>
      </w:r>
      <w:r>
        <w:rPr/>
        <w:t>应当将下列两项金额的差额计入当期损益：</w:t>
      </w:r>
    </w:p>
    <w:p>
      <w:pPr>
        <w:pStyle w:val="BodyText"/>
        <w:spacing w:line="271" w:lineRule="exact"/>
        <w:ind w:left="138" w:right="100"/>
        <w:jc w:val="left"/>
      </w:pPr>
      <w:r>
        <w:rPr/>
        <w:t>①所转移金融资产的账面价值；</w:t>
      </w:r>
    </w:p>
    <w:p>
      <w:pPr>
        <w:pStyle w:val="BodyText"/>
        <w:spacing w:line="272" w:lineRule="exact" w:before="27"/>
        <w:ind w:left="138" w:right="100"/>
        <w:jc w:val="left"/>
      </w:pPr>
      <w:r>
        <w:rPr>
          <w:spacing w:val="-3"/>
        </w:rPr>
        <w:t>②因转移而收到的对价，与原直接计入所有者权益的公允价值变动累计额</w:t>
      </w:r>
      <w:r>
        <w:rPr>
          <w:rFonts w:ascii="Times New Roman" w:hAnsi="Times New Roman" w:cs="Times New Roman" w:eastAsia="Times New Roman" w:hint="default"/>
          <w:spacing w:val="-3"/>
        </w:rPr>
        <w:t>(</w:t>
      </w:r>
      <w:r>
        <w:rPr>
          <w:spacing w:val="-3"/>
        </w:rPr>
        <w:t>涉及转移的金融资产为</w:t>
      </w:r>
      <w:r>
        <w:rPr>
          <w:spacing w:val="-41"/>
        </w:rPr>
        <w:t> </w:t>
      </w:r>
      <w:r>
        <w:rPr>
          <w:spacing w:val="-41"/>
        </w:rPr>
      </w:r>
      <w:r>
        <w:rPr/>
        <w:t>可供出售金融资产的情形</w:t>
      </w:r>
      <w:r>
        <w:rPr>
          <w:rFonts w:ascii="Times New Roman" w:hAnsi="Times New Roman" w:cs="Times New Roman" w:eastAsia="Times New Roman" w:hint="default"/>
        </w:rPr>
        <w:t>)</w:t>
      </w:r>
      <w:r>
        <w:rPr/>
        <w:t>之和。</w:t>
      </w:r>
    </w:p>
    <w:p>
      <w:pPr>
        <w:spacing w:line="240" w:lineRule="auto" w:before="1"/>
        <w:rPr>
          <w:rFonts w:ascii="宋体" w:hAnsi="宋体" w:cs="宋体" w:eastAsia="宋体" w:hint="default"/>
          <w:sz w:val="17"/>
          <w:szCs w:val="17"/>
        </w:rPr>
      </w:pPr>
    </w:p>
    <w:p>
      <w:pPr>
        <w:pStyle w:val="BodyText"/>
        <w:spacing w:line="230" w:lineRule="auto"/>
        <w:ind w:left="138" w:right="100"/>
        <w:jc w:val="left"/>
      </w:pPr>
      <w:r>
        <w:rPr/>
        <w:t>金融资产部分转移满足终止确认条件的，将所转移金融资产整体的账面价值，在终止确认部分和</w:t>
      </w:r>
      <w:r>
        <w:rPr>
          <w:spacing w:val="-97"/>
        </w:rPr>
        <w:t> </w:t>
      </w:r>
      <w:r>
        <w:rPr>
          <w:spacing w:val="-97"/>
        </w:rPr>
      </w:r>
      <w:r>
        <w:rPr>
          <w:spacing w:val="-2"/>
        </w:rPr>
        <w:t>未终止确认部分</w:t>
      </w:r>
      <w:r>
        <w:rPr>
          <w:rFonts w:ascii="Times New Roman" w:hAnsi="Times New Roman" w:cs="Times New Roman" w:eastAsia="Times New Roman" w:hint="default"/>
          <w:spacing w:val="-2"/>
        </w:rPr>
        <w:t>(</w:t>
      </w:r>
      <w:r>
        <w:rPr>
          <w:spacing w:val="-2"/>
        </w:rPr>
        <w:t>在此种情况下，所保留的服务资产应当视同未终止确认金融资产的一部分</w:t>
      </w:r>
      <w:r>
        <w:rPr>
          <w:rFonts w:ascii="Times New Roman" w:hAnsi="Times New Roman" w:cs="Times New Roman" w:eastAsia="Times New Roman" w:hint="default"/>
          <w:spacing w:val="-2"/>
        </w:rPr>
        <w:t>)</w:t>
      </w:r>
      <w:r>
        <w:rPr>
          <w:spacing w:val="-2"/>
        </w:rPr>
        <w:t>之间，</w:t>
      </w:r>
      <w:r>
        <w:rPr>
          <w:spacing w:val="-48"/>
        </w:rPr>
        <w:t> </w:t>
      </w:r>
      <w:r>
        <w:rPr>
          <w:spacing w:val="-48"/>
        </w:rPr>
      </w:r>
      <w:r>
        <w:rPr/>
        <w:t>按照各自的相对公允价值进行分摊，并将下列两项金额的差额计入当期损益：</w:t>
      </w:r>
    </w:p>
    <w:p>
      <w:pPr>
        <w:pStyle w:val="BodyText"/>
        <w:spacing w:line="281" w:lineRule="exact"/>
        <w:ind w:left="138" w:right="10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终止确认部分的账面价值；</w:t>
      </w:r>
    </w:p>
    <w:p>
      <w:pPr>
        <w:pStyle w:val="BodyText"/>
        <w:spacing w:line="281" w:lineRule="exact"/>
        <w:ind w:left="138" w:right="10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5"/>
        </w:rPr>
        <w:t> </w:t>
      </w:r>
      <w:r>
        <w:rPr>
          <w:spacing w:val="-3"/>
        </w:rPr>
        <w:t>终止确认部分的对价，与原直接计入所有者权益的公允价值变动累计额中对应终止确认部分的</w:t>
      </w:r>
    </w:p>
    <w:p>
      <w:pPr>
        <w:spacing w:after="0" w:line="281" w:lineRule="exact"/>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30" w:lineRule="auto" w:before="46"/>
        <w:ind w:right="227"/>
        <w:jc w:val="left"/>
      </w:pPr>
      <w:r>
        <w:rPr/>
        <w:t>金额</w:t>
      </w:r>
      <w:r>
        <w:rPr>
          <w:rFonts w:ascii="Times New Roman" w:hAnsi="Times New Roman" w:cs="Times New Roman" w:eastAsia="Times New Roman" w:hint="default"/>
        </w:rPr>
        <w:t>(</w:t>
      </w:r>
      <w:r>
        <w:rPr/>
        <w:t>涉及转移的金融资产为可供出售金融资产的情形</w:t>
      </w:r>
      <w:r>
        <w:rPr>
          <w:rFonts w:ascii="Times New Roman" w:hAnsi="Times New Roman" w:cs="Times New Roman" w:eastAsia="Times New Roman" w:hint="default"/>
        </w:rPr>
        <w:t>)</w:t>
      </w:r>
      <w:r>
        <w:rPr/>
        <w:t>之和。</w:t>
      </w:r>
      <w:r>
        <w:rPr>
          <w:w w:val="100"/>
        </w:rPr>
        <w:t> </w:t>
      </w:r>
      <w:r>
        <w:rPr>
          <w:spacing w:val="-1"/>
        </w:rPr>
        <w:t>公司仍保留与所转移金融资产所有权上几乎所有的风险和报酬的，则继续确认所转移金融资产整</w:t>
      </w:r>
      <w:r>
        <w:rPr>
          <w:spacing w:val="-55"/>
        </w:rPr>
        <w:t> </w:t>
      </w:r>
      <w:r>
        <w:rPr>
          <w:spacing w:val="-55"/>
        </w:rPr>
      </w:r>
      <w:r>
        <w:rPr/>
        <w:t>体，并将收到的对价确认为一项金融负债。</w:t>
      </w:r>
    </w:p>
    <w:p>
      <w:pPr>
        <w:spacing w:line="240" w:lineRule="auto" w:before="4"/>
        <w:rPr>
          <w:rFonts w:ascii="宋体" w:hAnsi="宋体" w:cs="宋体" w:eastAsia="宋体" w:hint="default"/>
          <w:sz w:val="20"/>
          <w:szCs w:val="20"/>
        </w:rPr>
      </w:pPr>
    </w:p>
    <w:p>
      <w:pPr>
        <w:pStyle w:val="BodyText"/>
        <w:spacing w:line="274" w:lineRule="exact"/>
        <w:ind w:right="22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金融负债终止确认条件</w:t>
      </w:r>
      <w:r>
        <w:rPr>
          <w:w w:val="100"/>
        </w:rPr>
        <w:t> </w:t>
      </w:r>
      <w:r>
        <w:rPr>
          <w:spacing w:val="-2"/>
        </w:rPr>
        <w:t>金融负债的现时义务全部或部分已经解除的，则应终止确认该金融负债或其一部分。</w:t>
      </w:r>
    </w:p>
    <w:p>
      <w:pPr>
        <w:spacing w:line="240" w:lineRule="auto" w:before="9"/>
        <w:rPr>
          <w:rFonts w:ascii="宋体" w:hAnsi="宋体" w:cs="宋体" w:eastAsia="宋体" w:hint="default"/>
          <w:sz w:val="16"/>
          <w:szCs w:val="16"/>
        </w:rPr>
      </w:pPr>
    </w:p>
    <w:p>
      <w:pPr>
        <w:pStyle w:val="BodyText"/>
        <w:spacing w:line="235" w:lineRule="auto"/>
        <w:ind w:right="65"/>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1"/>
        </w:rPr>
        <w:t> </w:t>
      </w:r>
      <w:r>
        <w:rPr/>
        <w:t>金融资产和金融负债的公允价值确定方法</w:t>
      </w:r>
      <w:r>
        <w:rPr>
          <w:w w:val="100"/>
        </w:rPr>
        <w:t> </w:t>
      </w:r>
      <w:r>
        <w:rPr/>
        <w:t>公允价值，是指市场参与者在计量日发生的有序交易中，出售一项资产所能收到或者转移一项负</w:t>
      </w:r>
      <w:r>
        <w:rPr>
          <w:spacing w:val="-97"/>
        </w:rPr>
        <w:t> </w:t>
      </w:r>
      <w:r>
        <w:rPr>
          <w:spacing w:val="-97"/>
        </w:rPr>
      </w:r>
      <w:r>
        <w:rPr/>
        <w:t>债所需支付的价格。公司将公允价值计量所使用的输入值划分为三个层次，并首先使用第一层次</w:t>
      </w:r>
      <w:r>
        <w:rPr>
          <w:spacing w:val="-97"/>
        </w:rPr>
        <w:t> </w:t>
      </w:r>
      <w:r>
        <w:rPr>
          <w:spacing w:val="-97"/>
        </w:rPr>
      </w:r>
      <w:r>
        <w:rPr/>
        <w:t>输入值，其次使用第二层次输入值，最后使用第三层次输入值。</w:t>
      </w:r>
      <w:r>
        <w:rPr>
          <w:w w:val="100"/>
        </w:rPr>
        <w:t> </w:t>
      </w:r>
      <w:r>
        <w:rPr>
          <w:spacing w:val="-4"/>
          <w:w w:val="100"/>
        </w:rPr>
        <w:t>第一层次输入值是在计量日能够取得的相同资产或负债在活跃市场上未经调整的报价。活跃市场，</w:t>
      </w:r>
      <w:r>
        <w:rPr>
          <w:spacing w:val="-86"/>
          <w:w w:val="100"/>
        </w:rPr>
        <w:t> </w:t>
      </w:r>
      <w:r>
        <w:rPr>
          <w:spacing w:val="-86"/>
          <w:w w:val="100"/>
        </w:rPr>
      </w:r>
      <w:r>
        <w:rPr/>
        <w:t>是指相关资产或负债的交易量和交易频率足以持续提供定价信息的市场。</w:t>
      </w:r>
      <w:r>
        <w:rPr>
          <w:w w:val="100"/>
        </w:rPr>
        <w:t> </w:t>
      </w:r>
      <w:r>
        <w:rPr/>
        <w:t>第二层次输入值是除第一层次输入值外相关资产或负债直接或间接可观察的输入值。</w:t>
      </w:r>
      <w:r>
        <w:rPr>
          <w:w w:val="100"/>
        </w:rPr>
        <w:t> </w:t>
      </w:r>
      <w:r>
        <w:rPr/>
        <w:t>第三层次输入值是相关资产或负债的不可观察输入值。</w:t>
      </w:r>
    </w:p>
    <w:p>
      <w:pPr>
        <w:spacing w:line="240" w:lineRule="auto" w:before="4"/>
        <w:rPr>
          <w:rFonts w:ascii="宋体" w:hAnsi="宋体" w:cs="宋体" w:eastAsia="宋体" w:hint="default"/>
          <w:sz w:val="18"/>
          <w:szCs w:val="18"/>
        </w:rPr>
      </w:pPr>
    </w:p>
    <w:p>
      <w:pPr>
        <w:pStyle w:val="BodyText"/>
        <w:spacing w:line="282" w:lineRule="exact"/>
        <w:ind w:right="2465"/>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6"/>
        </w:rPr>
        <w:t> </w:t>
      </w:r>
      <w:r>
        <w:rPr/>
        <w:t>金融资产</w:t>
      </w:r>
      <w:r>
        <w:rPr>
          <w:rFonts w:ascii="Times New Roman" w:hAnsi="Times New Roman" w:cs="Times New Roman" w:eastAsia="Times New Roman" w:hint="default"/>
        </w:rPr>
        <w:t>(</w:t>
      </w:r>
      <w:r>
        <w:rPr/>
        <w:t>此处不含应收款项</w:t>
      </w:r>
      <w:r>
        <w:rPr>
          <w:rFonts w:ascii="Times New Roman" w:hAnsi="Times New Roman" w:cs="Times New Roman" w:eastAsia="Times New Roman" w:hint="default"/>
        </w:rPr>
        <w:t>)</w:t>
      </w:r>
      <w:r>
        <w:rPr/>
        <w:t>减值测试方法、减值准备计提方法</w:t>
      </w:r>
    </w:p>
    <w:p>
      <w:pPr>
        <w:pStyle w:val="BodyText"/>
        <w:spacing w:line="272" w:lineRule="exact" w:before="19"/>
        <w:ind w:right="227"/>
        <w:jc w:val="left"/>
      </w:pPr>
      <w:r>
        <w:rPr>
          <w:spacing w:val="-2"/>
        </w:rPr>
        <w:t>①对于持有至到期投资和贷款，有客观证据表明其发生了减值的，应当根据其账面价值与预计</w:t>
      </w:r>
      <w:r>
        <w:rPr>
          <w:spacing w:val="-28"/>
        </w:rPr>
        <w:t> </w:t>
      </w:r>
      <w:r>
        <w:rPr>
          <w:spacing w:val="-28"/>
        </w:rPr>
      </w:r>
      <w:r>
        <w:rPr/>
        <w:t>未来现金流量现值之间的差额计算确认减值损失。</w:t>
      </w:r>
    </w:p>
    <w:p>
      <w:pPr>
        <w:pStyle w:val="BodyText"/>
        <w:spacing w:line="272" w:lineRule="exact" w:before="1"/>
        <w:ind w:right="227"/>
        <w:jc w:val="left"/>
      </w:pPr>
      <w:r>
        <w:rPr/>
        <w:t>②通常情况下，如果可供出售金融资产的公允价值发生较大幅度下降，或在综合考虑各种相关</w:t>
      </w:r>
      <w:r>
        <w:rPr>
          <w:w w:val="100"/>
        </w:rPr>
        <w:t> </w:t>
      </w:r>
      <w:r>
        <w:rPr>
          <w:spacing w:val="-1"/>
        </w:rPr>
        <w:t>因素后，预期这种下降趋势属于非暂时性的，可以认定该可供出售金融资产已发生减值，应当确</w:t>
      </w:r>
    </w:p>
    <w:p>
      <w:pPr>
        <w:pStyle w:val="BodyText"/>
        <w:spacing w:line="272" w:lineRule="exact" w:before="1"/>
        <w:ind w:right="227"/>
        <w:jc w:val="left"/>
      </w:pPr>
      <w:r>
        <w:rPr>
          <w:spacing w:val="-1"/>
        </w:rPr>
        <w:t>认减值损失。可供出售金融资产发生减值的，在确认减值损失时，将原直接计入所有者权益的公</w:t>
      </w:r>
      <w:r>
        <w:rPr>
          <w:spacing w:val="-55"/>
        </w:rPr>
        <w:t> </w:t>
      </w:r>
      <w:r>
        <w:rPr>
          <w:spacing w:val="-55"/>
        </w:rPr>
      </w:r>
      <w:r>
        <w:rPr/>
        <w:t>允价值下降形成的累计损失一并转出，计入减值损失。</w:t>
      </w:r>
    </w:p>
    <w:p>
      <w:pPr>
        <w:spacing w:line="240" w:lineRule="auto" w:before="5"/>
        <w:rPr>
          <w:rFonts w:ascii="宋体" w:hAnsi="宋体" w:cs="宋体" w:eastAsia="宋体" w:hint="default"/>
          <w:sz w:val="18"/>
          <w:szCs w:val="18"/>
        </w:rPr>
      </w:pPr>
    </w:p>
    <w:p>
      <w:pPr>
        <w:pStyle w:val="BodyText"/>
        <w:spacing w:line="274" w:lineRule="exact"/>
        <w:ind w:right="305"/>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46"/>
        </w:rPr>
        <w:t> </w:t>
      </w:r>
      <w:r>
        <w:rPr/>
        <w:t>本期内将尚未到期的持有至到期投资重分类为可供出售金融资产的，说明持有意图或能力发</w:t>
      </w:r>
      <w:r>
        <w:rPr>
          <w:w w:val="100"/>
        </w:rPr>
        <w:t> </w:t>
      </w:r>
      <w:r>
        <w:rPr/>
        <w:t>生改变的依据。</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2"/>
        <w:spacing w:line="290" w:lineRule="auto"/>
        <w:ind w:right="4408"/>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4"/>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55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占应收款项余额</w:t>
            </w:r>
            <w:r>
              <w:rPr>
                <w:rFonts w:ascii="宋体" w:hAnsi="宋体" w:cs="宋体" w:eastAsia="宋体" w:hint="default"/>
                <w:spacing w:val="54"/>
                <w:sz w:val="21"/>
                <w:szCs w:val="21"/>
              </w:rPr>
              <w:t> </w:t>
            </w:r>
            <w:r>
              <w:rPr>
                <w:rFonts w:ascii="Times New Roman" w:hAnsi="Times New Roman" w:cs="Times New Roman" w:eastAsia="Times New Roman" w:hint="default"/>
                <w:spacing w:val="6"/>
                <w:sz w:val="21"/>
                <w:szCs w:val="21"/>
              </w:rPr>
              <w:t>10%</w:t>
            </w:r>
            <w:r>
              <w:rPr>
                <w:rFonts w:ascii="宋体" w:hAnsi="宋体" w:cs="宋体" w:eastAsia="宋体" w:hint="default"/>
                <w:spacing w:val="6"/>
                <w:sz w:val="21"/>
                <w:szCs w:val="21"/>
              </w:rPr>
              <w:t>以上或期末前五名的款</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r>
          </w:p>
        </w:tc>
      </w:tr>
      <w:tr>
        <w:trPr>
          <w:trHeight w:val="1100"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单独进行减值测试，按预计未来现金流量现值</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z w:val="21"/>
                <w:szCs w:val="21"/>
              </w:rPr>
              <w:t>低于其账面价值的差额计提坏账准备，计入当</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期损益。单独测试未发生减值的应收款项，按</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组合计提坏账准备。</w:t>
            </w:r>
          </w:p>
        </w:tc>
      </w:tr>
    </w:tbl>
    <w:p>
      <w:pPr>
        <w:spacing w:line="240" w:lineRule="auto" w:before="11"/>
        <w:rPr>
          <w:rFonts w:ascii="宋体" w:hAnsi="宋体" w:cs="宋体" w:eastAsia="宋体" w:hint="default"/>
          <w:sz w:val="18"/>
          <w:szCs w:val="18"/>
        </w:rPr>
      </w:pPr>
    </w:p>
    <w:p>
      <w:pPr>
        <w:pStyle w:val="Heading2"/>
        <w:spacing w:line="240" w:lineRule="auto" w:before="36"/>
        <w:ind w:right="2465"/>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6"/>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1370"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除已单独计提减值准备的应收款项外，公司根</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据以前年度与之相同或相类似的、按账龄段划</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分的具有类似信用风险特征的应收款项组合的</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实际损失率为基础，结合现时情况分析法确定</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坏账准备计提的比例。</w:t>
            </w:r>
          </w:p>
        </w:tc>
      </w:tr>
      <w:tr>
        <w:trPr>
          <w:trHeight w:val="828"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期末对投标保证金单独进行减值测试，除非有</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z w:val="21"/>
                <w:szCs w:val="21"/>
              </w:rPr>
              <w:t>证据表明存在无法收回部分或全部款项的，通</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常不计提坏账准备。</w:t>
            </w:r>
          </w:p>
        </w:tc>
      </w:tr>
    </w:tbl>
    <w:p>
      <w:pPr>
        <w:spacing w:after="0" w:line="272" w:lineRule="exact"/>
        <w:jc w:val="left"/>
        <w:rPr>
          <w:rFonts w:ascii="宋体" w:hAnsi="宋体" w:cs="宋体" w:eastAsia="宋体" w:hint="default"/>
          <w:sz w:val="21"/>
          <w:szCs w:val="21"/>
        </w:rPr>
        <w:sectPr>
          <w:footerReference w:type="default" r:id="rId52"/>
          <w:pgSz w:w="11910" w:h="16840"/>
          <w:pgMar w:footer="1195" w:header="882"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right="2465"/>
        <w:jc w:val="left"/>
      </w:pPr>
      <w:r>
        <w:rPr/>
        <w:t>组合中，采用账龄分析法计提坏账准备的</w:t>
      </w:r>
    </w:p>
    <w:p>
      <w:pPr>
        <w:pStyle w:val="BodyText"/>
        <w:spacing w:line="290" w:lineRule="exact"/>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8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7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3</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50</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80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100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3"/>
        <w:rPr>
          <w:rFonts w:ascii="宋体" w:hAnsi="宋体" w:cs="宋体" w:eastAsia="宋体" w:hint="default"/>
          <w:sz w:val="14"/>
          <w:szCs w:val="14"/>
        </w:rPr>
      </w:pPr>
    </w:p>
    <w:p>
      <w:pPr>
        <w:pStyle w:val="BodyText"/>
        <w:spacing w:line="273" w:lineRule="exact" w:before="36"/>
        <w:ind w:right="2465"/>
        <w:jc w:val="left"/>
      </w:pPr>
      <w:r>
        <w:rPr/>
        <w:t>组合中，采用余额百分比法计提坏账准备的</w:t>
      </w:r>
    </w:p>
    <w:p>
      <w:pPr>
        <w:pStyle w:val="BodyText"/>
        <w:spacing w:line="274" w:lineRule="exact" w:before="24"/>
        <w:ind w:right="5269"/>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spacing w:val="-2"/>
        </w:rPr>
        <w:t>组合中，采用其他方法计提坏账准备的</w:t>
      </w:r>
    </w:p>
    <w:p>
      <w:pPr>
        <w:pStyle w:val="BodyText"/>
        <w:spacing w:line="262" w:lineRule="exact"/>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094"/>
        <w:gridCol w:w="3005"/>
        <w:gridCol w:w="2950"/>
      </w:tblGrid>
      <w:tr>
        <w:trPr>
          <w:trHeight w:val="281"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6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283"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19"/>
          <w:szCs w:val="19"/>
        </w:rPr>
      </w:pPr>
    </w:p>
    <w:p>
      <w:pPr>
        <w:pStyle w:val="Heading2"/>
        <w:spacing w:line="240" w:lineRule="auto" w:before="36"/>
        <w:ind w:right="2465"/>
        <w:jc w:val="left"/>
        <w:rPr>
          <w:b w:val="0"/>
          <w:bCs w:val="0"/>
        </w:rPr>
      </w:pPr>
      <w:r>
        <w:rPr>
          <w:rFonts w:ascii="宋体" w:hAnsi="宋体" w:cs="宋体" w:eastAsia="宋体" w:hint="default"/>
        </w:rPr>
        <w:t>(3).</w:t>
      </w:r>
      <w:r>
        <w:rPr/>
        <w:t>单项金额不重大但单独计提坏账准备的应收款项：</w:t>
      </w:r>
      <w:r>
        <w:rPr>
          <w:b w:val="0"/>
          <w:bCs w:val="0"/>
        </w:rPr>
      </w:r>
    </w:p>
    <w:p>
      <w:pPr>
        <w:pStyle w:val="BodyText"/>
        <w:spacing w:line="240" w:lineRule="auto" w:before="56"/>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281"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有确凿证据表明可收回性存在明显差异。</w:t>
            </w:r>
          </w:p>
        </w:tc>
      </w:tr>
      <w:tr>
        <w:trPr>
          <w:trHeight w:val="828"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按预计未来现金流量现值低于其账面价值的差额</w:t>
            </w:r>
          </w:p>
          <w:p>
            <w:pPr>
              <w:pStyle w:val="TableParagraph"/>
              <w:spacing w:line="272" w:lineRule="exact" w:before="27"/>
              <w:ind w:left="100" w:right="104"/>
              <w:jc w:val="left"/>
              <w:rPr>
                <w:rFonts w:ascii="宋体" w:hAnsi="宋体" w:cs="宋体" w:eastAsia="宋体" w:hint="default"/>
                <w:sz w:val="21"/>
                <w:szCs w:val="21"/>
              </w:rPr>
            </w:pPr>
            <w:r>
              <w:rPr>
                <w:rFonts w:ascii="宋体" w:hAnsi="宋体" w:cs="宋体" w:eastAsia="宋体" w:hint="default"/>
                <w:spacing w:val="2"/>
                <w:sz w:val="21"/>
                <w:szCs w:val="21"/>
              </w:rPr>
              <w:t>计提坏账准备，计入当期损益。单独测试未发生</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减值的应收款项，按组合计提坏账准备。</w:t>
            </w:r>
          </w:p>
        </w:tc>
      </w:tr>
    </w:tbl>
    <w:p>
      <w:pPr>
        <w:spacing w:line="240" w:lineRule="auto" w:before="1"/>
        <w:rPr>
          <w:rFonts w:ascii="宋体" w:hAnsi="宋体" w:cs="宋体" w:eastAsia="宋体" w:hint="default"/>
          <w:sz w:val="19"/>
          <w:szCs w:val="19"/>
        </w:rPr>
      </w:pPr>
    </w:p>
    <w:p>
      <w:pPr>
        <w:pStyle w:val="Heading2"/>
        <w:spacing w:line="240" w:lineRule="auto" w:before="36"/>
        <w:ind w:right="2465"/>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spacing w:line="274" w:lineRule="exact" w:before="82"/>
        <w:ind w:right="769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rFonts w:ascii="Times New Roman" w:hAnsi="Times New Roman" w:cs="Times New Roman" w:eastAsia="Times New Roman" w:hint="default"/>
          <w:spacing w:val="-1"/>
        </w:rPr>
        <w:t>1</w:t>
      </w:r>
      <w:r>
        <w:rPr>
          <w:spacing w:val="-1"/>
        </w:rPr>
        <w:t>、存货的分类</w:t>
      </w:r>
    </w:p>
    <w:p>
      <w:pPr>
        <w:pStyle w:val="BodyText"/>
        <w:spacing w:line="245" w:lineRule="exact"/>
        <w:ind w:right="2465"/>
        <w:jc w:val="left"/>
      </w:pPr>
      <w:r>
        <w:rPr/>
        <w:t>存货分类为：原材料、库存商品、发出商品、低值易耗品和包装物等。</w:t>
      </w:r>
    </w:p>
    <w:p>
      <w:pPr>
        <w:pStyle w:val="BodyText"/>
        <w:spacing w:line="272" w:lineRule="exact" w:before="27"/>
        <w:ind w:right="2465"/>
        <w:jc w:val="left"/>
      </w:pPr>
      <w:r>
        <w:rPr>
          <w:rFonts w:ascii="Times New Roman" w:hAnsi="Times New Roman" w:cs="Times New Roman" w:eastAsia="Times New Roman" w:hint="default"/>
        </w:rPr>
        <w:t>2</w:t>
      </w:r>
      <w:r>
        <w:rPr/>
        <w:t>、发出存货的计价方法</w:t>
      </w:r>
      <w:r>
        <w:rPr>
          <w:w w:val="100"/>
        </w:rPr>
        <w:t> </w:t>
      </w:r>
      <w:r>
        <w:rPr>
          <w:spacing w:val="-2"/>
        </w:rPr>
        <w:t>日常核算取得时按实际成本计价；发出时按加权平均法计价。</w:t>
      </w:r>
      <w:r>
        <w:rPr>
          <w:spacing w:val="-52"/>
        </w:rPr>
        <w:t> </w:t>
      </w:r>
      <w:r>
        <w:rPr>
          <w:spacing w:val="-52"/>
        </w:rPr>
      </w:r>
      <w:r>
        <w:rPr>
          <w:rFonts w:ascii="Times New Roman" w:hAnsi="Times New Roman" w:cs="Times New Roman" w:eastAsia="Times New Roman" w:hint="default"/>
        </w:rPr>
        <w:t>3</w:t>
      </w:r>
      <w:r>
        <w:rPr/>
        <w:t>、存货可变现净值的确定依据及存货跌价准备的计提方法</w:t>
      </w:r>
    </w:p>
    <w:p>
      <w:pPr>
        <w:pStyle w:val="BodyText"/>
        <w:spacing w:line="272" w:lineRule="exact" w:before="1"/>
        <w:ind w:right="227"/>
        <w:jc w:val="left"/>
      </w:pPr>
      <w:r>
        <w:rPr/>
        <w:t>期末对存货进行全面清查后，按存货的成本与可变现净值孰低提取或调整存货跌价准备。</w:t>
      </w:r>
      <w:r>
        <w:rPr>
          <w:w w:val="100"/>
        </w:rPr>
        <w:t> </w:t>
      </w:r>
      <w:r>
        <w:rPr>
          <w:spacing w:val="-1"/>
        </w:rPr>
        <w:t>产成品、库存商品和用于出售的材料等直接用于出售的商品存货，在正常生产经营过程中，以该</w:t>
      </w:r>
    </w:p>
    <w:p>
      <w:pPr>
        <w:pStyle w:val="BodyText"/>
        <w:spacing w:line="272" w:lineRule="exact" w:before="1"/>
        <w:ind w:right="227"/>
        <w:jc w:val="left"/>
      </w:pPr>
      <w:r>
        <w:rPr>
          <w:spacing w:val="-1"/>
        </w:rPr>
        <w:t>存货的估计售价减去估计的销售费用和相关税费后的金额，确定其可变现净值；需要经过加工的</w:t>
      </w:r>
      <w:r>
        <w:rPr>
          <w:spacing w:val="-55"/>
        </w:rPr>
        <w:t> </w:t>
      </w:r>
      <w:r>
        <w:rPr>
          <w:spacing w:val="-55"/>
        </w:rPr>
      </w:r>
      <w:r>
        <w:rPr>
          <w:spacing w:val="-1"/>
        </w:rPr>
        <w:t>材料存货，在正常生产经营过程中，以所生产的产成品的估计售价减去至完工时估计将要发生的</w:t>
      </w:r>
    </w:p>
    <w:p>
      <w:pPr>
        <w:pStyle w:val="BodyText"/>
        <w:spacing w:line="272" w:lineRule="exact" w:before="2"/>
        <w:ind w:right="227"/>
        <w:jc w:val="left"/>
      </w:pPr>
      <w:r>
        <w:rPr>
          <w:spacing w:val="-1"/>
        </w:rPr>
        <w:t>成本、估计的销售费用和相关税费后的金额，确定其可变现净值；为执行销售合同或者劳务合同</w:t>
      </w:r>
      <w:r>
        <w:rPr>
          <w:spacing w:val="-55"/>
        </w:rPr>
        <w:t> </w:t>
      </w:r>
      <w:r>
        <w:rPr>
          <w:spacing w:val="-55"/>
        </w:rPr>
      </w:r>
      <w:r>
        <w:rPr>
          <w:spacing w:val="-1"/>
        </w:rPr>
        <w:t>而持有的存货，其可变现净值以合同价格为基础计算，若持有存货的数量多于销售合同订购数量</w:t>
      </w:r>
    </w:p>
    <w:p>
      <w:pPr>
        <w:pStyle w:val="BodyText"/>
        <w:spacing w:line="272" w:lineRule="exact" w:before="1"/>
        <w:ind w:right="227"/>
        <w:jc w:val="left"/>
      </w:pPr>
      <w:r>
        <w:rPr/>
        <w:t>的，超出部分的存货的可变现净值以一般销售价格为基础计算。</w:t>
      </w:r>
      <w:r>
        <w:rPr>
          <w:w w:val="100"/>
        </w:rPr>
        <w:t> </w:t>
      </w:r>
      <w:r>
        <w:rPr>
          <w:spacing w:val="-1"/>
        </w:rPr>
        <w:t>期末按照单个存货项目计提存货跌价准备；但对于数量繁多、单价较低的存货，按照存货类别计</w:t>
      </w:r>
    </w:p>
    <w:p>
      <w:pPr>
        <w:pStyle w:val="BodyText"/>
        <w:spacing w:line="272" w:lineRule="exact" w:before="1"/>
        <w:ind w:right="227"/>
        <w:jc w:val="left"/>
      </w:pPr>
      <w:r>
        <w:rPr>
          <w:spacing w:val="-1"/>
        </w:rPr>
        <w:t>提存货跌价准备；与在同一地区生产和销售的产品系列相关、具有相同或类似最终用途或目的，</w:t>
      </w:r>
      <w:r>
        <w:rPr>
          <w:spacing w:val="-55"/>
        </w:rPr>
        <w:t> </w:t>
      </w:r>
      <w:r>
        <w:rPr>
          <w:spacing w:val="-55"/>
        </w:rPr>
      </w:r>
      <w:r>
        <w:rPr/>
        <w:t>且难以与其他项目分开计量的存货，则合并计提存货跌价准备。</w:t>
      </w:r>
    </w:p>
    <w:p>
      <w:pPr>
        <w:pStyle w:val="BodyText"/>
        <w:spacing w:line="272" w:lineRule="exact" w:before="1"/>
        <w:ind w:right="227"/>
        <w:jc w:val="left"/>
      </w:pPr>
      <w:r>
        <w:rPr>
          <w:spacing w:val="-1"/>
        </w:rPr>
        <w:t>以前减记存货价值的影响因素已经消失的，减记的金额予以恢复，并在原已计提的存货跌价准备</w:t>
      </w:r>
      <w:r>
        <w:rPr>
          <w:spacing w:val="-55"/>
        </w:rPr>
        <w:t> </w:t>
      </w:r>
      <w:r>
        <w:rPr>
          <w:spacing w:val="-55"/>
        </w:rPr>
      </w:r>
      <w:r>
        <w:rPr/>
        <w:t>金额内转回，转回的金额计入当期损益。</w:t>
      </w:r>
    </w:p>
    <w:p>
      <w:pPr>
        <w:pStyle w:val="BodyText"/>
        <w:spacing w:line="272" w:lineRule="exact" w:before="1"/>
        <w:ind w:right="6323"/>
        <w:jc w:val="left"/>
      </w:pPr>
      <w:r>
        <w:rPr>
          <w:rFonts w:ascii="Times New Roman" w:hAnsi="Times New Roman" w:cs="Times New Roman" w:eastAsia="Times New Roman" w:hint="default"/>
        </w:rPr>
        <w:t>4</w:t>
      </w:r>
      <w:r>
        <w:rPr/>
        <w:t>、存货的盘存制度</w:t>
      </w:r>
      <w:r>
        <w:rPr>
          <w:w w:val="100"/>
        </w:rPr>
        <w:t> </w:t>
      </w:r>
      <w:r>
        <w:rPr/>
        <w:t>采用永续盘存制。</w:t>
      </w:r>
    </w:p>
    <w:p>
      <w:pPr>
        <w:pStyle w:val="BodyText"/>
        <w:spacing w:line="272" w:lineRule="exact" w:before="1"/>
        <w:ind w:right="2465"/>
        <w:jc w:val="left"/>
      </w:pPr>
      <w:r>
        <w:rPr>
          <w:rFonts w:ascii="Times New Roman" w:hAnsi="Times New Roman" w:cs="Times New Roman" w:eastAsia="Times New Roman" w:hint="default"/>
        </w:rPr>
        <w:t>5</w:t>
      </w:r>
      <w:r>
        <w:rPr/>
        <w:t>、低值易耗品和包装物的摊销方法</w:t>
      </w:r>
      <w:r>
        <w:rPr>
          <w:w w:val="100"/>
        </w:rPr>
        <w:t> </w:t>
      </w:r>
      <w:r>
        <w:rPr>
          <w:spacing w:val="-2"/>
        </w:rPr>
        <w:t>低值易耗品和包装物采用一次转销法。</w:t>
      </w:r>
    </w:p>
    <w:p>
      <w:pPr>
        <w:spacing w:after="0" w:line="272" w:lineRule="exact"/>
        <w:jc w:val="left"/>
        <w:sectPr>
          <w:footerReference w:type="default" r:id="rId53"/>
          <w:pgSz w:w="11910" w:h="16840"/>
          <w:pgMar w:footer="1195" w:header="882" w:top="1120" w:bottom="1380" w:left="1580" w:right="1040"/>
          <w:pgNumType w:start="91"/>
        </w:sectPr>
      </w:pPr>
    </w:p>
    <w:p>
      <w:pPr>
        <w:spacing w:line="240" w:lineRule="auto" w:before="1"/>
        <w:rPr>
          <w:rFonts w:ascii="宋体" w:hAnsi="宋体" w:cs="宋体" w:eastAsia="宋体" w:hint="default"/>
          <w:sz w:val="25"/>
          <w:szCs w:val="25"/>
        </w:rPr>
      </w:pPr>
    </w:p>
    <w:p>
      <w:pPr>
        <w:pStyle w:val="Heading2"/>
        <w:spacing w:line="240" w:lineRule="auto" w:before="36"/>
        <w:ind w:left="138" w:right="100"/>
        <w:jc w:val="left"/>
        <w:rPr>
          <w:b w:val="0"/>
          <w:bCs w:val="0"/>
        </w:rPr>
      </w:pPr>
      <w:r>
        <w:rPr>
          <w:rFonts w:ascii="宋体" w:hAnsi="宋体" w:cs="宋体" w:eastAsia="宋体" w:hint="default"/>
        </w:rPr>
        <w:t>13.</w:t>
      </w:r>
      <w:r>
        <w:rPr>
          <w:rFonts w:ascii="宋体" w:hAnsi="宋体" w:cs="宋体" w:eastAsia="宋体" w:hint="default"/>
          <w:spacing w:val="3"/>
        </w:rPr>
        <w:t> </w:t>
      </w:r>
      <w:r>
        <w:rPr/>
        <w:t>持有待售资产</w:t>
      </w:r>
      <w:r>
        <w:rPr>
          <w:b w:val="0"/>
          <w:bCs w:val="0"/>
        </w:rPr>
      </w:r>
    </w:p>
    <w:p>
      <w:pPr>
        <w:pStyle w:val="BodyText"/>
        <w:tabs>
          <w:tab w:pos="1083" w:val="left" w:leader="none"/>
        </w:tabs>
        <w:spacing w:line="273" w:lineRule="exact" w:before="58"/>
        <w:ind w:left="138" w:right="100"/>
        <w:jc w:val="left"/>
      </w:pPr>
      <w:r>
        <w:rPr/>
        <w:t>√适用</w:t>
        <w:tab/>
        <w:t>□不适用</w:t>
      </w:r>
    </w:p>
    <w:p>
      <w:pPr>
        <w:pStyle w:val="BodyText"/>
        <w:spacing w:line="348" w:lineRule="auto"/>
        <w:ind w:left="138" w:right="10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持有待售的非流动资产和处置组确认标准</w:t>
      </w:r>
      <w:r>
        <w:rPr>
          <w:w w:val="100"/>
        </w:rPr>
        <w:t> </w:t>
      </w:r>
      <w:r>
        <w:rPr>
          <w:spacing w:val="-1"/>
        </w:rPr>
        <w:t>公司若主要通过出售（包括具有商业实质的非货币性资产交换，下同）而非持续使用一项非流动</w:t>
      </w:r>
      <w:r>
        <w:rPr>
          <w:spacing w:val="-55"/>
        </w:rPr>
        <w:t> </w:t>
      </w:r>
      <w:r>
        <w:rPr>
          <w:spacing w:val="-55"/>
        </w:rPr>
      </w:r>
      <w:r>
        <w:rPr>
          <w:spacing w:val="-1"/>
        </w:rPr>
        <w:t>资产或处置组收回其账面价值的，则将其划分为持有待售类别。具体标准为同时满足以下条件：</w:t>
      </w:r>
    </w:p>
    <w:p>
      <w:pPr>
        <w:pStyle w:val="BodyText"/>
        <w:spacing w:line="350" w:lineRule="auto" w:before="38"/>
        <w:ind w:left="138" w:right="102"/>
        <w:jc w:val="both"/>
      </w:pPr>
      <w:r>
        <w:rPr/>
        <w:t>①根据类似交易中出售此类资产或处置组的惯例，在当前状况下即可立即出售；②出售极可能发</w:t>
      </w:r>
      <w:r>
        <w:rPr>
          <w:spacing w:val="-97"/>
        </w:rPr>
        <w:t> </w:t>
      </w:r>
      <w:r>
        <w:rPr>
          <w:spacing w:val="-97"/>
        </w:rPr>
      </w:r>
      <w:r>
        <w:rPr/>
        <w:t>生，即企业已经就一项出售计划作出决议且获得确定的购买承诺，预计出售将在一年内完成。其</w:t>
      </w:r>
      <w:r>
        <w:rPr>
          <w:spacing w:val="-97"/>
        </w:rPr>
        <w:t> </w:t>
      </w:r>
      <w:r>
        <w:rPr>
          <w:spacing w:val="-97"/>
        </w:rPr>
      </w:r>
      <w:r>
        <w:rPr/>
        <w:t>中，处置组是指在一项交易中作为整体通过出售或其他方式一并处置的一组资产，以及在该交易</w:t>
      </w:r>
      <w:r>
        <w:rPr>
          <w:spacing w:val="-97"/>
        </w:rPr>
        <w:t> </w:t>
      </w:r>
      <w:r>
        <w:rPr>
          <w:spacing w:val="-97"/>
        </w:rPr>
      </w:r>
      <w:r>
        <w:rPr>
          <w:spacing w:val="-6"/>
          <w:w w:val="100"/>
        </w:rPr>
        <w:t>中转让的与这些资产直接相关的负债。处置组所属的资产组或资产组组合按照《企业会计准则第</w:t>
      </w:r>
      <w:r>
        <w:rPr>
          <w:spacing w:val="-2"/>
          <w:w w:val="100"/>
        </w:rPr>
        <w:t> </w:t>
      </w:r>
      <w:r>
        <w:rPr>
          <w:rFonts w:ascii="Garamond" w:hAnsi="Garamond" w:cs="Garamond" w:eastAsia="Garamond" w:hint="default"/>
          <w:w w:val="100"/>
        </w:rPr>
        <w:t>8 </w:t>
      </w:r>
      <w:r>
        <w:rPr/>
        <w:t>号——资产减值》分摊了企业合并中取得的商誉的，该处置组应当包含分摊至处置组的商誉。</w:t>
      </w:r>
    </w:p>
    <w:p>
      <w:pPr>
        <w:pStyle w:val="BodyText"/>
        <w:spacing w:line="357" w:lineRule="auto" w:before="36"/>
        <w:ind w:left="138" w:right="100"/>
        <w:jc w:val="left"/>
      </w:pPr>
      <w:r>
        <w:rPr>
          <w:spacing w:val="-4"/>
          <w:w w:val="100"/>
        </w:rPr>
        <w:t>因出售对子公司的投资等原因导致丧失对子公司控制权的，无论出售后是否保留部分权益性投资，</w:t>
      </w:r>
      <w:r>
        <w:rPr>
          <w:spacing w:val="-85"/>
          <w:w w:val="100"/>
        </w:rPr>
        <w:t> </w:t>
      </w:r>
      <w:r>
        <w:rPr>
          <w:spacing w:val="-85"/>
          <w:w w:val="100"/>
        </w:rPr>
      </w:r>
      <w:r>
        <w:rPr/>
        <w:t>在拟出售的对子公司投资满足持有待售类别划分条件时，在母公司个别财务报表中将对子公司投</w:t>
      </w:r>
      <w:r>
        <w:rPr>
          <w:spacing w:val="-97"/>
        </w:rPr>
        <w:t> </w:t>
      </w:r>
      <w:r>
        <w:rPr>
          <w:spacing w:val="-97"/>
        </w:rPr>
      </w:r>
      <w:r>
        <w:rPr/>
        <w:t>资整体划分为持有待售类别，在合并财务报表中将子公司所有资产和负债划分为持有待售类别。</w:t>
      </w:r>
    </w:p>
    <w:p>
      <w:pPr>
        <w:spacing w:line="240" w:lineRule="auto" w:before="4"/>
        <w:rPr>
          <w:rFonts w:ascii="宋体" w:hAnsi="宋体" w:cs="宋体" w:eastAsia="宋体" w:hint="default"/>
          <w:sz w:val="29"/>
          <w:szCs w:val="29"/>
        </w:rPr>
      </w:pPr>
    </w:p>
    <w:p>
      <w:pPr>
        <w:pStyle w:val="BodyText"/>
        <w:spacing w:line="350" w:lineRule="auto"/>
        <w:ind w:left="138" w:right="10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会计处理方法</w:t>
      </w:r>
      <w:r>
        <w:rPr>
          <w:w w:val="100"/>
        </w:rPr>
        <w:t> </w:t>
      </w:r>
      <w:r>
        <w:rPr>
          <w:spacing w:val="-1"/>
        </w:rPr>
        <w:t>初始计量或在资产负债表日重新计量划分为持有待售的非流动资产和处置组时，其账面价值高于</w:t>
      </w:r>
      <w:r>
        <w:rPr>
          <w:spacing w:val="-55"/>
        </w:rPr>
        <w:t> </w:t>
      </w:r>
      <w:r>
        <w:rPr>
          <w:spacing w:val="-55"/>
        </w:rPr>
      </w:r>
      <w:r>
        <w:rPr>
          <w:spacing w:val="-1"/>
        </w:rPr>
        <w:t>公允价值减去出售费用后的净额的，将账面价值减记至公允价值减去出售费用后的净额，减记的</w:t>
      </w:r>
      <w:r>
        <w:rPr>
          <w:spacing w:val="-54"/>
        </w:rPr>
        <w:t> </w:t>
      </w:r>
      <w:r>
        <w:rPr>
          <w:spacing w:val="-54"/>
        </w:rPr>
      </w:r>
      <w:r>
        <w:rPr>
          <w:spacing w:val="-1"/>
        </w:rPr>
        <w:t>金额确认为资产减值损失，计入当期损益，同时计提持有待售资产减值准备。对于处置组，所确</w:t>
      </w:r>
      <w:r>
        <w:rPr>
          <w:spacing w:val="-55"/>
        </w:rPr>
        <w:t> </w:t>
      </w:r>
      <w:r>
        <w:rPr>
          <w:spacing w:val="-55"/>
        </w:rPr>
      </w:r>
      <w:r>
        <w:rPr>
          <w:spacing w:val="-1"/>
        </w:rPr>
        <w:t>认的资产减值损失先抵减处置组中商誉的账面价值，再按比例抵减该处置组内适用《企业会计准</w:t>
      </w:r>
      <w:r>
        <w:rPr>
          <w:spacing w:val="-55"/>
        </w:rPr>
        <w:t> </w:t>
      </w:r>
      <w:r>
        <w:rPr>
          <w:spacing w:val="-55"/>
        </w:rPr>
      </w:r>
      <w:r>
        <w:rPr>
          <w:w w:val="100"/>
        </w:rPr>
        <w:t>则第</w:t>
      </w:r>
      <w:r>
        <w:rPr>
          <w:spacing w:val="-47"/>
          <w:w w:val="100"/>
        </w:rPr>
        <w:t> </w:t>
      </w:r>
      <w:r>
        <w:rPr>
          <w:rFonts w:ascii="Garamond" w:hAnsi="Garamond" w:cs="Garamond" w:eastAsia="Garamond" w:hint="default"/>
          <w:spacing w:val="-1"/>
          <w:w w:val="100"/>
        </w:rPr>
        <w:t>42</w:t>
      </w:r>
      <w:r>
        <w:rPr>
          <w:rFonts w:ascii="Garamond" w:hAnsi="Garamond" w:cs="Garamond" w:eastAsia="Garamond" w:hint="default"/>
          <w:spacing w:val="3"/>
          <w:w w:val="100"/>
        </w:rPr>
        <w:t> </w:t>
      </w:r>
      <w:r>
        <w:rPr>
          <w:spacing w:val="-9"/>
          <w:w w:val="100"/>
        </w:rPr>
        <w:t>号——持有待售的非流动资产、处置组和终止经营》（以下简称“持有待售准则”）的计量</w:t>
      </w:r>
      <w:r>
        <w:rPr>
          <w:spacing w:val="-103"/>
          <w:w w:val="100"/>
        </w:rPr>
        <w:t> </w:t>
      </w:r>
      <w:r>
        <w:rPr>
          <w:spacing w:val="-103"/>
          <w:w w:val="100"/>
        </w:rPr>
      </w:r>
      <w:r>
        <w:rPr>
          <w:spacing w:val="-1"/>
        </w:rPr>
        <w:t>规定的各项非流动资产的账面价值。后续资产负债表日持有待售的处置组公允价值减去出售费用</w:t>
      </w:r>
      <w:r>
        <w:rPr>
          <w:spacing w:val="-55"/>
        </w:rPr>
        <w:t> </w:t>
      </w:r>
      <w:r>
        <w:rPr>
          <w:spacing w:val="-55"/>
        </w:rPr>
      </w:r>
      <w:r>
        <w:rPr>
          <w:spacing w:val="-1"/>
        </w:rPr>
        <w:t>后的净额增加的，以前减记的金额应当予以恢复，并在划分为持有待售类别后适用持有待售准则</w:t>
      </w:r>
      <w:r>
        <w:rPr>
          <w:spacing w:val="-55"/>
        </w:rPr>
        <w:t> </w:t>
      </w:r>
      <w:r>
        <w:rPr>
          <w:spacing w:val="-55"/>
        </w:rPr>
      </w:r>
      <w:r>
        <w:rPr>
          <w:spacing w:val="-1"/>
        </w:rPr>
        <w:t>计量规定的非流动资产确认的资产减值损失金额内转回，转回金额计入当期损益，并根据处置组</w:t>
      </w:r>
      <w:r>
        <w:rPr>
          <w:spacing w:val="-54"/>
        </w:rPr>
        <w:t> </w:t>
      </w:r>
      <w:r>
        <w:rPr>
          <w:spacing w:val="-54"/>
        </w:rPr>
      </w:r>
      <w:r>
        <w:rPr>
          <w:spacing w:val="-1"/>
        </w:rPr>
        <w:t>中除商誉外适用持有待售准则计量规定的各项非流动资产账面价值所占比重按比例增加其账面价</w:t>
      </w:r>
    </w:p>
    <w:p>
      <w:pPr>
        <w:pStyle w:val="BodyText"/>
        <w:spacing w:line="357" w:lineRule="auto" w:before="39"/>
        <w:ind w:left="138" w:right="100"/>
        <w:jc w:val="left"/>
      </w:pPr>
      <w:r>
        <w:rPr>
          <w:spacing w:val="-1"/>
        </w:rPr>
        <w:t>值；已抵减的商誉账面价值，以及适用持有待售准则计量规定的非流动资产在划分为持有待售类</w:t>
      </w:r>
      <w:r>
        <w:rPr>
          <w:spacing w:val="-55"/>
        </w:rPr>
        <w:t> </w:t>
      </w:r>
      <w:r>
        <w:rPr>
          <w:spacing w:val="-55"/>
        </w:rPr>
      </w:r>
      <w:r>
        <w:rPr/>
        <w:t>别前确认的资产减值损失不得转回。</w:t>
      </w:r>
      <w:r>
        <w:rPr>
          <w:w w:val="100"/>
        </w:rPr>
        <w:t> </w:t>
      </w:r>
      <w:r>
        <w:rPr>
          <w:spacing w:val="-1"/>
        </w:rPr>
        <w:t>持有待售的非流动资产或处置组中的非流动资产不计提折旧或摊销，持有待售的处置组中负债的</w:t>
      </w:r>
      <w:r>
        <w:rPr>
          <w:spacing w:val="-55"/>
        </w:rPr>
        <w:t> </w:t>
      </w:r>
      <w:r>
        <w:rPr>
          <w:spacing w:val="-55"/>
        </w:rPr>
      </w:r>
      <w:r>
        <w:rPr/>
        <w:t>利息和其他费用继续予以确认。</w:t>
      </w:r>
      <w:r>
        <w:rPr>
          <w:w w:val="100"/>
        </w:rPr>
        <w:t> </w:t>
      </w:r>
      <w:r>
        <w:rPr>
          <w:spacing w:val="-1"/>
        </w:rPr>
        <w:t>非流动资产或处置组不再满足持有待售类别的划分条件时，不再将其继续划分为持有待售类别或</w:t>
      </w:r>
      <w:r>
        <w:rPr>
          <w:spacing w:val="-55"/>
        </w:rPr>
        <w:t> </w:t>
      </w:r>
      <w:r>
        <w:rPr>
          <w:spacing w:val="-55"/>
        </w:rPr>
      </w:r>
      <w:r>
        <w:rPr>
          <w:spacing w:val="-1"/>
        </w:rPr>
        <w:t>将非流动资产从持有待售的处置组中移除，并按照以下两者孰低计量：①划分为持有待售类别前</w:t>
      </w:r>
      <w:r>
        <w:rPr>
          <w:spacing w:val="-55"/>
        </w:rPr>
        <w:t> </w:t>
      </w:r>
      <w:r>
        <w:rPr>
          <w:spacing w:val="-55"/>
        </w:rPr>
      </w:r>
      <w:r>
        <w:rPr>
          <w:spacing w:val="-1"/>
        </w:rPr>
        <w:t>的账面价值，按照假定不划分为持有待售类别情况下本应确认的折旧、摊销或减值等进行调整后</w:t>
      </w:r>
      <w:r>
        <w:rPr>
          <w:spacing w:val="-55"/>
        </w:rPr>
        <w:t> </w:t>
      </w:r>
      <w:r>
        <w:rPr>
          <w:spacing w:val="-55"/>
        </w:rPr>
      </w:r>
      <w:r>
        <w:rPr/>
        <w:t>的金额；②可收回金额。</w:t>
      </w:r>
    </w:p>
    <w:p>
      <w:pPr>
        <w:spacing w:line="240" w:lineRule="auto" w:before="6"/>
        <w:rPr>
          <w:rFonts w:ascii="宋体" w:hAnsi="宋体" w:cs="宋体" w:eastAsia="宋体" w:hint="default"/>
          <w:sz w:val="25"/>
          <w:szCs w:val="25"/>
        </w:rPr>
      </w:pPr>
    </w:p>
    <w:p>
      <w:pPr>
        <w:pStyle w:val="Heading2"/>
        <w:spacing w:line="240" w:lineRule="auto"/>
        <w:ind w:left="138" w:right="100"/>
        <w:jc w:val="left"/>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b/>
          <w:bCs/>
          <w:sz w:val="25"/>
          <w:szCs w:val="25"/>
        </w:rPr>
      </w:pPr>
    </w:p>
    <w:p>
      <w:pPr>
        <w:pStyle w:val="BodyText"/>
        <w:spacing w:line="230" w:lineRule="auto" w:before="46"/>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spacing w:val="-1"/>
        </w:rPr>
        <w:t>长期股权投资是指公司对被投资单位实施控制、重大影响的权益性投资，以及对其合营企业的投</w:t>
      </w:r>
      <w:r>
        <w:rPr>
          <w:spacing w:val="-55"/>
        </w:rPr>
        <w:t> </w:t>
      </w:r>
      <w:r>
        <w:rPr>
          <w:spacing w:val="-55"/>
        </w:rPr>
      </w:r>
      <w:r>
        <w:rPr/>
        <w:t>资。</w:t>
      </w:r>
    </w:p>
    <w:p>
      <w:pPr>
        <w:pStyle w:val="BodyText"/>
        <w:spacing w:line="230" w:lineRule="auto" w:before="9"/>
        <w:ind w:left="13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投资成本确定</w:t>
      </w:r>
      <w:r>
        <w:rPr>
          <w:w w:val="100"/>
        </w:rPr>
        <w:t> </w:t>
      </w:r>
      <w:r>
        <w:rPr>
          <w:spacing w:val="-1"/>
        </w:rPr>
        <w:t>除对外合并形成的长期股权投资以外，其他方式取得的长期股权投资，按照下列规定确定其初始</w:t>
      </w:r>
      <w:r>
        <w:rPr>
          <w:spacing w:val="-55"/>
        </w:rPr>
        <w:t> </w:t>
      </w:r>
      <w:r>
        <w:rPr>
          <w:spacing w:val="-55"/>
        </w:rPr>
      </w:r>
      <w:r>
        <w:rPr/>
        <w:t>投资成本：</w:t>
      </w:r>
    </w:p>
    <w:p>
      <w:pPr>
        <w:pStyle w:val="BodyText"/>
        <w:spacing w:line="274" w:lineRule="exact" w:before="23"/>
        <w:ind w:left="138" w:right="0"/>
        <w:jc w:val="left"/>
      </w:pPr>
      <w:r>
        <w:rPr>
          <w:spacing w:val="-1"/>
        </w:rPr>
        <w:t>①以支付现金取得的长期股权投资，按照实际支付的购买价款作为初始投资成本。初始投资成本</w:t>
      </w:r>
      <w:r>
        <w:rPr>
          <w:spacing w:val="-55"/>
        </w:rPr>
        <w:t> </w:t>
      </w:r>
      <w:r>
        <w:rPr>
          <w:spacing w:val="-55"/>
        </w:rPr>
      </w:r>
      <w:r>
        <w:rPr/>
        <w:t>包括与取得长期股权投资直接相关的费用、税金及其他必要支出；</w:t>
      </w:r>
    </w:p>
    <w:p>
      <w:pPr>
        <w:pStyle w:val="BodyText"/>
        <w:spacing w:line="245" w:lineRule="exact"/>
        <w:ind w:left="138" w:right="0"/>
        <w:jc w:val="left"/>
      </w:pPr>
      <w:r>
        <w:rPr/>
        <w:t>②以发行权益性证券取得的长期股权投资，按照发行权益性证券的公允价值作为初始投资成本；</w:t>
      </w:r>
    </w:p>
    <w:p>
      <w:pPr>
        <w:pStyle w:val="BodyText"/>
        <w:spacing w:line="280" w:lineRule="exact"/>
        <w:ind w:left="138" w:right="0"/>
        <w:jc w:val="left"/>
      </w:pPr>
      <w:r>
        <w:rPr/>
        <w:t>③通过非货币性资产交换取得的长期股权投资，其初始投资成本应当按照《企业会计准则第</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号</w:t>
      </w:r>
    </w:p>
    <w:p>
      <w:pPr>
        <w:pStyle w:val="BodyText"/>
        <w:spacing w:line="264" w:lineRule="exact"/>
        <w:ind w:left="138" w:right="0"/>
        <w:jc w:val="left"/>
      </w:pPr>
      <w:r>
        <w:rPr/>
        <w:t>—非货币性资产交换》确定；</w:t>
      </w:r>
    </w:p>
    <w:p>
      <w:pPr>
        <w:pStyle w:val="BodyText"/>
        <w:spacing w:line="272" w:lineRule="exact" w:before="27"/>
        <w:ind w:left="138" w:right="0"/>
        <w:jc w:val="left"/>
      </w:pPr>
      <w:r>
        <w:rPr>
          <w:spacing w:val="-4"/>
        </w:rPr>
        <w:t>④通过债务重组取得的长期股权投资，其初始投资成本应当按照《企业会计准则第</w:t>
      </w:r>
      <w:r>
        <w:rPr>
          <w:spacing w:val="-34"/>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号—债务重</w:t>
      </w:r>
      <w:r>
        <w:rPr>
          <w:spacing w:val="-98"/>
        </w:rPr>
        <w:t> </w:t>
      </w:r>
      <w:r>
        <w:rPr>
          <w:spacing w:val="-98"/>
        </w:rPr>
      </w:r>
      <w:r>
        <w:rPr/>
        <w:t>组》确定。</w:t>
      </w:r>
    </w:p>
    <w:p>
      <w:pPr>
        <w:spacing w:line="240" w:lineRule="auto" w:before="5"/>
        <w:rPr>
          <w:rFonts w:ascii="宋体" w:hAnsi="宋体" w:cs="宋体" w:eastAsia="宋体" w:hint="default"/>
          <w:sz w:val="16"/>
          <w:szCs w:val="16"/>
        </w:rPr>
      </w:pPr>
    </w:p>
    <w:p>
      <w:pPr>
        <w:pStyle w:val="BodyText"/>
        <w:spacing w:line="282" w:lineRule="exact"/>
        <w:ind w:left="138" w:right="0"/>
        <w:jc w:val="left"/>
      </w:pPr>
      <w:r>
        <w:rPr>
          <w:rFonts w:ascii="Times New Roman" w:hAnsi="Times New Roman" w:cs="Times New Roman" w:eastAsia="Times New Roman" w:hint="default"/>
        </w:rPr>
        <w:t>(2)</w:t>
      </w:r>
      <w:r>
        <w:rPr/>
        <w:t>后续计量及损益确认方法</w:t>
      </w:r>
    </w:p>
    <w:p>
      <w:pPr>
        <w:pStyle w:val="BodyText"/>
        <w:spacing w:line="272" w:lineRule="exact" w:before="19"/>
        <w:ind w:left="138" w:right="3081"/>
        <w:jc w:val="left"/>
      </w:pPr>
      <w:r>
        <w:rPr/>
        <w:t>①下列长期股权投资采用成本法核算：</w:t>
      </w:r>
      <w:r>
        <w:rPr>
          <w:w w:val="100"/>
        </w:rPr>
        <w:t> </w:t>
      </w:r>
      <w:r>
        <w:rPr>
          <w:spacing w:val="-2"/>
        </w:rPr>
        <w:t>公司能够对被投资单位实施控制的长期股权投资。</w:t>
      </w:r>
    </w:p>
    <w:p>
      <w:pPr>
        <w:pStyle w:val="BodyText"/>
        <w:spacing w:line="272" w:lineRule="exact" w:before="1"/>
        <w:ind w:left="138" w:right="0"/>
        <w:jc w:val="left"/>
      </w:pPr>
      <w:r>
        <w:rPr>
          <w:spacing w:val="-1"/>
        </w:rPr>
        <w:t>采用成本法核算的长期股权投资按照初始投资成本计价。追加或收回投资应当调整长期股权投资</w:t>
      </w:r>
      <w:r>
        <w:rPr>
          <w:spacing w:val="-55"/>
        </w:rPr>
        <w:t> </w:t>
      </w:r>
      <w:r>
        <w:rPr>
          <w:spacing w:val="-55"/>
        </w:rPr>
      </w:r>
      <w:r>
        <w:rPr/>
        <w:t>的成本。被投资单位宣告分派的现金股利或利润，确认为当期投资收益。</w:t>
      </w:r>
    </w:p>
    <w:p>
      <w:pPr>
        <w:spacing w:line="240" w:lineRule="auto" w:before="7"/>
        <w:rPr>
          <w:rFonts w:ascii="宋体" w:hAnsi="宋体" w:cs="宋体" w:eastAsia="宋体" w:hint="default"/>
          <w:sz w:val="16"/>
          <w:szCs w:val="16"/>
        </w:rPr>
      </w:pPr>
    </w:p>
    <w:p>
      <w:pPr>
        <w:pStyle w:val="BodyText"/>
        <w:spacing w:line="237" w:lineRule="auto"/>
        <w:ind w:left="138" w:right="124"/>
        <w:jc w:val="left"/>
      </w:pPr>
      <w:r>
        <w:rPr/>
        <w:t>②对被投资单位具有共同控制或重大影响的长期股权投资，采用权益法核算。</w:t>
      </w:r>
      <w:r>
        <w:rPr>
          <w:w w:val="100"/>
        </w:rPr>
        <w:t> </w:t>
      </w:r>
      <w:r>
        <w:rPr>
          <w:spacing w:val="-1"/>
        </w:rPr>
        <w:t>长期股权投资采用权益法核算时，对长期股权投资的投资成本大于投资时应享有被投资单位可辨</w:t>
      </w:r>
      <w:r>
        <w:rPr>
          <w:spacing w:val="-55"/>
        </w:rPr>
        <w:t> </w:t>
      </w:r>
      <w:r>
        <w:rPr>
          <w:spacing w:val="-55"/>
        </w:rPr>
      </w:r>
      <w:r>
        <w:rPr>
          <w:spacing w:val="-1"/>
        </w:rPr>
        <w:t>认净资产公允价值份额的，不调整长期股权投资的投资成本；对长期股权投资的投资成本小于投</w:t>
      </w:r>
      <w:r>
        <w:rPr>
          <w:spacing w:val="-55"/>
        </w:rPr>
        <w:t> </w:t>
      </w:r>
      <w:r>
        <w:rPr>
          <w:spacing w:val="-55"/>
        </w:rPr>
      </w:r>
      <w:r>
        <w:rPr>
          <w:spacing w:val="-1"/>
        </w:rPr>
        <w:t>资时应享有被投资单位可辨认净资产公允价值份额的，对长期股权投资的账面价值进行调整，差</w:t>
      </w:r>
      <w:r>
        <w:rPr>
          <w:spacing w:val="-55"/>
        </w:rPr>
        <w:t> </w:t>
      </w:r>
      <w:r>
        <w:rPr>
          <w:spacing w:val="-55"/>
        </w:rPr>
      </w:r>
      <w:r>
        <w:rPr/>
        <w:t>额计入投资当期的损益。</w:t>
      </w:r>
      <w:r>
        <w:rPr>
          <w:w w:val="100"/>
        </w:rPr>
        <w:t> </w:t>
      </w:r>
      <w:r>
        <w:rPr>
          <w:spacing w:val="-1"/>
        </w:rPr>
        <w:t>在权益法核算时，当取得长期股权投资后，按照应享有或应分担的被投资单位实现的净损益和其</w:t>
      </w:r>
      <w:r>
        <w:rPr>
          <w:spacing w:val="-55"/>
        </w:rPr>
        <w:t> </w:t>
      </w:r>
      <w:r>
        <w:rPr>
          <w:spacing w:val="-55"/>
        </w:rPr>
      </w:r>
      <w:r>
        <w:rPr>
          <w:spacing w:val="-1"/>
        </w:rPr>
        <w:t>他综合收益的份额，分别确认投资损益和其他综合收益，并调整长期股权投资的账面价值。投资</w:t>
      </w:r>
      <w:r>
        <w:rPr>
          <w:spacing w:val="-55"/>
        </w:rPr>
        <w:t> </w:t>
      </w:r>
      <w:r>
        <w:rPr>
          <w:spacing w:val="-55"/>
        </w:rPr>
      </w:r>
      <w:r>
        <w:rPr>
          <w:spacing w:val="-1"/>
        </w:rPr>
        <w:t>企业按照被投资单位宣告分派的利润或现金股利计算应分得的部分，相应减少长期股权投资的账</w:t>
      </w:r>
      <w:r>
        <w:rPr>
          <w:spacing w:val="-55"/>
        </w:rPr>
        <w:t> </w:t>
      </w:r>
      <w:r>
        <w:rPr>
          <w:spacing w:val="-55"/>
        </w:rPr>
      </w:r>
      <w:r>
        <w:rPr>
          <w:spacing w:val="-6"/>
          <w:w w:val="100"/>
        </w:rPr>
        <w:t>面价值。投资方对于被投资单位除净损益、其他综合收益和利润分配以外所有者权益的其他变动，</w:t>
      </w:r>
      <w:r>
        <w:rPr>
          <w:spacing w:val="-104"/>
          <w:w w:val="100"/>
        </w:rPr>
        <w:t> </w:t>
      </w:r>
      <w:r>
        <w:rPr>
          <w:spacing w:val="-104"/>
          <w:w w:val="100"/>
        </w:rPr>
      </w:r>
      <w:r>
        <w:rPr/>
        <w:t>应当调整长期股权投资的账面价值并计入所有者权益。</w:t>
      </w:r>
      <w:r>
        <w:rPr>
          <w:w w:val="100"/>
        </w:rPr>
        <w:t> </w:t>
      </w:r>
      <w:r>
        <w:rPr>
          <w:spacing w:val="-1"/>
        </w:rPr>
        <w:t>确认被投资单位发生的净亏损，以长期股权投资的账面价值以及其他实质上构成对被投资单位净</w:t>
      </w:r>
      <w:r>
        <w:rPr>
          <w:spacing w:val="-55"/>
        </w:rPr>
        <w:t> </w:t>
      </w:r>
      <w:r>
        <w:rPr>
          <w:spacing w:val="-55"/>
        </w:rPr>
      </w:r>
      <w:r>
        <w:rPr>
          <w:spacing w:val="-1"/>
        </w:rPr>
        <w:t>投资的长期权益减记至零为限，公司对被投资企业负有承担额外损失义务的除外。被投资单位以</w:t>
      </w:r>
      <w:r>
        <w:rPr>
          <w:spacing w:val="-55"/>
        </w:rPr>
        <w:t> </w:t>
      </w:r>
      <w:r>
        <w:rPr>
          <w:spacing w:val="-55"/>
        </w:rPr>
      </w:r>
      <w:r>
        <w:rPr>
          <w:spacing w:val="-2"/>
        </w:rPr>
        <w:t>后实现净利润的，投资企业在其收益分享额弥补未确认的亏损分担额后，恢复确认收益分享额。</w:t>
      </w:r>
      <w:r>
        <w:rPr>
          <w:spacing w:val="-25"/>
        </w:rPr>
        <w:t> </w:t>
      </w:r>
      <w:r>
        <w:rPr>
          <w:spacing w:val="-25"/>
        </w:rPr>
      </w:r>
      <w:r>
        <w:rPr>
          <w:spacing w:val="-1"/>
        </w:rPr>
        <w:t>对于被投资单位除净损益、其他综合收益和利润分配以外所有者权益的其他变动，调整长期股权</w:t>
      </w:r>
      <w:r>
        <w:rPr>
          <w:spacing w:val="-55"/>
        </w:rPr>
        <w:t> </w:t>
      </w:r>
      <w:r>
        <w:rPr>
          <w:spacing w:val="-55"/>
        </w:rPr>
      </w:r>
      <w:r>
        <w:rPr/>
        <w:t>投资的账面价值并计入所有者权益。</w:t>
      </w:r>
      <w:r>
        <w:rPr>
          <w:w w:val="100"/>
        </w:rPr>
        <w:t> </w:t>
      </w:r>
      <w:r>
        <w:rPr>
          <w:spacing w:val="-1"/>
        </w:rPr>
        <w:t>长期股权投资按照权益法核算在确认投资损益时，先对被投资单位的净利润进行取得投资时被投</w:t>
      </w:r>
      <w:r>
        <w:rPr>
          <w:spacing w:val="-55"/>
        </w:rPr>
        <w:t> </w:t>
      </w:r>
      <w:r>
        <w:rPr>
          <w:spacing w:val="-55"/>
        </w:rPr>
      </w:r>
      <w:r>
        <w:rPr>
          <w:spacing w:val="-1"/>
        </w:rPr>
        <w:t>资单位各项可辨认资产等的公允价值、会计政策和会计期间方面的调整，再按应享有或应分担的</w:t>
      </w:r>
      <w:r>
        <w:rPr>
          <w:spacing w:val="-55"/>
        </w:rPr>
        <w:t> </w:t>
      </w:r>
      <w:r>
        <w:rPr>
          <w:spacing w:val="-55"/>
        </w:rPr>
      </w:r>
      <w:r>
        <w:rPr/>
        <w:t>被投资单位的净损益份额确认当期投资损益。</w:t>
      </w:r>
      <w:r>
        <w:rPr>
          <w:w w:val="100"/>
        </w:rPr>
        <w:t> </w:t>
      </w:r>
      <w:r>
        <w:rPr>
          <w:spacing w:val="-1"/>
        </w:rPr>
        <w:t>与联营企业及合营企业之间发生的未实现内部交易损益按照持股比例计算归属于本公司的部分，</w:t>
      </w:r>
      <w:r>
        <w:rPr>
          <w:spacing w:val="-55"/>
        </w:rPr>
        <w:t> </w:t>
      </w:r>
      <w:r>
        <w:rPr>
          <w:spacing w:val="-55"/>
        </w:rPr>
      </w:r>
      <w:r>
        <w:rPr/>
        <w:t>在抵销基础上确认投资损益。</w:t>
      </w:r>
    </w:p>
    <w:p>
      <w:pPr>
        <w:spacing w:line="240" w:lineRule="auto" w:before="8"/>
        <w:rPr>
          <w:rFonts w:ascii="宋体" w:hAnsi="宋体" w:cs="宋体" w:eastAsia="宋体" w:hint="default"/>
          <w:sz w:val="18"/>
          <w:szCs w:val="18"/>
        </w:rPr>
      </w:pPr>
    </w:p>
    <w:p>
      <w:pPr>
        <w:pStyle w:val="BodyText"/>
        <w:spacing w:line="235" w:lineRule="auto"/>
        <w:ind w:left="138" w:right="0"/>
        <w:jc w:val="left"/>
      </w:pPr>
      <w:r>
        <w:rPr/>
        <w:t>（</w:t>
      </w:r>
      <w:r>
        <w:rPr>
          <w:rFonts w:ascii="Times New Roman" w:hAnsi="Times New Roman" w:cs="Times New Roman" w:eastAsia="Times New Roman" w:hint="default"/>
        </w:rPr>
        <w:t>3</w:t>
      </w:r>
      <w:r>
        <w:rPr/>
        <w:t>）确定对被投资单位具有共同控制、重大影响的依据</w:t>
      </w:r>
      <w:r>
        <w:rPr>
          <w:w w:val="100"/>
        </w:rPr>
        <w:t> </w:t>
      </w:r>
      <w:r>
        <w:rPr>
          <w:spacing w:val="-1"/>
        </w:rPr>
        <w:t>共同控制，是指按照相关约定对某项安排所共有的控制，并且该安排的相关活动必须经过分享控</w:t>
      </w:r>
      <w:r>
        <w:rPr>
          <w:spacing w:val="-55"/>
        </w:rPr>
        <w:t> </w:t>
      </w:r>
      <w:r>
        <w:rPr>
          <w:spacing w:val="-55"/>
        </w:rPr>
      </w:r>
      <w:r>
        <w:rPr>
          <w:spacing w:val="-1"/>
        </w:rPr>
        <w:t>制权的参与方一致同意后才能决策。在判断是否存在共同控制时，首先判断所有参与方或参与方</w:t>
      </w:r>
      <w:r>
        <w:rPr>
          <w:spacing w:val="-55"/>
        </w:rPr>
        <w:t> </w:t>
      </w:r>
      <w:r>
        <w:rPr>
          <w:spacing w:val="-55"/>
        </w:rPr>
      </w:r>
      <w:r>
        <w:rPr>
          <w:spacing w:val="-1"/>
        </w:rPr>
        <w:t>组合是否集体控制该安排，如果所有参与方或一组参与方必须一致行动才能决定某项安排的相关</w:t>
      </w:r>
      <w:r>
        <w:rPr>
          <w:spacing w:val="-55"/>
        </w:rPr>
        <w:t> </w:t>
      </w:r>
      <w:r>
        <w:rPr>
          <w:spacing w:val="-55"/>
        </w:rPr>
      </w:r>
      <w:r>
        <w:rPr>
          <w:spacing w:val="-1"/>
        </w:rPr>
        <w:t>活动，则认为所有参与方或一组参与方集体控制该安排。其次再判断该安排相关活动的决策是否</w:t>
      </w:r>
      <w:r>
        <w:rPr>
          <w:spacing w:val="-55"/>
        </w:rPr>
        <w:t> </w:t>
      </w:r>
      <w:r>
        <w:rPr>
          <w:spacing w:val="-55"/>
        </w:rPr>
      </w:r>
      <w:r>
        <w:rPr>
          <w:spacing w:val="-1"/>
        </w:rPr>
        <w:t>必须经过这些集体控制该安排的参与方一致同意。如果存在两个或两个以上的参与方组合能够集</w:t>
      </w:r>
      <w:r>
        <w:rPr>
          <w:spacing w:val="-55"/>
        </w:rPr>
        <w:t> </w:t>
      </w:r>
      <w:r>
        <w:rPr>
          <w:spacing w:val="-55"/>
        </w:rPr>
      </w:r>
      <w:r>
        <w:rPr/>
        <w:t>体控制某项安排的，不构成共同控制。判断是否存在共同控制时，不考虑享有的保护性权利。</w:t>
      </w:r>
    </w:p>
    <w:p>
      <w:pPr>
        <w:spacing w:line="240" w:lineRule="auto" w:before="4"/>
        <w:rPr>
          <w:rFonts w:ascii="宋体" w:hAnsi="宋体" w:cs="宋体" w:eastAsia="宋体" w:hint="default"/>
          <w:sz w:val="18"/>
          <w:szCs w:val="18"/>
        </w:rPr>
      </w:pPr>
    </w:p>
    <w:p>
      <w:pPr>
        <w:pStyle w:val="BodyText"/>
        <w:spacing w:line="240" w:lineRule="auto"/>
        <w:ind w:left="138" w:right="0"/>
        <w:jc w:val="left"/>
      </w:pPr>
      <w:r>
        <w:rPr>
          <w:spacing w:val="-1"/>
        </w:rPr>
        <w:t>重大影响，是指对一个企业的财务和经营政策有参与决策的权力，但并不能够控制或者与其他方</w:t>
      </w:r>
      <w:r>
        <w:rPr>
          <w:spacing w:val="-55"/>
        </w:rPr>
        <w:t> </w:t>
      </w:r>
      <w:r>
        <w:rPr>
          <w:spacing w:val="-55"/>
        </w:rPr>
      </w:r>
      <w:r>
        <w:rPr>
          <w:spacing w:val="-1"/>
        </w:rPr>
        <w:t>一起共同控制这些政策的制定。在确定能否对被投资单位施加重大影响时，考虑投资方直接或间</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37" w:lineRule="auto" w:before="38"/>
        <w:ind w:right="308"/>
        <w:jc w:val="both"/>
      </w:pPr>
      <w:r>
        <w:rPr>
          <w:spacing w:val="-1"/>
        </w:rPr>
        <w:t>接持有被投资单位的表决权股份以及投资方及其他方持有的当期可执行潜在表决权在假定转换为</w:t>
      </w:r>
      <w:r>
        <w:rPr>
          <w:spacing w:val="-55"/>
        </w:rPr>
        <w:t> </w:t>
      </w:r>
      <w:r>
        <w:rPr>
          <w:spacing w:val="-55"/>
        </w:rPr>
      </w:r>
      <w:r>
        <w:rPr>
          <w:spacing w:val="-1"/>
        </w:rPr>
        <w:t>对被投资方单位的股权后产生的影响，包括被投资单位发行的当期可转换的认股权证、股份期权</w:t>
      </w:r>
      <w:r>
        <w:rPr>
          <w:spacing w:val="-55"/>
        </w:rPr>
        <w:t> </w:t>
      </w:r>
      <w:r>
        <w:rPr>
          <w:spacing w:val="-55"/>
        </w:rPr>
      </w:r>
      <w:r>
        <w:rPr/>
        <w:t>及可转换公司债券等的影响。</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2"/>
        <w:spacing w:line="240" w:lineRule="auto"/>
        <w:ind w:right="0"/>
        <w:jc w:val="left"/>
        <w:rPr>
          <w:b w:val="0"/>
          <w:bCs w:val="0"/>
        </w:rPr>
      </w:pPr>
      <w:r>
        <w:rPr>
          <w:rFonts w:ascii="宋体" w:hAnsi="宋体" w:cs="宋体" w:eastAsia="宋体" w:hint="default"/>
        </w:rPr>
        <w:t>15.</w:t>
      </w:r>
      <w:r>
        <w:rPr>
          <w:rFonts w:ascii="宋体" w:hAnsi="宋体" w:cs="宋体" w:eastAsia="宋体" w:hint="default"/>
          <w:spacing w:val="3"/>
        </w:rPr>
        <w:t> </w:t>
      </w:r>
      <w:r>
        <w:rPr/>
        <w:t>投资性房地产</w:t>
      </w:r>
      <w:r>
        <w:rPr>
          <w:b w:val="0"/>
          <w:bCs w:val="0"/>
        </w:rPr>
      </w:r>
    </w:p>
    <w:p>
      <w:pPr>
        <w:pStyle w:val="Heading2"/>
        <w:spacing w:line="290" w:lineRule="auto" w:before="58"/>
        <w:ind w:right="7859"/>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72" w:lineRule="exact" w:before="42"/>
        <w:ind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spacing w:val="-1"/>
        </w:rPr>
        <w:t>指为生产商品、提供劳务、出租或经营管理而持有的并且使用期限超过一年的有形资产。固定资</w:t>
      </w:r>
      <w:r>
        <w:rPr>
          <w:spacing w:val="-55"/>
        </w:rPr>
        <w:t> </w:t>
      </w:r>
      <w:r>
        <w:rPr>
          <w:spacing w:val="-55"/>
        </w:rPr>
      </w:r>
      <w:r>
        <w:rPr/>
        <w:t>产在同时满足下列条件时予以确认：</w:t>
      </w:r>
    </w:p>
    <w:p>
      <w:pPr>
        <w:pStyle w:val="BodyText"/>
        <w:spacing w:line="248" w:lineRule="exact"/>
        <w:ind w:right="0"/>
        <w:jc w:val="left"/>
      </w:pPr>
      <w:r>
        <w:rPr/>
        <w:t>①与该固定资产有关的经济利益很可能流入企业；</w:t>
      </w:r>
    </w:p>
    <w:p>
      <w:pPr>
        <w:pStyle w:val="BodyText"/>
        <w:spacing w:line="273" w:lineRule="exact"/>
        <w:ind w:right="0"/>
        <w:jc w:val="left"/>
      </w:pPr>
      <w:r>
        <w:rPr/>
        <w:t>②该固定资产的成本能够可靠地计量。</w:t>
      </w:r>
    </w:p>
    <w:p>
      <w:pPr>
        <w:spacing w:line="240" w:lineRule="auto" w:before="0"/>
        <w:rPr>
          <w:rFonts w:ascii="宋体" w:hAnsi="宋体" w:cs="宋体" w:eastAsia="宋体" w:hint="default"/>
          <w:sz w:val="23"/>
          <w:szCs w:val="23"/>
        </w:rPr>
      </w:pPr>
    </w:p>
    <w:p>
      <w:pPr>
        <w:pStyle w:val="Heading2"/>
        <w:spacing w:line="240" w:lineRule="auto"/>
        <w:ind w:right="0"/>
        <w:jc w:val="left"/>
        <w:rPr>
          <w:b w:val="0"/>
          <w:bCs w:val="0"/>
        </w:rPr>
      </w:pPr>
      <w:r>
        <w:rPr>
          <w:rFonts w:ascii="宋体" w:hAnsi="宋体" w:cs="宋体" w:eastAsia="宋体" w:hint="default"/>
        </w:rPr>
        <w:t>(2).</w:t>
      </w:r>
      <w:r>
        <w:rPr/>
        <w:t>折旧方法</w:t>
      </w:r>
      <w:r>
        <w:rPr>
          <w:b w:val="0"/>
          <w:bCs w:val="0"/>
        </w:rPr>
      </w:r>
    </w:p>
    <w:p>
      <w:pPr>
        <w:pStyle w:val="BodyText"/>
        <w:spacing w:line="240" w:lineRule="auto" w:before="56"/>
        <w:ind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9"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33 </w:t>
            </w:r>
            <w:r>
              <w:rPr>
                <w:rFonts w:ascii="宋体" w:hAnsi="宋体" w:cs="宋体" w:eastAsia="宋体" w:hint="default"/>
                <w:sz w:val="21"/>
                <w:szCs w:val="21"/>
              </w:rPr>
              <w:t>年、</w:t>
            </w: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2.88%</w:t>
            </w:r>
            <w:r>
              <w:rPr>
                <w:rFonts w:ascii="宋体" w:hAnsi="宋体" w:cs="宋体" w:eastAsia="宋体" w:hint="default"/>
                <w:sz w:val="21"/>
                <w:szCs w:val="21"/>
              </w:rPr>
              <w:t>或</w:t>
            </w:r>
            <w:r>
              <w:rPr>
                <w:rFonts w:ascii="宋体" w:hAnsi="宋体" w:cs="宋体" w:eastAsia="宋体" w:hint="default"/>
                <w:spacing w:val="-46"/>
                <w:sz w:val="21"/>
                <w:szCs w:val="21"/>
              </w:rPr>
              <w:t> </w:t>
            </w:r>
            <w:r>
              <w:rPr>
                <w:rFonts w:ascii="Times New Roman" w:hAnsi="Times New Roman" w:cs="Times New Roman" w:eastAsia="Times New Roman" w:hint="default"/>
                <w:spacing w:val="-3"/>
                <w:sz w:val="21"/>
                <w:szCs w:val="21"/>
              </w:rPr>
              <w:t>2.11%</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31.67%</w:t>
            </w:r>
            <w:r>
              <w:rPr>
                <w:rFonts w:ascii="宋体" w:hAnsi="宋体" w:cs="宋体" w:eastAsia="宋体" w:hint="default"/>
                <w:sz w:val="21"/>
                <w:szCs w:val="21"/>
              </w:rPr>
              <w:t>或</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19.00%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19.00%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19.00%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2"/>
        <w:spacing w:line="240" w:lineRule="auto" w:before="36"/>
        <w:ind w:right="0"/>
        <w:jc w:val="left"/>
        <w:rPr>
          <w:b w:val="0"/>
          <w:bCs w:val="0"/>
        </w:rPr>
      </w:pPr>
      <w:r>
        <w:rPr>
          <w:rFonts w:ascii="宋体" w:hAnsi="宋体" w:cs="宋体" w:eastAsia="宋体" w:hint="default"/>
        </w:rPr>
        <w:t>(3).</w:t>
      </w:r>
      <w:r>
        <w:rPr/>
        <w:t>融资租入固定资产的认定依据、计价和折旧方法</w:t>
      </w:r>
      <w:r>
        <w:rPr>
          <w:b w:val="0"/>
          <w:bCs w:val="0"/>
        </w:rPr>
      </w:r>
    </w:p>
    <w:p>
      <w:pPr>
        <w:pStyle w:val="BodyText"/>
        <w:spacing w:line="240" w:lineRule="auto" w:before="58"/>
        <w:ind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spacing w:line="282" w:lineRule="exact" w:before="56"/>
        <w:ind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72" w:lineRule="exact"/>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包括公司基建、更新改造等发生的支出；</w:t>
      </w:r>
    </w:p>
    <w:p>
      <w:pPr>
        <w:pStyle w:val="BodyText"/>
        <w:spacing w:line="281" w:lineRule="exact"/>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在建工程达到预定可使用状态时转入固定资产。</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pStyle w:val="BodyText"/>
        <w:spacing w:line="281" w:lineRule="exact" w:before="58"/>
        <w:ind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73" w:lineRule="exact"/>
        <w:ind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3"/>
        </w:rPr>
        <w:t> </w:t>
      </w:r>
      <w:r>
        <w:rPr>
          <w:spacing w:val="-5"/>
        </w:rPr>
        <w:t>公司发生的借款费用，可直接归属于符合资本化条件的资产的购建或者生产的，予以资本化，</w:t>
      </w:r>
    </w:p>
    <w:p>
      <w:pPr>
        <w:pStyle w:val="BodyText"/>
        <w:spacing w:line="228" w:lineRule="auto" w:before="4"/>
        <w:ind w:right="0"/>
        <w:jc w:val="left"/>
      </w:pPr>
      <w:r>
        <w:rPr>
          <w:spacing w:val="-3"/>
        </w:rPr>
        <w:t>计入相关资产成本。符合资本化条件的资产，是指需要经过相当长的时间的</w:t>
      </w:r>
      <w:r>
        <w:rPr>
          <w:rFonts w:ascii="Times New Roman" w:hAnsi="Times New Roman" w:cs="Times New Roman" w:eastAsia="Times New Roman" w:hint="default"/>
          <w:spacing w:val="-3"/>
        </w:rPr>
        <w:t>(</w:t>
      </w:r>
      <w:r>
        <w:rPr>
          <w:spacing w:val="-3"/>
        </w:rPr>
        <w:t>通常是指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年及</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w:t>
      </w:r>
      <w:r>
        <w:rPr>
          <w:spacing w:val="-77"/>
        </w:rPr>
        <w:t> </w:t>
      </w:r>
      <w:r>
        <w:rPr>
          <w:spacing w:val="-3"/>
        </w:rPr>
        <w:t>以上</w:t>
      </w:r>
      <w:r>
        <w:rPr>
          <w:rFonts w:ascii="Times New Roman" w:hAnsi="Times New Roman" w:cs="Times New Roman" w:eastAsia="Times New Roman" w:hint="default"/>
          <w:spacing w:val="-3"/>
        </w:rPr>
        <w:t>)</w:t>
      </w:r>
      <w:r>
        <w:rPr>
          <w:spacing w:val="-3"/>
        </w:rPr>
        <w:t>购建或者生产活动才能达到预定可使用可销售状态的固定资产、投资性房地产和存货等资产。</w:t>
      </w:r>
      <w:r>
        <w:rPr>
          <w:spacing w:val="-41"/>
        </w:rPr>
        <w:t> </w:t>
      </w:r>
      <w:r>
        <w:rPr>
          <w:spacing w:val="-41"/>
        </w:rPr>
      </w:r>
      <w:r>
        <w:rPr>
          <w:spacing w:val="-6"/>
        </w:rPr>
        <w:t>其他借款费用，应当在发生时根据其发生额确认为费用，计入当期损益。借款费用包括借款利息、</w:t>
      </w:r>
      <w:r>
        <w:rPr>
          <w:spacing w:val="-54"/>
        </w:rPr>
        <w:t> </w:t>
      </w:r>
      <w:r>
        <w:rPr>
          <w:spacing w:val="-54"/>
        </w:rPr>
      </w:r>
      <w:r>
        <w:rPr/>
        <w:t>折价或者溢价的摊销、辅助费用以及因外币借款而发生的汇兑差额等。</w:t>
      </w:r>
    </w:p>
    <w:p>
      <w:pPr>
        <w:spacing w:line="240" w:lineRule="auto" w:before="5"/>
        <w:rPr>
          <w:rFonts w:ascii="宋体" w:hAnsi="宋体" w:cs="宋体" w:eastAsia="宋体" w:hint="default"/>
          <w:sz w:val="18"/>
          <w:szCs w:val="18"/>
        </w:rPr>
      </w:pPr>
    </w:p>
    <w:p>
      <w:pPr>
        <w:pStyle w:val="BodyText"/>
        <w:spacing w:line="282" w:lineRule="exact"/>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借款费用同时满足下列条件的，开始资本化：</w:t>
      </w:r>
    </w:p>
    <w:p>
      <w:pPr>
        <w:pStyle w:val="BodyText"/>
        <w:spacing w:line="272" w:lineRule="exact" w:before="19"/>
        <w:ind w:right="0"/>
        <w:jc w:val="left"/>
      </w:pPr>
      <w:r>
        <w:rPr>
          <w:spacing w:val="-1"/>
        </w:rPr>
        <w:t>①资产支出已发生，资产支出包括为购建或者生产符合资本化条件的资产而支付的现金、转移非</w:t>
      </w:r>
      <w:r>
        <w:rPr>
          <w:spacing w:val="-55"/>
        </w:rPr>
        <w:t> </w:t>
      </w:r>
      <w:r>
        <w:rPr>
          <w:spacing w:val="-55"/>
        </w:rPr>
      </w:r>
      <w:r>
        <w:rPr/>
        <w:t>现金资产或者承担带息债务形式发生的支出；</w:t>
      </w:r>
    </w:p>
    <w:p>
      <w:pPr>
        <w:pStyle w:val="BodyText"/>
        <w:spacing w:line="247" w:lineRule="exact"/>
        <w:ind w:right="0"/>
        <w:jc w:val="left"/>
      </w:pPr>
      <w:r>
        <w:rPr/>
        <w:t>②借款费用已经发生；</w:t>
      </w:r>
    </w:p>
    <w:p>
      <w:pPr>
        <w:pStyle w:val="BodyText"/>
        <w:spacing w:line="235" w:lineRule="auto" w:before="3"/>
        <w:ind w:right="302"/>
        <w:jc w:val="left"/>
      </w:pPr>
      <w:r>
        <w:rPr/>
        <w:t>③为使资产达到预定可使用或者可销售状态所必要的购建或者生产活动已经开始。</w:t>
      </w:r>
      <w:r>
        <w:rPr>
          <w:w w:val="100"/>
        </w:rPr>
        <w:t> </w:t>
      </w:r>
      <w:r>
        <w:rPr>
          <w:spacing w:val="-2"/>
        </w:rPr>
        <w:t>购建或者生产符合资本化条件的资产达到预定可使用或者可销售状态时，借款费用停止资本化。</w:t>
      </w:r>
      <w:r>
        <w:rPr>
          <w:spacing w:val="-25"/>
        </w:rPr>
        <w:t> </w:t>
      </w:r>
      <w:r>
        <w:rPr>
          <w:spacing w:val="-25"/>
        </w:rPr>
      </w:r>
      <w:r>
        <w:rPr/>
        <w:t>符合资本化条件的资产在购建或者生产过程中发生非正常中断，且中断时间连续超过</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个月的，</w:t>
      </w:r>
      <w:r>
        <w:rPr>
          <w:w w:val="100"/>
        </w:rPr>
        <w:t> </w:t>
      </w:r>
      <w:r>
        <w:rPr>
          <w:spacing w:val="-1"/>
        </w:rPr>
        <w:t>暂停借款费用的资本化。在中断期间发生的借款费用确认为费用，计入当期损益，直至资产的购</w:t>
      </w:r>
      <w:r>
        <w:rPr>
          <w:spacing w:val="-55"/>
        </w:rPr>
        <w:t> </w:t>
      </w:r>
      <w:r>
        <w:rPr>
          <w:spacing w:val="-55"/>
        </w:rPr>
      </w:r>
      <w:r>
        <w:rPr>
          <w:spacing w:val="-1"/>
        </w:rPr>
        <w:t>建或者生产活动重新开始。如果中断是所购建或者生产的符合资本化条件的资产达到预定可使用</w:t>
      </w:r>
    </w:p>
    <w:p>
      <w:pPr>
        <w:spacing w:after="0" w:line="235" w:lineRule="auto"/>
        <w:jc w:val="left"/>
        <w:sectPr>
          <w:pgSz w:w="11910" w:h="16840"/>
          <w:pgMar w:header="882" w:footer="1195" w:top="1120" w:bottom="1380" w:left="1580" w:right="960"/>
        </w:sectPr>
      </w:pPr>
    </w:p>
    <w:p>
      <w:pPr>
        <w:spacing w:line="240" w:lineRule="auto" w:before="1"/>
        <w:rPr>
          <w:rFonts w:ascii="宋体" w:hAnsi="宋体" w:cs="宋体" w:eastAsia="宋体" w:hint="default"/>
          <w:sz w:val="25"/>
          <w:szCs w:val="25"/>
        </w:rPr>
      </w:pPr>
    </w:p>
    <w:p>
      <w:pPr>
        <w:pStyle w:val="BodyText"/>
        <w:spacing w:line="240" w:lineRule="auto" w:before="36"/>
        <w:ind w:right="2465"/>
        <w:jc w:val="left"/>
      </w:pPr>
      <w:r>
        <w:rPr/>
        <w:t>或可销售状态必要的程序，借款费用的资本化则继续进行。</w:t>
      </w:r>
    </w:p>
    <w:p>
      <w:pPr>
        <w:spacing w:line="240" w:lineRule="auto" w:before="7"/>
        <w:rPr>
          <w:rFonts w:ascii="宋体" w:hAnsi="宋体" w:cs="宋体" w:eastAsia="宋体" w:hint="default"/>
          <w:sz w:val="20"/>
          <w:szCs w:val="20"/>
        </w:rPr>
      </w:pPr>
    </w:p>
    <w:p>
      <w:pPr>
        <w:pStyle w:val="BodyText"/>
        <w:spacing w:line="272" w:lineRule="exact"/>
        <w:ind w:right="37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7"/>
        </w:rPr>
        <w:t> </w:t>
      </w:r>
      <w:r>
        <w:rPr/>
        <w:t>在资本化期间内，每一会计期间的利息</w:t>
      </w:r>
      <w:r>
        <w:rPr>
          <w:rFonts w:ascii="Times New Roman" w:hAnsi="Times New Roman" w:cs="Times New Roman" w:eastAsia="Times New Roman" w:hint="default"/>
        </w:rPr>
        <w:t>(</w:t>
      </w:r>
      <w:r>
        <w:rPr/>
        <w:t>包括折价或溢价的摊销</w:t>
      </w:r>
      <w:r>
        <w:rPr>
          <w:rFonts w:ascii="Times New Roman" w:hAnsi="Times New Roman" w:cs="Times New Roman" w:eastAsia="Times New Roman" w:hint="default"/>
        </w:rPr>
        <w:t>)</w:t>
      </w:r>
      <w:r>
        <w:rPr/>
        <w:t>资本化金额，按照下列规定</w:t>
      </w:r>
      <w:r>
        <w:rPr>
          <w:w w:val="100"/>
        </w:rPr>
        <w:t> </w:t>
      </w:r>
      <w:r>
        <w:rPr/>
        <w:t>确定：</w:t>
      </w:r>
    </w:p>
    <w:p>
      <w:pPr>
        <w:pStyle w:val="BodyText"/>
        <w:spacing w:line="246" w:lineRule="exact"/>
        <w:ind w:right="65"/>
        <w:jc w:val="left"/>
      </w:pPr>
      <w:r>
        <w:rPr/>
        <w:t>①为购建或者生产符合资本化条件的资产而借入专门借款的，以专门借款当期实际发生的利息费</w:t>
      </w:r>
    </w:p>
    <w:p>
      <w:pPr>
        <w:pStyle w:val="BodyText"/>
        <w:spacing w:line="272" w:lineRule="exact" w:before="27"/>
        <w:ind w:right="227"/>
        <w:jc w:val="left"/>
      </w:pPr>
      <w:r>
        <w:rPr>
          <w:spacing w:val="-1"/>
        </w:rPr>
        <w:t>用，减去尚未动用的借款资金存入银行取得的利息收入或进行暂时性投资取得的投资收益后的金</w:t>
      </w:r>
      <w:r>
        <w:rPr>
          <w:spacing w:val="-55"/>
        </w:rPr>
        <w:t> </w:t>
      </w:r>
      <w:r>
        <w:rPr>
          <w:spacing w:val="-55"/>
        </w:rPr>
      </w:r>
      <w:r>
        <w:rPr/>
        <w:t>额确定。</w:t>
      </w:r>
    </w:p>
    <w:p>
      <w:pPr>
        <w:pStyle w:val="BodyText"/>
        <w:spacing w:line="272" w:lineRule="exact" w:before="1"/>
        <w:ind w:right="227"/>
        <w:jc w:val="left"/>
      </w:pPr>
      <w:r>
        <w:rPr/>
        <w:t>②为购建或者生产符合资本化条件的资产而占用了一般借款的，根据累计资产支出超过专门借</w:t>
      </w:r>
      <w:r>
        <w:rPr>
          <w:w w:val="100"/>
        </w:rPr>
        <w:t> </w:t>
      </w:r>
      <w:r>
        <w:rPr>
          <w:spacing w:val="-1"/>
        </w:rPr>
        <w:t>款部分的资产支出加权平均数乘以所占用的一般借款的资本化率，计算确定一般借款应予资本化</w:t>
      </w:r>
    </w:p>
    <w:p>
      <w:pPr>
        <w:pStyle w:val="BodyText"/>
        <w:spacing w:line="272" w:lineRule="exact" w:before="1"/>
        <w:ind w:right="227"/>
        <w:jc w:val="left"/>
      </w:pPr>
      <w:r>
        <w:rPr/>
        <w:t>的利息金额。资本化率根据一般借款加权平均利率确定。</w:t>
      </w:r>
      <w:r>
        <w:rPr>
          <w:w w:val="100"/>
        </w:rPr>
        <w:t> </w:t>
      </w:r>
      <w:r>
        <w:rPr>
          <w:spacing w:val="-1"/>
        </w:rPr>
        <w:t>借款存在折价或溢价的，按照实际利率法确定每一会计期间相应摊销的折价或者溢价的金额，调</w:t>
      </w:r>
    </w:p>
    <w:p>
      <w:pPr>
        <w:pStyle w:val="BodyText"/>
        <w:spacing w:line="272" w:lineRule="exact" w:before="1"/>
        <w:ind w:right="227"/>
        <w:jc w:val="left"/>
      </w:pPr>
      <w:r>
        <w:rPr/>
        <w:t>整每期利息金额。</w:t>
      </w:r>
      <w:r>
        <w:rPr>
          <w:w w:val="100"/>
        </w:rPr>
        <w:t> </w:t>
      </w:r>
      <w:r>
        <w:rPr>
          <w:spacing w:val="-2"/>
        </w:rPr>
        <w:t>在资本化期间内，每一会计期间的利息资本化金额，不超过当期相关借款实际发生的利息金额。</w:t>
      </w:r>
    </w:p>
    <w:p>
      <w:pPr>
        <w:spacing w:line="240" w:lineRule="auto" w:before="9"/>
        <w:rPr>
          <w:rFonts w:ascii="宋体" w:hAnsi="宋体" w:cs="宋体" w:eastAsia="宋体" w:hint="default"/>
          <w:sz w:val="16"/>
          <w:szCs w:val="16"/>
        </w:rPr>
      </w:pPr>
    </w:p>
    <w:p>
      <w:pPr>
        <w:pStyle w:val="BodyText"/>
        <w:spacing w:line="235" w:lineRule="auto"/>
        <w:ind w:right="224"/>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专门借款发生的辅助费用，在所购建或者生产的符合资本化条件的资产达到预定可使用或者</w:t>
      </w:r>
      <w:r>
        <w:rPr>
          <w:w w:val="100"/>
        </w:rPr>
        <w:t> </w:t>
      </w:r>
      <w:r>
        <w:rPr>
          <w:spacing w:val="-6"/>
          <w:w w:val="100"/>
        </w:rPr>
        <w:t>可销售状态之前发生的，在发生时根据其发生额予以资本化，计入符合资本化条件的资产的成本；</w:t>
      </w:r>
      <w:r>
        <w:rPr>
          <w:spacing w:val="-104"/>
          <w:w w:val="100"/>
        </w:rPr>
        <w:t> </w:t>
      </w:r>
      <w:r>
        <w:rPr>
          <w:spacing w:val="-104"/>
          <w:w w:val="100"/>
        </w:rPr>
      </w:r>
      <w:r>
        <w:rPr>
          <w:spacing w:val="-1"/>
        </w:rPr>
        <w:t>在所购建或者生产的符合资本化条件的资产达到预定可使用或者可销售状态之后发生的，在发生</w:t>
      </w:r>
      <w:r>
        <w:rPr>
          <w:spacing w:val="-55"/>
        </w:rPr>
        <w:t> </w:t>
      </w:r>
      <w:r>
        <w:rPr>
          <w:spacing w:val="-55"/>
        </w:rPr>
      </w:r>
      <w:r>
        <w:rPr>
          <w:spacing w:val="-1"/>
        </w:rPr>
        <w:t>时根据其发生额确认为费用，计入当期损益。一般借款发生的辅助费用，在发生时根据其发生额</w:t>
      </w:r>
      <w:r>
        <w:rPr>
          <w:spacing w:val="-55"/>
        </w:rPr>
        <w:t> </w:t>
      </w:r>
      <w:r>
        <w:rPr>
          <w:spacing w:val="-55"/>
        </w:rPr>
      </w:r>
      <w:r>
        <w:rPr/>
        <w:t>确认为费用，计入当期损益。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2"/>
        <w:spacing w:line="240" w:lineRule="auto"/>
        <w:ind w:right="2465"/>
        <w:jc w:val="left"/>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pStyle w:val="BodyText"/>
        <w:spacing w:line="240" w:lineRule="auto" w:before="56"/>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21"/>
          <w:szCs w:val="21"/>
        </w:rPr>
      </w:pPr>
    </w:p>
    <w:p>
      <w:pPr>
        <w:pStyle w:val="Heading2"/>
        <w:spacing w:line="240" w:lineRule="auto"/>
        <w:ind w:right="2465"/>
        <w:jc w:val="left"/>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pStyle w:val="BodyText"/>
        <w:spacing w:line="240" w:lineRule="auto" w:before="56"/>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right="2465"/>
        <w:jc w:val="left"/>
        <w:rPr>
          <w:b w:val="0"/>
          <w:bCs w:val="0"/>
        </w:rPr>
      </w:pPr>
      <w:r>
        <w:rPr>
          <w:rFonts w:ascii="宋体" w:hAnsi="宋体" w:cs="宋体" w:eastAsia="宋体" w:hint="default"/>
        </w:rPr>
        <w:t>21.</w:t>
      </w:r>
      <w:r>
        <w:rPr>
          <w:rFonts w:ascii="宋体" w:hAnsi="宋体" w:cs="宋体" w:eastAsia="宋体" w:hint="default"/>
          <w:spacing w:val="2"/>
        </w:rPr>
        <w:t> </w:t>
      </w:r>
      <w:r>
        <w:rPr/>
        <w:t>无形资产</w:t>
      </w:r>
      <w:r>
        <w:rPr>
          <w:b w:val="0"/>
          <w:bCs w:val="0"/>
        </w:rPr>
      </w:r>
    </w:p>
    <w:p>
      <w:pPr>
        <w:pStyle w:val="Heading2"/>
        <w:spacing w:line="240" w:lineRule="auto" w:before="58"/>
        <w:ind w:right="2465"/>
        <w:jc w:val="left"/>
        <w:rPr>
          <w:b w:val="0"/>
          <w:bCs w:val="0"/>
        </w:rPr>
      </w:pPr>
      <w:r>
        <w:rPr>
          <w:rFonts w:ascii="宋体" w:hAnsi="宋体" w:cs="宋体" w:eastAsia="宋体" w:hint="default"/>
        </w:rPr>
        <w:t>(1).</w:t>
      </w:r>
      <w:r>
        <w:rPr>
          <w:rFonts w:ascii="宋体" w:hAnsi="宋体" w:cs="宋体" w:eastAsia="宋体" w:hint="default"/>
          <w:spacing w:val="-82"/>
        </w:rPr>
        <w:t> </w:t>
      </w:r>
      <w:r>
        <w:rPr/>
        <w:t>计价方法、使用寿命、减值测试</w:t>
      </w:r>
      <w:r>
        <w:rPr>
          <w:b w:val="0"/>
          <w:bCs w:val="0"/>
        </w:rPr>
      </w:r>
    </w:p>
    <w:p>
      <w:pPr>
        <w:pStyle w:val="BodyText"/>
        <w:spacing w:line="282" w:lineRule="exact" w:before="56"/>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72" w:lineRule="exact" w:before="19"/>
        <w:ind w:right="30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6"/>
        </w:rPr>
        <w:t> </w:t>
      </w:r>
      <w:r>
        <w:rPr/>
        <w:t>无形资产，是指企业拥有或者控制的没有实物形态的可辨认非货币性资产。无形资产按照成</w:t>
      </w:r>
      <w:r>
        <w:rPr>
          <w:w w:val="100"/>
        </w:rPr>
        <w:t> </w:t>
      </w:r>
      <w:r>
        <w:rPr/>
        <w:t>本进行初始计量。于取得无形资产时分析判断其使用寿命。</w:t>
      </w:r>
    </w:p>
    <w:p>
      <w:pPr>
        <w:spacing w:line="240" w:lineRule="auto" w:before="5"/>
        <w:rPr>
          <w:rFonts w:ascii="宋体" w:hAnsi="宋体" w:cs="宋体" w:eastAsia="宋体" w:hint="default"/>
          <w:sz w:val="16"/>
          <w:szCs w:val="16"/>
        </w:rPr>
      </w:pPr>
    </w:p>
    <w:p>
      <w:pPr>
        <w:pStyle w:val="BodyText"/>
        <w:spacing w:line="282" w:lineRule="exact"/>
        <w:ind w:right="246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公司确定无形资产使用寿命通常考虑的因素：</w:t>
      </w:r>
    </w:p>
    <w:p>
      <w:pPr>
        <w:pStyle w:val="BodyText"/>
        <w:spacing w:line="265" w:lineRule="exact"/>
        <w:ind w:right="227"/>
        <w:jc w:val="left"/>
      </w:pPr>
      <w:r>
        <w:rPr/>
        <w:t>①运用该资产生产的产品通常的寿命周期、可获得的类似资产使用寿命的信息；</w:t>
      </w:r>
    </w:p>
    <w:p>
      <w:pPr>
        <w:pStyle w:val="BodyText"/>
        <w:spacing w:line="273" w:lineRule="exact"/>
        <w:ind w:right="2465"/>
        <w:jc w:val="left"/>
      </w:pPr>
      <w:r>
        <w:rPr/>
        <w:t>②技术、工艺等方面的现阶段情况及对未来发展趋势的估计；</w:t>
      </w:r>
    </w:p>
    <w:p>
      <w:pPr>
        <w:pStyle w:val="BodyText"/>
        <w:spacing w:line="272" w:lineRule="exact"/>
        <w:ind w:right="2465"/>
        <w:jc w:val="left"/>
      </w:pPr>
      <w:r>
        <w:rPr/>
        <w:t>③以该资产生产的产品或提供服务的市场需求情况；</w:t>
      </w:r>
    </w:p>
    <w:p>
      <w:pPr>
        <w:pStyle w:val="BodyText"/>
        <w:spacing w:line="272" w:lineRule="exact"/>
        <w:ind w:right="2465"/>
        <w:jc w:val="left"/>
      </w:pPr>
      <w:r>
        <w:rPr/>
        <w:t>④现在或潜在的竞争者预期采取的行动；</w:t>
      </w:r>
    </w:p>
    <w:p>
      <w:pPr>
        <w:pStyle w:val="BodyText"/>
        <w:spacing w:line="272" w:lineRule="exact"/>
        <w:ind w:right="227"/>
        <w:jc w:val="left"/>
      </w:pPr>
      <w:r>
        <w:rPr/>
        <w:t>⑤为维持该资产带来经济利益能力的预期维护支出，以及公司预计支付有关支出的能力；</w:t>
      </w:r>
    </w:p>
    <w:p>
      <w:pPr>
        <w:pStyle w:val="BodyText"/>
        <w:spacing w:line="271" w:lineRule="exact"/>
        <w:ind w:right="227"/>
        <w:jc w:val="left"/>
      </w:pPr>
      <w:r>
        <w:rPr/>
        <w:t>⑥对该资产控制期限的相关法律规定或类似限制，如特许使用期、租赁期等；</w:t>
      </w:r>
    </w:p>
    <w:p>
      <w:pPr>
        <w:pStyle w:val="BodyText"/>
        <w:spacing w:line="451" w:lineRule="auto"/>
        <w:ind w:right="227"/>
        <w:jc w:val="left"/>
      </w:pPr>
      <w:r>
        <w:rPr/>
        <w:t>⑦与企业持有其他资产使用寿命的关联性等。</w:t>
      </w:r>
      <w:r>
        <w:rPr>
          <w:w w:val="100"/>
        </w:rPr>
        <w:t> </w:t>
      </w:r>
      <w:r>
        <w:rPr>
          <w:spacing w:val="-2"/>
        </w:rPr>
        <w:t>无法预见无形资产为公司带来经济利益期限的，视为使用寿命不确定的无形资产。</w:t>
      </w:r>
    </w:p>
    <w:p>
      <w:pPr>
        <w:pStyle w:val="BodyText"/>
        <w:spacing w:line="235" w:lineRule="auto" w:before="59"/>
        <w:ind w:right="22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9"/>
        </w:rPr>
        <w:t> </w:t>
      </w:r>
      <w:r>
        <w:rPr/>
        <w:t>对于使用寿命有限的无形资产，在使用寿命内系统合理</w:t>
      </w:r>
      <w:r>
        <w:rPr>
          <w:rFonts w:ascii="Times New Roman" w:hAnsi="Times New Roman" w:cs="Times New Roman" w:eastAsia="Times New Roman" w:hint="default"/>
        </w:rPr>
        <w:t>(</w:t>
      </w:r>
      <w:r>
        <w:rPr/>
        <w:t>或者直线法</w:t>
      </w:r>
      <w:r>
        <w:rPr>
          <w:rFonts w:ascii="Times New Roman" w:hAnsi="Times New Roman" w:cs="Times New Roman" w:eastAsia="Times New Roman" w:hint="default"/>
        </w:rPr>
        <w:t>)</w:t>
      </w:r>
      <w:r>
        <w:rPr/>
        <w:t>摊销。公司于每年年度</w:t>
      </w:r>
      <w:r>
        <w:rPr>
          <w:w w:val="100"/>
        </w:rPr>
        <w:t> </w:t>
      </w:r>
      <w:r>
        <w:rPr>
          <w:spacing w:val="-1"/>
        </w:rPr>
        <w:t>终了，对使用寿命有限的无形资产的使用寿命及摊销方法进行复核。无形资产的使用寿命及摊销</w:t>
      </w:r>
      <w:r>
        <w:rPr>
          <w:spacing w:val="-55"/>
        </w:rPr>
        <w:t> </w:t>
      </w:r>
      <w:r>
        <w:rPr>
          <w:spacing w:val="-55"/>
        </w:rPr>
      </w:r>
      <w:r>
        <w:rPr/>
        <w:t>方法与以前估计不同的，将改变摊销期限和摊销方法。</w:t>
      </w:r>
      <w:r>
        <w:rPr>
          <w:w w:val="100"/>
        </w:rPr>
        <w:t> </w:t>
      </w:r>
      <w:r>
        <w:rPr>
          <w:spacing w:val="-1"/>
        </w:rPr>
        <w:t>对于使用寿命有限的无形资产，在采用直线法计算摊销额时，各项无形资产的使用寿命、预计净</w:t>
      </w:r>
      <w:r>
        <w:rPr>
          <w:spacing w:val="-55"/>
        </w:rPr>
        <w:t> </w:t>
      </w:r>
      <w:r>
        <w:rPr>
          <w:spacing w:val="-55"/>
        </w:rPr>
      </w:r>
      <w:r>
        <w:rPr/>
        <w:t>残值率如下：</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使用年限</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预计净残值率</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40" w:lineRule="auto" w:before="36"/>
        <w:ind w:right="2465"/>
        <w:jc w:val="left"/>
        <w:rPr>
          <w:b w:val="0"/>
          <w:bCs w:val="0"/>
        </w:rPr>
      </w:pPr>
      <w:r>
        <w:rPr>
          <w:rFonts w:ascii="宋体" w:hAnsi="宋体" w:cs="宋体" w:eastAsia="宋体" w:hint="default"/>
        </w:rPr>
        <w:t>(2).</w:t>
      </w:r>
      <w:r>
        <w:rPr>
          <w:rFonts w:ascii="宋体" w:hAnsi="宋体" w:cs="宋体" w:eastAsia="宋体" w:hint="default"/>
          <w:spacing w:val="-83"/>
        </w:rPr>
        <w:t> </w:t>
      </w:r>
      <w:r>
        <w:rPr/>
        <w:t>内部研究开发支出会计政策</w:t>
      </w:r>
      <w:r>
        <w:rPr>
          <w:b w:val="0"/>
          <w:bCs w:val="0"/>
        </w:rPr>
      </w:r>
    </w:p>
    <w:p>
      <w:pPr>
        <w:pStyle w:val="BodyText"/>
        <w:spacing w:line="281" w:lineRule="exact" w:before="58"/>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64" w:lineRule="exact"/>
        <w:ind w:right="227"/>
        <w:jc w:val="left"/>
      </w:pPr>
      <w:r>
        <w:rPr/>
        <w:t>①内部研究开发项目的支出，包括研究阶段支出与开发阶段支出，其中：</w:t>
      </w:r>
    </w:p>
    <w:p>
      <w:pPr>
        <w:pStyle w:val="BodyText"/>
        <w:spacing w:line="280" w:lineRule="exact"/>
        <w:ind w:right="22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7"/>
        </w:rPr>
        <w:t> </w:t>
      </w:r>
      <w:r>
        <w:rPr/>
        <w:t>研究是指为获取并理解新的科学或技术知识而进行的独创性的有计划调查。</w:t>
      </w:r>
    </w:p>
    <w:p>
      <w:pPr>
        <w:pStyle w:val="BodyText"/>
        <w:spacing w:line="272" w:lineRule="exact" w:before="18"/>
        <w:ind w:right="227"/>
        <w:jc w:val="left"/>
      </w:pPr>
      <w:r>
        <w:rPr>
          <w:rFonts w:ascii="Times New Roman" w:hAnsi="Times New Roman" w:cs="Times New Roman" w:eastAsia="Times New Roman" w:hint="default"/>
        </w:rPr>
        <w:t>2) </w:t>
      </w:r>
      <w:r>
        <w:rPr>
          <w:spacing w:val="-3"/>
        </w:rPr>
        <w:t>开发是指在进行商业性生产或使用前，将研究成果或其他知识应用于某项计划或设计，以生产</w:t>
      </w:r>
      <w:r>
        <w:rPr>
          <w:spacing w:val="-101"/>
        </w:rPr>
        <w:t> </w:t>
      </w:r>
      <w:r>
        <w:rPr>
          <w:spacing w:val="-101"/>
        </w:rPr>
      </w:r>
      <w:r>
        <w:rPr/>
        <w:t>出新的或具有实质性改进的材料、装置、产品等。</w:t>
      </w:r>
    </w:p>
    <w:p>
      <w:pPr>
        <w:spacing w:line="240" w:lineRule="auto" w:before="8"/>
        <w:rPr>
          <w:rFonts w:ascii="宋体" w:hAnsi="宋体" w:cs="宋体" w:eastAsia="宋体" w:hint="default"/>
          <w:sz w:val="18"/>
          <w:szCs w:val="18"/>
        </w:rPr>
      </w:pPr>
    </w:p>
    <w:p>
      <w:pPr>
        <w:pStyle w:val="BodyText"/>
        <w:spacing w:line="272" w:lineRule="exact"/>
        <w:ind w:right="227"/>
        <w:jc w:val="left"/>
      </w:pPr>
      <w:r>
        <w:rPr>
          <w:spacing w:val="-1"/>
        </w:rPr>
        <w:t>②内部研究开发项目在研究阶段的支出于发生时计入当期损益；开发阶段的支出，同时满足下列</w:t>
      </w:r>
      <w:r>
        <w:rPr>
          <w:spacing w:val="-55"/>
        </w:rPr>
        <w:t> </w:t>
      </w:r>
      <w:r>
        <w:rPr>
          <w:spacing w:val="-55"/>
        </w:rPr>
      </w:r>
      <w:r>
        <w:rPr/>
        <w:t>条件的，确认为无形资产：</w:t>
      </w:r>
    </w:p>
    <w:p>
      <w:pPr>
        <w:pStyle w:val="BodyText"/>
        <w:spacing w:line="255" w:lineRule="exact"/>
        <w:ind w:right="246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完成该无形资产以使其能够使用或出售在技术上具有可行性；</w:t>
      </w:r>
    </w:p>
    <w:p>
      <w:pPr>
        <w:pStyle w:val="BodyText"/>
        <w:spacing w:line="271" w:lineRule="exact"/>
        <w:ind w:right="246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具有完成该无形资产并使用或出售的意图；</w:t>
      </w:r>
    </w:p>
    <w:p>
      <w:pPr>
        <w:pStyle w:val="BodyText"/>
        <w:spacing w:line="274" w:lineRule="exact" w:before="16"/>
        <w:ind w:right="227"/>
        <w:jc w:val="left"/>
      </w:pPr>
      <w:r>
        <w:rPr>
          <w:rFonts w:ascii="Times New Roman" w:hAnsi="Times New Roman" w:cs="Times New Roman" w:eastAsia="Times New Roman" w:hint="default"/>
        </w:rPr>
        <w:t>3) </w:t>
      </w:r>
      <w:r>
        <w:rPr>
          <w:spacing w:val="-3"/>
        </w:rPr>
        <w:t>无形资产产生经济利益的方式，包括能够证明运用该无形资产生产的产品存在市场或无形资产</w:t>
      </w:r>
      <w:r>
        <w:rPr>
          <w:spacing w:val="-101"/>
        </w:rPr>
        <w:t> </w:t>
      </w:r>
      <w:r>
        <w:rPr>
          <w:spacing w:val="-101"/>
        </w:rPr>
      </w:r>
      <w:r>
        <w:rPr/>
        <w:t>自身存在市场，无形资产将在内部使用的，应当证明其有用性；</w:t>
      </w:r>
    </w:p>
    <w:p>
      <w:pPr>
        <w:pStyle w:val="BodyText"/>
        <w:spacing w:line="253" w:lineRule="exact"/>
        <w:ind w:right="65"/>
        <w:jc w:val="left"/>
      </w:pPr>
      <w:r>
        <w:rPr>
          <w:rFonts w:ascii="Times New Roman" w:hAnsi="Times New Roman" w:cs="Times New Roman" w:eastAsia="Times New Roman" w:hint="default"/>
        </w:rPr>
        <w:t>4)  </w:t>
      </w:r>
      <w:r>
        <w:rPr>
          <w:rFonts w:ascii="Times New Roman" w:hAnsi="Times New Roman" w:cs="Times New Roman" w:eastAsia="Times New Roman" w:hint="default"/>
          <w:spacing w:val="3"/>
        </w:rPr>
        <w:t> </w:t>
      </w:r>
      <w:r>
        <w:rPr>
          <w:spacing w:val="-3"/>
        </w:rPr>
        <w:t>有足够的技术、财务资源和其他资源支持，以完成该无形资产的开发，并有能力使用或出售该</w:t>
      </w:r>
    </w:p>
    <w:p>
      <w:pPr>
        <w:pStyle w:val="BodyText"/>
        <w:spacing w:line="264" w:lineRule="exact"/>
        <w:ind w:right="2465"/>
        <w:jc w:val="left"/>
      </w:pPr>
      <w:r>
        <w:rPr/>
        <w:t>无形资产；</w:t>
      </w:r>
    </w:p>
    <w:p>
      <w:pPr>
        <w:pStyle w:val="BodyText"/>
        <w:spacing w:line="289" w:lineRule="exact"/>
        <w:ind w:right="2465"/>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50"/>
        </w:rPr>
        <w:t> </w:t>
      </w:r>
      <w:r>
        <w:rPr/>
        <w:t>归属于该无形资产开发阶段的支出能够可靠地计量。</w:t>
      </w:r>
    </w:p>
    <w:p>
      <w:pPr>
        <w:spacing w:line="240" w:lineRule="auto" w:before="8"/>
        <w:rPr>
          <w:rFonts w:ascii="宋体" w:hAnsi="宋体" w:cs="宋体" w:eastAsia="宋体" w:hint="default"/>
          <w:sz w:val="21"/>
          <w:szCs w:val="21"/>
        </w:rPr>
      </w:pPr>
    </w:p>
    <w:p>
      <w:pPr>
        <w:pStyle w:val="Heading2"/>
        <w:spacing w:line="240" w:lineRule="auto"/>
        <w:ind w:right="2465"/>
        <w:jc w:val="left"/>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spacing w:line="235" w:lineRule="auto" w:before="63"/>
        <w:ind w:right="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t>对于固定资产、在建工程、使用寿命有限的无形资产、以成本模式计量的投资性房地产及对子公</w:t>
      </w:r>
      <w:r>
        <w:rPr>
          <w:spacing w:val="-97"/>
        </w:rPr>
        <w:t> </w:t>
      </w:r>
      <w:r>
        <w:rPr>
          <w:spacing w:val="-97"/>
        </w:rPr>
      </w:r>
      <w:r>
        <w:rPr/>
        <w:t>司、合营企业、联营企业的长期股权投资等非流动非金融资产，公司于资产负债表日判断是否存</w:t>
      </w:r>
      <w:r>
        <w:rPr>
          <w:spacing w:val="-97"/>
        </w:rPr>
        <w:t> </w:t>
      </w:r>
      <w:r>
        <w:rPr>
          <w:spacing w:val="-97"/>
        </w:rPr>
      </w:r>
      <w:r>
        <w:rPr/>
        <w:t>在减值迹象。如存在减值迹象的，则估计其可收回金额，进行减值测试。商誉、使用寿命不确定</w:t>
      </w:r>
      <w:r>
        <w:rPr>
          <w:spacing w:val="-97"/>
        </w:rPr>
        <w:t> </w:t>
      </w:r>
      <w:r>
        <w:rPr>
          <w:spacing w:val="-97"/>
        </w:rPr>
      </w:r>
      <w:r>
        <w:rPr/>
        <w:t>的无形资产和尚未达到可使用状态的无形资产，无论是否存在减值迹象，每年均进行减值测试。</w:t>
      </w:r>
    </w:p>
    <w:p>
      <w:pPr>
        <w:spacing w:line="240" w:lineRule="auto" w:before="6"/>
        <w:rPr>
          <w:rFonts w:ascii="宋体" w:hAnsi="宋体" w:cs="宋体" w:eastAsia="宋体" w:hint="default"/>
          <w:sz w:val="18"/>
          <w:szCs w:val="18"/>
        </w:rPr>
      </w:pPr>
    </w:p>
    <w:p>
      <w:pPr>
        <w:pStyle w:val="BodyText"/>
        <w:spacing w:line="237" w:lineRule="auto"/>
        <w:ind w:right="65"/>
        <w:jc w:val="left"/>
      </w:pPr>
      <w:r>
        <w:rPr>
          <w:spacing w:val="-4"/>
          <w:w w:val="100"/>
        </w:rPr>
        <w:t>减值测试结果表明资产的可收回金额低于其账面价值的，按其差额计提减值准备并计入减值损失。</w:t>
      </w:r>
      <w:r>
        <w:rPr>
          <w:spacing w:val="-86"/>
          <w:w w:val="100"/>
        </w:rPr>
        <w:t> </w:t>
      </w:r>
      <w:r>
        <w:rPr>
          <w:spacing w:val="-86"/>
          <w:w w:val="100"/>
        </w:rPr>
      </w:r>
      <w:r>
        <w:rPr/>
        <w:t>可收回金额为资产的公允价值减去处置费用后的净额与资产预计未来现金流量的现值两者之间的</w:t>
      </w:r>
      <w:r>
        <w:rPr>
          <w:spacing w:val="-97"/>
        </w:rPr>
        <w:t> </w:t>
      </w:r>
      <w:r>
        <w:rPr>
          <w:spacing w:val="-97"/>
        </w:rPr>
      </w:r>
      <w:r>
        <w:rPr/>
        <w:t>较高者。资产的公允价值根据公平交易中销售协议价格确定；不存在销售协议但存在资产活跃市</w:t>
      </w:r>
      <w:r>
        <w:rPr>
          <w:spacing w:val="-97"/>
        </w:rPr>
        <w:t> </w:t>
      </w:r>
      <w:r>
        <w:rPr>
          <w:spacing w:val="-97"/>
        </w:rPr>
      </w:r>
      <w:r>
        <w:rPr/>
        <w:t>场的，公允价值按照该资产的买方出价确定；不存在销售协议和资产活跃市场的，则以可获取的</w:t>
      </w:r>
      <w:r>
        <w:rPr>
          <w:spacing w:val="-97"/>
        </w:rPr>
        <w:t> </w:t>
      </w:r>
      <w:r>
        <w:rPr>
          <w:spacing w:val="-97"/>
        </w:rPr>
      </w:r>
      <w:r>
        <w:rPr/>
        <w:t>最佳信息为基础估计资产的公允价值。处置费用包括与资产处置有关的法律费用、相关税费、搬</w:t>
      </w:r>
      <w:r>
        <w:rPr>
          <w:spacing w:val="-97"/>
        </w:rPr>
        <w:t> </w:t>
      </w:r>
      <w:r>
        <w:rPr>
          <w:spacing w:val="-97"/>
        </w:rPr>
      </w:r>
      <w:r>
        <w:rPr/>
        <w:t>运费以及为使资产达到可销售状态所发生的直接费用。资产预计未来现金流量的现值，按照资产</w:t>
      </w:r>
      <w:r>
        <w:rPr>
          <w:spacing w:val="-97"/>
        </w:rPr>
        <w:t> </w:t>
      </w:r>
      <w:r>
        <w:rPr>
          <w:spacing w:val="-97"/>
        </w:rPr>
      </w:r>
      <w:r>
        <w:rPr/>
        <w:t>在持续使用过程中和最终处置时所产生的预计未来现金流量，选择恰当的折现率对其进行折现后</w:t>
      </w:r>
      <w:r>
        <w:rPr>
          <w:spacing w:val="-98"/>
        </w:rPr>
        <w:t> </w:t>
      </w:r>
      <w:r>
        <w:rPr>
          <w:spacing w:val="-98"/>
        </w:rPr>
      </w:r>
      <w:r>
        <w:rPr/>
        <w:t>的金额加以确定。资产减值准备按单项资产为基础计算并确认，如果难以对单项资产的可收回金</w:t>
      </w:r>
      <w:r>
        <w:rPr>
          <w:spacing w:val="-97"/>
        </w:rPr>
        <w:t> </w:t>
      </w:r>
      <w:r>
        <w:rPr>
          <w:spacing w:val="-97"/>
        </w:rPr>
      </w:r>
      <w:r>
        <w:rPr/>
        <w:t>额进行估计的，以该资产所属的资产组确定资产组的可收回金额。资产组是能够独立产生现金流</w:t>
      </w:r>
      <w:r>
        <w:rPr>
          <w:spacing w:val="-97"/>
        </w:rPr>
        <w:t> </w:t>
      </w:r>
      <w:r>
        <w:rPr>
          <w:spacing w:val="-97"/>
        </w:rPr>
      </w:r>
      <w:r>
        <w:rPr/>
        <w:t>入的最小资产组合。</w:t>
      </w:r>
    </w:p>
    <w:p>
      <w:pPr>
        <w:spacing w:line="240" w:lineRule="auto" w:before="6"/>
        <w:rPr>
          <w:rFonts w:ascii="宋体" w:hAnsi="宋体" w:cs="宋体" w:eastAsia="宋体" w:hint="default"/>
          <w:sz w:val="18"/>
          <w:szCs w:val="18"/>
        </w:rPr>
      </w:pPr>
    </w:p>
    <w:p>
      <w:pPr>
        <w:pStyle w:val="BodyText"/>
        <w:spacing w:line="237" w:lineRule="auto"/>
        <w:ind w:right="227"/>
        <w:jc w:val="both"/>
      </w:pPr>
      <w:r>
        <w:rPr>
          <w:spacing w:val="-1"/>
        </w:rPr>
        <w:t>在财务报表中单独列示的商誉，在进行减值测试时，将商誉的账面价值分摊至预期从企业合并的</w:t>
      </w:r>
      <w:r>
        <w:rPr>
          <w:spacing w:val="-55"/>
        </w:rPr>
        <w:t> </w:t>
      </w:r>
      <w:r>
        <w:rPr>
          <w:spacing w:val="-55"/>
        </w:rPr>
      </w:r>
      <w:r>
        <w:rPr>
          <w:spacing w:val="-1"/>
        </w:rPr>
        <w:t>协同效应中受益的资产组或资产组组合。测试结果表明包含分摊的商誉的资产组或资产组组合的</w:t>
      </w:r>
      <w:r>
        <w:rPr>
          <w:spacing w:val="-55"/>
        </w:rPr>
        <w:t> </w:t>
      </w:r>
      <w:r>
        <w:rPr>
          <w:spacing w:val="-55"/>
        </w:rPr>
      </w:r>
      <w:r>
        <w:rPr>
          <w:spacing w:val="-1"/>
        </w:rPr>
        <w:t>可收回金额低于其账面价值的，确认相应的减值损失。减值损失金额先抵减分摊至该资产组或资</w:t>
      </w:r>
      <w:r>
        <w:rPr>
          <w:spacing w:val="-55"/>
        </w:rPr>
        <w:t> </w:t>
      </w:r>
      <w:r>
        <w:rPr>
          <w:spacing w:val="-55"/>
        </w:rPr>
      </w:r>
      <w:r>
        <w:rPr>
          <w:spacing w:val="-1"/>
        </w:rPr>
        <w:t>产组组合的商誉的账面价值，再根据资产组或资产组组合中除商誉以外的其他各项资产的账面价</w:t>
      </w:r>
      <w:r>
        <w:rPr>
          <w:spacing w:val="-55"/>
        </w:rPr>
        <w:t> </w:t>
      </w:r>
      <w:r>
        <w:rPr>
          <w:spacing w:val="-55"/>
        </w:rPr>
      </w:r>
      <w:r>
        <w:rPr/>
        <w:t>值所占比重，按比例抵减其他各项资产的账面价值。</w:t>
      </w:r>
    </w:p>
    <w:p>
      <w:pPr>
        <w:spacing w:line="574" w:lineRule="exact" w:before="25"/>
        <w:ind w:left="218" w:right="2465" w:firstLine="0"/>
        <w:jc w:val="left"/>
        <w:rPr>
          <w:rFonts w:ascii="宋体" w:hAnsi="宋体" w:cs="宋体" w:eastAsia="宋体" w:hint="default"/>
          <w:sz w:val="21"/>
          <w:szCs w:val="21"/>
        </w:rPr>
      </w:pPr>
      <w:r>
        <w:rPr>
          <w:rFonts w:ascii="宋体" w:hAnsi="宋体" w:cs="宋体" w:eastAsia="宋体" w:hint="default"/>
          <w:spacing w:val="-2"/>
          <w:sz w:val="21"/>
          <w:szCs w:val="21"/>
        </w:rPr>
        <w:t>上述资产减值损失一经确认，以后期间不予转回价值得以恢复的部分。</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b/>
          <w:bCs/>
          <w:sz w:val="21"/>
          <w:szCs w:val="21"/>
        </w:rPr>
        <w:t>23.</w:t>
      </w:r>
      <w:r>
        <w:rPr>
          <w:rFonts w:ascii="宋体" w:hAnsi="宋体" w:cs="宋体" w:eastAsia="宋体" w:hint="default"/>
          <w:b/>
          <w:bCs/>
          <w:spacing w:val="3"/>
          <w:sz w:val="21"/>
          <w:szCs w:val="21"/>
        </w:rPr>
        <w:t> </w:t>
      </w:r>
      <w:r>
        <w:rPr>
          <w:rFonts w:ascii="宋体" w:hAnsi="宋体" w:cs="宋体" w:eastAsia="宋体" w:hint="default"/>
          <w:b/>
          <w:bCs/>
          <w:sz w:val="21"/>
          <w:szCs w:val="21"/>
        </w:rPr>
        <w:t>长期待摊费用</w:t>
      </w:r>
      <w:r>
        <w:rPr>
          <w:rFonts w:ascii="宋体" w:hAnsi="宋体" w:cs="宋体" w:eastAsia="宋体" w:hint="default"/>
          <w:sz w:val="21"/>
          <w:szCs w:val="21"/>
        </w:rPr>
      </w:r>
    </w:p>
    <w:p>
      <w:pPr>
        <w:pStyle w:val="BodyText"/>
        <w:spacing w:line="255" w:lineRule="exact"/>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81" w:lineRule="exact"/>
        <w:ind w:right="65"/>
        <w:jc w:val="left"/>
      </w:pPr>
      <w:r>
        <w:rPr/>
        <w:t>长期待摊费用是公司已经发生但应由本期和以后各期负担的分摊期限在 </w:t>
      </w:r>
      <w:r>
        <w:rPr>
          <w:rFonts w:ascii="Times New Roman" w:hAnsi="Times New Roman" w:cs="Times New Roman" w:eastAsia="Times New Roman" w:hint="default"/>
        </w:rPr>
        <w:t>1 </w:t>
      </w:r>
      <w:r>
        <w:rPr/>
        <w:t>年以上</w:t>
      </w:r>
      <w:r>
        <w:rPr>
          <w:rFonts w:ascii="Times New Roman" w:hAnsi="Times New Roman" w:cs="Times New Roman" w:eastAsia="Times New Roman" w:hint="default"/>
        </w:rPr>
        <w:t>(</w:t>
      </w:r>
      <w:r>
        <w:rPr/>
        <w:t>不含 </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spacing w:val="-3"/>
        </w:rPr>
        <w:t>年</w:t>
      </w:r>
      <w:r>
        <w:rPr>
          <w:rFonts w:ascii="Times New Roman" w:hAnsi="Times New Roman" w:cs="Times New Roman" w:eastAsia="Times New Roman" w:hint="default"/>
          <w:spacing w:val="-3"/>
        </w:rPr>
        <w:t>)</w:t>
      </w:r>
      <w:r>
        <w:rPr>
          <w:spacing w:val="-3"/>
        </w:rPr>
        <w:t>的各</w:t>
      </w:r>
      <w:r>
        <w:rPr/>
      </w:r>
    </w:p>
    <w:p>
      <w:pPr>
        <w:spacing w:after="0" w:line="281" w:lineRule="exact"/>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224"/>
        <w:jc w:val="left"/>
      </w:pPr>
      <w:r>
        <w:rPr>
          <w:spacing w:val="-6"/>
          <w:w w:val="100"/>
        </w:rPr>
        <w:t>项费用。长期待摊费用在受益期内平均摊销，如果长期待摊费用项目不能使以后会计期间受益的，</w:t>
      </w:r>
      <w:r>
        <w:rPr>
          <w:w w:val="100"/>
        </w:rPr>
        <w:t> </w:t>
      </w:r>
      <w:r>
        <w:rPr/>
        <w:t>则将其尚未摊销的摊余价值全部转入当期损益。</w:t>
      </w:r>
    </w:p>
    <w:p>
      <w:pPr>
        <w:spacing w:line="240" w:lineRule="auto" w:before="3"/>
        <w:rPr>
          <w:rFonts w:ascii="宋体" w:hAnsi="宋体" w:cs="宋体" w:eastAsia="宋体" w:hint="default"/>
          <w:sz w:val="18"/>
          <w:szCs w:val="18"/>
        </w:rPr>
      </w:pPr>
    </w:p>
    <w:p>
      <w:pPr>
        <w:pStyle w:val="BodyText"/>
        <w:spacing w:line="240" w:lineRule="auto"/>
        <w:ind w:left="323" w:right="2465"/>
        <w:jc w:val="left"/>
      </w:pPr>
      <w:r>
        <w:rPr>
          <w:rFonts w:ascii="Times New Roman" w:hAnsi="Times New Roman" w:cs="Times New Roman" w:eastAsia="Times New Roman" w:hint="default"/>
        </w:rPr>
        <w:t>(</w:t>
      </w:r>
      <w:r>
        <w:rPr/>
        <w:t>长期</w:t>
      </w:r>
      <w:r>
        <w:rPr>
          <w:rFonts w:ascii="Times New Roman" w:hAnsi="Times New Roman" w:cs="Times New Roman" w:eastAsia="Times New Roman" w:hint="default"/>
        </w:rPr>
        <w:t>)</w:t>
      </w:r>
      <w:r>
        <w:rPr/>
        <w:t>待摊费用按照</w:t>
      </w:r>
      <w:r>
        <w:rPr>
          <w:rFonts w:ascii="Times New Roman" w:hAnsi="Times New Roman" w:cs="Times New Roman" w:eastAsia="Times New Roman" w:hint="default"/>
        </w:rPr>
        <w:t>(</w:t>
      </w:r>
      <w:r>
        <w:rPr/>
        <w:t>直线法</w:t>
      </w:r>
      <w:r>
        <w:rPr>
          <w:rFonts w:ascii="Times New Roman" w:hAnsi="Times New Roman" w:cs="Times New Roman" w:eastAsia="Times New Roman" w:hint="default"/>
        </w:rPr>
        <w:t>)</w:t>
      </w:r>
      <w:r>
        <w:rPr/>
        <w:t>平均摊销，摊销年限如下：</w:t>
      </w: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摊销年限</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办公室装修</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2"/>
        <w:spacing w:line="290" w:lineRule="auto" w:before="36"/>
        <w:ind w:right="6201"/>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spacing w:line="282" w:lineRule="exact" w:before="12"/>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35" w:lineRule="auto"/>
        <w:ind w:right="227"/>
        <w:jc w:val="left"/>
      </w:pPr>
      <w:r>
        <w:rPr>
          <w:rFonts w:ascii="Times New Roman" w:hAnsi="Times New Roman" w:cs="Times New Roman" w:eastAsia="Times New Roman" w:hint="default"/>
        </w:rPr>
        <w:t>(2) </w:t>
      </w:r>
      <w:r>
        <w:rPr/>
        <w:t>短期薪酬是指公司在职工提供相关服务的年度报告期间结束后十二个月内需要全部予以支付</w:t>
      </w:r>
      <w:r>
        <w:rPr>
          <w:spacing w:val="-80"/>
        </w:rPr>
        <w:t> </w:t>
      </w:r>
      <w:r>
        <w:rPr>
          <w:spacing w:val="-80"/>
        </w:rPr>
      </w:r>
      <w:r>
        <w:rPr/>
        <w:t>的职工薪酬。</w:t>
      </w:r>
      <w:r>
        <w:rPr>
          <w:w w:val="100"/>
        </w:rPr>
        <w:t> </w:t>
      </w:r>
      <w:r>
        <w:rPr>
          <w:spacing w:val="-1"/>
        </w:rPr>
        <w:t>短期薪酬包括职工工资、奖金、津贴和补贴，职工福利费、医疗保险费、工伤保险费和生育保险</w:t>
      </w:r>
      <w:r>
        <w:rPr>
          <w:spacing w:val="-55"/>
        </w:rPr>
        <w:t> </w:t>
      </w:r>
      <w:r>
        <w:rPr>
          <w:spacing w:val="-55"/>
        </w:rPr>
      </w:r>
      <w:r>
        <w:rPr>
          <w:spacing w:val="-1"/>
        </w:rPr>
        <w:t>费等社会保险费，住房公积金、工会经费和职工教育经费，短期带薪缺勤、短期利润分享计划，</w:t>
      </w:r>
      <w:r>
        <w:rPr>
          <w:spacing w:val="-55"/>
        </w:rPr>
        <w:t> </w:t>
      </w:r>
      <w:r>
        <w:rPr>
          <w:spacing w:val="-55"/>
        </w:rPr>
      </w:r>
      <w:r>
        <w:rPr/>
        <w:t>非货币性福利以及其他短期薪酬。</w:t>
      </w:r>
      <w:r>
        <w:rPr>
          <w:w w:val="100"/>
        </w:rPr>
        <w:t> </w:t>
      </w:r>
      <w:r>
        <w:rPr>
          <w:spacing w:val="-1"/>
        </w:rPr>
        <w:t>短期薪酬在职工为公司提供服务的会计期间，将实际发生的短期薪酬确认为负债，并计入当期损</w:t>
      </w:r>
      <w:r>
        <w:rPr>
          <w:spacing w:val="-55"/>
        </w:rPr>
        <w:t> </w:t>
      </w:r>
      <w:r>
        <w:rPr>
          <w:spacing w:val="-55"/>
        </w:rPr>
      </w:r>
      <w:r>
        <w:rPr/>
        <w:t>益或相关资产成本。</w:t>
      </w:r>
    </w:p>
    <w:p>
      <w:pPr>
        <w:spacing w:line="240" w:lineRule="auto" w:before="1"/>
        <w:rPr>
          <w:rFonts w:ascii="宋体" w:hAnsi="宋体" w:cs="宋体" w:eastAsia="宋体" w:hint="default"/>
          <w:sz w:val="23"/>
          <w:szCs w:val="23"/>
        </w:rPr>
      </w:pPr>
    </w:p>
    <w:p>
      <w:pPr>
        <w:pStyle w:val="Heading2"/>
        <w:spacing w:line="240" w:lineRule="auto"/>
        <w:ind w:right="2465"/>
        <w:jc w:val="left"/>
        <w:rPr>
          <w:b w:val="0"/>
          <w:bCs w:val="0"/>
        </w:rPr>
      </w:pPr>
      <w:r>
        <w:rPr>
          <w:rFonts w:ascii="宋体" w:hAnsi="宋体" w:cs="宋体" w:eastAsia="宋体" w:hint="default"/>
        </w:rPr>
        <w:t>(2)</w:t>
      </w:r>
      <w:r>
        <w:rPr/>
        <w:t>、离职后福利的会计处理方法</w:t>
      </w:r>
      <w:r>
        <w:rPr>
          <w:b w:val="0"/>
          <w:bCs w:val="0"/>
        </w:rPr>
      </w:r>
    </w:p>
    <w:p>
      <w:pPr>
        <w:pStyle w:val="BodyText"/>
        <w:spacing w:line="281" w:lineRule="exact" w:before="56"/>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35" w:lineRule="auto"/>
        <w:ind w:right="227"/>
        <w:jc w:val="left"/>
      </w:pPr>
      <w:r>
        <w:rPr>
          <w:rFonts w:ascii="Times New Roman" w:hAnsi="Times New Roman" w:cs="Times New Roman" w:eastAsia="Times New Roman" w:hint="default"/>
        </w:rPr>
        <w:t>(3) </w:t>
      </w:r>
      <w:r>
        <w:rPr/>
        <w:t>离职后福利是指公司为获得员工提供的服务而在职工退休或与公司解除劳动关系后，提供的</w:t>
      </w:r>
      <w:r>
        <w:rPr>
          <w:spacing w:val="-80"/>
        </w:rPr>
        <w:t> </w:t>
      </w:r>
      <w:r>
        <w:rPr>
          <w:spacing w:val="-80"/>
        </w:rPr>
      </w:r>
      <w:r>
        <w:rPr/>
        <w:t>各种形式的报酬和福利，短期薪酬和辞退福利除外。</w:t>
      </w:r>
      <w:r>
        <w:rPr>
          <w:w w:val="100"/>
        </w:rPr>
        <w:t> </w:t>
      </w:r>
      <w:r>
        <w:rPr>
          <w:spacing w:val="-1"/>
        </w:rPr>
        <w:t>离职后福利计划包括设定提存计划和设定受益计划。其中，设定提存计划，是指向独立的基金缴</w:t>
      </w:r>
      <w:r>
        <w:rPr>
          <w:spacing w:val="-55"/>
        </w:rPr>
        <w:t> </w:t>
      </w:r>
      <w:r>
        <w:rPr>
          <w:spacing w:val="-55"/>
        </w:rPr>
      </w:r>
      <w:r>
        <w:rPr>
          <w:spacing w:val="-1"/>
        </w:rPr>
        <w:t>存固定费用后，公司不再承担进一步支付义务的离职后福利计划；设定受益计划，是指除设定提</w:t>
      </w:r>
      <w:r>
        <w:rPr>
          <w:spacing w:val="-55"/>
        </w:rPr>
        <w:t> </w:t>
      </w:r>
      <w:r>
        <w:rPr>
          <w:spacing w:val="-55"/>
        </w:rPr>
      </w:r>
      <w:r>
        <w:rPr/>
        <w:t>存计划以外的离职后福利计划。</w:t>
      </w:r>
      <w:r>
        <w:rPr>
          <w:w w:val="100"/>
        </w:rPr>
        <w:t> </w:t>
      </w:r>
      <w:r>
        <w:rPr>
          <w:spacing w:val="-1"/>
        </w:rPr>
        <w:t>设定提存计划包括基本养老保险、失业保险等。在职工提供服务的会计期间，根据设定提存计划</w:t>
      </w:r>
      <w:r>
        <w:rPr>
          <w:spacing w:val="-55"/>
        </w:rPr>
        <w:t> </w:t>
      </w:r>
      <w:r>
        <w:rPr>
          <w:spacing w:val="-55"/>
        </w:rPr>
      </w:r>
      <w:r>
        <w:rPr/>
        <w:t>计算的应缴存金额确认为负债，并计入当期损益或相关资产成本。</w:t>
      </w:r>
      <w:r>
        <w:rPr>
          <w:w w:val="100"/>
        </w:rPr>
        <w:t> </w:t>
      </w:r>
      <w:r>
        <w:rPr/>
        <w:t>于报告期末，将设定受益计划产生的职工薪酬成本确认为下列组成部分：</w:t>
      </w:r>
    </w:p>
    <w:p>
      <w:pPr>
        <w:pStyle w:val="BodyText"/>
        <w:spacing w:line="271" w:lineRule="exact"/>
        <w:ind w:right="2465"/>
        <w:jc w:val="left"/>
      </w:pPr>
      <w:r>
        <w:rPr/>
        <w:t>①服务成本，包括当期服务成本、过去服务成本和结算利得或损失。</w:t>
      </w:r>
    </w:p>
    <w:p>
      <w:pPr>
        <w:pStyle w:val="BodyText"/>
        <w:spacing w:line="272" w:lineRule="exact" w:before="27"/>
        <w:ind w:right="227"/>
        <w:jc w:val="left"/>
      </w:pPr>
      <w:r>
        <w:rPr>
          <w:spacing w:val="-1"/>
        </w:rPr>
        <w:t>②设定受益计划净负债或净资产的利息净额，包括计划资产的利息收益、设定受益计划义务的利</w:t>
      </w:r>
      <w:r>
        <w:rPr>
          <w:spacing w:val="-55"/>
        </w:rPr>
        <w:t> </w:t>
      </w:r>
      <w:r>
        <w:rPr>
          <w:spacing w:val="-55"/>
        </w:rPr>
      </w:r>
      <w:r>
        <w:rPr/>
        <w:t>息费用以及资产上限影响的利息。</w:t>
      </w:r>
    </w:p>
    <w:p>
      <w:pPr>
        <w:pStyle w:val="BodyText"/>
        <w:spacing w:line="272" w:lineRule="exact" w:before="1"/>
        <w:ind w:right="65"/>
        <w:jc w:val="left"/>
      </w:pPr>
      <w:r>
        <w:rPr/>
        <w:t>③重新计量设定受益计划净负债或净资产所产生的变动。</w:t>
      </w:r>
      <w:r>
        <w:rPr>
          <w:w w:val="100"/>
        </w:rPr>
        <w:t> </w:t>
      </w:r>
      <w:r>
        <w:rPr>
          <w:spacing w:val="-4"/>
          <w:w w:val="100"/>
        </w:rPr>
        <w:t>除非其他会计准则要求或允许职工福利成本计入资产成本，上述第①项和第②项应计入当期损益；</w:t>
      </w:r>
    </w:p>
    <w:p>
      <w:pPr>
        <w:pStyle w:val="BodyText"/>
        <w:spacing w:line="272" w:lineRule="exact" w:before="1"/>
        <w:ind w:right="227"/>
        <w:jc w:val="left"/>
      </w:pPr>
      <w:r>
        <w:rPr>
          <w:spacing w:val="-1"/>
        </w:rPr>
        <w:t>第③项应计入其他综合收益，并且在后续会计期间不允许转回至损益，但可以在权益范围内转移</w:t>
      </w:r>
      <w:r>
        <w:rPr>
          <w:spacing w:val="-55"/>
        </w:rPr>
        <w:t> </w:t>
      </w:r>
      <w:r>
        <w:rPr>
          <w:spacing w:val="-55"/>
        </w:rPr>
      </w:r>
      <w:r>
        <w:rPr/>
        <w:t>这些在其他综合收益中确认的金额。</w:t>
      </w:r>
    </w:p>
    <w:p>
      <w:pPr>
        <w:spacing w:line="240" w:lineRule="auto" w:before="5"/>
        <w:rPr>
          <w:rFonts w:ascii="宋体" w:hAnsi="宋体" w:cs="宋体" w:eastAsia="宋体" w:hint="default"/>
          <w:sz w:val="16"/>
          <w:szCs w:val="16"/>
        </w:rPr>
      </w:pPr>
    </w:p>
    <w:p>
      <w:pPr>
        <w:pStyle w:val="BodyText"/>
        <w:spacing w:line="274" w:lineRule="exact"/>
        <w:ind w:right="227"/>
        <w:jc w:val="left"/>
      </w:pPr>
      <w:r>
        <w:rPr/>
        <w:t>在设定受益计划下，在下列日期孰早日将过去服务成本确认为当期费用：</w:t>
      </w:r>
    </w:p>
    <w:p>
      <w:pPr>
        <w:pStyle w:val="BodyText"/>
        <w:spacing w:line="280" w:lineRule="exact"/>
        <w:ind w:right="2465"/>
        <w:jc w:val="left"/>
      </w:pPr>
      <w:r>
        <w:rPr>
          <w:rFonts w:ascii="Times New Roman" w:hAnsi="Times New Roman" w:cs="Times New Roman" w:eastAsia="Times New Roman" w:hint="default"/>
        </w:rPr>
        <w:t>1)  </w:t>
      </w:r>
      <w:r>
        <w:rPr/>
        <w:t>修改设定受益计划时。</w:t>
      </w:r>
    </w:p>
    <w:p>
      <w:pPr>
        <w:pStyle w:val="BodyText"/>
        <w:spacing w:line="274" w:lineRule="exact" w:before="16"/>
        <w:ind w:right="246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企业确认相关重组费用或辞退福利时。</w:t>
      </w:r>
      <w:r>
        <w:rPr>
          <w:w w:val="100"/>
        </w:rPr>
        <w:t> </w:t>
      </w:r>
      <w:r>
        <w:rPr>
          <w:spacing w:val="-2"/>
        </w:rPr>
        <w:t>在设定受益计划结算时，确认一项结算利得或损失。</w:t>
      </w:r>
    </w:p>
    <w:p>
      <w:pPr>
        <w:spacing w:line="240" w:lineRule="auto" w:before="12"/>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(3)</w:t>
      </w:r>
      <w:r>
        <w:rPr/>
        <w:t>、辞退福利的会计处理方法</w:t>
      </w:r>
      <w:r>
        <w:rPr>
          <w:b w:val="0"/>
          <w:bCs w:val="0"/>
        </w:rPr>
      </w:r>
    </w:p>
    <w:p>
      <w:pPr>
        <w:pStyle w:val="BodyText"/>
        <w:spacing w:line="235" w:lineRule="auto" w:before="61"/>
        <w:ind w:right="227"/>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spacing w:val="-1"/>
        </w:rPr>
        <w:t>是指公司在职工劳动合同到期之前解除与职工的劳动关系，或者为鼓励职工自愿接受裁减而给予</w:t>
      </w:r>
      <w:r>
        <w:rPr>
          <w:spacing w:val="-55"/>
        </w:rPr>
        <w:t> </w:t>
      </w:r>
      <w:r>
        <w:rPr>
          <w:spacing w:val="-55"/>
        </w:rPr>
      </w:r>
      <w:r>
        <w:rPr/>
        <w:t>职工的补偿。</w:t>
      </w:r>
      <w:r>
        <w:rPr>
          <w:w w:val="100"/>
        </w:rPr>
        <w:t> </w:t>
      </w:r>
      <w:r>
        <w:rPr>
          <w:spacing w:val="-1"/>
        </w:rPr>
        <w:t>公司向职工提供辞退福利的，在下列两者孰早日确认辞退福利产生的职工薪酬负债，并计入当期</w:t>
      </w:r>
      <w:r>
        <w:rPr>
          <w:spacing w:val="-55"/>
        </w:rPr>
        <w:t> </w:t>
      </w:r>
      <w:r>
        <w:rPr>
          <w:spacing w:val="-55"/>
        </w:rPr>
      </w:r>
      <w:r>
        <w:rPr>
          <w:spacing w:val="-1"/>
        </w:rPr>
        <w:t>损益：公司不能单方面撤回因解除劳动关系计划或裁减建议所提供的辞退福利时；公司确认与涉</w:t>
      </w:r>
      <w:r>
        <w:rPr>
          <w:spacing w:val="-55"/>
        </w:rPr>
        <w:t> </w:t>
      </w:r>
      <w:r>
        <w:rPr>
          <w:spacing w:val="-55"/>
        </w:rPr>
      </w:r>
      <w:r>
        <w:rPr/>
        <w:t>及支付辞退福利的重组相关的成本或费用时。</w:t>
      </w:r>
    </w:p>
    <w:p>
      <w:pPr>
        <w:spacing w:after="0" w:line="235"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left="138" w:right="0"/>
        <w:jc w:val="left"/>
        <w:rPr>
          <w:b w:val="0"/>
          <w:bCs w:val="0"/>
        </w:rPr>
      </w:pPr>
      <w:r>
        <w:rPr>
          <w:rFonts w:ascii="宋体" w:hAnsi="宋体" w:cs="宋体" w:eastAsia="宋体" w:hint="default"/>
        </w:rPr>
        <w:t>(4)</w:t>
      </w:r>
      <w:r>
        <w:rPr/>
        <w:t>、其他长期职工福利的会计处理方法</w:t>
      </w:r>
      <w:r>
        <w:rPr>
          <w:b w:val="0"/>
          <w:bCs w:val="0"/>
        </w:rPr>
      </w:r>
    </w:p>
    <w:p>
      <w:pPr>
        <w:pStyle w:val="BodyText"/>
        <w:spacing w:line="235" w:lineRule="auto" w:before="63"/>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spacing w:val="-1"/>
        </w:rPr>
        <w:t>是指除短期薪酬、离职后福利、辞退福利之外所有的职工薪酬，包括长期带薪缺勤、长期残疾福</w:t>
      </w:r>
      <w:r>
        <w:rPr>
          <w:spacing w:val="-55"/>
        </w:rPr>
        <w:t> </w:t>
      </w:r>
      <w:r>
        <w:rPr>
          <w:spacing w:val="-55"/>
        </w:rPr>
      </w:r>
      <w:r>
        <w:rPr/>
        <w:t>利、长期利润分享计划等。</w:t>
      </w:r>
      <w:r>
        <w:rPr>
          <w:w w:val="100"/>
        </w:rPr>
        <w:t> </w:t>
      </w:r>
      <w:r>
        <w:rPr>
          <w:spacing w:val="-1"/>
        </w:rPr>
        <w:t>企业向职工提供的其他长期职工福利，符合设定提存计划条件的，适用于上述设定提存计划的有</w:t>
      </w:r>
      <w:r>
        <w:rPr>
          <w:spacing w:val="-55"/>
        </w:rPr>
        <w:t> </w:t>
      </w:r>
      <w:r>
        <w:rPr>
          <w:spacing w:val="-55"/>
        </w:rPr>
      </w:r>
      <w:r>
        <w:rPr/>
        <w:t>关规定进行处理。</w:t>
      </w:r>
      <w:r>
        <w:rPr>
          <w:w w:val="100"/>
        </w:rPr>
        <w:t> </w:t>
      </w:r>
      <w:r>
        <w:rPr>
          <w:spacing w:val="-1"/>
        </w:rPr>
        <w:t>除符合设定提存计划条件的情形外，按照设定受益计划的有关规定，确认和计量其他长期职工福</w:t>
      </w:r>
      <w:r>
        <w:rPr>
          <w:spacing w:val="-56"/>
        </w:rPr>
        <w:t> </w:t>
      </w:r>
      <w:r>
        <w:rPr>
          <w:spacing w:val="-56"/>
        </w:rPr>
      </w:r>
      <w:r>
        <w:rPr>
          <w:spacing w:val="-1"/>
        </w:rPr>
        <w:t>利净负债或净资产。在报告期末，企业应当将其他长期职工福利产生的职工薪酬成本确认为下列</w:t>
      </w:r>
      <w:r>
        <w:rPr>
          <w:spacing w:val="-55"/>
        </w:rPr>
        <w:t> </w:t>
      </w:r>
      <w:r>
        <w:rPr>
          <w:spacing w:val="-55"/>
        </w:rPr>
      </w:r>
      <w:r>
        <w:rPr/>
        <w:t>组成部分：</w:t>
      </w:r>
    </w:p>
    <w:p>
      <w:pPr>
        <w:pStyle w:val="BodyText"/>
        <w:spacing w:line="272" w:lineRule="exact"/>
        <w:ind w:left="138" w:right="0"/>
        <w:jc w:val="left"/>
      </w:pPr>
      <w:r>
        <w:rPr/>
        <w:t>①服务成本。</w:t>
      </w:r>
    </w:p>
    <w:p>
      <w:pPr>
        <w:pStyle w:val="BodyText"/>
        <w:spacing w:line="272" w:lineRule="exact"/>
        <w:ind w:left="138" w:right="0"/>
        <w:jc w:val="left"/>
      </w:pPr>
      <w:r>
        <w:rPr/>
        <w:t>②其他长期职工福利净负债或净资产的利息净额。</w:t>
      </w:r>
    </w:p>
    <w:p>
      <w:pPr>
        <w:pStyle w:val="BodyText"/>
        <w:spacing w:line="272" w:lineRule="exact" w:before="27"/>
        <w:ind w:left="138" w:right="0"/>
        <w:jc w:val="left"/>
      </w:pPr>
      <w:r>
        <w:rPr/>
        <w:t>③重新计量其他长期职工福利净负债或净资产所产生的变动。</w:t>
      </w:r>
      <w:r>
        <w:rPr>
          <w:w w:val="100"/>
        </w:rPr>
        <w:t> </w:t>
      </w:r>
      <w:r>
        <w:rPr>
          <w:spacing w:val="-2"/>
        </w:rPr>
        <w:t>为简化相关会计处理，上述项目的总净额计入当期损益或相关资产成本。</w:t>
      </w:r>
    </w:p>
    <w:p>
      <w:pPr>
        <w:spacing w:line="240" w:lineRule="auto" w:before="12"/>
        <w:rPr>
          <w:rFonts w:ascii="宋体" w:hAnsi="宋体" w:cs="宋体" w:eastAsia="宋体" w:hint="default"/>
          <w:sz w:val="20"/>
          <w:szCs w:val="20"/>
        </w:rPr>
      </w:pPr>
    </w:p>
    <w:p>
      <w:pPr>
        <w:pStyle w:val="Heading2"/>
        <w:spacing w:line="240" w:lineRule="auto"/>
        <w:ind w:left="138" w:right="0"/>
        <w:jc w:val="left"/>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spacing w:line="230" w:lineRule="auto" w:before="68"/>
        <w:ind w:left="138" w:right="3081"/>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spacing w:val="-3"/>
          <w:w w:val="100"/>
        </w:rPr>
        <w:t> </w:t>
      </w:r>
      <w:r>
        <w:rPr>
          <w:spacing w:val="-2"/>
        </w:rPr>
        <w:t>与或有事项相关的义务同时满足下列条件的，确认为预计负债：</w:t>
      </w:r>
      <w:r>
        <w:rPr>
          <w:spacing w:val="-52"/>
        </w:rPr>
        <w:t> </w:t>
      </w:r>
      <w:r>
        <w:rPr>
          <w:spacing w:val="-52"/>
        </w:rPr>
      </w: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该义务是企业承担的现时义务；</w:t>
      </w:r>
    </w:p>
    <w:p>
      <w:pPr>
        <w:pStyle w:val="BodyText"/>
        <w:spacing w:line="264" w:lineRule="exact"/>
        <w:ind w:left="13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履行该义务很可能导致经济利益流出企业；</w:t>
      </w:r>
    </w:p>
    <w:p>
      <w:pPr>
        <w:pStyle w:val="BodyText"/>
        <w:spacing w:line="272" w:lineRule="exact" w:before="19"/>
        <w:ind w:left="138"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该义务的金额能够可靠地计量。</w:t>
      </w:r>
      <w:r>
        <w:rPr>
          <w:w w:val="100"/>
        </w:rPr>
        <w:t> </w:t>
      </w:r>
      <w:r>
        <w:rPr>
          <w:spacing w:val="-2"/>
        </w:rPr>
        <w:t>预计负债应当按照履行相关现时义务所需支出的最佳估计数进行初始计量。</w:t>
      </w:r>
    </w:p>
    <w:p>
      <w:pPr>
        <w:spacing w:line="240" w:lineRule="auto" w:before="12"/>
        <w:rPr>
          <w:rFonts w:ascii="宋体" w:hAnsi="宋体" w:cs="宋体" w:eastAsia="宋体" w:hint="default"/>
          <w:sz w:val="20"/>
          <w:szCs w:val="20"/>
        </w:rPr>
      </w:pPr>
    </w:p>
    <w:p>
      <w:pPr>
        <w:pStyle w:val="Heading2"/>
        <w:spacing w:line="240" w:lineRule="auto"/>
        <w:ind w:left="138" w:right="0"/>
        <w:jc w:val="left"/>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spacing w:line="240" w:lineRule="auto" w:before="59"/>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138" w:right="0"/>
        <w:jc w:val="left"/>
        <w:rPr>
          <w:b w:val="0"/>
          <w:bCs w:val="0"/>
        </w:rPr>
      </w:pPr>
      <w:r>
        <w:rPr>
          <w:rFonts w:ascii="宋体" w:hAnsi="宋体" w:cs="宋体" w:eastAsia="宋体" w:hint="default"/>
        </w:rPr>
        <w:t>27. </w:t>
      </w:r>
      <w:r>
        <w:rPr/>
        <w:t>优先股、永续债等其他金融工具</w:t>
      </w:r>
      <w:r>
        <w:rPr>
          <w:b w:val="0"/>
          <w:bCs w:val="0"/>
        </w:rPr>
      </w:r>
    </w:p>
    <w:p>
      <w:pPr>
        <w:pStyle w:val="BodyText"/>
        <w:spacing w:line="240" w:lineRule="auto" w:before="56"/>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138" w:right="0"/>
        <w:jc w:val="left"/>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BodyText"/>
        <w:spacing w:line="281" w:lineRule="exact" w:before="58"/>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32" w:lineRule="auto"/>
        <w:ind w:left="138" w:right="0"/>
        <w:jc w:val="left"/>
      </w:pPr>
      <w:r>
        <w:rPr/>
        <w:t>（</w:t>
      </w:r>
      <w:r>
        <w:rPr>
          <w:rFonts w:ascii="Times New Roman" w:hAnsi="Times New Roman" w:cs="Times New Roman" w:eastAsia="Times New Roman" w:hint="default"/>
        </w:rPr>
        <w:t>1</w:t>
      </w:r>
      <w:r>
        <w:rPr/>
        <w:t>）销售商品</w:t>
      </w:r>
      <w:r>
        <w:rPr>
          <w:w w:val="100"/>
        </w:rPr>
        <w:t> </w:t>
      </w:r>
      <w:r>
        <w:rPr>
          <w:spacing w:val="-1"/>
        </w:rPr>
        <w:t>公司已将商品所有权上的主要风险和报酬转移给购买方；公司既没有保留与所有权相联系的继续</w:t>
      </w:r>
      <w:r>
        <w:rPr>
          <w:spacing w:val="-55"/>
        </w:rPr>
        <w:t> </w:t>
      </w:r>
      <w:r>
        <w:rPr>
          <w:spacing w:val="-55"/>
        </w:rPr>
      </w:r>
      <w:r>
        <w:rPr>
          <w:spacing w:val="-1"/>
        </w:rPr>
        <w:t>管理权，也没有对已售出的商品实施有效控制；收入的金额能够可靠地计量；相关的经济利益很</w:t>
      </w:r>
      <w:r>
        <w:rPr>
          <w:spacing w:val="-55"/>
        </w:rPr>
        <w:t> </w:t>
      </w:r>
      <w:r>
        <w:rPr>
          <w:spacing w:val="-55"/>
        </w:rPr>
      </w:r>
      <w:r>
        <w:rPr/>
        <w:t>可能流入企业；相关的已发生或将发生的成本能够可靠地计量时，确认商品销售收入实现。</w:t>
      </w:r>
    </w:p>
    <w:p>
      <w:pPr>
        <w:spacing w:line="240" w:lineRule="auto" w:before="7"/>
        <w:rPr>
          <w:rFonts w:ascii="宋体" w:hAnsi="宋体" w:cs="宋体" w:eastAsia="宋体" w:hint="default"/>
          <w:sz w:val="18"/>
          <w:szCs w:val="18"/>
        </w:rPr>
      </w:pPr>
    </w:p>
    <w:p>
      <w:pPr>
        <w:pStyle w:val="BodyText"/>
        <w:spacing w:line="237" w:lineRule="auto"/>
        <w:ind w:left="138" w:right="0"/>
        <w:jc w:val="left"/>
      </w:pPr>
      <w:r>
        <w:rPr/>
        <w:t>⑵提供劳务</w:t>
      </w:r>
      <w:r>
        <w:rPr>
          <w:spacing w:val="-102"/>
        </w:rPr>
        <w:t> </w:t>
      </w:r>
      <w:r>
        <w:rPr>
          <w:spacing w:val="-102"/>
        </w:rPr>
      </w:r>
      <w:r>
        <w:rPr>
          <w:spacing w:val="-1"/>
        </w:rPr>
        <w:t>在同一年度内开始并完成，在劳务已经提供，收到价款或取得收取价款的依据时，确认劳务收入</w:t>
      </w:r>
      <w:r>
        <w:rPr>
          <w:spacing w:val="-55"/>
        </w:rPr>
        <w:t> </w:t>
      </w:r>
      <w:r>
        <w:rPr>
          <w:spacing w:val="-55"/>
        </w:rPr>
      </w:r>
      <w:r>
        <w:rPr>
          <w:spacing w:val="-1"/>
        </w:rPr>
        <w:t>的实现；如劳务的开始和完成分属不同的会计年度，在提供劳务交易的结果能够可靠估计的情况</w:t>
      </w:r>
      <w:r>
        <w:rPr>
          <w:spacing w:val="-55"/>
        </w:rPr>
        <w:t> </w:t>
      </w:r>
      <w:r>
        <w:rPr>
          <w:spacing w:val="-55"/>
        </w:rPr>
      </w:r>
      <w:r>
        <w:rPr>
          <w:spacing w:val="-1"/>
        </w:rPr>
        <w:t>下，在资产负债表日按完工百分比法确认相关的劳务收入。提供劳务交易的完工进度，依据已完</w:t>
      </w:r>
      <w:r>
        <w:rPr>
          <w:spacing w:val="-55"/>
        </w:rPr>
        <w:t> </w:t>
      </w:r>
      <w:r>
        <w:rPr>
          <w:spacing w:val="-55"/>
        </w:rPr>
      </w:r>
      <w:r>
        <w:rPr/>
        <w:t>工作的测量确定。</w:t>
      </w:r>
      <w:r>
        <w:rPr>
          <w:w w:val="100"/>
        </w:rPr>
        <w:t> </w:t>
      </w:r>
      <w:r>
        <w:rPr>
          <w:spacing w:val="-1"/>
        </w:rPr>
        <w:t>按照已收或应收的合同或协议价款确定提供劳务收入总额，但已收或应收的合同或协议价款不公</w:t>
      </w:r>
      <w:r>
        <w:rPr>
          <w:spacing w:val="-55"/>
        </w:rPr>
        <w:t> </w:t>
      </w:r>
      <w:r>
        <w:rPr>
          <w:spacing w:val="-55"/>
        </w:rPr>
      </w:r>
      <w:r>
        <w:rPr>
          <w:spacing w:val="-1"/>
        </w:rPr>
        <w:t>允的除外。资产负债表日按照提供劳务收入总额乘以完工进度扣除以前会计期间累计已确认提供</w:t>
      </w:r>
      <w:r>
        <w:rPr>
          <w:spacing w:val="-55"/>
        </w:rPr>
        <w:t> </w:t>
      </w:r>
      <w:r>
        <w:rPr>
          <w:spacing w:val="-55"/>
        </w:rPr>
      </w:r>
      <w:r>
        <w:rPr>
          <w:spacing w:val="-1"/>
        </w:rPr>
        <w:t>劳务收入后的金额，确认当期提供劳务收入；同时，按照提供劳务估计总成本乘以完工进度扣除</w:t>
      </w:r>
      <w:r>
        <w:rPr>
          <w:spacing w:val="-55"/>
        </w:rPr>
        <w:t> </w:t>
      </w:r>
      <w:r>
        <w:rPr>
          <w:spacing w:val="-55"/>
        </w:rPr>
      </w:r>
      <w:r>
        <w:rPr/>
        <w:t>以前会计期间累计已确认劳务成本后的金额，结转当期劳务成本。</w:t>
      </w:r>
      <w:r>
        <w:rPr>
          <w:w w:val="100"/>
        </w:rPr>
        <w:t> </w:t>
      </w:r>
      <w:r>
        <w:rPr/>
        <w:t>在资产负债表日提供劳务交易结果不能够可靠估计的，分别下列情况处理：</w:t>
      </w:r>
    </w:p>
    <w:p>
      <w:pPr>
        <w:pStyle w:val="BodyText"/>
        <w:spacing w:line="272" w:lineRule="exact" w:before="26"/>
        <w:ind w:left="138" w:right="0"/>
        <w:jc w:val="left"/>
      </w:pPr>
      <w:r>
        <w:rPr>
          <w:spacing w:val="-2"/>
        </w:rPr>
        <w:t>①已经发生的劳务成本预计能够得到补偿的，按照已经发生的劳务成本金额确认提供劳务收入，</w:t>
      </w:r>
      <w:r>
        <w:rPr>
          <w:spacing w:val="-25"/>
        </w:rPr>
        <w:t> </w:t>
      </w:r>
      <w:r>
        <w:rPr>
          <w:spacing w:val="-25"/>
        </w:rPr>
      </w:r>
      <w:r>
        <w:rPr/>
        <w:t>并按相同金额结转劳务成本。</w:t>
      </w:r>
    </w:p>
    <w:p>
      <w:pPr>
        <w:pStyle w:val="BodyText"/>
        <w:spacing w:line="272" w:lineRule="exact" w:before="2"/>
        <w:ind w:left="138" w:right="0"/>
        <w:jc w:val="left"/>
      </w:pPr>
      <w:r>
        <w:rPr>
          <w:spacing w:val="-2"/>
        </w:rPr>
        <w:t>②已经发生的劳务成本预计不能够得到补偿的，将已经发生的劳务成本计入当期损益，不确认提</w:t>
      </w:r>
      <w:r>
        <w:rPr>
          <w:spacing w:val="-25"/>
        </w:rPr>
        <w:t> </w:t>
      </w:r>
      <w:r>
        <w:rPr>
          <w:spacing w:val="-25"/>
        </w:rPr>
      </w:r>
      <w:r>
        <w:rPr/>
        <w:t>供劳务收入。</w:t>
      </w:r>
    </w:p>
    <w:p>
      <w:pPr>
        <w:spacing w:after="0" w:line="272" w:lineRule="exact"/>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37" w:lineRule="auto" w:before="38"/>
        <w:ind w:left="138" w:right="588"/>
        <w:jc w:val="left"/>
      </w:pPr>
      <w:r>
        <w:rPr/>
        <w:t>⑶让渡资产使用权</w:t>
      </w:r>
      <w:r>
        <w:rPr>
          <w:w w:val="100"/>
        </w:rPr>
        <w:t> </w:t>
      </w:r>
      <w:r>
        <w:rPr/>
        <w:t>与交易相关的经济利益很可能流入企业，收入的金额能够可靠地计量时。</w:t>
      </w:r>
      <w:r>
        <w:rPr>
          <w:w w:val="100"/>
        </w:rPr>
        <w:t> </w:t>
      </w:r>
      <w:r>
        <w:rPr>
          <w:spacing w:val="-2"/>
        </w:rPr>
        <w:t>出租物业收入按照具有承租人认可的租赁合同、协议或其他结算通知书进行计量。</w:t>
      </w:r>
      <w:r>
        <w:rPr>
          <w:spacing w:val="-36"/>
        </w:rPr>
        <w:t> </w:t>
      </w:r>
      <w:r>
        <w:rPr>
          <w:spacing w:val="-36"/>
        </w:rPr>
      </w:r>
      <w:r>
        <w:rPr/>
        <w:t>分别下列情况确定让渡资产使用权收入金额：</w:t>
      </w:r>
    </w:p>
    <w:p>
      <w:pPr>
        <w:pStyle w:val="BodyText"/>
        <w:spacing w:line="272" w:lineRule="exact"/>
        <w:ind w:left="138" w:right="0"/>
        <w:jc w:val="left"/>
      </w:pPr>
      <w:r>
        <w:rPr/>
        <w:t>①利息收入金额，按照他人使用本企业货币资金的时间和实际利率计算确定。</w:t>
      </w:r>
    </w:p>
    <w:p>
      <w:pPr>
        <w:pStyle w:val="BodyText"/>
        <w:spacing w:line="273" w:lineRule="exact"/>
        <w:ind w:left="138" w:right="0"/>
        <w:jc w:val="left"/>
      </w:pPr>
      <w:r>
        <w:rPr/>
        <w:t>②使用费收入金额，按照有关合同或协议约定的收费时间和方法计算确定。</w:t>
      </w:r>
    </w:p>
    <w:p>
      <w:pPr>
        <w:spacing w:line="240" w:lineRule="auto" w:before="6"/>
        <w:rPr>
          <w:rFonts w:ascii="宋体" w:hAnsi="宋体" w:cs="宋体" w:eastAsia="宋体" w:hint="default"/>
          <w:sz w:val="18"/>
          <w:szCs w:val="18"/>
        </w:rPr>
      </w:pPr>
    </w:p>
    <w:p>
      <w:pPr>
        <w:pStyle w:val="BodyText"/>
        <w:spacing w:line="273" w:lineRule="exact"/>
        <w:ind w:left="138" w:right="0"/>
        <w:jc w:val="left"/>
      </w:pPr>
      <w:r>
        <w:rPr/>
        <w:t>⑷具体收入确认原则</w:t>
      </w:r>
    </w:p>
    <w:p>
      <w:pPr>
        <w:pStyle w:val="BodyText"/>
        <w:spacing w:line="237" w:lineRule="auto"/>
        <w:ind w:left="138" w:right="1040"/>
        <w:jc w:val="left"/>
      </w:pPr>
      <w:r>
        <w:rPr/>
        <w:t>①软件产品收入</w:t>
      </w:r>
      <w:r>
        <w:rPr>
          <w:spacing w:val="-103"/>
        </w:rPr>
        <w:t> </w:t>
      </w:r>
      <w:r>
        <w:rPr>
          <w:spacing w:val="-103"/>
        </w:rPr>
      </w:r>
      <w:r>
        <w:rPr>
          <w:spacing w:val="-2"/>
        </w:rPr>
        <w:t>公司软件产品可分为自行开发的标准化软件产品和定制开发的软件产品。</w:t>
      </w:r>
      <w:r>
        <w:rPr>
          <w:spacing w:val="-45"/>
        </w:rPr>
        <w:t> </w:t>
      </w:r>
      <w:r>
        <w:rPr>
          <w:spacing w:val="-45"/>
        </w:rPr>
      </w:r>
      <w:r>
        <w:rPr>
          <w:rFonts w:ascii="Times New Roman" w:hAnsi="Times New Roman" w:cs="Times New Roman" w:eastAsia="Times New Roman" w:hint="default"/>
        </w:rPr>
        <w:t>1</w:t>
      </w:r>
      <w:r>
        <w:rPr/>
        <w:t>）自行开发的标准化软件产品</w:t>
      </w:r>
    </w:p>
    <w:p>
      <w:pPr>
        <w:pStyle w:val="BodyText"/>
        <w:spacing w:line="256" w:lineRule="exact"/>
        <w:ind w:left="138" w:right="0"/>
        <w:jc w:val="left"/>
      </w:pPr>
      <w:r>
        <w:rPr/>
        <w:t>自行开发的标准化软件产品一般不需安装或只需简单安装，以收到的客户签署的设备签收单为依</w:t>
      </w:r>
    </w:p>
    <w:p>
      <w:pPr>
        <w:pStyle w:val="BodyText"/>
        <w:spacing w:line="272" w:lineRule="exact" w:before="27"/>
        <w:ind w:left="138" w:right="0"/>
        <w:jc w:val="left"/>
      </w:pPr>
      <w:r>
        <w:rPr>
          <w:spacing w:val="-1"/>
        </w:rPr>
        <w:t>据，以签收日期确定商品收入日期，以客户所确认签收商品对应的的合同或协议价款确定销售商</w:t>
      </w:r>
      <w:r>
        <w:rPr>
          <w:spacing w:val="-55"/>
        </w:rPr>
        <w:t> </w:t>
      </w:r>
      <w:r>
        <w:rPr>
          <w:spacing w:val="-55"/>
        </w:rPr>
      </w:r>
      <w:r>
        <w:rPr/>
        <w:t>品收入金额。</w:t>
      </w:r>
    </w:p>
    <w:p>
      <w:pPr>
        <w:spacing w:line="240" w:lineRule="auto" w:before="9"/>
        <w:rPr>
          <w:rFonts w:ascii="宋体" w:hAnsi="宋体" w:cs="宋体" w:eastAsia="宋体" w:hint="default"/>
          <w:sz w:val="16"/>
          <w:szCs w:val="16"/>
        </w:rPr>
      </w:pPr>
    </w:p>
    <w:p>
      <w:pPr>
        <w:pStyle w:val="BodyText"/>
        <w:spacing w:line="235" w:lineRule="auto"/>
        <w:ind w:left="138" w:right="0"/>
        <w:jc w:val="left"/>
      </w:pPr>
      <w:r>
        <w:rPr>
          <w:rFonts w:ascii="Times New Roman" w:hAnsi="Times New Roman" w:cs="Times New Roman" w:eastAsia="Times New Roman" w:hint="default"/>
        </w:rPr>
        <w:t>2</w:t>
      </w:r>
      <w:r>
        <w:rPr/>
        <w:t>）定制开发的软件产品</w:t>
      </w:r>
      <w:r>
        <w:rPr>
          <w:w w:val="100"/>
        </w:rPr>
        <w:t> </w:t>
      </w:r>
      <w:r>
        <w:rPr>
          <w:spacing w:val="-1"/>
        </w:rPr>
        <w:t>定制开发的软件产品需按合同的约定进行，其销售收入确认方式以双方签署的验收报告为依据。</w:t>
      </w:r>
      <w:r>
        <w:rPr>
          <w:spacing w:val="-55"/>
        </w:rPr>
        <w:t> </w:t>
      </w:r>
      <w:r>
        <w:rPr>
          <w:spacing w:val="-55"/>
        </w:rPr>
      </w:r>
      <w:r>
        <w:rPr>
          <w:spacing w:val="-1"/>
        </w:rPr>
        <w:t>验收通常可分为初验和终验两阶段。初验是指对项目所实施的内容、进度、质量以及是否达到合</w:t>
      </w:r>
      <w:r>
        <w:rPr>
          <w:spacing w:val="-55"/>
        </w:rPr>
        <w:t> </w:t>
      </w:r>
      <w:r>
        <w:rPr>
          <w:spacing w:val="-55"/>
        </w:rPr>
      </w:r>
      <w:r>
        <w:rPr>
          <w:spacing w:val="-1"/>
        </w:rPr>
        <w:t>同效果予以确认；终验是指对项目整体服务核查后形成的总结报告。定制开发的软件产品验收分</w:t>
      </w:r>
      <w:r>
        <w:rPr>
          <w:spacing w:val="-55"/>
        </w:rPr>
        <w:t> </w:t>
      </w:r>
      <w:r>
        <w:rPr>
          <w:spacing w:val="-55"/>
        </w:rPr>
      </w:r>
      <w:r>
        <w:rPr>
          <w:spacing w:val="-1"/>
        </w:rPr>
        <w:t>为初验和终验的，则以取得初验验收报告时，根据初验完成的完工进度为收入确认的依据；不分</w:t>
      </w:r>
      <w:r>
        <w:rPr>
          <w:spacing w:val="-55"/>
        </w:rPr>
        <w:t> </w:t>
      </w:r>
      <w:r>
        <w:rPr>
          <w:spacing w:val="-55"/>
        </w:rPr>
      </w:r>
      <w:r>
        <w:rPr/>
        <w:t>初验和终验的，则以取得终验验收报告时为收入确认的依据。</w:t>
      </w:r>
      <w:r>
        <w:rPr>
          <w:w w:val="100"/>
        </w:rPr>
        <w:t> </w:t>
      </w:r>
      <w:r>
        <w:rPr>
          <w:spacing w:val="-1"/>
        </w:rPr>
        <w:t>合同对项目完工进度有约定的，在完成约定工作进度并经客户确认后，根据约定的完工进度确认</w:t>
      </w:r>
      <w:r>
        <w:rPr>
          <w:spacing w:val="-55"/>
        </w:rPr>
        <w:t> </w:t>
      </w:r>
      <w:r>
        <w:rPr>
          <w:spacing w:val="-55"/>
        </w:rPr>
      </w:r>
      <w:r>
        <w:rPr/>
        <w:t>收入。</w:t>
      </w:r>
    </w:p>
    <w:p>
      <w:pPr>
        <w:spacing w:line="240" w:lineRule="auto" w:before="7"/>
        <w:rPr>
          <w:rFonts w:ascii="宋体" w:hAnsi="宋体" w:cs="宋体" w:eastAsia="宋体" w:hint="default"/>
          <w:sz w:val="18"/>
          <w:szCs w:val="18"/>
        </w:rPr>
      </w:pPr>
    </w:p>
    <w:p>
      <w:pPr>
        <w:pStyle w:val="BodyText"/>
        <w:spacing w:line="237" w:lineRule="auto"/>
        <w:ind w:left="138" w:right="0"/>
        <w:jc w:val="left"/>
      </w:pPr>
      <w:r>
        <w:rPr/>
        <w:t>②技术服务收入</w:t>
      </w:r>
      <w:r>
        <w:rPr>
          <w:spacing w:val="-103"/>
        </w:rPr>
        <w:t> </w:t>
      </w:r>
      <w:r>
        <w:rPr>
          <w:spacing w:val="-103"/>
        </w:rPr>
      </w:r>
      <w:r>
        <w:rPr>
          <w:spacing w:val="-1"/>
        </w:rPr>
        <w:t>技术服务是指公司为客户提供的技术支持、技术咨询、技术开发、系统维护等的服务。提供技术</w:t>
      </w:r>
      <w:r>
        <w:rPr>
          <w:spacing w:val="-55"/>
        </w:rPr>
        <w:t> </w:t>
      </w:r>
      <w:r>
        <w:rPr>
          <w:spacing w:val="-55"/>
        </w:rPr>
      </w:r>
      <w:r>
        <w:rPr>
          <w:spacing w:val="-1"/>
        </w:rPr>
        <w:t>服务的，在同一年度内开始并完成，劳务已经提供并收到价款或取得收到价款的依据时，确认劳</w:t>
      </w:r>
      <w:r>
        <w:rPr>
          <w:spacing w:val="-55"/>
        </w:rPr>
        <w:t> </w:t>
      </w:r>
      <w:r>
        <w:rPr>
          <w:spacing w:val="-55"/>
        </w:rPr>
      </w:r>
      <w:r>
        <w:rPr>
          <w:spacing w:val="-1"/>
        </w:rPr>
        <w:t>务收入的实现；如劳务的开始和完成分属不同的会计年度，在提供劳务交易的结果能够可靠估计</w:t>
      </w:r>
      <w:r>
        <w:rPr>
          <w:spacing w:val="-55"/>
        </w:rPr>
        <w:t> </w:t>
      </w:r>
      <w:r>
        <w:rPr>
          <w:spacing w:val="-55"/>
        </w:rPr>
      </w:r>
      <w:r>
        <w:rPr/>
        <w:t>的情况下，在资产负债表日按完工百分比法确认相关的劳务收入。</w:t>
      </w:r>
      <w:r>
        <w:rPr>
          <w:w w:val="100"/>
        </w:rPr>
        <w:t> </w:t>
      </w:r>
      <w:r>
        <w:rPr>
          <w:spacing w:val="-1"/>
        </w:rPr>
        <w:t>提供的技术服务以收到的接受服务方签署的验收单或者完工进度确认表为依据，以验收单签收日</w:t>
      </w:r>
      <w:r>
        <w:rPr>
          <w:spacing w:val="-56"/>
        </w:rPr>
        <w:t> </w:t>
      </w:r>
      <w:r>
        <w:rPr>
          <w:spacing w:val="-56"/>
        </w:rPr>
      </w:r>
      <w:r>
        <w:rPr/>
        <w:t>期或完工进度截止日期作为收入确认日期。</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2"/>
        <w:spacing w:line="290" w:lineRule="auto"/>
        <w:ind w:left="138" w:right="3081"/>
        <w:jc w:val="left"/>
        <w:rPr>
          <w:b w:val="0"/>
          <w:bCs w:val="0"/>
        </w:rPr>
      </w:pPr>
      <w:r>
        <w:rPr>
          <w:rFonts w:ascii="宋体" w:hAnsi="宋体" w:cs="宋体" w:eastAsia="宋体" w:hint="default"/>
        </w:rPr>
        <w:t>29.</w:t>
      </w:r>
      <w:r>
        <w:rPr>
          <w:rFonts w:ascii="宋体" w:hAnsi="宋体" w:cs="宋体" w:eastAsia="宋体" w:hint="default"/>
          <w:spacing w:val="2"/>
        </w:rPr>
        <w:t> </w:t>
      </w:r>
      <w:r>
        <w:rPr/>
        <w:t>政府补助</w:t>
      </w:r>
      <w:r>
        <w:rPr>
          <w:w w:val="100"/>
        </w:rPr>
        <w:t> </w:t>
      </w:r>
      <w:r>
        <w:rPr>
          <w:rFonts w:ascii="宋体" w:hAnsi="宋体" w:cs="宋体" w:eastAsia="宋体" w:hint="default"/>
          <w:spacing w:val="-1"/>
        </w:rPr>
        <w:t>(1)</w:t>
      </w:r>
      <w:r>
        <w:rPr>
          <w:spacing w:val="-1"/>
        </w:rPr>
        <w:t>、与资产相关的政府补助判断依据及会计处理方法</w:t>
      </w:r>
      <w:r>
        <w:rPr>
          <w:b w:val="0"/>
          <w:bCs w:val="0"/>
          <w:spacing w:val="-1"/>
        </w:rPr>
      </w:r>
    </w:p>
    <w:p>
      <w:pPr>
        <w:pStyle w:val="BodyText"/>
        <w:spacing w:line="235" w:lineRule="auto" w:before="18"/>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t>与资产相关的政府补助，是指企业取得的、用于购建或以其他方式形成长期资产的政府补助。</w:t>
      </w:r>
      <w:r>
        <w:rPr>
          <w:w w:val="100"/>
        </w:rPr>
        <w:t> </w:t>
      </w:r>
      <w:r>
        <w:rPr>
          <w:spacing w:val="-1"/>
        </w:rPr>
        <w:t>与资产相关的政府补助，应当确认为递延收益。与资产相关的政府补助确认为递延收益的，应当</w:t>
      </w:r>
      <w:r>
        <w:rPr>
          <w:spacing w:val="-55"/>
        </w:rPr>
        <w:t> </w:t>
      </w:r>
      <w:r>
        <w:rPr>
          <w:spacing w:val="-55"/>
        </w:rPr>
      </w:r>
      <w:r>
        <w:rPr>
          <w:spacing w:val="-1"/>
        </w:rPr>
        <w:t>在相关资产使用寿命内按照合理、系统的方法分期计入损益。按照名义金额计量的政府补助，直</w:t>
      </w:r>
      <w:r>
        <w:rPr>
          <w:spacing w:val="-56"/>
        </w:rPr>
        <w:t> </w:t>
      </w:r>
      <w:r>
        <w:rPr>
          <w:spacing w:val="-56"/>
        </w:rPr>
      </w:r>
      <w:r>
        <w:rPr/>
        <w:t>接计入当期损益。</w:t>
      </w:r>
      <w:r>
        <w:rPr>
          <w:w w:val="100"/>
        </w:rPr>
        <w:t> </w:t>
      </w:r>
      <w:r>
        <w:rPr>
          <w:spacing w:val="-1"/>
        </w:rPr>
        <w:t>相关资产在使用寿命结束前被出售、转让、报废或发生毁损的，应当将尚未分配的相关递延收益</w:t>
      </w:r>
      <w:r>
        <w:rPr>
          <w:spacing w:val="-55"/>
        </w:rPr>
        <w:t> </w:t>
      </w:r>
      <w:r>
        <w:rPr>
          <w:spacing w:val="-55"/>
        </w:rPr>
      </w:r>
      <w:r>
        <w:rPr/>
        <w:t>余额转入资产处置当期的损益。</w:t>
      </w:r>
      <w:r>
        <w:rPr>
          <w:w w:val="100"/>
        </w:rPr>
        <w:t> </w:t>
      </w:r>
      <w:r>
        <w:rPr>
          <w:spacing w:val="-1"/>
        </w:rPr>
        <w:t>与公司日常活动相关的政府补助，按照经济业务实质，计入其他收益。与公司日常活动无关的政</w:t>
      </w:r>
      <w:r>
        <w:rPr>
          <w:spacing w:val="-55"/>
        </w:rPr>
        <w:t> </w:t>
      </w:r>
      <w:r>
        <w:rPr>
          <w:spacing w:val="-55"/>
        </w:rPr>
      </w:r>
      <w:r>
        <w:rPr/>
        <w:t>府补助，应当计入营业外收支。</w:t>
      </w:r>
    </w:p>
    <w:p>
      <w:pPr>
        <w:spacing w:line="240" w:lineRule="auto" w:before="11"/>
        <w:rPr>
          <w:rFonts w:ascii="宋体" w:hAnsi="宋体" w:cs="宋体" w:eastAsia="宋体" w:hint="default"/>
          <w:sz w:val="22"/>
          <w:szCs w:val="22"/>
        </w:rPr>
      </w:pPr>
    </w:p>
    <w:p>
      <w:pPr>
        <w:pStyle w:val="Heading2"/>
        <w:spacing w:line="240" w:lineRule="auto"/>
        <w:ind w:left="138" w:right="0"/>
        <w:jc w:val="left"/>
        <w:rPr>
          <w:b w:val="0"/>
          <w:bCs w:val="0"/>
        </w:rPr>
      </w:pPr>
      <w:r>
        <w:rPr>
          <w:rFonts w:ascii="宋体" w:hAnsi="宋体" w:cs="宋体" w:eastAsia="宋体" w:hint="default"/>
        </w:rPr>
        <w:t>(2)</w:t>
      </w:r>
      <w:r>
        <w:rPr/>
        <w:t>、与收益相关的政府补助判断依据及会计处理方法</w:t>
      </w:r>
      <w:r>
        <w:rPr>
          <w:b w:val="0"/>
          <w:bCs w:val="0"/>
        </w:rPr>
      </w:r>
    </w:p>
    <w:p>
      <w:pPr>
        <w:pStyle w:val="BodyText"/>
        <w:spacing w:line="272" w:lineRule="exact" w:before="86"/>
        <w:ind w:left="138" w:right="104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spacing w:val="-2"/>
        </w:rPr>
        <w:t>与收益相关的政府补助，是指除与资产相关的政府补助之外的政府补助。</w:t>
      </w:r>
    </w:p>
    <w:p>
      <w:pPr>
        <w:pStyle w:val="BodyText"/>
        <w:spacing w:line="249" w:lineRule="exact"/>
        <w:ind w:left="138" w:right="0"/>
        <w:jc w:val="left"/>
      </w:pPr>
      <w:r>
        <w:rPr/>
        <w:t>企业对于综合性项目的政府补助，需要将其分解为与资产相关的部分和与收益相关的部分，分别</w:t>
      </w:r>
    </w:p>
    <w:p>
      <w:pPr>
        <w:spacing w:after="0" w:line="249" w:lineRule="exact"/>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37" w:lineRule="auto" w:before="38"/>
        <w:ind w:left="138" w:right="204"/>
        <w:jc w:val="left"/>
      </w:pPr>
      <w:r>
        <w:rPr/>
        <w:t>进行会计处理；难以区分的，整体归类为与收益相关的政府补助。</w:t>
      </w:r>
      <w:r>
        <w:rPr>
          <w:w w:val="100"/>
        </w:rPr>
        <w:t> </w:t>
      </w:r>
      <w:r>
        <w:rPr>
          <w:spacing w:val="-1"/>
        </w:rPr>
        <w:t>与收益相关的政府补助，用于补偿企业以后期间的相关费用或损失的，取得时确认为递延收益，</w:t>
      </w:r>
      <w:r>
        <w:rPr>
          <w:spacing w:val="-55"/>
        </w:rPr>
        <w:t> </w:t>
      </w:r>
      <w:r>
        <w:rPr>
          <w:spacing w:val="-55"/>
        </w:rPr>
      </w:r>
      <w:r>
        <w:rPr>
          <w:spacing w:val="-6"/>
          <w:w w:val="100"/>
        </w:rPr>
        <w:t>并在确认相关成本费用或损失的期间，计入当期损益；用于补偿企业已发生的相关费用或损失的，</w:t>
      </w:r>
      <w:r>
        <w:rPr>
          <w:w w:val="100"/>
        </w:rPr>
        <w:t> </w:t>
      </w:r>
      <w:r>
        <w:rPr/>
        <w:t>直接计入当期损益。</w:t>
      </w:r>
      <w:r>
        <w:rPr>
          <w:w w:val="100"/>
        </w:rPr>
        <w:t> </w:t>
      </w:r>
      <w:r>
        <w:rPr>
          <w:spacing w:val="-1"/>
        </w:rPr>
        <w:t>与公司日常活动相关的政府补助，应当按照经济业务实质，计入其他收益。与公司日常活动无关</w:t>
      </w:r>
      <w:r>
        <w:rPr>
          <w:spacing w:val="-55"/>
        </w:rPr>
        <w:t> </w:t>
      </w:r>
      <w:r>
        <w:rPr>
          <w:spacing w:val="-55"/>
        </w:rPr>
      </w:r>
      <w:r>
        <w:rPr/>
        <w:t>的政府补助，应当计入营业外收支。</w:t>
      </w:r>
    </w:p>
    <w:p>
      <w:pPr>
        <w:spacing w:line="240" w:lineRule="auto" w:before="11"/>
        <w:rPr>
          <w:rFonts w:ascii="宋体" w:hAnsi="宋体" w:cs="宋体" w:eastAsia="宋体" w:hint="default"/>
          <w:sz w:val="22"/>
          <w:szCs w:val="22"/>
        </w:rPr>
      </w:pPr>
    </w:p>
    <w:p>
      <w:pPr>
        <w:pStyle w:val="Heading2"/>
        <w:spacing w:line="240" w:lineRule="auto"/>
        <w:ind w:left="138" w:right="100"/>
        <w:jc w:val="left"/>
        <w:rPr>
          <w:b w:val="0"/>
          <w:bCs w:val="0"/>
        </w:rPr>
      </w:pPr>
      <w:r>
        <w:rPr>
          <w:rFonts w:ascii="宋体" w:hAnsi="宋体" w:cs="宋体" w:eastAsia="宋体" w:hint="default"/>
        </w:rPr>
        <w:t>30.</w:t>
      </w:r>
      <w:r>
        <w:rPr>
          <w:rFonts w:ascii="宋体" w:hAnsi="宋体" w:cs="宋体" w:eastAsia="宋体" w:hint="default"/>
          <w:spacing w:val="2"/>
        </w:rPr>
        <w:t> </w:t>
      </w:r>
      <w:r>
        <w:rPr/>
        <w:t>递延所得税资产</w:t>
      </w:r>
      <w:r>
        <w:rPr>
          <w:rFonts w:ascii="Calibri" w:hAnsi="Calibri" w:cs="Calibri" w:eastAsia="Calibri" w:hint="default"/>
        </w:rPr>
        <w:t>/</w:t>
      </w:r>
      <w:r>
        <w:rPr/>
        <w:t>递延所得税负债</w:t>
      </w:r>
      <w:r>
        <w:rPr>
          <w:b w:val="0"/>
          <w:bCs w:val="0"/>
        </w:rPr>
      </w:r>
    </w:p>
    <w:p>
      <w:pPr>
        <w:pStyle w:val="BodyText"/>
        <w:spacing w:line="232" w:lineRule="auto" w:before="37"/>
        <w:ind w:left="138" w:right="10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spacing w:val="-1"/>
        </w:rPr>
        <w:t>所得税采用资产负债表债务法进行核算。于资产负债表日，分析比较资产、负债的账面价值与其</w:t>
      </w:r>
      <w:r>
        <w:rPr>
          <w:spacing w:val="-55"/>
        </w:rPr>
        <w:t> </w:t>
      </w:r>
      <w:r>
        <w:rPr>
          <w:spacing w:val="-55"/>
        </w:rPr>
      </w:r>
      <w:r>
        <w:rPr>
          <w:spacing w:val="-1"/>
        </w:rPr>
        <w:t>计税基础，两者之间存在差异的，确认递延所得税资产、递延所得税负债及相应的递延所得税费</w:t>
      </w:r>
      <w:r>
        <w:rPr>
          <w:spacing w:val="-55"/>
        </w:rPr>
        <w:t> </w:t>
      </w:r>
      <w:r>
        <w:rPr>
          <w:spacing w:val="-55"/>
        </w:rPr>
      </w:r>
      <w:r>
        <w:rPr>
          <w:spacing w:val="-1"/>
        </w:rPr>
        <w:t>用</w:t>
      </w:r>
      <w:r>
        <w:rPr>
          <w:rFonts w:ascii="Times New Roman" w:hAnsi="Times New Roman" w:cs="Times New Roman" w:eastAsia="Times New Roman" w:hint="default"/>
          <w:spacing w:val="-1"/>
        </w:rPr>
        <w:t>(</w:t>
      </w:r>
      <w:r>
        <w:rPr>
          <w:spacing w:val="-1"/>
        </w:rPr>
        <w:t>或收益</w:t>
      </w:r>
      <w:r>
        <w:rPr>
          <w:rFonts w:ascii="Times New Roman" w:hAnsi="Times New Roman" w:cs="Times New Roman" w:eastAsia="Times New Roman" w:hint="default"/>
          <w:spacing w:val="-1"/>
        </w:rPr>
        <w:t>)</w:t>
      </w:r>
      <w:r>
        <w:rPr>
          <w:spacing w:val="-1"/>
        </w:rPr>
        <w:t>。在计算确定当期所得税</w:t>
      </w:r>
      <w:r>
        <w:rPr>
          <w:rFonts w:ascii="Times New Roman" w:hAnsi="Times New Roman" w:cs="Times New Roman" w:eastAsia="Times New Roman" w:hint="default"/>
          <w:spacing w:val="-1"/>
        </w:rPr>
        <w:t>(</w:t>
      </w:r>
      <w:r>
        <w:rPr>
          <w:spacing w:val="-1"/>
        </w:rPr>
        <w:t>即当期应交所得税</w:t>
      </w:r>
      <w:r>
        <w:rPr>
          <w:rFonts w:ascii="Times New Roman" w:hAnsi="Times New Roman" w:cs="Times New Roman" w:eastAsia="Times New Roman" w:hint="default"/>
          <w:spacing w:val="-1"/>
        </w:rPr>
        <w:t>)</w:t>
      </w:r>
      <w:r>
        <w:rPr>
          <w:spacing w:val="-1"/>
        </w:rPr>
        <w:t>以及递延所得税费用</w:t>
      </w:r>
      <w:r>
        <w:rPr>
          <w:rFonts w:ascii="Times New Roman" w:hAnsi="Times New Roman" w:cs="Times New Roman" w:eastAsia="Times New Roman" w:hint="default"/>
          <w:spacing w:val="-1"/>
        </w:rPr>
        <w:t>(</w:t>
      </w:r>
      <w:r>
        <w:rPr>
          <w:spacing w:val="-1"/>
        </w:rPr>
        <w:t>或收益</w:t>
      </w:r>
      <w:r>
        <w:rPr>
          <w:rFonts w:ascii="Times New Roman" w:hAnsi="Times New Roman" w:cs="Times New Roman" w:eastAsia="Times New Roman" w:hint="default"/>
          <w:spacing w:val="-1"/>
        </w:rPr>
        <w:t>)</w:t>
      </w:r>
      <w:r>
        <w:rPr>
          <w:spacing w:val="-1"/>
        </w:rPr>
        <w:t>的基础上，</w:t>
      </w:r>
      <w:r>
        <w:rPr>
          <w:spacing w:val="-56"/>
        </w:rPr>
        <w:t> </w:t>
      </w:r>
      <w:r>
        <w:rPr>
          <w:spacing w:val="-56"/>
        </w:rPr>
      </w:r>
      <w:r>
        <w:rPr/>
        <w:t>将两者之和确认为利润表中的所得税费用</w:t>
      </w:r>
      <w:r>
        <w:rPr>
          <w:rFonts w:ascii="Times New Roman" w:hAnsi="Times New Roman" w:cs="Times New Roman" w:eastAsia="Times New Roman" w:hint="default"/>
        </w:rPr>
        <w:t>(</w:t>
      </w:r>
      <w:r>
        <w:rPr/>
        <w:t>或收益</w:t>
      </w:r>
      <w:r>
        <w:rPr>
          <w:rFonts w:ascii="Times New Roman" w:hAnsi="Times New Roman" w:cs="Times New Roman" w:eastAsia="Times New Roman" w:hint="default"/>
        </w:rPr>
        <w:t>)</w:t>
      </w:r>
      <w:r>
        <w:rPr/>
        <w:t>，但不包括直接计入所有者权益的交易或事项</w:t>
      </w:r>
      <w:r>
        <w:rPr>
          <w:spacing w:val="-24"/>
        </w:rPr>
        <w:t> </w:t>
      </w:r>
      <w:r>
        <w:rPr>
          <w:spacing w:val="-24"/>
        </w:rPr>
      </w:r>
      <w:r>
        <w:rPr/>
        <w:t>的所得税影响。</w:t>
      </w:r>
      <w:r>
        <w:rPr>
          <w:spacing w:val="-103"/>
        </w:rPr>
        <w:t> </w:t>
      </w:r>
      <w:r>
        <w:rPr>
          <w:spacing w:val="-103"/>
        </w:rPr>
      </w:r>
      <w:r>
        <w:rPr>
          <w:spacing w:val="-1"/>
        </w:rPr>
        <w:t>资产负债表日，对递延所得税资产的账面价值进行复核。如果未来期间很可能无法获得足够的应</w:t>
      </w:r>
      <w:r>
        <w:rPr>
          <w:spacing w:val="-55"/>
        </w:rPr>
        <w:t> </w:t>
      </w:r>
      <w:r>
        <w:rPr>
          <w:spacing w:val="-55"/>
        </w:rPr>
      </w:r>
      <w:r>
        <w:rPr/>
        <w:t>纳税所得额用以抵扣递延所得税资产的利益，应当减记递延所得税资产的账面价值</w:t>
      </w:r>
    </w:p>
    <w:p>
      <w:pPr>
        <w:spacing w:line="240" w:lineRule="auto" w:before="12"/>
        <w:rPr>
          <w:rFonts w:ascii="宋体" w:hAnsi="宋体" w:cs="宋体" w:eastAsia="宋体" w:hint="default"/>
          <w:sz w:val="22"/>
          <w:szCs w:val="22"/>
        </w:rPr>
      </w:pPr>
    </w:p>
    <w:p>
      <w:pPr>
        <w:pStyle w:val="Heading2"/>
        <w:spacing w:line="290" w:lineRule="auto"/>
        <w:ind w:left="138" w:right="6181"/>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spacing w:line="281" w:lineRule="exact" w:before="14"/>
        <w:ind w:left="138" w:right="10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72" w:lineRule="exact"/>
        <w:ind w:left="138" w:right="10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本公司作为承租人对经营租赁的处理</w:t>
      </w:r>
    </w:p>
    <w:p>
      <w:pPr>
        <w:pStyle w:val="BodyText"/>
        <w:spacing w:line="272" w:lineRule="exact" w:before="19"/>
        <w:ind w:left="138" w:right="1568"/>
        <w:jc w:val="left"/>
      </w:pPr>
      <w:r>
        <w:rPr/>
        <w:t>①租金的处理</w:t>
      </w:r>
      <w:r>
        <w:rPr>
          <w:w w:val="100"/>
        </w:rPr>
        <w:t> </w:t>
      </w:r>
      <w:r>
        <w:rPr>
          <w:spacing w:val="-2"/>
        </w:rPr>
        <w:t>在经营租赁下需将支付或应付的租金计入相关资产成本或当期损益。</w:t>
      </w:r>
    </w:p>
    <w:p>
      <w:pPr>
        <w:spacing w:line="240" w:lineRule="auto" w:before="5"/>
        <w:rPr>
          <w:rFonts w:ascii="宋体" w:hAnsi="宋体" w:cs="宋体" w:eastAsia="宋体" w:hint="default"/>
          <w:sz w:val="16"/>
          <w:szCs w:val="16"/>
        </w:rPr>
      </w:pPr>
    </w:p>
    <w:p>
      <w:pPr>
        <w:pStyle w:val="BodyText"/>
        <w:spacing w:line="240" w:lineRule="auto"/>
        <w:ind w:left="138" w:right="1568"/>
        <w:jc w:val="left"/>
      </w:pPr>
      <w:r>
        <w:rPr/>
        <w:t>②初始直接费用的处理</w:t>
      </w:r>
      <w:r>
        <w:rPr>
          <w:w w:val="100"/>
        </w:rPr>
        <w:t> </w:t>
      </w:r>
      <w:r>
        <w:rPr>
          <w:spacing w:val="-2"/>
        </w:rPr>
        <w:t>对于承租人在经营租赁中发生的初始直接费用，计入当期损益。</w:t>
      </w:r>
    </w:p>
    <w:p>
      <w:pPr>
        <w:spacing w:line="240" w:lineRule="auto" w:before="5"/>
        <w:rPr>
          <w:rFonts w:ascii="宋体" w:hAnsi="宋体" w:cs="宋体" w:eastAsia="宋体" w:hint="default"/>
          <w:sz w:val="20"/>
          <w:szCs w:val="20"/>
        </w:rPr>
      </w:pPr>
    </w:p>
    <w:p>
      <w:pPr>
        <w:pStyle w:val="BodyText"/>
        <w:spacing w:line="272" w:lineRule="exact"/>
        <w:ind w:left="138" w:right="1568"/>
        <w:jc w:val="left"/>
      </w:pPr>
      <w:r>
        <w:rPr/>
        <w:t>③或有租金的处理</w:t>
      </w:r>
      <w:r>
        <w:rPr>
          <w:w w:val="100"/>
        </w:rPr>
        <w:t> </w:t>
      </w:r>
      <w:r>
        <w:rPr>
          <w:spacing w:val="-2"/>
        </w:rPr>
        <w:t>在经营租赁下，承租人对或有租金在实际发生时计入当期损益。</w:t>
      </w:r>
    </w:p>
    <w:p>
      <w:pPr>
        <w:spacing w:line="240" w:lineRule="auto" w:before="7"/>
        <w:rPr>
          <w:rFonts w:ascii="宋体" w:hAnsi="宋体" w:cs="宋体" w:eastAsia="宋体" w:hint="default"/>
          <w:sz w:val="16"/>
          <w:szCs w:val="16"/>
        </w:rPr>
      </w:pPr>
    </w:p>
    <w:p>
      <w:pPr>
        <w:pStyle w:val="BodyText"/>
        <w:spacing w:line="237" w:lineRule="auto"/>
        <w:ind w:left="138" w:right="204"/>
        <w:jc w:val="left"/>
      </w:pPr>
      <w:r>
        <w:rPr/>
        <w:t>④出租人提供激励措施的处理</w:t>
      </w:r>
      <w:r>
        <w:rPr>
          <w:w w:val="100"/>
        </w:rPr>
        <w:t> </w:t>
      </w:r>
      <w:r>
        <w:rPr>
          <w:spacing w:val="-1"/>
        </w:rPr>
        <w:t>出租人提供免租期的，承租人应将租金总额在不扣除免租期的整个租赁期内，按直线法或其他合</w:t>
      </w:r>
      <w:r>
        <w:rPr>
          <w:spacing w:val="-55"/>
        </w:rPr>
        <w:t> </w:t>
      </w:r>
      <w:r>
        <w:rPr>
          <w:spacing w:val="-55"/>
        </w:rPr>
      </w:r>
      <w:r>
        <w:rPr>
          <w:spacing w:val="-6"/>
          <w:w w:val="100"/>
        </w:rPr>
        <w:t>理的方法进行分摊，免租期内应当确认租金费用及相应的负债。出租人承担了承租人某些费用的，</w:t>
      </w:r>
      <w:r>
        <w:rPr>
          <w:w w:val="100"/>
        </w:rPr>
        <w:t> </w:t>
      </w:r>
      <w:r>
        <w:rPr/>
        <w:t>承租人将该费用从租金费用总额中扣除，按扣除后的租金费用余额在租赁期内进行分摊。</w:t>
      </w:r>
    </w:p>
    <w:p>
      <w:pPr>
        <w:spacing w:line="240" w:lineRule="auto" w:before="4"/>
        <w:rPr>
          <w:rFonts w:ascii="宋体" w:hAnsi="宋体" w:cs="宋体" w:eastAsia="宋体" w:hint="default"/>
          <w:sz w:val="18"/>
          <w:szCs w:val="18"/>
        </w:rPr>
      </w:pPr>
    </w:p>
    <w:p>
      <w:pPr>
        <w:pStyle w:val="BodyText"/>
        <w:spacing w:line="281" w:lineRule="exact"/>
        <w:ind w:left="138" w:right="10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本公司作为出租人对经营租赁的处理</w:t>
      </w:r>
    </w:p>
    <w:p>
      <w:pPr>
        <w:pStyle w:val="BodyText"/>
        <w:spacing w:line="274" w:lineRule="exact" w:before="16"/>
        <w:ind w:left="138" w:right="3547"/>
        <w:jc w:val="left"/>
      </w:pPr>
      <w:r>
        <w:rPr/>
        <w:t>①租金的处理</w:t>
      </w:r>
      <w:r>
        <w:rPr>
          <w:w w:val="100"/>
        </w:rPr>
        <w:t> </w:t>
      </w:r>
      <w:r>
        <w:rPr>
          <w:spacing w:val="-2"/>
        </w:rPr>
        <w:t>出租人应采用直线法将收到的租金在租赁期内确认为收益。</w:t>
      </w:r>
    </w:p>
    <w:p>
      <w:pPr>
        <w:spacing w:line="240" w:lineRule="auto" w:before="7"/>
        <w:rPr>
          <w:rFonts w:ascii="宋体" w:hAnsi="宋体" w:cs="宋体" w:eastAsia="宋体" w:hint="default"/>
          <w:sz w:val="16"/>
          <w:szCs w:val="16"/>
        </w:rPr>
      </w:pPr>
    </w:p>
    <w:p>
      <w:pPr>
        <w:pStyle w:val="BodyText"/>
        <w:spacing w:line="237" w:lineRule="auto"/>
        <w:ind w:left="138" w:right="100"/>
        <w:jc w:val="left"/>
      </w:pPr>
      <w:r>
        <w:rPr/>
        <w:t>②初始直接费用的处理</w:t>
      </w:r>
      <w:r>
        <w:rPr>
          <w:w w:val="100"/>
        </w:rPr>
        <w:t> </w:t>
      </w:r>
      <w:r>
        <w:rPr>
          <w:spacing w:val="-1"/>
        </w:rPr>
        <w:t>经营租赁中出租人发生的初始直接费用，是指在租赁谈判和签订租赁合同的过程中发生的可归属</w:t>
      </w:r>
      <w:r>
        <w:rPr>
          <w:spacing w:val="-55"/>
        </w:rPr>
        <w:t> </w:t>
      </w:r>
      <w:r>
        <w:rPr>
          <w:spacing w:val="-55"/>
        </w:rPr>
      </w:r>
      <w:r>
        <w:rPr>
          <w:spacing w:val="-1"/>
        </w:rPr>
        <w:t>于租赁项目的手续费、律师费、差旅费、印花税等，计入当期损益。金额较大的应当资本化，在</w:t>
      </w:r>
      <w:r>
        <w:rPr>
          <w:spacing w:val="-55"/>
        </w:rPr>
        <w:t> </w:t>
      </w:r>
      <w:r>
        <w:rPr>
          <w:spacing w:val="-55"/>
        </w:rPr>
      </w:r>
      <w:r>
        <w:rPr/>
        <w:t>整个经营租赁期内按照与确认租金收入相同的基础分期计入当期损益。</w:t>
      </w:r>
    </w:p>
    <w:p>
      <w:pPr>
        <w:spacing w:line="240" w:lineRule="auto" w:before="7"/>
        <w:rPr>
          <w:rFonts w:ascii="宋体" w:hAnsi="宋体" w:cs="宋体" w:eastAsia="宋体" w:hint="default"/>
          <w:sz w:val="20"/>
          <w:szCs w:val="20"/>
        </w:rPr>
      </w:pPr>
    </w:p>
    <w:p>
      <w:pPr>
        <w:pStyle w:val="BodyText"/>
        <w:spacing w:line="272" w:lineRule="exact"/>
        <w:ind w:left="138" w:right="100"/>
        <w:jc w:val="left"/>
      </w:pPr>
      <w:r>
        <w:rPr/>
        <w:t>③租赁资产折旧的计提</w:t>
      </w:r>
      <w:r>
        <w:rPr>
          <w:w w:val="100"/>
        </w:rPr>
        <w:t> </w:t>
      </w:r>
      <w:r>
        <w:rPr>
          <w:spacing w:val="-4"/>
          <w:w w:val="100"/>
        </w:rPr>
        <w:t>对于经营租赁资产中的固定资产，采用出租人对类似应折旧资产通常所采用的折旧政策计提折旧。</w:t>
      </w:r>
    </w:p>
    <w:p>
      <w:pPr>
        <w:spacing w:line="240" w:lineRule="auto" w:before="5"/>
        <w:rPr>
          <w:rFonts w:ascii="宋体" w:hAnsi="宋体" w:cs="宋体" w:eastAsia="宋体" w:hint="default"/>
          <w:sz w:val="16"/>
          <w:szCs w:val="16"/>
        </w:rPr>
      </w:pPr>
    </w:p>
    <w:p>
      <w:pPr>
        <w:pStyle w:val="BodyText"/>
        <w:spacing w:line="240" w:lineRule="auto"/>
        <w:ind w:left="138" w:right="6181"/>
        <w:jc w:val="left"/>
      </w:pPr>
      <w:r>
        <w:rPr/>
        <w:t>④或有租金的处理</w:t>
      </w:r>
      <w:r>
        <w:rPr>
          <w:w w:val="100"/>
        </w:rPr>
        <w:t> </w:t>
      </w:r>
      <w:r>
        <w:rPr>
          <w:spacing w:val="-2"/>
        </w:rPr>
        <w:t>在实际发生时计入当期收益。</w:t>
      </w:r>
    </w:p>
    <w:p>
      <w:pPr>
        <w:spacing w:after="0" w:line="240" w:lineRule="auto"/>
        <w:jc w:val="left"/>
        <w:sectPr>
          <w:footerReference w:type="default" r:id="rId54"/>
          <w:pgSz w:w="11910" w:h="16840"/>
          <w:pgMar w:footer="1195" w:header="882" w:top="1120" w:bottom="1380" w:left="1660" w:right="1060"/>
        </w:sectPr>
      </w:pPr>
    </w:p>
    <w:p>
      <w:pPr>
        <w:spacing w:line="240" w:lineRule="auto" w:before="1"/>
        <w:rPr>
          <w:rFonts w:ascii="宋体" w:hAnsi="宋体" w:cs="宋体" w:eastAsia="宋体" w:hint="default"/>
          <w:sz w:val="25"/>
          <w:szCs w:val="25"/>
        </w:rPr>
      </w:pPr>
    </w:p>
    <w:p>
      <w:pPr>
        <w:pStyle w:val="BodyText"/>
        <w:spacing w:line="237" w:lineRule="auto" w:before="38"/>
        <w:ind w:right="227"/>
        <w:jc w:val="left"/>
      </w:pPr>
      <w:r>
        <w:rPr/>
        <w:t>⑤出租人对经营租赁提供激励措施的处理</w:t>
      </w:r>
      <w:r>
        <w:rPr>
          <w:w w:val="100"/>
        </w:rPr>
        <w:t> </w:t>
      </w:r>
      <w:r>
        <w:rPr>
          <w:spacing w:val="-1"/>
        </w:rPr>
        <w:t>出租人提供免租期的，出租人将租金总额在不扣除免租期的整个租赁期内，按直线法或其他合理</w:t>
      </w:r>
      <w:r>
        <w:rPr>
          <w:spacing w:val="-55"/>
        </w:rPr>
        <w:t> </w:t>
      </w:r>
      <w:r>
        <w:rPr>
          <w:spacing w:val="-55"/>
        </w:rPr>
      </w:r>
      <w:r>
        <w:rPr>
          <w:spacing w:val="-1"/>
        </w:rPr>
        <w:t>的方法进行分配，免租期内出租人确认租金收入。出租人承担了承租人某些费用的，出租人将该</w:t>
      </w:r>
      <w:r>
        <w:rPr>
          <w:spacing w:val="-55"/>
        </w:rPr>
        <w:t> </w:t>
      </w:r>
      <w:r>
        <w:rPr>
          <w:spacing w:val="-55"/>
        </w:rPr>
      </w:r>
      <w:r>
        <w:rPr/>
        <w:t>费用自租金收入总额中扣除，按扣除后的租金收入余额在租赁期内进行分配。</w:t>
      </w:r>
    </w:p>
    <w:p>
      <w:pPr>
        <w:spacing w:line="240" w:lineRule="auto" w:before="6"/>
        <w:rPr>
          <w:rFonts w:ascii="宋体" w:hAnsi="宋体" w:cs="宋体" w:eastAsia="宋体" w:hint="default"/>
          <w:sz w:val="18"/>
          <w:szCs w:val="18"/>
        </w:rPr>
      </w:pPr>
    </w:p>
    <w:p>
      <w:pPr>
        <w:pStyle w:val="BodyText"/>
        <w:spacing w:line="237" w:lineRule="auto"/>
        <w:ind w:right="227"/>
        <w:jc w:val="left"/>
      </w:pPr>
      <w:r>
        <w:rPr/>
        <w:t>⑥经营租赁资产在财务报表中的处理</w:t>
      </w:r>
      <w:r>
        <w:rPr>
          <w:w w:val="100"/>
        </w:rPr>
        <w:t> </w:t>
      </w:r>
      <w:r>
        <w:rPr>
          <w:spacing w:val="-1"/>
        </w:rPr>
        <w:t>在经营租赁下，与资产所有权有关的主要风险和报酬仍然留在出租人一方，因此出租人将出租资</w:t>
      </w:r>
      <w:r>
        <w:rPr>
          <w:spacing w:val="-55"/>
        </w:rPr>
        <w:t> </w:t>
      </w:r>
      <w:r>
        <w:rPr>
          <w:spacing w:val="-55"/>
        </w:rPr>
      </w:r>
      <w:r>
        <w:rPr>
          <w:spacing w:val="-1"/>
        </w:rPr>
        <w:t>产作为自身拥有的资产在资产负债表中列示，如果出租资产属于固定资产，则列在资产负债表固</w:t>
      </w:r>
      <w:r>
        <w:rPr>
          <w:spacing w:val="-55"/>
        </w:rPr>
        <w:t> </w:t>
      </w:r>
      <w:r>
        <w:rPr>
          <w:spacing w:val="-55"/>
        </w:rPr>
      </w:r>
      <w:r>
        <w:rPr/>
        <w:t>定资产项下，如果出租资产属于流动资产，则列在资产负债表有关流动资产项下。</w:t>
      </w:r>
    </w:p>
    <w:p>
      <w:pPr>
        <w:spacing w:line="240" w:lineRule="auto" w:before="11"/>
        <w:rPr>
          <w:rFonts w:ascii="宋体" w:hAnsi="宋体" w:cs="宋体" w:eastAsia="宋体" w:hint="default"/>
          <w:sz w:val="22"/>
          <w:szCs w:val="22"/>
        </w:rPr>
      </w:pPr>
    </w:p>
    <w:p>
      <w:pPr>
        <w:pStyle w:val="Heading2"/>
        <w:spacing w:line="240" w:lineRule="auto"/>
        <w:ind w:right="2465"/>
        <w:jc w:val="left"/>
        <w:rPr>
          <w:b w:val="0"/>
          <w:bCs w:val="0"/>
        </w:rPr>
      </w:pPr>
      <w:r>
        <w:rPr>
          <w:rFonts w:ascii="宋体" w:hAnsi="宋体" w:cs="宋体" w:eastAsia="宋体" w:hint="default"/>
        </w:rPr>
        <w:t>(2)</w:t>
      </w:r>
      <w:r>
        <w:rPr/>
        <w:t>、融资租赁的会计处理方法</w:t>
      </w:r>
      <w:r>
        <w:rPr>
          <w:b w:val="0"/>
          <w:bCs w:val="0"/>
        </w:rPr>
      </w:r>
    </w:p>
    <w:p>
      <w:pPr>
        <w:pStyle w:val="BodyText"/>
        <w:spacing w:line="240" w:lineRule="auto" w:before="58"/>
        <w:ind w:right="2465"/>
        <w:jc w:val="left"/>
      </w:pPr>
      <w:r>
        <w:rPr/>
        <w:t>□适用√不适用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2"/>
        <w:spacing w:line="240" w:lineRule="auto"/>
        <w:ind w:right="2465"/>
        <w:jc w:val="left"/>
        <w:rPr>
          <w:b w:val="0"/>
          <w:bCs w:val="0"/>
        </w:rPr>
      </w:pPr>
      <w:r>
        <w:rPr>
          <w:rFonts w:ascii="宋体" w:hAnsi="宋体" w:cs="宋体" w:eastAsia="宋体" w:hint="default"/>
        </w:rPr>
        <w:t>32. </w:t>
      </w:r>
      <w:r>
        <w:rPr/>
        <w:t>其他重要的会计政策和会计估计</w:t>
      </w:r>
      <w:r>
        <w:rPr>
          <w:b w:val="0"/>
          <w:bCs w:val="0"/>
        </w:rPr>
      </w:r>
    </w:p>
    <w:p>
      <w:pPr>
        <w:pStyle w:val="BodyText"/>
        <w:spacing w:line="240" w:lineRule="auto" w:before="56"/>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90" w:lineRule="auto"/>
        <w:ind w:right="5673"/>
        <w:jc w:val="left"/>
        <w:rPr>
          <w:b w:val="0"/>
          <w:bCs w:val="0"/>
        </w:rPr>
      </w:pPr>
      <w:r>
        <w:rPr>
          <w:rFonts w:ascii="宋体" w:hAnsi="宋体" w:cs="宋体" w:eastAsia="宋体" w:hint="default"/>
        </w:rPr>
        <w:t>33.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2"/>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2957"/>
        <w:gridCol w:w="3053"/>
        <w:gridCol w:w="3039"/>
      </w:tblGrid>
      <w:tr>
        <w:trPr>
          <w:trHeight w:val="554"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Times New Roman" w:hAnsi="Times New Roman" w:cs="Times New Roman" w:eastAsia="Times New Roman" w:hint="default"/>
                <w:sz w:val="21"/>
                <w:szCs w:val="21"/>
              </w:rPr>
              <w:t>(</w:t>
            </w:r>
            <w:r>
              <w:rPr>
                <w:rFonts w:ascii="宋体" w:hAnsi="宋体" w:cs="宋体" w:eastAsia="宋体" w:hint="default"/>
                <w:sz w:val="21"/>
                <w:szCs w:val="21"/>
              </w:rPr>
              <w:t>受重要影响的报表项目名</w:t>
            </w:r>
          </w:p>
          <w:p>
            <w:pPr>
              <w:pStyle w:val="TableParagraph"/>
              <w:spacing w:line="282" w:lineRule="exact"/>
              <w:ind w:left="5"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称和金额</w:t>
            </w:r>
            <w:r>
              <w:rPr>
                <w:rFonts w:ascii="Times New Roman" w:hAnsi="Times New Roman" w:cs="Times New Roman" w:eastAsia="Times New Roman" w:hint="default"/>
                <w:sz w:val="21"/>
                <w:szCs w:val="21"/>
              </w:rPr>
              <w:t>)</w:t>
            </w:r>
          </w:p>
        </w:tc>
      </w:tr>
      <w:tr>
        <w:trPr>
          <w:trHeight w:val="1644"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在利润表中新增“资产处置收</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16"/>
                <w:sz w:val="21"/>
                <w:szCs w:val="21"/>
              </w:rPr>
              <w:t>益”项目，将部分原列示为“营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业外收入”及“营业外支出”</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的资产处置损益重分类至“资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产处置收益”项目。比较数据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相应调整。</w:t>
            </w:r>
          </w:p>
        </w:tc>
        <w:tc>
          <w:tcPr>
            <w:tcW w:w="3053" w:type="dxa"/>
            <w:tcBorders>
              <w:top w:val="single" w:sz="4" w:space="0" w:color="000000"/>
              <w:left w:val="single" w:sz="4" w:space="0" w:color="000000"/>
              <w:bottom w:val="single" w:sz="4" w:space="0" w:color="000000"/>
              <w:right w:val="single" w:sz="4" w:space="0" w:color="000000"/>
            </w:tcBorders>
          </w:tcPr>
          <w:p>
            <w:pP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Times New Roman" w:hAnsi="Times New Roman" w:cs="Times New Roman" w:eastAsia="Times New Roman" w:hint="default"/>
                <w:spacing w:val="45"/>
                <w:sz w:val="21"/>
                <w:szCs w:val="21"/>
              </w:rPr>
              <w:t> </w:t>
            </w:r>
            <w:r>
              <w:rPr>
                <w:rFonts w:ascii="宋体" w:hAnsi="宋体" w:cs="宋体" w:eastAsia="宋体" w:hint="default"/>
                <w:spacing w:val="15"/>
                <w:sz w:val="21"/>
                <w:szCs w:val="21"/>
              </w:rPr>
              <w:t>年度资产处置收益增加</w:t>
            </w:r>
          </w:p>
          <w:p>
            <w:pPr>
              <w:pStyle w:val="TableParagraph"/>
              <w:spacing w:line="27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31,350.00</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元，营业外收入减少</w:t>
            </w: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31,350.00 </w:t>
            </w:r>
            <w:r>
              <w:rPr>
                <w:rFonts w:ascii="宋体" w:hAnsi="宋体" w:cs="宋体" w:eastAsia="宋体" w:hint="default"/>
                <w:sz w:val="21"/>
                <w:szCs w:val="21"/>
              </w:rPr>
              <w:t>元</w:t>
            </w:r>
          </w:p>
        </w:tc>
      </w:tr>
      <w:tr>
        <w:trPr>
          <w:trHeight w:val="4066"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执行《企业会计准则第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p>
          <w:p>
            <w:pPr>
              <w:pStyle w:val="TableParagraph"/>
              <w:spacing w:line="235" w:lineRule="auto"/>
              <w:ind w:left="103" w:right="98"/>
              <w:jc w:val="both"/>
              <w:rPr>
                <w:rFonts w:ascii="宋体" w:hAnsi="宋体" w:cs="宋体" w:eastAsia="宋体" w:hint="default"/>
                <w:sz w:val="21"/>
                <w:szCs w:val="21"/>
              </w:rPr>
            </w:pPr>
            <w:r>
              <w:rPr>
                <w:rFonts w:ascii="宋体" w:hAnsi="宋体" w:cs="宋体" w:eastAsia="宋体" w:hint="default"/>
                <w:spacing w:val="-1"/>
                <w:w w:val="100"/>
                <w:sz w:val="21"/>
                <w:szCs w:val="21"/>
              </w:rPr>
              <w:t>政府补助（</w:t>
            </w:r>
            <w:r>
              <w:rPr>
                <w:rFonts w:ascii="Times New Roman" w:hAnsi="Times New Roman" w:cs="Times New Roman" w:eastAsia="Times New Roman" w:hint="default"/>
                <w:spacing w:val="-1"/>
                <w:w w:val="100"/>
                <w:sz w:val="21"/>
                <w:szCs w:val="21"/>
              </w:rPr>
              <w:t>2017</w:t>
            </w:r>
            <w:r>
              <w:rPr>
                <w:rFonts w:ascii="Times New Roman" w:hAnsi="Times New Roman" w:cs="Times New Roman" w:eastAsia="Times New Roman" w:hint="default"/>
                <w:spacing w:val="8"/>
                <w:w w:val="100"/>
                <w:sz w:val="21"/>
                <w:szCs w:val="21"/>
              </w:rPr>
              <w:t> </w:t>
            </w:r>
            <w:r>
              <w:rPr>
                <w:rFonts w:ascii="宋体" w:hAnsi="宋体" w:cs="宋体" w:eastAsia="宋体" w:hint="default"/>
                <w:spacing w:val="-19"/>
                <w:w w:val="100"/>
                <w:sz w:val="21"/>
                <w:szCs w:val="21"/>
              </w:rPr>
              <w:t>年修订）》之</w:t>
            </w:r>
            <w:r>
              <w:rPr>
                <w:rFonts w:ascii="宋体" w:hAnsi="宋体" w:cs="宋体" w:eastAsia="宋体" w:hint="default"/>
                <w:w w:val="100"/>
                <w:sz w:val="21"/>
                <w:szCs w:val="21"/>
              </w:rPr>
              <w:t> </w:t>
            </w:r>
            <w:r>
              <w:rPr>
                <w:rFonts w:ascii="宋体" w:hAnsi="宋体" w:cs="宋体" w:eastAsia="宋体" w:hint="default"/>
                <w:sz w:val="21"/>
                <w:szCs w:val="21"/>
              </w:rPr>
              <w:t>前，公司将取得的政府补助计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入营业外收入；与资产相关的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政府补助确认为递延收益，在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资产使用寿命内平均摊销计入</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当期损益。执行《企业会计准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则第</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政府补助（</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pacing w:val="-15"/>
                <w:w w:val="100"/>
                <w:sz w:val="21"/>
                <w:szCs w:val="21"/>
              </w:rPr>
              <w:t>修订）》之后，对</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1"/>
                <w:w w:val="100"/>
                <w:sz w:val="21"/>
                <w:szCs w:val="21"/>
              </w:rPr>
              <w:t>2017</w:t>
            </w:r>
            <w:r>
              <w:rPr>
                <w:rFonts w:ascii="Times New Roman" w:hAnsi="Times New Roman" w:cs="Times New Roman" w:eastAsia="Times New Roman" w:hint="default"/>
                <w:spacing w:val="4"/>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w w:val="100"/>
                <w:sz w:val="21"/>
                <w:szCs w:val="21"/>
              </w:rPr>
              <w:t> </w:t>
            </w:r>
            <w:r>
              <w:rPr>
                <w:rFonts w:ascii="宋体" w:hAnsi="宋体" w:cs="宋体" w:eastAsia="宋体" w:hint="default"/>
                <w:w w:val="100"/>
                <w:sz w:val="21"/>
                <w:szCs w:val="21"/>
              </w:rPr>
              <w:t>月</w:t>
            </w:r>
          </w:p>
          <w:p>
            <w:pPr>
              <w:pStyle w:val="TableParagraph"/>
              <w:spacing w:line="235" w:lineRule="auto"/>
              <w:ind w:left="103" w:right="-3"/>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日之后发生的与日常活动相</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9"/>
                <w:w w:val="100"/>
                <w:sz w:val="21"/>
                <w:szCs w:val="21"/>
              </w:rPr>
              <w:t>关的政府补助，计入其他收益；</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与日常活动无关的政府补助，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计入营业外收支；与资产相关</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的政府补助确认为递延收益。</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经公司第六届董事会第七次会</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议于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日批准。</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2"/>
                <w:sz w:val="21"/>
                <w:szCs w:val="21"/>
              </w:rPr>
              <w:t>本期计入其他收益的金额</w:t>
            </w:r>
            <w:r>
              <w:rPr>
                <w:rFonts w:ascii="宋体" w:hAnsi="宋体" w:cs="宋体" w:eastAsia="宋体" w:hint="default"/>
                <w:spacing w:val="-45"/>
                <w:sz w:val="21"/>
                <w:szCs w:val="21"/>
              </w:rPr>
              <w:t> </w:t>
            </w:r>
            <w:r>
              <w:rPr>
                <w:rFonts w:ascii="宋体" w:hAnsi="宋体" w:cs="宋体" w:eastAsia="宋体" w:hint="default"/>
                <w:sz w:val="21"/>
                <w:szCs w:val="21"/>
              </w:rPr>
              <w:t>为</w:t>
            </w:r>
          </w:p>
          <w:p>
            <w:pPr>
              <w:pStyle w:val="TableParagraph"/>
              <w:spacing w:line="28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362,803.48 </w:t>
            </w:r>
            <w:r>
              <w:rPr>
                <w:rFonts w:ascii="宋体" w:hAnsi="宋体" w:cs="宋体" w:eastAsia="宋体" w:hint="default"/>
                <w:sz w:val="21"/>
                <w:szCs w:val="21"/>
              </w:rPr>
              <w:t>元</w:t>
            </w:r>
          </w:p>
        </w:tc>
      </w:tr>
    </w:tbl>
    <w:p>
      <w:pPr>
        <w:spacing w:line="240" w:lineRule="auto" w:before="2"/>
        <w:rPr>
          <w:rFonts w:ascii="宋体" w:hAnsi="宋体" w:cs="宋体" w:eastAsia="宋体" w:hint="default"/>
          <w:sz w:val="13"/>
          <w:szCs w:val="13"/>
        </w:rPr>
      </w:pPr>
    </w:p>
    <w:p>
      <w:pPr>
        <w:pStyle w:val="BodyText"/>
        <w:spacing w:line="273" w:lineRule="exact" w:before="36"/>
        <w:ind w:right="2465"/>
        <w:jc w:val="left"/>
      </w:pPr>
      <w:r>
        <w:rPr/>
        <w:t>其他说明</w:t>
      </w:r>
    </w:p>
    <w:p>
      <w:pPr>
        <w:pStyle w:val="BodyText"/>
        <w:spacing w:line="281" w:lineRule="exact"/>
        <w:ind w:right="65"/>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日，财政部以财会</w:t>
      </w:r>
      <w:r>
        <w:rPr>
          <w:rFonts w:ascii="Times New Roman" w:hAnsi="Times New Roman" w:cs="Times New Roman" w:eastAsia="Times New Roman" w:hint="default"/>
        </w:rPr>
        <w:t>[2017]13</w:t>
      </w:r>
      <w:r>
        <w:rPr>
          <w:rFonts w:ascii="Times New Roman" w:hAnsi="Times New Roman" w:cs="Times New Roman" w:eastAsia="Times New Roman" w:hint="default"/>
          <w:spacing w:val="-2"/>
        </w:rPr>
        <w:t> </w:t>
      </w:r>
      <w:r>
        <w:rPr>
          <w:spacing w:val="-3"/>
        </w:rPr>
        <w:t>号发布了《企业会计准则第</w:t>
      </w:r>
      <w:r>
        <w:rPr>
          <w:spacing w:val="-52"/>
        </w:rPr>
        <w:t> </w:t>
      </w:r>
      <w:r>
        <w:rPr>
          <w:rFonts w:ascii="Times New Roman" w:hAnsi="Times New Roman" w:cs="Times New Roman" w:eastAsia="Times New Roman" w:hint="default"/>
        </w:rPr>
        <w:t>42</w:t>
      </w:r>
      <w:r>
        <w:rPr>
          <w:rFonts w:ascii="Times New Roman" w:hAnsi="Times New Roman" w:cs="Times New Roman" w:eastAsia="Times New Roman" w:hint="default"/>
          <w:spacing w:val="1"/>
        </w:rPr>
        <w:t> </w:t>
      </w:r>
      <w:r>
        <w:rPr/>
        <w:t>号——持有待售的非流</w:t>
      </w:r>
    </w:p>
    <w:p>
      <w:pPr>
        <w:pStyle w:val="BodyText"/>
        <w:spacing w:line="273" w:lineRule="exact"/>
        <w:ind w:right="65"/>
        <w:jc w:val="left"/>
        <w:rPr>
          <w:rFonts w:ascii="Times New Roman" w:hAnsi="Times New Roman" w:cs="Times New Roman" w:eastAsia="Times New Roman" w:hint="default"/>
        </w:rPr>
      </w:pPr>
      <w:r>
        <w:rPr>
          <w:w w:val="100"/>
        </w:rPr>
        <w:t>动资</w:t>
      </w:r>
      <w:r>
        <w:rPr>
          <w:spacing w:val="-3"/>
          <w:w w:val="100"/>
        </w:rPr>
        <w:t>产</w:t>
      </w:r>
      <w:r>
        <w:rPr>
          <w:spacing w:val="-106"/>
          <w:w w:val="100"/>
        </w:rPr>
        <w:t>、</w:t>
      </w:r>
      <w:r>
        <w:rPr>
          <w:spacing w:val="-3"/>
          <w:w w:val="100"/>
        </w:rPr>
        <w:t>处</w:t>
      </w:r>
      <w:r>
        <w:rPr>
          <w:w w:val="100"/>
        </w:rPr>
        <w:t>置</w:t>
      </w:r>
      <w:r>
        <w:rPr>
          <w:spacing w:val="-3"/>
          <w:w w:val="100"/>
        </w:rPr>
        <w:t>组</w:t>
      </w:r>
      <w:r>
        <w:rPr>
          <w:w w:val="100"/>
        </w:rPr>
        <w:t>和</w:t>
      </w:r>
      <w:r>
        <w:rPr>
          <w:spacing w:val="-3"/>
          <w:w w:val="100"/>
        </w:rPr>
        <w:t>终</w:t>
      </w:r>
      <w:r>
        <w:rPr>
          <w:w w:val="100"/>
        </w:rPr>
        <w:t>止</w:t>
      </w:r>
      <w:r>
        <w:rPr>
          <w:spacing w:val="-3"/>
          <w:w w:val="100"/>
        </w:rPr>
        <w:t>经营</w:t>
      </w:r>
      <w:r>
        <w:rPr>
          <w:spacing w:val="-106"/>
          <w:w w:val="100"/>
        </w:rPr>
        <w:t>》，</w:t>
      </w:r>
      <w:r>
        <w:rPr>
          <w:w w:val="100"/>
        </w:rPr>
        <w:t>自</w:t>
      </w:r>
      <w:r>
        <w:rPr>
          <w:spacing w:val="-69"/>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17</w:t>
      </w:r>
      <w:r>
        <w:rPr>
          <w:rFonts w:ascii="Times New Roman" w:hAnsi="Times New Roman" w:cs="Times New Roman" w:eastAsia="Times New Roman" w:hint="default"/>
          <w:spacing w:val="-17"/>
        </w:rPr>
        <w:t> </w:t>
      </w:r>
      <w:r>
        <w:rPr>
          <w:w w:val="100"/>
        </w:rPr>
        <w:t>年</w:t>
      </w:r>
      <w:r>
        <w:rPr>
          <w:spacing w:val="-69"/>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19"/>
        </w:rPr>
        <w:t> </w:t>
      </w:r>
      <w:r>
        <w:rPr>
          <w:w w:val="100"/>
        </w:rPr>
        <w:t>月</w:t>
      </w:r>
      <w:r>
        <w:rPr>
          <w:spacing w:val="-69"/>
        </w:rPr>
        <w:t> </w:t>
      </w:r>
      <w:r>
        <w:rPr>
          <w:rFonts w:ascii="Times New Roman" w:hAnsi="Times New Roman" w:cs="Times New Roman" w:eastAsia="Times New Roman" w:hint="default"/>
          <w:w w:val="100"/>
        </w:rPr>
        <w:t>28</w:t>
      </w:r>
      <w:r>
        <w:rPr>
          <w:rFonts w:ascii="Times New Roman" w:hAnsi="Times New Roman" w:cs="Times New Roman" w:eastAsia="Times New Roman" w:hint="default"/>
          <w:spacing w:val="-19"/>
        </w:rPr>
        <w:t> </w:t>
      </w:r>
      <w:r>
        <w:rPr>
          <w:w w:val="100"/>
        </w:rPr>
        <w:t>日</w:t>
      </w:r>
      <w:r>
        <w:rPr>
          <w:spacing w:val="-3"/>
          <w:w w:val="100"/>
        </w:rPr>
        <w:t>起实</w:t>
      </w:r>
      <w:r>
        <w:rPr>
          <w:w w:val="100"/>
        </w:rPr>
        <w:t>施</w:t>
      </w:r>
      <w:r>
        <w:rPr>
          <w:spacing w:val="-106"/>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spacing w:val="-17"/>
        </w:rPr>
        <w:t> </w:t>
      </w:r>
      <w:r>
        <w:rPr>
          <w:w w:val="100"/>
        </w:rPr>
        <w:t>年</w:t>
      </w:r>
      <w:r>
        <w:rPr>
          <w:spacing w:val="-69"/>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19"/>
        </w:rPr>
        <w:t> </w:t>
      </w:r>
      <w:r>
        <w:rPr>
          <w:w w:val="100"/>
        </w:rPr>
        <w:t>月</w:t>
      </w:r>
      <w:r>
        <w:rPr>
          <w:spacing w:val="-69"/>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19"/>
        </w:rPr>
        <w:t> </w:t>
      </w:r>
      <w:r>
        <w:rPr>
          <w:w w:val="100"/>
        </w:rPr>
        <w:t>日</w:t>
      </w:r>
      <w:r>
        <w:rPr>
          <w:spacing w:val="-106"/>
          <w:w w:val="100"/>
        </w:rPr>
        <w:t>，</w:t>
      </w:r>
      <w:r>
        <w:rPr>
          <w:spacing w:val="-3"/>
          <w:w w:val="100"/>
        </w:rPr>
        <w:t>财政</w:t>
      </w:r>
      <w:r>
        <w:rPr>
          <w:w w:val="100"/>
        </w:rPr>
        <w:t>部以</w:t>
      </w:r>
      <w:r>
        <w:rPr>
          <w:spacing w:val="-3"/>
          <w:w w:val="100"/>
        </w:rPr>
        <w:t>财</w:t>
      </w:r>
      <w:r>
        <w:rPr>
          <w:w w:val="100"/>
        </w:rPr>
        <w:t>会</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17</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15</w:t>
      </w:r>
    </w:p>
    <w:p>
      <w:pPr>
        <w:pStyle w:val="BodyText"/>
        <w:spacing w:line="274" w:lineRule="exact" w:before="16"/>
        <w:ind w:right="65"/>
        <w:jc w:val="left"/>
      </w:pPr>
      <w:r>
        <w:rPr>
          <w:spacing w:val="-2"/>
          <w:w w:val="100"/>
        </w:rPr>
        <w:t>号发布了《企业会计准则第</w:t>
      </w:r>
      <w:r>
        <w:rPr>
          <w:spacing w:val="-43"/>
          <w:w w:val="100"/>
        </w:rPr>
        <w:t> </w:t>
      </w:r>
      <w:r>
        <w:rPr>
          <w:rFonts w:ascii="Times New Roman" w:hAnsi="Times New Roman" w:cs="Times New Roman" w:eastAsia="Times New Roman" w:hint="default"/>
          <w:w w:val="100"/>
        </w:rPr>
        <w:t>16</w:t>
      </w:r>
      <w:r>
        <w:rPr>
          <w:rFonts w:ascii="Times New Roman" w:hAnsi="Times New Roman" w:cs="Times New Roman" w:eastAsia="Times New Roman" w:hint="default"/>
          <w:spacing w:val="7"/>
          <w:w w:val="100"/>
        </w:rPr>
        <w:t> </w:t>
      </w:r>
      <w:r>
        <w:rPr>
          <w:spacing w:val="-2"/>
          <w:w w:val="100"/>
        </w:rPr>
        <w:t>号——政府补助（</w:t>
      </w:r>
      <w:r>
        <w:rPr>
          <w:rFonts w:ascii="Times New Roman" w:hAnsi="Times New Roman" w:cs="Times New Roman" w:eastAsia="Times New Roman" w:hint="default"/>
          <w:spacing w:val="-2"/>
          <w:w w:val="100"/>
        </w:rPr>
        <w:t>2017</w:t>
      </w:r>
      <w:r>
        <w:rPr>
          <w:rFonts w:ascii="Times New Roman" w:hAnsi="Times New Roman" w:cs="Times New Roman" w:eastAsia="Times New Roman" w:hint="default"/>
          <w:spacing w:val="9"/>
          <w:w w:val="100"/>
        </w:rPr>
        <w:t> </w:t>
      </w:r>
      <w:r>
        <w:rPr>
          <w:spacing w:val="-32"/>
          <w:w w:val="100"/>
        </w:rPr>
        <w:t>年修订）》，自</w:t>
      </w:r>
      <w:r>
        <w:rPr>
          <w:spacing w:val="-44"/>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9"/>
          <w:w w:val="100"/>
        </w:rPr>
        <w:t> </w:t>
      </w:r>
      <w:r>
        <w:rPr>
          <w:w w:val="100"/>
        </w:rPr>
        <w:t>年</w:t>
      </w:r>
      <w:r>
        <w:rPr>
          <w:spacing w:val="-46"/>
          <w:w w:val="100"/>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10"/>
          <w:w w:val="100"/>
        </w:rPr>
        <w:t> </w:t>
      </w:r>
      <w:r>
        <w:rPr>
          <w:w w:val="100"/>
        </w:rPr>
        <w:t>月</w:t>
      </w:r>
      <w:r>
        <w:rPr>
          <w:spacing w:val="-43"/>
          <w:w w:val="100"/>
        </w:rPr>
        <w:t> </w:t>
      </w:r>
      <w:r>
        <w:rPr>
          <w:rFonts w:ascii="Times New Roman" w:hAnsi="Times New Roman" w:cs="Times New Roman" w:eastAsia="Times New Roman" w:hint="default"/>
          <w:spacing w:val="-2"/>
          <w:w w:val="100"/>
        </w:rPr>
        <w:t>12</w:t>
      </w:r>
      <w:r>
        <w:rPr>
          <w:rFonts w:ascii="Times New Roman" w:hAnsi="Times New Roman" w:cs="Times New Roman" w:eastAsia="Times New Roman" w:hint="default"/>
          <w:spacing w:val="9"/>
          <w:w w:val="100"/>
        </w:rPr>
        <w:t> </w:t>
      </w:r>
      <w:r>
        <w:rPr>
          <w:spacing w:val="-2"/>
          <w:w w:val="100"/>
        </w:rPr>
        <w:t>日起实施。</w:t>
      </w:r>
      <w:r>
        <w:rPr>
          <w:w w:val="100"/>
        </w:rPr>
        <w:t> </w:t>
      </w:r>
      <w:r>
        <w:rPr/>
        <w:t>公司按照财政部的要求时间开始执行前述两项会计准则。</w:t>
      </w:r>
    </w:p>
    <w:p>
      <w:pPr>
        <w:spacing w:after="0" w:line="274" w:lineRule="exact"/>
        <w:jc w:val="left"/>
        <w:sectPr>
          <w:footerReference w:type="default" r:id="rId55"/>
          <w:pgSz w:w="11910" w:h="16840"/>
          <w:pgMar w:footer="1195" w:header="882" w:top="1120" w:bottom="1380" w:left="1580" w:right="1040"/>
          <w:pgNumType w:start="101"/>
        </w:sectPr>
      </w:pPr>
    </w:p>
    <w:p>
      <w:pPr>
        <w:spacing w:line="240" w:lineRule="auto" w:before="1"/>
        <w:rPr>
          <w:rFonts w:ascii="宋体" w:hAnsi="宋体" w:cs="宋体" w:eastAsia="宋体" w:hint="default"/>
          <w:sz w:val="25"/>
          <w:szCs w:val="25"/>
        </w:rPr>
      </w:pPr>
    </w:p>
    <w:p>
      <w:pPr>
        <w:pStyle w:val="BodyText"/>
        <w:spacing w:line="230" w:lineRule="auto" w:before="46"/>
        <w:ind w:right="227"/>
        <w:jc w:val="both"/>
      </w:pPr>
      <w:r>
        <w:rPr/>
        <w:t>《企业会计准则第 </w:t>
      </w:r>
      <w:r>
        <w:rPr>
          <w:rFonts w:ascii="Times New Roman" w:hAnsi="Times New Roman" w:cs="Times New Roman" w:eastAsia="Times New Roman" w:hint="default"/>
        </w:rPr>
        <w:t>42 </w:t>
      </w:r>
      <w:r>
        <w:rPr>
          <w:spacing w:val="-5"/>
        </w:rPr>
        <w:t>号——持有待售的非流动资产、处置组和终止经营》准则规范了持有待售的</w:t>
      </w:r>
      <w:r>
        <w:rPr>
          <w:spacing w:val="-93"/>
        </w:rPr>
        <w:t> </w:t>
      </w:r>
      <w:r>
        <w:rPr>
          <w:spacing w:val="-93"/>
        </w:rPr>
      </w:r>
      <w:r>
        <w:rPr>
          <w:spacing w:val="-1"/>
        </w:rPr>
        <w:t>非流动资产或处置组的分类、计量和列报，以及终止经营的列报。本财务报表已按该准则对实施</w:t>
      </w:r>
      <w:r>
        <w:rPr>
          <w:spacing w:val="-55"/>
        </w:rPr>
        <w:t> </w:t>
      </w:r>
      <w:r>
        <w:rPr>
          <w:spacing w:val="-55"/>
        </w:rPr>
      </w:r>
      <w:r>
        <w:rPr>
          <w:spacing w:val="-13"/>
        </w:rPr>
        <w:t>日（</w:t>
      </w:r>
      <w:r>
        <w:rPr>
          <w:rFonts w:ascii="Times New Roman" w:hAnsi="Times New Roman" w:cs="Times New Roman" w:eastAsia="Times New Roman" w:hint="default"/>
          <w:spacing w:val="-13"/>
        </w:rPr>
        <w:t>2017</w:t>
      </w:r>
      <w:r>
        <w:rPr>
          <w:rFonts w:ascii="Times New Roman" w:hAnsi="Times New Roman" w:cs="Times New Roman" w:eastAsia="Times New Roman" w:hint="default"/>
          <w:spacing w:val="9"/>
        </w:rPr>
        <w:t> </w:t>
      </w:r>
      <w:r>
        <w:rPr/>
        <w:t>年</w:t>
      </w:r>
      <w:r>
        <w:rPr>
          <w:spacing w:val="-40"/>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w:t>
      </w:r>
      <w:r>
        <w:rPr>
          <w:spacing w:val="-40"/>
        </w:rPr>
        <w:t> </w:t>
      </w:r>
      <w:r>
        <w:rPr>
          <w:rFonts w:ascii="Times New Roman" w:hAnsi="Times New Roman" w:cs="Times New Roman" w:eastAsia="Times New Roman" w:hint="default"/>
        </w:rPr>
        <w:t>28</w:t>
      </w:r>
      <w:r>
        <w:rPr>
          <w:rFonts w:ascii="Times New Roman" w:hAnsi="Times New Roman" w:cs="Times New Roman" w:eastAsia="Times New Roman" w:hint="default"/>
          <w:spacing w:val="9"/>
        </w:rPr>
        <w:t> </w:t>
      </w:r>
      <w:r>
        <w:rPr>
          <w:spacing w:val="-4"/>
        </w:rPr>
        <w:t>日）存在的终止经营对可比年度财务报表列报和附注的披露进行了相应调整。</w:t>
      </w:r>
    </w:p>
    <w:p>
      <w:pPr>
        <w:spacing w:line="240" w:lineRule="auto" w:before="12"/>
        <w:rPr>
          <w:rFonts w:ascii="宋体" w:hAnsi="宋体" w:cs="宋体" w:eastAsia="宋体" w:hint="default"/>
          <w:sz w:val="17"/>
          <w:szCs w:val="17"/>
        </w:rPr>
      </w:pPr>
    </w:p>
    <w:p>
      <w:pPr>
        <w:pStyle w:val="BodyText"/>
        <w:spacing w:line="230" w:lineRule="auto"/>
        <w:ind w:right="228"/>
        <w:jc w:val="both"/>
      </w:pPr>
      <w:r>
        <w:rPr>
          <w:spacing w:val="-3"/>
          <w:w w:val="100"/>
        </w:rPr>
        <w:t>执行《企业会计准则第</w:t>
      </w:r>
      <w:r>
        <w:rPr>
          <w:spacing w:val="-46"/>
          <w:w w:val="100"/>
        </w:rPr>
        <w:t> </w:t>
      </w:r>
      <w:r>
        <w:rPr>
          <w:rFonts w:ascii="Times New Roman" w:hAnsi="Times New Roman" w:cs="Times New Roman" w:eastAsia="Times New Roman" w:hint="default"/>
          <w:spacing w:val="-2"/>
          <w:w w:val="100"/>
        </w:rPr>
        <w:t>16</w:t>
      </w:r>
      <w:r>
        <w:rPr>
          <w:rFonts w:ascii="Times New Roman" w:hAnsi="Times New Roman" w:cs="Times New Roman" w:eastAsia="Times New Roman" w:hint="default"/>
          <w:spacing w:val="3"/>
          <w:w w:val="100"/>
        </w:rPr>
        <w:t> </w:t>
      </w:r>
      <w:r>
        <w:rPr>
          <w:spacing w:val="-2"/>
          <w:w w:val="100"/>
        </w:rPr>
        <w:t>号——政府补助（</w:t>
      </w:r>
      <w:r>
        <w:rPr>
          <w:rFonts w:ascii="Times New Roman" w:hAnsi="Times New Roman" w:cs="Times New Roman" w:eastAsia="Times New Roman" w:hint="default"/>
          <w:spacing w:val="-2"/>
          <w:w w:val="100"/>
        </w:rPr>
        <w:t>2017</w:t>
      </w:r>
      <w:r>
        <w:rPr>
          <w:rFonts w:ascii="Times New Roman" w:hAnsi="Times New Roman" w:cs="Times New Roman" w:eastAsia="Times New Roman" w:hint="default"/>
          <w:spacing w:val="4"/>
          <w:w w:val="100"/>
        </w:rPr>
        <w:t> </w:t>
      </w:r>
      <w:r>
        <w:rPr>
          <w:spacing w:val="-8"/>
          <w:w w:val="100"/>
        </w:rPr>
        <w:t>年修订）》之前，公司将取得的政府补助计入营</w:t>
      </w:r>
      <w:r>
        <w:rPr>
          <w:spacing w:val="-103"/>
          <w:w w:val="100"/>
        </w:rPr>
        <w:t> </w:t>
      </w:r>
      <w:r>
        <w:rPr>
          <w:spacing w:val="-103"/>
          <w:w w:val="100"/>
        </w:rPr>
      </w:r>
      <w:r>
        <w:rPr>
          <w:spacing w:val="-1"/>
        </w:rPr>
        <w:t>业外收入；与资产相关的政府补助确认为递延收益，在资产使用寿命内平均摊销计入当期损益。</w:t>
      </w:r>
      <w:r>
        <w:rPr>
          <w:spacing w:val="-55"/>
        </w:rPr>
        <w:t> </w:t>
      </w:r>
      <w:r>
        <w:rPr>
          <w:spacing w:val="-55"/>
        </w:rPr>
      </w:r>
      <w:r>
        <w:rPr>
          <w:spacing w:val="-2"/>
          <w:w w:val="100"/>
        </w:rPr>
        <w:t>执行《企业会计准则第</w:t>
      </w:r>
      <w:r>
        <w:rPr>
          <w:spacing w:val="-43"/>
          <w:w w:val="100"/>
        </w:rPr>
        <w:t> </w:t>
      </w:r>
      <w:r>
        <w:rPr>
          <w:rFonts w:ascii="Times New Roman" w:hAnsi="Times New Roman" w:cs="Times New Roman" w:eastAsia="Times New Roman" w:hint="default"/>
          <w:spacing w:val="-2"/>
          <w:w w:val="100"/>
        </w:rPr>
        <w:t>16</w:t>
      </w:r>
      <w:r>
        <w:rPr>
          <w:rFonts w:ascii="Times New Roman" w:hAnsi="Times New Roman" w:cs="Times New Roman" w:eastAsia="Times New Roman" w:hint="default"/>
          <w:spacing w:val="7"/>
          <w:w w:val="100"/>
        </w:rPr>
        <w:t> </w:t>
      </w:r>
      <w:r>
        <w:rPr>
          <w:spacing w:val="-2"/>
          <w:w w:val="100"/>
        </w:rPr>
        <w:t>号——政府补助（</w:t>
      </w:r>
      <w:r>
        <w:rPr>
          <w:rFonts w:ascii="Times New Roman" w:hAnsi="Times New Roman" w:cs="Times New Roman" w:eastAsia="Times New Roman" w:hint="default"/>
          <w:spacing w:val="-2"/>
          <w:w w:val="100"/>
        </w:rPr>
        <w:t>2017</w:t>
      </w:r>
      <w:r>
        <w:rPr>
          <w:rFonts w:ascii="Times New Roman" w:hAnsi="Times New Roman" w:cs="Times New Roman" w:eastAsia="Times New Roman" w:hint="default"/>
          <w:spacing w:val="7"/>
          <w:w w:val="100"/>
        </w:rPr>
        <w:t> </w:t>
      </w:r>
      <w:r>
        <w:rPr>
          <w:spacing w:val="-13"/>
          <w:w w:val="100"/>
        </w:rPr>
        <w:t>年修订）》之后，对</w:t>
      </w:r>
      <w:r>
        <w:rPr>
          <w:spacing w:val="-44"/>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9"/>
          <w:w w:val="100"/>
        </w:rPr>
        <w:t> </w:t>
      </w:r>
      <w:r>
        <w:rPr>
          <w:w w:val="100"/>
        </w:rPr>
        <w:t>年</w:t>
      </w:r>
      <w:r>
        <w:rPr>
          <w:spacing w:val="-45"/>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9"/>
          <w:w w:val="100"/>
        </w:rPr>
        <w:t> </w:t>
      </w:r>
      <w:r>
        <w:rPr>
          <w:w w:val="100"/>
        </w:rPr>
        <w:t>月</w:t>
      </w:r>
      <w:r>
        <w:rPr>
          <w:spacing w:val="-43"/>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7"/>
          <w:w w:val="100"/>
        </w:rPr>
        <w:t> </w:t>
      </w:r>
      <w:r>
        <w:rPr>
          <w:spacing w:val="-2"/>
          <w:w w:val="100"/>
        </w:rPr>
        <w:t>日之后发生</w:t>
      </w:r>
      <w:r>
        <w:rPr>
          <w:w w:val="100"/>
        </w:rPr>
        <w:t> </w:t>
      </w:r>
      <w:r>
        <w:rPr>
          <w:spacing w:val="-1"/>
        </w:rPr>
        <w:t>的与日常活动相关的政府补助，计入其他收益；与日常活动无关的政府补助，计入营业外收支；</w:t>
      </w:r>
      <w:r>
        <w:rPr>
          <w:spacing w:val="-55"/>
        </w:rPr>
        <w:t> </w:t>
      </w:r>
      <w:r>
        <w:rPr>
          <w:spacing w:val="-55"/>
        </w:rPr>
      </w:r>
      <w:r>
        <w:rPr/>
        <w:t>与资产相关的政府补助确认为递延收益。</w:t>
      </w:r>
    </w:p>
    <w:p>
      <w:pPr>
        <w:spacing w:line="240" w:lineRule="auto" w:before="12"/>
        <w:rPr>
          <w:rFonts w:ascii="宋体" w:hAnsi="宋体" w:cs="宋体" w:eastAsia="宋体" w:hint="default"/>
          <w:sz w:val="22"/>
          <w:szCs w:val="22"/>
        </w:rPr>
      </w:pPr>
    </w:p>
    <w:p>
      <w:pPr>
        <w:pStyle w:val="Heading2"/>
        <w:spacing w:line="240" w:lineRule="auto"/>
        <w:ind w:right="0"/>
        <w:jc w:val="both"/>
        <w:rPr>
          <w:b w:val="0"/>
          <w:bCs w:val="0"/>
        </w:rPr>
      </w:pPr>
      <w:r>
        <w:rPr>
          <w:rFonts w:ascii="宋体" w:hAnsi="宋体" w:cs="宋体" w:eastAsia="宋体" w:hint="default"/>
        </w:rPr>
        <w:t>(2)</w:t>
      </w:r>
      <w:r>
        <w:rPr/>
        <w:t>、重要会计估计变更</w:t>
      </w:r>
      <w:r>
        <w:rPr>
          <w:b w:val="0"/>
          <w:bCs w:val="0"/>
        </w:rPr>
      </w:r>
    </w:p>
    <w:p>
      <w:pPr>
        <w:pStyle w:val="BodyText"/>
        <w:spacing w:line="240" w:lineRule="auto" w:before="58"/>
        <w:ind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p>
      <w:pPr>
        <w:pStyle w:val="Heading2"/>
        <w:spacing w:line="240" w:lineRule="auto"/>
        <w:ind w:right="0"/>
        <w:jc w:val="both"/>
        <w:rPr>
          <w:b w:val="0"/>
          <w:bCs w:val="0"/>
        </w:rPr>
      </w:pPr>
      <w:r>
        <w:rPr>
          <w:rFonts w:ascii="宋体" w:hAnsi="宋体" w:cs="宋体" w:eastAsia="宋体" w:hint="default"/>
        </w:rPr>
        <w:t>34.</w:t>
      </w:r>
      <w:r>
        <w:rPr>
          <w:rFonts w:ascii="宋体" w:hAnsi="宋体" w:cs="宋体" w:eastAsia="宋体" w:hint="default"/>
          <w:spacing w:val="2"/>
        </w:rPr>
        <w:t> </w:t>
      </w:r>
      <w:r>
        <w:rPr/>
        <w:t>其他</w:t>
      </w:r>
      <w:r>
        <w:rPr>
          <w:b w:val="0"/>
          <w:bCs w:val="0"/>
        </w:rPr>
      </w:r>
    </w:p>
    <w:p>
      <w:pPr>
        <w:pStyle w:val="BodyText"/>
        <w:spacing w:line="240" w:lineRule="auto" w:before="58"/>
        <w:ind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r>
        <w:rPr/>
        <w:t>六、税项</w:t>
      </w:r>
      <w:r>
        <w:rPr>
          <w:b w:val="0"/>
          <w:bCs w:val="0"/>
        </w:rPr>
      </w:r>
    </w:p>
    <w:p>
      <w:pPr>
        <w:tabs>
          <w:tab w:pos="642" w:val="left" w:leader="none"/>
        </w:tabs>
        <w:spacing w:line="290" w:lineRule="auto" w:before="56"/>
        <w:ind w:left="218"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43" w:lineRule="exact"/>
        <w:ind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1951"/>
        <w:gridCol w:w="5390"/>
        <w:gridCol w:w="1709"/>
      </w:tblGrid>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5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5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按税法规定计算的销售货物为基础计算销项税额，在扣除</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当期允许抵扣的进项税额后，差额部分为应交增值税</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17%</w:t>
            </w:r>
          </w:p>
        </w:tc>
      </w:tr>
      <w:tr>
        <w:trPr>
          <w:trHeight w:val="55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5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按税法规定计算的提供劳务为基础计算销项税额，在扣除</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当期允许抵扣的进项税额后，差额部分为应交增值税</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6%</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53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5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按当期应交流转税额计征</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5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按应纳税所得额计征</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详见本附注六</w:t>
            </w:r>
            <w:r>
              <w:rPr>
                <w:rFonts w:ascii="Times New Roman" w:hAnsi="Times New Roman" w:cs="Times New Roman" w:eastAsia="Times New Roman" w:hint="default"/>
                <w:sz w:val="21"/>
                <w:szCs w:val="21"/>
              </w:rPr>
              <w:t>/2</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5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按当期应交流转税额计征</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7%</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5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按当期应交流转税额计征</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3%</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5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按当期应交流转税额计征</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w:t>
            </w:r>
          </w:p>
        </w:tc>
      </w:tr>
    </w:tbl>
    <w:p>
      <w:pPr>
        <w:spacing w:line="240" w:lineRule="auto" w:before="6"/>
        <w:rPr>
          <w:rFonts w:ascii="宋体" w:hAnsi="宋体" w:cs="宋体" w:eastAsia="宋体" w:hint="default"/>
          <w:sz w:val="14"/>
          <w:szCs w:val="14"/>
        </w:rPr>
      </w:pPr>
    </w:p>
    <w:p>
      <w:pPr>
        <w:pStyle w:val="BodyText"/>
        <w:spacing w:line="274" w:lineRule="exact" w:before="36"/>
        <w:ind w:right="2465"/>
        <w:jc w:val="left"/>
      </w:pPr>
      <w:r>
        <w:rPr/>
        <w:t>存在不同企业所得税税率纳税主体的，披露情况说明</w:t>
      </w:r>
    </w:p>
    <w:p>
      <w:pPr>
        <w:pStyle w:val="BodyText"/>
        <w:spacing w:line="290" w:lineRule="exact"/>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57" w:lineRule="exact"/>
              <w:ind w:left="1392"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上海格尔软件股份有限公司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北京格尔国信科技有限公司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上海格尔安全科技有限公司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郑州信领软件有限公司</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15%</w:t>
            </w:r>
          </w:p>
        </w:tc>
      </w:tr>
    </w:tbl>
    <w:p>
      <w:pPr>
        <w:spacing w:line="240" w:lineRule="auto" w:before="9"/>
        <w:rPr>
          <w:rFonts w:ascii="宋体" w:hAnsi="宋体" w:cs="宋体" w:eastAsia="宋体" w:hint="default"/>
          <w:sz w:val="18"/>
          <w:szCs w:val="18"/>
        </w:rPr>
      </w:pPr>
    </w:p>
    <w:p>
      <w:pPr>
        <w:pStyle w:val="Heading2"/>
        <w:tabs>
          <w:tab w:pos="642" w:val="left" w:leader="none"/>
        </w:tabs>
        <w:spacing w:line="240" w:lineRule="auto" w:before="36"/>
        <w:ind w:right="2465"/>
        <w:jc w:val="left"/>
        <w:rPr>
          <w:b w:val="0"/>
          <w:bCs w:val="0"/>
        </w:rPr>
      </w:pPr>
      <w:r>
        <w:rPr>
          <w:rFonts w:ascii="宋体" w:hAnsi="宋体" w:cs="宋体" w:eastAsia="宋体" w:hint="default"/>
          <w:w w:val="95"/>
        </w:rPr>
        <w:t>2.</w:t>
        <w:tab/>
      </w:r>
      <w:r>
        <w:rPr/>
        <w:t>税收优惠</w:t>
      </w:r>
      <w:r>
        <w:rPr>
          <w:b w:val="0"/>
          <w:bCs w:val="0"/>
        </w:rPr>
      </w:r>
    </w:p>
    <w:p>
      <w:pPr>
        <w:pStyle w:val="BodyText"/>
        <w:spacing w:line="281" w:lineRule="exact" w:before="58"/>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30" w:lineRule="auto"/>
        <w:ind w:right="227"/>
        <w:jc w:val="left"/>
      </w:pPr>
      <w:r>
        <w:rPr>
          <w:spacing w:val="-11"/>
          <w:w w:val="100"/>
        </w:rPr>
        <w:t>（</w:t>
      </w:r>
      <w:r>
        <w:rPr>
          <w:rFonts w:ascii="Times New Roman" w:hAnsi="Times New Roman" w:cs="Times New Roman" w:eastAsia="Times New Roman" w:hint="default"/>
          <w:spacing w:val="-11"/>
          <w:w w:val="100"/>
        </w:rPr>
        <w:t>1</w:t>
      </w:r>
      <w:r>
        <w:rPr>
          <w:spacing w:val="-11"/>
          <w:w w:val="100"/>
        </w:rPr>
        <w:t>）根据《中华人民共和国企业所得税法》、《中华人民共和国企业所得税法实施条例》、《高新</w:t>
      </w:r>
      <w:r>
        <w:rPr>
          <w:spacing w:val="-103"/>
          <w:w w:val="100"/>
        </w:rPr>
        <w:t> </w:t>
      </w:r>
      <w:r>
        <w:rPr>
          <w:spacing w:val="-103"/>
          <w:w w:val="100"/>
        </w:rPr>
      </w:r>
      <w:r>
        <w:rPr>
          <w:spacing w:val="-7"/>
        </w:rPr>
        <w:t>技术企业认定管理办法》以及《高新技术企业认定管理工作指引》规定，经认定的高新技术企业，</w:t>
      </w:r>
      <w:r>
        <w:rPr>
          <w:spacing w:val="-13"/>
        </w:rPr>
        <w:t> </w:t>
      </w:r>
      <w:r>
        <w:rPr>
          <w:spacing w:val="-13"/>
        </w:rPr>
      </w:r>
      <w:r>
        <w:rPr/>
        <w:t>减按</w:t>
      </w:r>
      <w:r>
        <w:rPr>
          <w:spacing w:val="-45"/>
        </w:rPr>
        <w:t> </w:t>
      </w:r>
      <w:r>
        <w:rPr>
          <w:rFonts w:ascii="Times New Roman" w:hAnsi="Times New Roman" w:cs="Times New Roman" w:eastAsia="Times New Roman" w:hint="default"/>
          <w:spacing w:val="-3"/>
        </w:rPr>
        <w:t>15%</w:t>
      </w:r>
      <w:r>
        <w:rPr>
          <w:spacing w:val="-3"/>
        </w:rPr>
        <w:t>的税率征收企业所得税。</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23</w:t>
      </w:r>
      <w:r>
        <w:rPr>
          <w:rFonts w:ascii="Times New Roman" w:hAnsi="Times New Roman" w:cs="Times New Roman" w:eastAsia="Times New Roman" w:hint="default"/>
          <w:spacing w:val="6"/>
        </w:rPr>
        <w:t> </w:t>
      </w:r>
      <w:r>
        <w:rPr>
          <w:spacing w:val="-3"/>
        </w:rPr>
        <w:t>日，上海格尔软件股份有限公司通过了高新技</w:t>
      </w:r>
      <w:r>
        <w:rPr>
          <w:spacing w:val="-102"/>
        </w:rPr>
        <w:t> </w:t>
      </w:r>
      <w:r>
        <w:rPr>
          <w:spacing w:val="-102"/>
        </w:rPr>
      </w:r>
      <w:r>
        <w:rPr>
          <w:spacing w:val="-2"/>
        </w:rPr>
        <w:t>术企业复审并取得了上海市科学技术委员会、上海市财政局、上海市国家税务局、上海市地方税</w:t>
      </w:r>
      <w:r>
        <w:rPr>
          <w:spacing w:val="-25"/>
        </w:rPr>
        <w:t> </w:t>
      </w:r>
      <w:r>
        <w:rPr>
          <w:spacing w:val="-25"/>
        </w:rPr>
      </w:r>
      <w:r>
        <w:rPr>
          <w:spacing w:val="-4"/>
          <w:w w:val="100"/>
        </w:rPr>
        <w:t>务局联合颁发的《高新技术企业证书》，证书编号：</w:t>
      </w:r>
      <w:r>
        <w:rPr>
          <w:rFonts w:ascii="Times New Roman" w:hAnsi="Times New Roman" w:cs="Times New Roman" w:eastAsia="Times New Roman" w:hint="default"/>
          <w:spacing w:val="-4"/>
          <w:w w:val="100"/>
        </w:rPr>
        <w:t>GR201731000714</w:t>
      </w:r>
      <w:r>
        <w:rPr>
          <w:spacing w:val="-4"/>
          <w:w w:val="100"/>
        </w:rPr>
        <w:t>，认定有效期三年，</w:t>
      </w:r>
      <w:r>
        <w:rPr>
          <w:rFonts w:ascii="Times New Roman" w:hAnsi="Times New Roman" w:cs="Times New Roman" w:eastAsia="Times New Roman" w:hint="default"/>
          <w:spacing w:val="-4"/>
          <w:w w:val="100"/>
        </w:rPr>
        <w:t>2017</w:t>
      </w:r>
      <w:r>
        <w:rPr>
          <w:rFonts w:ascii="Times New Roman" w:hAnsi="Times New Roman" w:cs="Times New Roman" w:eastAsia="Times New Roman" w:hint="default"/>
          <w:spacing w:val="12"/>
          <w:w w:val="100"/>
        </w:rPr>
        <w:t> </w:t>
      </w:r>
      <w:r>
        <w:rPr>
          <w:w w:val="100"/>
        </w:rPr>
        <w:t>年</w:t>
      </w:r>
      <w:r>
        <w:rPr>
          <w:spacing w:val="-101"/>
          <w:w w:val="100"/>
        </w:rPr>
        <w:t> </w:t>
      </w:r>
      <w:r>
        <w:rPr/>
        <w:t>度公司执行</w:t>
      </w:r>
      <w:r>
        <w:rPr>
          <w:spacing w:val="-53"/>
        </w:rPr>
        <w:t> </w:t>
      </w:r>
      <w:r>
        <w:rPr>
          <w:rFonts w:ascii="Times New Roman" w:hAnsi="Times New Roman" w:cs="Times New Roman" w:eastAsia="Times New Roman" w:hint="default"/>
        </w:rPr>
        <w:t>15%</w:t>
      </w:r>
      <w:r>
        <w:rPr/>
        <w:t>的企业所得税税率。</w:t>
      </w:r>
    </w:p>
    <w:p>
      <w:pPr>
        <w:spacing w:after="0" w:line="23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30" w:lineRule="auto" w:before="46"/>
        <w:ind w:left="138"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55"/>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日，北京格尔国信科技有限公司通过高新技术企业复审，取得由北京科学</w:t>
      </w:r>
      <w:r>
        <w:rPr>
          <w:w w:val="100"/>
        </w:rPr>
        <w:t> </w:t>
      </w:r>
      <w:r>
        <w:rPr>
          <w:spacing w:val="-1"/>
        </w:rPr>
        <w:t>技术委员会、北京市财政局、北京市国家税务局、北京市地方税务局联合颁发的《高新技术企业</w:t>
      </w:r>
      <w:r>
        <w:rPr>
          <w:spacing w:val="-55"/>
        </w:rPr>
        <w:t> </w:t>
      </w:r>
      <w:r>
        <w:rPr>
          <w:spacing w:val="-55"/>
        </w:rPr>
      </w:r>
      <w:r>
        <w:rPr>
          <w:spacing w:val="-13"/>
          <w:w w:val="100"/>
        </w:rPr>
        <w:t>证书》，证书编号：</w:t>
      </w:r>
      <w:r>
        <w:rPr>
          <w:spacing w:val="7"/>
          <w:w w:val="100"/>
        </w:rPr>
        <w:t> </w:t>
      </w:r>
      <w:r>
        <w:rPr>
          <w:rFonts w:ascii="Times New Roman" w:hAnsi="Times New Roman" w:cs="Times New Roman" w:eastAsia="Times New Roman" w:hint="default"/>
          <w:spacing w:val="-2"/>
          <w:w w:val="100"/>
        </w:rPr>
        <w:t>GR201511000860</w:t>
      </w:r>
      <w:r>
        <w:rPr>
          <w:spacing w:val="-2"/>
          <w:w w:val="100"/>
        </w:rPr>
        <w:t>，认定有效期三年，</w:t>
      </w:r>
      <w:r>
        <w:rPr>
          <w:rFonts w:ascii="Times New Roman" w:hAnsi="Times New Roman" w:cs="Times New Roman" w:eastAsia="Times New Roman" w:hint="default"/>
          <w:spacing w:val="-2"/>
          <w:w w:val="100"/>
        </w:rPr>
        <w:t>2017</w:t>
      </w:r>
      <w:r>
        <w:rPr>
          <w:rFonts w:ascii="Times New Roman" w:hAnsi="Times New Roman" w:cs="Times New Roman" w:eastAsia="Times New Roman" w:hint="default"/>
          <w:spacing w:val="45"/>
          <w:w w:val="100"/>
        </w:rPr>
        <w:t> </w:t>
      </w:r>
      <w:r>
        <w:rPr>
          <w:spacing w:val="-2"/>
          <w:w w:val="100"/>
        </w:rPr>
        <w:t>年度继续执行</w:t>
      </w:r>
      <w:r>
        <w:rPr>
          <w:spacing w:val="-5"/>
          <w:w w:val="100"/>
        </w:rPr>
        <w:t> </w:t>
      </w:r>
      <w:r>
        <w:rPr>
          <w:rFonts w:ascii="Times New Roman" w:hAnsi="Times New Roman" w:cs="Times New Roman" w:eastAsia="Times New Roman" w:hint="default"/>
          <w:spacing w:val="-2"/>
          <w:w w:val="100"/>
        </w:rPr>
        <w:t>15%</w:t>
      </w:r>
      <w:r>
        <w:rPr>
          <w:spacing w:val="-2"/>
          <w:w w:val="100"/>
        </w:rPr>
        <w:t>的企业所得税</w:t>
      </w:r>
      <w:r>
        <w:rPr>
          <w:spacing w:val="-103"/>
          <w:w w:val="100"/>
        </w:rPr>
        <w:t> </w:t>
      </w:r>
      <w:r>
        <w:rPr>
          <w:spacing w:val="-103"/>
          <w:w w:val="100"/>
        </w:rPr>
      </w:r>
      <w:r>
        <w:rPr/>
        <w:t>税率。</w:t>
      </w:r>
    </w:p>
    <w:p>
      <w:pPr>
        <w:spacing w:line="240" w:lineRule="auto" w:before="1"/>
        <w:rPr>
          <w:rFonts w:ascii="宋体" w:hAnsi="宋体" w:cs="宋体" w:eastAsia="宋体" w:hint="default"/>
          <w:sz w:val="19"/>
          <w:szCs w:val="19"/>
        </w:rPr>
      </w:pPr>
    </w:p>
    <w:p>
      <w:pPr>
        <w:pStyle w:val="BodyText"/>
        <w:spacing w:line="230" w:lineRule="auto"/>
        <w:ind w:left="138" w:right="128"/>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日，郑州信领软件有限公司通过高新技术企业审核，取得由河南省科学技术</w:t>
      </w:r>
      <w:r>
        <w:rPr>
          <w:w w:val="100"/>
        </w:rPr>
        <w:t> </w:t>
      </w:r>
      <w:r>
        <w:rPr>
          <w:spacing w:val="-6"/>
          <w:w w:val="100"/>
        </w:rPr>
        <w:t>厅、河南省财政厅、河南省国家税务局、河南省地方税务局联合颁发的《高新技术企业证书》，证</w:t>
      </w:r>
      <w:r>
        <w:rPr>
          <w:w w:val="100"/>
        </w:rPr>
        <w:t> </w:t>
      </w:r>
      <w:r>
        <w:rPr/>
        <w:t>书编号：</w:t>
      </w:r>
      <w:r>
        <w:rPr>
          <w:rFonts w:ascii="Times New Roman" w:hAnsi="Times New Roman" w:cs="Times New Roman" w:eastAsia="Times New Roman" w:hint="default"/>
        </w:rPr>
        <w:t>GR201641000435</w:t>
      </w:r>
      <w:r>
        <w:rPr/>
        <w:t>，认定有效期三年，</w:t>
      </w:r>
      <w:r>
        <w:rPr>
          <w:rFonts w:ascii="Times New Roman" w:hAnsi="Times New Roman" w:cs="Times New Roman" w:eastAsia="Times New Roman" w:hint="default"/>
        </w:rPr>
        <w:t>2017 </w:t>
      </w:r>
      <w:r>
        <w:rPr/>
        <w:t>年度继续执行</w:t>
      </w:r>
      <w:r>
        <w:rPr>
          <w:spacing w:val="-61"/>
        </w:rPr>
        <w:t> </w:t>
      </w:r>
      <w:r>
        <w:rPr>
          <w:rFonts w:ascii="Times New Roman" w:hAnsi="Times New Roman" w:cs="Times New Roman" w:eastAsia="Times New Roman" w:hint="default"/>
        </w:rPr>
        <w:t>15%</w:t>
      </w:r>
      <w:r>
        <w:rPr/>
        <w:t>的企业所得税税率。</w:t>
      </w:r>
    </w:p>
    <w:p>
      <w:pPr>
        <w:spacing w:line="240" w:lineRule="auto" w:before="4"/>
        <w:rPr>
          <w:rFonts w:ascii="宋体" w:hAnsi="宋体" w:cs="宋体" w:eastAsia="宋体" w:hint="default"/>
          <w:sz w:val="18"/>
          <w:szCs w:val="18"/>
        </w:rPr>
      </w:pPr>
    </w:p>
    <w:p>
      <w:pPr>
        <w:pStyle w:val="BodyText"/>
        <w:spacing w:line="225" w:lineRule="auto"/>
        <w:ind w:left="138" w:right="0"/>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18</w:t>
      </w:r>
      <w:r>
        <w:rPr>
          <w:rFonts w:ascii="Times New Roman" w:hAnsi="Times New Roman" w:cs="Times New Roman" w:eastAsia="Times New Roman" w:hint="default"/>
          <w:spacing w:val="9"/>
        </w:rPr>
        <w:t> </w:t>
      </w:r>
      <w:r>
        <w:rPr>
          <w:spacing w:val="-3"/>
        </w:rPr>
        <w:t>日，上海格尔安全科技有限公司获得软件企业证书。根据财政部、国家税务</w:t>
      </w:r>
      <w:r>
        <w:rPr>
          <w:spacing w:val="-101"/>
        </w:rPr>
        <w:t> </w:t>
      </w:r>
      <w:r>
        <w:rPr>
          <w:spacing w:val="-101"/>
        </w:rPr>
      </w:r>
      <w:r>
        <w:rPr/>
        <w:t>总局《关于进一步鼓励软件产业和集成电路产业发展企业所得税政策的通知》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rFonts w:ascii="Times New Roman" w:hAnsi="Times New Roman" w:cs="Times New Roman" w:eastAsia="Times New Roman" w:hint="default"/>
          <w:w w:val="100"/>
        </w:rPr>
        <w:t> </w:t>
      </w:r>
      <w:r>
        <w:rPr/>
        <w:t>号</w:t>
      </w:r>
      <w:r>
        <w:rPr>
          <w:rFonts w:ascii="Times New Roman" w:hAnsi="Times New Roman" w:cs="Times New Roman" w:eastAsia="Times New Roman" w:hint="default"/>
        </w:rPr>
        <w:t>)</w:t>
      </w:r>
      <w:r>
        <w:rPr/>
        <w:t>以及财政部、国家税务总局、发展改革委、工业和信息化部《关于软件和集成电路产业企业</w:t>
      </w:r>
      <w:r>
        <w:rPr>
          <w:w w:val="100"/>
        </w:rPr>
        <w:t> </w:t>
      </w:r>
      <w:r>
        <w:rPr>
          <w:spacing w:val="-7"/>
        </w:rPr>
        <w:t>得税优惠政策有关问题的通知》</w:t>
      </w:r>
      <w:r>
        <w:rPr>
          <w:rFonts w:ascii="Times New Roman" w:hAnsi="Times New Roman" w:cs="Times New Roman" w:eastAsia="Times New Roman" w:hint="default"/>
          <w:spacing w:val="-7"/>
        </w:rPr>
        <w:t>(</w:t>
      </w:r>
      <w:r>
        <w:rPr>
          <w:spacing w:val="-7"/>
        </w:rPr>
        <w:t>财税〔</w:t>
      </w:r>
      <w:r>
        <w:rPr>
          <w:rFonts w:ascii="Times New Roman" w:hAnsi="Times New Roman" w:cs="Times New Roman" w:eastAsia="Times New Roman" w:hint="default"/>
          <w:spacing w:val="-7"/>
        </w:rPr>
        <w:t>2016</w:t>
      </w:r>
      <w:r>
        <w:rPr>
          <w:spacing w:val="-7"/>
        </w:rPr>
        <w:t>〕</w:t>
      </w:r>
      <w:r>
        <w:rPr>
          <w:rFonts w:ascii="Times New Roman" w:hAnsi="Times New Roman" w:cs="Times New Roman" w:eastAsia="Times New Roman" w:hint="default"/>
          <w:spacing w:val="-7"/>
        </w:rPr>
        <w:t>49 </w:t>
      </w:r>
      <w:r>
        <w:rPr>
          <w:spacing w:val="-4"/>
        </w:rPr>
        <w:t>号</w:t>
      </w:r>
      <w:r>
        <w:rPr>
          <w:rFonts w:ascii="Times New Roman" w:hAnsi="Times New Roman" w:cs="Times New Roman" w:eastAsia="Times New Roman" w:hint="default"/>
          <w:spacing w:val="-4"/>
        </w:rPr>
        <w:t>)</w:t>
      </w:r>
      <w:r>
        <w:rPr>
          <w:spacing w:val="-4"/>
        </w:rPr>
        <w:t>规定，我国境内新办的符合条件的软件企业，</w:t>
      </w:r>
      <w:r>
        <w:rPr>
          <w:spacing w:val="-69"/>
        </w:rPr>
        <w:t> </w:t>
      </w:r>
      <w:r>
        <w:rPr>
          <w:spacing w:val="-69"/>
        </w:rPr>
      </w:r>
      <w:r>
        <w:rPr>
          <w:spacing w:val="-10"/>
        </w:rPr>
        <w:t>经认定后，自获利年度起计算优惠期，第</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年至第</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spacing w:val="-9"/>
        </w:rPr>
        <w:t>年免征企业所得税，第</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年至第</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年按照</w:t>
      </w:r>
      <w:r>
        <w:rPr>
          <w:spacing w:val="-48"/>
        </w:rPr>
        <w:t> </w:t>
      </w:r>
      <w:r>
        <w:rPr>
          <w:rFonts w:ascii="Times New Roman" w:hAnsi="Times New Roman" w:cs="Times New Roman" w:eastAsia="Times New Roman" w:hint="default"/>
        </w:rPr>
        <w:t>25%</w:t>
      </w:r>
      <w:r>
        <w:rPr>
          <w:rFonts w:ascii="Times New Roman" w:hAnsi="Times New Roman" w:cs="Times New Roman" w:eastAsia="Times New Roman" w:hint="default"/>
          <w:spacing w:val="-50"/>
        </w:rPr>
        <w:t> </w:t>
      </w:r>
      <w:r>
        <w:rPr>
          <w:spacing w:val="-3"/>
        </w:rPr>
        <w:t>的法定税率减半征收企业所得税，并享受至期满为止。</w:t>
      </w:r>
      <w:r>
        <w:rPr>
          <w:rFonts w:ascii="Times New Roman" w:hAnsi="Times New Roman" w:cs="Times New Roman" w:eastAsia="Times New Roman" w:hint="default"/>
          <w:spacing w:val="-3"/>
        </w:rPr>
        <w:t>2017 </w:t>
      </w:r>
      <w:r>
        <w:rPr>
          <w:spacing w:val="-3"/>
        </w:rPr>
        <w:t>年度，格尔安全公司享受所得税免税</w:t>
      </w:r>
      <w:r>
        <w:rPr>
          <w:spacing w:val="-69"/>
        </w:rPr>
        <w:t> </w:t>
      </w:r>
      <w:r>
        <w:rPr>
          <w:spacing w:val="-69"/>
        </w:rPr>
      </w:r>
      <w:r>
        <w:rPr/>
        <w:t>优惠。</w:t>
      </w:r>
    </w:p>
    <w:p>
      <w:pPr>
        <w:spacing w:line="240" w:lineRule="auto" w:before="5"/>
        <w:rPr>
          <w:rFonts w:ascii="宋体" w:hAnsi="宋体" w:cs="宋体" w:eastAsia="宋体" w:hint="default"/>
          <w:sz w:val="18"/>
          <w:szCs w:val="18"/>
        </w:rPr>
      </w:pPr>
    </w:p>
    <w:p>
      <w:pPr>
        <w:pStyle w:val="BodyText"/>
        <w:spacing w:line="281" w:lineRule="exact"/>
        <w:ind w:left="138" w:right="0"/>
        <w:jc w:val="left"/>
      </w:pPr>
      <w:r>
        <w:rPr/>
        <w:t>（</w:t>
      </w:r>
      <w:r>
        <w:rPr>
          <w:rFonts w:ascii="Times New Roman" w:hAnsi="Times New Roman" w:cs="Times New Roman" w:eastAsia="Times New Roman" w:hint="default"/>
        </w:rPr>
        <w:t>5</w:t>
      </w:r>
      <w:r>
        <w:rPr/>
        <w:t>）根据财政部、国家税务总局、海关总署</w:t>
      </w:r>
      <w:r>
        <w:rPr>
          <w:spacing w:val="-50"/>
        </w:rPr>
        <w:t> </w:t>
      </w:r>
      <w:r>
        <w:rPr>
          <w:rFonts w:ascii="Times New Roman" w:hAnsi="Times New Roman" w:cs="Times New Roman" w:eastAsia="Times New Roman" w:hint="default"/>
        </w:rPr>
        <w:t>2000 </w:t>
      </w:r>
      <w:r>
        <w:rPr/>
        <w:t>年</w:t>
      </w:r>
      <w:r>
        <w:rPr>
          <w:spacing w:val="-50"/>
        </w:rPr>
        <w:t> </w:t>
      </w:r>
      <w:r>
        <w:rPr>
          <w:rFonts w:ascii="Times New Roman" w:hAnsi="Times New Roman" w:cs="Times New Roman" w:eastAsia="Times New Roman" w:hint="default"/>
        </w:rPr>
        <w:t>9 </w:t>
      </w:r>
      <w:r>
        <w:rPr/>
        <w:t>月</w:t>
      </w:r>
      <w:r>
        <w:rPr>
          <w:spacing w:val="-50"/>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日发布的财税</w:t>
      </w:r>
      <w:r>
        <w:rPr>
          <w:rFonts w:ascii="Times New Roman" w:hAnsi="Times New Roman" w:cs="Times New Roman" w:eastAsia="Times New Roman" w:hint="default"/>
        </w:rPr>
        <w:t>[2000]</w:t>
      </w:r>
      <w:r>
        <w:rPr>
          <w:rFonts w:ascii="Times New Roman" w:hAnsi="Times New Roman" w:cs="Times New Roman" w:eastAsia="Times New Roman" w:hint="default"/>
          <w:spacing w:val="48"/>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号文《关于</w:t>
      </w:r>
    </w:p>
    <w:p>
      <w:pPr>
        <w:pStyle w:val="BodyText"/>
        <w:spacing w:line="272" w:lineRule="exact"/>
        <w:ind w:left="138" w:right="0"/>
        <w:jc w:val="left"/>
      </w:pPr>
      <w:r>
        <w:rPr/>
        <w:t>鼓励软件产业和集成电路产业发展有关税收政策问题的通知》规定，以及国务院于 </w:t>
      </w: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月</w:t>
      </w:r>
    </w:p>
    <w:p>
      <w:pPr>
        <w:pStyle w:val="BodyText"/>
        <w:spacing w:line="225" w:lineRule="auto" w:before="6"/>
        <w:ind w:left="138" w:right="128"/>
        <w:jc w:val="both"/>
      </w:pPr>
      <w:r>
        <w:rPr>
          <w:rFonts w:ascii="Times New Roman" w:hAnsi="Times New Roman" w:cs="Times New Roman" w:eastAsia="Times New Roman" w:hint="default"/>
        </w:rPr>
        <w:t>28 </w:t>
      </w:r>
      <w:r>
        <w:rPr/>
        <w:t>日发布的《关于印发进一步鼓励软件产业和集成电路产业发展若干政策的通知》</w:t>
      </w:r>
      <w:r>
        <w:rPr>
          <w:rFonts w:ascii="Times New Roman" w:hAnsi="Times New Roman" w:cs="Times New Roman" w:eastAsia="Times New Roman" w:hint="default"/>
        </w:rPr>
        <w:t>(</w:t>
      </w:r>
      <w:r>
        <w:rPr/>
        <w:t>国发</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rFonts w:ascii="Times New Roman" w:hAnsi="Times New Roman" w:cs="Times New Roman" w:eastAsia="Times New Roman" w:hint="default"/>
        </w:rPr>
        <w:t>4</w:t>
      </w:r>
      <w:r>
        <w:rPr>
          <w:rFonts w:ascii="Times New Roman" w:hAnsi="Times New Roman" w:cs="Times New Roman" w:eastAsia="Times New Roman" w:hint="default"/>
          <w:w w:val="100"/>
        </w:rPr>
        <w:t> </w:t>
      </w:r>
      <w:r>
        <w:rPr>
          <w:spacing w:val="-3"/>
        </w:rPr>
        <w:t>号</w:t>
      </w:r>
      <w:r>
        <w:rPr>
          <w:rFonts w:ascii="Times New Roman" w:hAnsi="Times New Roman" w:cs="Times New Roman" w:eastAsia="Times New Roman" w:hint="default"/>
          <w:spacing w:val="-3"/>
        </w:rPr>
        <w:t>)</w:t>
      </w:r>
      <w:r>
        <w:rPr>
          <w:spacing w:val="-3"/>
        </w:rPr>
        <w:t>，本公司及子公司销售自行开发生产的计算机软件产品按法定 </w:t>
      </w:r>
      <w:r>
        <w:rPr>
          <w:rFonts w:ascii="Times New Roman" w:hAnsi="Times New Roman" w:cs="Times New Roman" w:eastAsia="Times New Roman" w:hint="default"/>
          <w:spacing w:val="-4"/>
        </w:rPr>
        <w:t>17%</w:t>
      </w:r>
      <w:r>
        <w:rPr>
          <w:spacing w:val="-4"/>
        </w:rPr>
        <w:t>的税率征收后，对实际税负</w:t>
      </w:r>
      <w:r>
        <w:rPr>
          <w:spacing w:val="-93"/>
        </w:rPr>
        <w:t> </w:t>
      </w:r>
      <w:r>
        <w:rPr>
          <w:spacing w:val="-93"/>
        </w:rPr>
      </w:r>
      <w:r>
        <w:rPr/>
        <w:t>超过</w:t>
      </w:r>
      <w:r>
        <w:rPr>
          <w:spacing w:val="-53"/>
        </w:rPr>
        <w:t> </w:t>
      </w:r>
      <w:r>
        <w:rPr>
          <w:rFonts w:ascii="Times New Roman" w:hAnsi="Times New Roman" w:cs="Times New Roman" w:eastAsia="Times New Roman" w:hint="default"/>
        </w:rPr>
        <w:t>3%</w:t>
      </w:r>
      <w:r>
        <w:rPr/>
        <w:t>的部分实行即征即退。</w:t>
      </w:r>
    </w:p>
    <w:p>
      <w:pPr>
        <w:spacing w:line="240" w:lineRule="auto" w:before="3"/>
        <w:rPr>
          <w:rFonts w:ascii="宋体" w:hAnsi="宋体" w:cs="宋体" w:eastAsia="宋体" w:hint="default"/>
          <w:sz w:val="24"/>
          <w:szCs w:val="24"/>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3.</w:t>
        <w:tab/>
      </w:r>
      <w:r>
        <w:rPr/>
        <w:t>其他</w:t>
      </w:r>
      <w:r>
        <w:rPr>
          <w:b w:val="0"/>
          <w:bCs w:val="0"/>
        </w:rPr>
      </w:r>
    </w:p>
    <w:p>
      <w:pPr>
        <w:pStyle w:val="BodyText"/>
        <w:spacing w:line="240" w:lineRule="auto" w:before="56"/>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660" w:right="1140"/>
        </w:sectPr>
      </w:pPr>
    </w:p>
    <w:p>
      <w:pPr>
        <w:pStyle w:val="Heading2"/>
        <w:spacing w:line="290" w:lineRule="auto" w:before="36"/>
        <w:ind w:left="138"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spacing w:line="240" w:lineRule="auto" w:before="12"/>
        <w:ind w:left="138" w:right="-16"/>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120" w:bottom="1380" w:left="1660" w:right="1140"/>
          <w:cols w:num="2" w:equalWidth="0">
            <w:col w:w="2673" w:space="4060"/>
            <w:col w:w="2377"/>
          </w:cols>
        </w:sectPr>
      </w:pPr>
    </w:p>
    <w:p>
      <w:pPr>
        <w:spacing w:line="240" w:lineRule="auto" w:before="4"/>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2223"/>
        <w:gridCol w:w="3298"/>
        <w:gridCol w:w="3325"/>
      </w:tblGrid>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69,573.86</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31,650.75</w:t>
            </w:r>
          </w:p>
        </w:tc>
      </w:tr>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82,354,433.84</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115,070,277.23</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823,390.00</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609,490.00</w:t>
            </w:r>
          </w:p>
        </w:tc>
      </w:tr>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83,247,397.70</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2"/>
                <w:sz w:val="21"/>
              </w:rPr>
              <w:t>115,711,417.98</w:t>
            </w:r>
          </w:p>
        </w:tc>
      </w:tr>
      <w:tr>
        <w:trPr>
          <w:trHeight w:val="557"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11" w:right="-3"/>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1"/>
                <w:w w:val="100"/>
                <w:sz w:val="21"/>
                <w:szCs w:val="21"/>
              </w:rPr>
              <w:t>：</w:t>
            </w:r>
            <w:r>
              <w:rPr>
                <w:rFonts w:ascii="宋体" w:hAnsi="宋体" w:cs="宋体" w:eastAsia="宋体" w:hint="default"/>
                <w:w w:val="100"/>
                <w:sz w:val="21"/>
                <w:szCs w:val="21"/>
              </w:rPr>
              <w:t>存</w:t>
            </w:r>
            <w:r>
              <w:rPr>
                <w:rFonts w:ascii="宋体" w:hAnsi="宋体" w:cs="宋体" w:eastAsia="宋体" w:hint="default"/>
                <w:spacing w:val="-3"/>
                <w:w w:val="100"/>
                <w:sz w:val="21"/>
                <w:szCs w:val="21"/>
              </w:rPr>
              <w:t>放</w:t>
            </w:r>
            <w:r>
              <w:rPr>
                <w:rFonts w:ascii="宋体" w:hAnsi="宋体" w:cs="宋体" w:eastAsia="宋体" w:hint="default"/>
                <w:w w:val="100"/>
                <w:sz w:val="21"/>
                <w:szCs w:val="21"/>
              </w:rPr>
              <w:t>在</w:t>
            </w:r>
            <w:r>
              <w:rPr>
                <w:rFonts w:ascii="宋体" w:hAnsi="宋体" w:cs="宋体" w:eastAsia="宋体" w:hint="default"/>
                <w:spacing w:val="-3"/>
                <w:w w:val="100"/>
                <w:sz w:val="21"/>
                <w:szCs w:val="21"/>
              </w:rPr>
              <w:t>境</w:t>
            </w:r>
            <w:r>
              <w:rPr>
                <w:rFonts w:ascii="宋体" w:hAnsi="宋体" w:cs="宋体" w:eastAsia="宋体" w:hint="default"/>
                <w:w w:val="100"/>
                <w:sz w:val="21"/>
                <w:szCs w:val="21"/>
              </w:rPr>
              <w:t>外</w:t>
            </w:r>
            <w:r>
              <w:rPr>
                <w:rFonts w:ascii="宋体" w:hAnsi="宋体" w:cs="宋体" w:eastAsia="宋体" w:hint="default"/>
                <w:spacing w:val="-3"/>
                <w:w w:val="100"/>
                <w:sz w:val="21"/>
                <w:szCs w:val="21"/>
              </w:rPr>
              <w:t>的</w:t>
            </w:r>
            <w:r>
              <w:rPr>
                <w:rFonts w:ascii="宋体" w:hAnsi="宋体" w:cs="宋体" w:eastAsia="宋体" w:hint="default"/>
                <w:w w:val="100"/>
                <w:sz w:val="21"/>
                <w:szCs w:val="21"/>
              </w:rPr>
              <w:t>款</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项总额</w:t>
            </w:r>
          </w:p>
        </w:tc>
        <w:tc>
          <w:tcPr>
            <w:tcW w:w="3298" w:type="dxa"/>
            <w:tcBorders>
              <w:top w:val="single" w:sz="4" w:space="0" w:color="000000"/>
              <w:left w:val="single" w:sz="4" w:space="0" w:color="000000"/>
              <w:bottom w:val="single" w:sz="4" w:space="0" w:color="000000"/>
              <w:right w:val="single" w:sz="4" w:space="0" w:color="000000"/>
            </w:tcBorders>
          </w:tcPr>
          <w:p>
            <w:pPr/>
          </w:p>
        </w:tc>
        <w:tc>
          <w:tcPr>
            <w:tcW w:w="33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2"/>
          <w:szCs w:val="12"/>
        </w:rPr>
      </w:pPr>
    </w:p>
    <w:p>
      <w:pPr>
        <w:pStyle w:val="BodyText"/>
        <w:spacing w:line="274" w:lineRule="exact" w:before="36"/>
        <w:ind w:left="138" w:right="0"/>
        <w:jc w:val="left"/>
      </w:pPr>
      <w:r>
        <w:rPr/>
        <w:t>其他说明</w:t>
      </w:r>
    </w:p>
    <w:p>
      <w:pPr>
        <w:pStyle w:val="BodyText"/>
        <w:spacing w:line="280" w:lineRule="exact"/>
        <w:ind w:left="138" w:right="0"/>
        <w:jc w:val="left"/>
      </w:pPr>
      <w:r>
        <w:rPr>
          <w:spacing w:val="6"/>
        </w:rPr>
        <w:t>截至报告期末，货币资金余额中除履约保函保证金余额 </w:t>
      </w:r>
      <w:r>
        <w:rPr>
          <w:rFonts w:ascii="Times New Roman" w:hAnsi="Times New Roman" w:cs="Times New Roman" w:eastAsia="Times New Roman" w:hint="default"/>
        </w:rPr>
        <w:t>783,390.00  </w:t>
      </w:r>
      <w:r>
        <w:rPr>
          <w:rFonts w:ascii="Times New Roman" w:hAnsi="Times New Roman" w:cs="Times New Roman" w:eastAsia="Times New Roman" w:hint="default"/>
          <w:spacing w:val="47"/>
        </w:rPr>
        <w:t> </w:t>
      </w:r>
      <w:r>
        <w:rPr>
          <w:spacing w:val="5"/>
        </w:rPr>
        <w:t>元和投标保证金银行汇票</w:t>
      </w:r>
    </w:p>
    <w:p>
      <w:pPr>
        <w:pStyle w:val="BodyText"/>
        <w:spacing w:line="281" w:lineRule="exact"/>
        <w:ind w:left="138" w:right="0"/>
        <w:jc w:val="left"/>
      </w:pPr>
      <w:r>
        <w:rPr>
          <w:rFonts w:ascii="Times New Roman" w:hAnsi="Times New Roman" w:cs="Times New Roman" w:eastAsia="Times New Roman" w:hint="default"/>
          <w:spacing w:val="-1"/>
        </w:rPr>
        <w:t>40,000.00</w:t>
      </w:r>
      <w:r>
        <w:rPr>
          <w:rFonts w:ascii="Times New Roman" w:hAnsi="Times New Roman" w:cs="Times New Roman" w:eastAsia="Times New Roman" w:hint="default"/>
        </w:rPr>
        <w:t> </w:t>
      </w:r>
      <w:r>
        <w:rPr>
          <w:rFonts w:ascii="Times New Roman" w:hAnsi="Times New Roman" w:cs="Times New Roman" w:eastAsia="Times New Roman" w:hint="default"/>
          <w:spacing w:val="22"/>
        </w:rPr>
        <w:t> </w:t>
      </w:r>
      <w:r>
        <w:rPr>
          <w:spacing w:val="-2"/>
        </w:rPr>
        <w:t>元之外，无抵押、冻结等对变现有限制或存放境外、或存在潜在回收风险的款项。</w:t>
      </w:r>
    </w:p>
    <w:p>
      <w:pPr>
        <w:spacing w:line="240" w:lineRule="auto" w:before="8"/>
        <w:rPr>
          <w:rFonts w:ascii="宋体" w:hAnsi="宋体" w:cs="宋体" w:eastAsia="宋体" w:hint="default"/>
          <w:sz w:val="21"/>
          <w:szCs w:val="21"/>
        </w:rPr>
      </w:pPr>
    </w:p>
    <w:p>
      <w:pPr>
        <w:pStyle w:val="Heading2"/>
        <w:spacing w:line="240" w:lineRule="auto"/>
        <w:ind w:left="138" w:right="0"/>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8"/>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8"/>
          <w:szCs w:val="18"/>
        </w:rPr>
      </w:pPr>
    </w:p>
    <w:p>
      <w:pPr>
        <w:pStyle w:val="Heading2"/>
        <w:spacing w:line="240" w:lineRule="auto"/>
        <w:ind w:left="138"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6"/>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660" w:right="11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540" w:right="1120"/>
        </w:sectPr>
      </w:pPr>
    </w:p>
    <w:p>
      <w:pPr>
        <w:pStyle w:val="Heading2"/>
        <w:spacing w:line="240" w:lineRule="auto" w:before="36"/>
        <w:ind w:left="258" w:right="-20"/>
        <w:jc w:val="left"/>
        <w:rPr>
          <w:b w:val="0"/>
          <w:bCs w:val="0"/>
        </w:rPr>
      </w:pPr>
      <w:r>
        <w:rPr>
          <w:rFonts w:ascii="宋体" w:hAnsi="宋体" w:cs="宋体" w:eastAsia="宋体" w:hint="default"/>
        </w:rPr>
        <w:t>4</w:t>
      </w:r>
      <w:r>
        <w:rPr/>
        <w:t>、</w:t>
      </w:r>
      <w:r>
        <w:rPr>
          <w:spacing w:val="-2"/>
        </w:rPr>
        <w:t> </w:t>
      </w:r>
      <w:r>
        <w:rPr/>
        <w:t>应收票据</w:t>
      </w:r>
      <w:r>
        <w:rPr>
          <w:b w:val="0"/>
          <w:bCs w:val="0"/>
        </w:rPr>
      </w:r>
    </w:p>
    <w:p>
      <w:pPr>
        <w:pStyle w:val="Heading2"/>
        <w:spacing w:line="240" w:lineRule="auto" w:before="58"/>
        <w:ind w:left="258"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6"/>
        <w:ind w:left="25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380" w:left="1540" w:right="1120"/>
          <w:cols w:num="2" w:equalWidth="0">
            <w:col w:w="2476" w:space="4257"/>
            <w:col w:w="2517"/>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965"/>
        <w:gridCol w:w="3147"/>
        <w:gridCol w:w="289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5"/>
              <w:jc w:val="right"/>
              <w:rPr>
                <w:rFonts w:ascii="Times New Roman" w:hAnsi="Times New Roman" w:cs="Times New Roman" w:eastAsia="Times New Roman" w:hint="default"/>
                <w:sz w:val="21"/>
                <w:szCs w:val="21"/>
              </w:rPr>
            </w:pPr>
            <w:r>
              <w:rPr>
                <w:rFonts w:ascii="Times New Roman"/>
                <w:w w:val="100"/>
                <w:sz w:val="21"/>
              </w:rPr>
              <w:t>-</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6"/>
              <w:jc w:val="right"/>
              <w:rPr>
                <w:rFonts w:ascii="Times New Roman" w:hAnsi="Times New Roman" w:cs="Times New Roman" w:eastAsia="Times New Roman" w:hint="default"/>
                <w:sz w:val="21"/>
                <w:szCs w:val="21"/>
              </w:rPr>
            </w:pPr>
            <w:r>
              <w:rPr>
                <w:rFonts w:ascii="Times New Roman"/>
                <w:spacing w:val="-1"/>
                <w:sz w:val="21"/>
              </w:rPr>
              <w:t>262,800.00</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3"/>
              <w:jc w:val="right"/>
              <w:rPr>
                <w:rFonts w:ascii="Times New Roman" w:hAnsi="Times New Roman" w:cs="Times New Roman" w:eastAsia="Times New Roman" w:hint="default"/>
                <w:sz w:val="21"/>
                <w:szCs w:val="21"/>
              </w:rPr>
            </w:pPr>
            <w:r>
              <w:rPr>
                <w:rFonts w:ascii="Times New Roman"/>
                <w:spacing w:val="-1"/>
                <w:sz w:val="21"/>
              </w:rPr>
              <w:t>1,360,000.00</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6"/>
              <w:jc w:val="right"/>
              <w:rPr>
                <w:rFonts w:ascii="Times New Roman" w:hAnsi="Times New Roman" w:cs="Times New Roman" w:eastAsia="Times New Roman" w:hint="default"/>
                <w:sz w:val="21"/>
                <w:szCs w:val="21"/>
              </w:rPr>
            </w:pPr>
            <w:r>
              <w:rPr>
                <w:rFonts w:ascii="Times New Roman"/>
                <w:spacing w:val="-1"/>
                <w:sz w:val="21"/>
              </w:rPr>
              <w:t>2,714,680.00</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1,360,000.00</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2,977,480.00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2"/>
        <w:spacing w:line="240" w:lineRule="auto" w:before="36"/>
        <w:ind w:left="258" w:right="0"/>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6"/>
        <w:ind w:left="258" w:right="0"/>
        <w:jc w:val="left"/>
      </w:pPr>
      <w:r>
        <w:rPr/>
        <w:t>□适用√不适用</w:t>
      </w:r>
    </w:p>
    <w:p>
      <w:pPr>
        <w:pStyle w:val="Heading2"/>
        <w:spacing w:line="240" w:lineRule="auto" w:before="56"/>
        <w:ind w:left="258" w:right="0"/>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8"/>
        <w:ind w:left="258" w:right="0"/>
        <w:jc w:val="left"/>
      </w:pPr>
      <w:r>
        <w:rPr/>
        <w:t>□适用√不适用</w:t>
      </w:r>
    </w:p>
    <w:p>
      <w:pPr>
        <w:pStyle w:val="Heading2"/>
        <w:spacing w:line="240" w:lineRule="auto" w:before="56"/>
        <w:ind w:left="258" w:right="0"/>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2" w:lineRule="exact" w:before="86"/>
        <w:ind w:left="258" w:right="7505"/>
        <w:jc w:val="left"/>
      </w:pPr>
      <w:r>
        <w:rPr>
          <w:spacing w:val="-1"/>
        </w:rPr>
        <w:t>□适用√不适用</w:t>
      </w:r>
      <w:r>
        <w:rPr>
          <w:spacing w:val="-96"/>
        </w:rPr>
        <w:t> </w:t>
      </w:r>
      <w:r>
        <w:rPr>
          <w:spacing w:val="-96"/>
        </w:rPr>
      </w:r>
      <w:r>
        <w:rPr/>
        <w:t>其他说明</w:t>
      </w:r>
    </w:p>
    <w:p>
      <w:pPr>
        <w:pStyle w:val="BodyText"/>
        <w:spacing w:line="249" w:lineRule="exact"/>
        <w:ind w:left="258" w:right="0"/>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40" w:right="1120"/>
        </w:sectPr>
      </w:pPr>
    </w:p>
    <w:p>
      <w:pPr>
        <w:pStyle w:val="Heading2"/>
        <w:spacing w:line="240" w:lineRule="auto" w:before="36"/>
        <w:ind w:left="258" w:right="-20"/>
        <w:jc w:val="left"/>
        <w:rPr>
          <w:b w:val="0"/>
          <w:bCs w:val="0"/>
        </w:rPr>
      </w:pPr>
      <w:r>
        <w:rPr>
          <w:rFonts w:ascii="宋体" w:hAnsi="宋体" w:cs="宋体" w:eastAsia="宋体" w:hint="default"/>
        </w:rPr>
        <w:t>5</w:t>
      </w:r>
      <w:r>
        <w:rPr/>
        <w:t>、</w:t>
      </w:r>
      <w:r>
        <w:rPr>
          <w:spacing w:val="-2"/>
        </w:rPr>
        <w:t> </w:t>
      </w:r>
      <w:r>
        <w:rPr/>
        <w:t>应收账款</w:t>
      </w:r>
      <w:r>
        <w:rPr>
          <w:b w:val="0"/>
          <w:bCs w:val="0"/>
        </w:rPr>
      </w:r>
    </w:p>
    <w:p>
      <w:pPr>
        <w:pStyle w:val="Heading2"/>
        <w:spacing w:line="240" w:lineRule="auto" w:before="56"/>
        <w:ind w:left="258" w:right="-20"/>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pStyle w:val="BodyText"/>
        <w:spacing w:line="240" w:lineRule="auto" w:before="58"/>
        <w:ind w:left="25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380" w:left="1540" w:right="1120"/>
          <w:cols w:num="2" w:equalWidth="0">
            <w:col w:w="2522" w:space="4108"/>
            <w:col w:w="2620"/>
          </w:cols>
        </w:sectPr>
      </w:pPr>
    </w:p>
    <w:p>
      <w:pPr>
        <w:spacing w:line="240" w:lineRule="auto" w:before="7"/>
        <w:rPr>
          <w:rFonts w:ascii="宋体" w:hAnsi="宋体" w:cs="宋体" w:eastAsia="宋体" w:hint="default"/>
          <w:sz w:val="2"/>
          <w:szCs w:val="2"/>
        </w:rPr>
      </w:pPr>
    </w:p>
    <w:tbl>
      <w:tblPr>
        <w:tblW w:w="0" w:type="auto"/>
        <w:jc w:val="left"/>
        <w:tblInd w:w="222" w:type="dxa"/>
        <w:tblLayout w:type="fixed"/>
        <w:tblCellMar>
          <w:top w:w="0" w:type="dxa"/>
          <w:left w:w="0" w:type="dxa"/>
          <w:bottom w:w="0" w:type="dxa"/>
          <w:right w:w="0" w:type="dxa"/>
        </w:tblCellMar>
        <w:tblLook w:val="01E0"/>
      </w:tblPr>
      <w:tblGrid>
        <w:gridCol w:w="230"/>
        <w:gridCol w:w="1128"/>
        <w:gridCol w:w="672"/>
        <w:gridCol w:w="1033"/>
        <w:gridCol w:w="504"/>
        <w:gridCol w:w="1126"/>
        <w:gridCol w:w="1039"/>
        <w:gridCol w:w="672"/>
        <w:gridCol w:w="956"/>
        <w:gridCol w:w="504"/>
        <w:gridCol w:w="1032"/>
      </w:tblGrid>
      <w:tr>
        <w:trPr>
          <w:trHeight w:val="283" w:hRule="exact"/>
        </w:trPr>
        <w:tc>
          <w:tcPr>
            <w:tcW w:w="2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5"/>
              <w:ind w:left="26" w:right="-17"/>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4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30" w:type="dxa"/>
            <w:vMerge/>
            <w:tcBorders>
              <w:left w:val="single" w:sz="4" w:space="0" w:color="000000"/>
              <w:right w:val="single" w:sz="4" w:space="0" w:color="000000"/>
            </w:tcBorders>
          </w:tcPr>
          <w:p>
            <w:pP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72" w:lineRule="exact"/>
              <w:ind w:left="345" w:right="346"/>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7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3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72" w:lineRule="exact"/>
              <w:ind w:left="299" w:right="299"/>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797" w:hRule="exact"/>
        </w:trPr>
        <w:tc>
          <w:tcPr>
            <w:tcW w:w="230" w:type="dxa"/>
            <w:vMerge/>
            <w:tcBorders>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170" w:right="0"/>
              <w:jc w:val="left"/>
              <w:rPr>
                <w:rFonts w:ascii="Times New Roman" w:hAnsi="Times New Roman" w:cs="Times New Roman" w:eastAsia="Times New Roman" w:hint="default"/>
                <w:sz w:val="21"/>
                <w:szCs w:val="21"/>
              </w:rPr>
            </w:pPr>
            <w:r>
              <w:rPr>
                <w:rFonts w:ascii="Times New Roman"/>
                <w:sz w:val="21"/>
              </w:rPr>
              <w:t>(%)</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4" w:lineRule="exact"/>
              <w:ind w:left="3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88" w:right="0"/>
              <w:jc w:val="left"/>
              <w:rPr>
                <w:rFonts w:ascii="Times New Roman" w:hAnsi="Times New Roman" w:cs="Times New Roman" w:eastAsia="Times New Roman" w:hint="default"/>
                <w:sz w:val="21"/>
                <w:szCs w:val="21"/>
              </w:rPr>
            </w:pPr>
            <w:r>
              <w:rPr>
                <w:rFonts w:ascii="Times New Roman"/>
                <w:sz w:val="21"/>
              </w:rPr>
              <w:t>(%)</w:t>
            </w:r>
          </w:p>
        </w:tc>
        <w:tc>
          <w:tcPr>
            <w:tcW w:w="1126" w:type="dxa"/>
            <w:vMerge/>
            <w:tcBorders>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172" w:right="0"/>
              <w:jc w:val="left"/>
              <w:rPr>
                <w:rFonts w:ascii="Times New Roman" w:hAnsi="Times New Roman" w:cs="Times New Roman" w:eastAsia="Times New Roman" w:hint="default"/>
                <w:sz w:val="21"/>
                <w:szCs w:val="21"/>
              </w:rPr>
            </w:pPr>
            <w:r>
              <w:rPr>
                <w:rFonts w:ascii="Times New Roman"/>
                <w:sz w:val="21"/>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4" w:lineRule="exact"/>
              <w:ind w:left="3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88" w:right="0"/>
              <w:jc w:val="left"/>
              <w:rPr>
                <w:rFonts w:ascii="Times New Roman" w:hAnsi="Times New Roman" w:cs="Times New Roman" w:eastAsia="Times New Roman" w:hint="default"/>
                <w:sz w:val="21"/>
                <w:szCs w:val="21"/>
              </w:rPr>
            </w:pPr>
            <w:r>
              <w:rPr>
                <w:rFonts w:ascii="Times New Roman"/>
                <w:sz w:val="21"/>
              </w:rPr>
              <w:t>(%)</w:t>
            </w:r>
          </w:p>
        </w:tc>
        <w:tc>
          <w:tcPr>
            <w:tcW w:w="1032"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4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30"/>
        <w:gridCol w:w="1128"/>
        <w:gridCol w:w="672"/>
        <w:gridCol w:w="1033"/>
        <w:gridCol w:w="504"/>
        <w:gridCol w:w="1126"/>
        <w:gridCol w:w="1039"/>
        <w:gridCol w:w="672"/>
        <w:gridCol w:w="956"/>
        <w:gridCol w:w="504"/>
        <w:gridCol w:w="1032"/>
      </w:tblGrid>
      <w:tr>
        <w:trPr>
          <w:trHeight w:val="5459" w:hRule="exact"/>
        </w:trPr>
        <w:tc>
          <w:tcPr>
            <w:tcW w:w="2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单</w:t>
            </w:r>
          </w:p>
          <w:p>
            <w:pPr>
              <w:pStyle w:val="TableParagraph"/>
              <w:spacing w:line="237" w:lineRule="auto"/>
              <w:ind w:left="26" w:right="-17"/>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并</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2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r>
      <w:tr>
        <w:trPr>
          <w:trHeight w:val="5459" w:hRule="exact"/>
        </w:trPr>
        <w:tc>
          <w:tcPr>
            <w:tcW w:w="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before="2"/>
              <w:ind w:left="26" w:right="-17"/>
              <w:jc w:val="both"/>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w w:val="100"/>
                <w:sz w:val="21"/>
                <w:szCs w:val="21"/>
              </w:rPr>
              <w:t> </w:t>
            </w:r>
            <w:r>
              <w:rPr>
                <w:rFonts w:ascii="宋体" w:hAnsi="宋体" w:cs="宋体" w:eastAsia="宋体" w:hint="default"/>
                <w:sz w:val="21"/>
                <w:szCs w:val="21"/>
              </w:rPr>
              <w:t>风</w:t>
            </w:r>
            <w:r>
              <w:rPr>
                <w:rFonts w:ascii="宋体" w:hAnsi="宋体" w:cs="宋体" w:eastAsia="宋体" w:hint="default"/>
                <w:w w:val="100"/>
                <w:sz w:val="21"/>
                <w:szCs w:val="21"/>
              </w:rPr>
              <w:t> </w:t>
            </w:r>
            <w:r>
              <w:rPr>
                <w:rFonts w:ascii="宋体" w:hAnsi="宋体" w:cs="宋体" w:eastAsia="宋体" w:hint="default"/>
                <w:sz w:val="21"/>
                <w:szCs w:val="21"/>
              </w:rPr>
              <w:t>险</w:t>
            </w:r>
            <w:r>
              <w:rPr>
                <w:rFonts w:ascii="宋体" w:hAnsi="宋体" w:cs="宋体" w:eastAsia="宋体" w:hint="default"/>
                <w:w w:val="100"/>
                <w:sz w:val="21"/>
                <w:szCs w:val="21"/>
              </w:rPr>
              <w:t> </w:t>
            </w:r>
            <w:r>
              <w:rPr>
                <w:rFonts w:ascii="宋体" w:hAnsi="宋体" w:cs="宋体" w:eastAsia="宋体" w:hint="default"/>
                <w:sz w:val="21"/>
                <w:szCs w:val="21"/>
              </w:rPr>
              <w:t>特</w:t>
            </w:r>
            <w:r>
              <w:rPr>
                <w:rFonts w:ascii="宋体" w:hAnsi="宋体" w:cs="宋体" w:eastAsia="宋体" w:hint="default"/>
                <w:w w:val="100"/>
                <w:sz w:val="21"/>
                <w:szCs w:val="21"/>
              </w:rPr>
              <w:t> </w:t>
            </w:r>
            <w:r>
              <w:rPr>
                <w:rFonts w:ascii="宋体" w:hAnsi="宋体" w:cs="宋体" w:eastAsia="宋体" w:hint="default"/>
                <w:sz w:val="21"/>
                <w:szCs w:val="21"/>
              </w:rPr>
              <w:t>征</w:t>
            </w:r>
            <w:r>
              <w:rPr>
                <w:rFonts w:ascii="宋体" w:hAnsi="宋体" w:cs="宋体" w:eastAsia="宋体" w:hint="default"/>
                <w:w w:val="100"/>
                <w:sz w:val="21"/>
                <w:szCs w:val="21"/>
              </w:rPr>
              <w:t> </w:t>
            </w: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171,338,133</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.77</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1"/>
              <w:ind w:right="26"/>
              <w:jc w:val="right"/>
              <w:rPr>
                <w:rFonts w:ascii="Times New Roman" w:hAnsi="Times New Roman" w:cs="Times New Roman" w:eastAsia="Times New Roman" w:hint="default"/>
                <w:sz w:val="21"/>
                <w:szCs w:val="21"/>
              </w:rPr>
            </w:pPr>
            <w:r>
              <w:rPr>
                <w:rFonts w:ascii="Times New Roman"/>
                <w:w w:val="100"/>
                <w:sz w:val="21"/>
              </w:rPr>
              <w:t>%</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11,441,190</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sz w:val="21"/>
              </w:rPr>
              <w:t>.32</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2" w:right="0"/>
              <w:jc w:val="center"/>
              <w:rPr>
                <w:rFonts w:ascii="Times New Roman" w:hAnsi="Times New Roman" w:cs="Times New Roman" w:eastAsia="Times New Roman" w:hint="default"/>
                <w:sz w:val="21"/>
                <w:szCs w:val="21"/>
              </w:rPr>
            </w:pPr>
            <w:r>
              <w:rPr>
                <w:rFonts w:ascii="Times New Roman"/>
                <w:sz w:val="21"/>
              </w:rPr>
              <w:t>6.68</w:t>
            </w:r>
          </w:p>
          <w:p>
            <w:pPr>
              <w:pStyle w:val="TableParagraph"/>
              <w:spacing w:line="240" w:lineRule="auto" w:before="1"/>
              <w:ind w:left="262" w:right="0"/>
              <w:jc w:val="center"/>
              <w:rPr>
                <w:rFonts w:ascii="Times New Roman" w:hAnsi="Times New Roman" w:cs="Times New Roman" w:eastAsia="Times New Roman" w:hint="default"/>
                <w:sz w:val="21"/>
                <w:szCs w:val="21"/>
              </w:rPr>
            </w:pPr>
            <w:r>
              <w:rPr>
                <w:rFonts w:ascii="Times New Roman"/>
                <w:w w:val="100"/>
                <w:sz w:val="21"/>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159,896,943</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.45</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81,866,534</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sz w:val="21"/>
              </w:rPr>
              <w:t>.39</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6,728,822.</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63</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2" w:right="0"/>
              <w:jc w:val="center"/>
              <w:rPr>
                <w:rFonts w:ascii="Times New Roman" w:hAnsi="Times New Roman" w:cs="Times New Roman" w:eastAsia="Times New Roman" w:hint="default"/>
                <w:sz w:val="21"/>
                <w:szCs w:val="21"/>
              </w:rPr>
            </w:pPr>
            <w:r>
              <w:rPr>
                <w:rFonts w:ascii="Times New Roman"/>
                <w:sz w:val="21"/>
              </w:rPr>
              <w:t>8.22</w:t>
            </w:r>
          </w:p>
          <w:p>
            <w:pPr>
              <w:pStyle w:val="TableParagraph"/>
              <w:spacing w:line="240" w:lineRule="auto" w:before="1"/>
              <w:ind w:left="262" w:right="0"/>
              <w:jc w:val="center"/>
              <w:rPr>
                <w:rFonts w:ascii="Times New Roman" w:hAnsi="Times New Roman" w:cs="Times New Roman" w:eastAsia="Times New Roman" w:hint="default"/>
                <w:sz w:val="21"/>
                <w:szCs w:val="21"/>
              </w:rPr>
            </w:pPr>
            <w:r>
              <w:rPr>
                <w:rFonts w:ascii="Times New Roman"/>
                <w:w w:val="100"/>
                <w:sz w:val="21"/>
              </w:rPr>
              <w:t>%</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75,137,711</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sz w:val="21"/>
              </w:rPr>
              <w:t>.76</w:t>
            </w:r>
          </w:p>
        </w:tc>
      </w:tr>
    </w:tbl>
    <w:p>
      <w:pPr>
        <w:spacing w:after="0" w:line="240" w:lineRule="auto"/>
        <w:jc w:val="right"/>
        <w:rPr>
          <w:rFonts w:ascii="Times New Roman" w:hAnsi="Times New Roman" w:cs="Times New Roman" w:eastAsia="Times New Roman" w:hint="default"/>
          <w:sz w:val="21"/>
          <w:szCs w:val="21"/>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30"/>
        <w:gridCol w:w="1128"/>
        <w:gridCol w:w="672"/>
        <w:gridCol w:w="1033"/>
        <w:gridCol w:w="504"/>
        <w:gridCol w:w="1126"/>
        <w:gridCol w:w="1039"/>
        <w:gridCol w:w="672"/>
        <w:gridCol w:w="956"/>
        <w:gridCol w:w="504"/>
        <w:gridCol w:w="1032"/>
      </w:tblGrid>
      <w:tr>
        <w:trPr>
          <w:trHeight w:val="5732" w:hRule="exact"/>
        </w:trPr>
        <w:tc>
          <w:tcPr>
            <w:tcW w:w="2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单</w:t>
            </w:r>
          </w:p>
          <w:p>
            <w:pPr>
              <w:pStyle w:val="TableParagraph"/>
              <w:spacing w:line="237" w:lineRule="auto"/>
              <w:ind w:left="26" w:right="-17"/>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但</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2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17"/>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3" w:lineRule="exact"/>
              <w:ind w:left="26" w:right="-17"/>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4"/>
              <w:jc w:val="right"/>
              <w:rPr>
                <w:rFonts w:ascii="Times New Roman" w:hAnsi="Times New Roman" w:cs="Times New Roman" w:eastAsia="Times New Roman" w:hint="default"/>
                <w:sz w:val="21"/>
                <w:szCs w:val="21"/>
              </w:rPr>
            </w:pPr>
            <w:r>
              <w:rPr>
                <w:rFonts w:ascii="Times New Roman"/>
                <w:spacing w:val="-1"/>
                <w:sz w:val="21"/>
              </w:rPr>
              <w:t>171,338,133</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z w:val="21"/>
              </w:rPr>
              <w:t>.77</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1"/>
              <w:jc w:val="right"/>
              <w:rPr>
                <w:rFonts w:ascii="Times New Roman" w:hAnsi="Times New Roman" w:cs="Times New Roman" w:eastAsia="Times New Roman" w:hint="default"/>
                <w:sz w:val="21"/>
                <w:szCs w:val="21"/>
              </w:rPr>
            </w:pPr>
            <w:r>
              <w:rPr>
                <w:rFonts w:ascii="Times New Roman"/>
                <w:spacing w:val="-2"/>
                <w:sz w:val="21"/>
              </w:rPr>
              <w:t>11,441,190</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z w:val="21"/>
              </w:rPr>
              <w:t>.32</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4"/>
              <w:jc w:val="right"/>
              <w:rPr>
                <w:rFonts w:ascii="Times New Roman" w:hAnsi="Times New Roman" w:cs="Times New Roman" w:eastAsia="Times New Roman" w:hint="default"/>
                <w:sz w:val="21"/>
                <w:szCs w:val="21"/>
              </w:rPr>
            </w:pPr>
            <w:r>
              <w:rPr>
                <w:rFonts w:ascii="Times New Roman"/>
                <w:spacing w:val="-1"/>
                <w:sz w:val="21"/>
              </w:rPr>
              <w:t>159,896,943</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z w:val="21"/>
              </w:rPr>
              <w:t>.45</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1"/>
              <w:jc w:val="right"/>
              <w:rPr>
                <w:rFonts w:ascii="Times New Roman" w:hAnsi="Times New Roman" w:cs="Times New Roman" w:eastAsia="Times New Roman" w:hint="default"/>
                <w:sz w:val="21"/>
                <w:szCs w:val="21"/>
              </w:rPr>
            </w:pPr>
            <w:r>
              <w:rPr>
                <w:rFonts w:ascii="Times New Roman"/>
                <w:spacing w:val="-1"/>
                <w:sz w:val="21"/>
              </w:rPr>
              <w:t>81,866,534</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z w:val="21"/>
              </w:rPr>
              <w:t>.39</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2"/>
              <w:jc w:val="right"/>
              <w:rPr>
                <w:rFonts w:ascii="Times New Roman" w:hAnsi="Times New Roman" w:cs="Times New Roman" w:eastAsia="Times New Roman" w:hint="default"/>
                <w:sz w:val="21"/>
                <w:szCs w:val="21"/>
              </w:rPr>
            </w:pPr>
            <w:r>
              <w:rPr>
                <w:rFonts w:ascii="Times New Roman"/>
                <w:spacing w:val="-1"/>
                <w:sz w:val="21"/>
              </w:rPr>
              <w:t>6,728,822.</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z w:val="21"/>
              </w:rPr>
              <w:t>63</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3" w:right="0"/>
              <w:jc w:val="left"/>
              <w:rPr>
                <w:rFonts w:ascii="Times New Roman" w:hAnsi="Times New Roman" w:cs="Times New Roman" w:eastAsia="Times New Roman" w:hint="default"/>
                <w:sz w:val="21"/>
                <w:szCs w:val="21"/>
              </w:rPr>
            </w:pPr>
            <w:r>
              <w:rPr>
                <w:rFonts w:ascii="Times New Roman"/>
                <w:sz w:val="21"/>
              </w:rPr>
              <w:t>75,137,711</w:t>
            </w:r>
          </w:p>
          <w:p>
            <w:pPr>
              <w:pStyle w:val="TableParagraph"/>
              <w:spacing w:line="241" w:lineRule="exact"/>
              <w:ind w:left="23" w:right="0"/>
              <w:jc w:val="left"/>
              <w:rPr>
                <w:rFonts w:ascii="Times New Roman" w:hAnsi="Times New Roman" w:cs="Times New Roman" w:eastAsia="Times New Roman" w:hint="default"/>
                <w:sz w:val="21"/>
                <w:szCs w:val="21"/>
              </w:rPr>
            </w:pPr>
            <w:r>
              <w:rPr>
                <w:rFonts w:ascii="Times New Roman"/>
                <w:sz w:val="21"/>
              </w:rPr>
              <w:t>.76</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p>
      <w:pPr>
        <w:spacing w:after="0" w:line="240" w:lineRule="auto"/>
        <w:rPr>
          <w:rFonts w:ascii="Times New Roman" w:hAnsi="Times New Roman" w:cs="Times New Roman" w:eastAsia="Times New Roman" w:hint="default"/>
          <w:sz w:val="16"/>
          <w:szCs w:val="16"/>
        </w:rPr>
        <w:sectPr>
          <w:pgSz w:w="11910" w:h="16840"/>
          <w:pgMar w:header="882" w:footer="1195" w:top="1120" w:bottom="1380" w:left="1660" w:right="1120"/>
        </w:sectPr>
      </w:pPr>
    </w:p>
    <w:p>
      <w:pPr>
        <w:pStyle w:val="BodyText"/>
        <w:spacing w:line="273" w:lineRule="exact" w:before="36"/>
        <w:ind w:left="138" w:right="0"/>
        <w:jc w:val="left"/>
      </w:pPr>
      <w:r>
        <w:rPr>
          <w:spacing w:val="-2"/>
        </w:rPr>
        <w:t>期末单项金额重大并单项计提坏帐准备的应收账款</w:t>
      </w:r>
    </w:p>
    <w:p>
      <w:pPr>
        <w:pStyle w:val="BodyText"/>
        <w:spacing w:line="240" w:lineRule="auto"/>
        <w:ind w:left="138" w:right="0"/>
        <w:jc w:val="left"/>
      </w:pPr>
      <w:r>
        <w:rPr/>
        <w:t>□适用√不适用</w:t>
      </w:r>
      <w:r>
        <w:rPr>
          <w:spacing w:val="-103"/>
        </w:rPr>
        <w:t> </w:t>
      </w:r>
      <w:r>
        <w:rPr>
          <w:spacing w:val="-103"/>
        </w:rPr>
      </w:r>
      <w:r>
        <w:rPr>
          <w:spacing w:val="-2"/>
        </w:rPr>
        <w:t>组合中，按账龄分析法计提坏账准备的应收账款：</w:t>
      </w:r>
    </w:p>
    <w:p>
      <w:pPr>
        <w:pStyle w:val="BodyText"/>
        <w:spacing w:line="287" w:lineRule="exact"/>
        <w:ind w:left="138" w:right="0"/>
        <w:jc w:val="left"/>
      </w:pP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120" w:bottom="1380" w:left="1660" w:right="1120"/>
          <w:cols w:num="2" w:equalWidth="0">
            <w:col w:w="4764" w:space="1969"/>
            <w:col w:w="239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048"/>
        <w:gridCol w:w="2282"/>
        <w:gridCol w:w="2316"/>
        <w:gridCol w:w="2249"/>
      </w:tblGrid>
      <w:tr>
        <w:trPr>
          <w:trHeight w:val="283"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0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139,725,075.11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4,191,752.26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z w:val="21"/>
              </w:rPr>
              <w:t>3.00%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19,092,129.03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1,909,212.90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z w:val="21"/>
              </w:rPr>
              <w:t>10.00%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6,755,917.88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1,351,183.58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z w:val="21"/>
              </w:rPr>
              <w:t>20.00%</w:t>
            </w:r>
          </w:p>
        </w:tc>
      </w:tr>
      <w:tr>
        <w:trPr>
          <w:trHeight w:val="28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3,019,446.75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1,509,723.38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z w:val="21"/>
              </w:rPr>
              <w:t>50.00%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1,331,234.00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1,064,987.20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z w:val="21"/>
              </w:rPr>
              <w:t>80.00%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1,414,331.00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1,414,331.00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171,338,133.77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11,441,190.32</w:t>
            </w:r>
          </w:p>
        </w:tc>
        <w:tc>
          <w:tcPr>
            <w:tcW w:w="22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73" w:lineRule="exact" w:before="36"/>
        <w:ind w:left="138" w:right="146"/>
        <w:jc w:val="left"/>
      </w:pPr>
      <w:r>
        <w:rPr/>
        <w:t>确定该组合依据的说明：</w:t>
      </w:r>
    </w:p>
    <w:p>
      <w:pPr>
        <w:pStyle w:val="BodyText"/>
        <w:spacing w:line="286" w:lineRule="exact"/>
        <w:ind w:left="138" w:right="146"/>
        <w:jc w:val="left"/>
      </w:pPr>
      <w:r>
        <w:rPr/>
        <w:t>（</w:t>
      </w:r>
      <w:r>
        <w:rPr>
          <w:rFonts w:ascii="Calibri" w:hAnsi="Calibri" w:cs="Calibri" w:eastAsia="Calibri" w:hint="default"/>
        </w:rPr>
        <w:t>1</w:t>
      </w:r>
      <w:r>
        <w:rPr/>
        <w:t>）  单项金额重大并单项计提坏账准备</w:t>
      </w:r>
      <w:r>
        <w:rPr>
          <w:rFonts w:ascii="Calibri" w:hAnsi="Calibri" w:cs="Calibri" w:eastAsia="Calibri" w:hint="default"/>
        </w:rPr>
        <w:t>:</w:t>
      </w:r>
      <w:r>
        <w:rPr/>
        <w:t>占应收款项余额</w:t>
      </w:r>
      <w:r>
        <w:rPr>
          <w:spacing w:val="-23"/>
        </w:rPr>
        <w:t> </w:t>
      </w:r>
      <w:r>
        <w:rPr>
          <w:rFonts w:ascii="Calibri" w:hAnsi="Calibri" w:cs="Calibri" w:eastAsia="Calibri" w:hint="default"/>
        </w:rPr>
        <w:t>10%</w:t>
      </w:r>
      <w:r>
        <w:rPr/>
        <w:t>以上或期末前五名的款项。</w:t>
      </w:r>
    </w:p>
    <w:p>
      <w:pPr>
        <w:pStyle w:val="BodyText"/>
        <w:spacing w:line="272" w:lineRule="exact" w:before="13"/>
        <w:ind w:left="138" w:right="146"/>
        <w:jc w:val="left"/>
      </w:pPr>
      <w:r>
        <w:rPr>
          <w:spacing w:val="-1"/>
        </w:rPr>
        <w:t>（</w:t>
      </w:r>
      <w:r>
        <w:rPr>
          <w:rFonts w:ascii="Times New Roman" w:hAnsi="Times New Roman" w:cs="Times New Roman" w:eastAsia="Times New Roman" w:hint="default"/>
          <w:spacing w:val="-1"/>
        </w:rPr>
        <w:t>2</w:t>
      </w:r>
      <w:r>
        <w:rPr>
          <w:spacing w:val="-1"/>
        </w:rPr>
        <w:t>）按组合计提坏账准备</w:t>
      </w:r>
      <w:r>
        <w:rPr>
          <w:rFonts w:ascii="Times New Roman" w:hAnsi="Times New Roman" w:cs="Times New Roman" w:eastAsia="Times New Roman" w:hint="default"/>
          <w:spacing w:val="-1"/>
        </w:rPr>
        <w:t>:</w:t>
      </w:r>
      <w:r>
        <w:rPr>
          <w:spacing w:val="-1"/>
        </w:rPr>
        <w:t>除已包含在范围</w:t>
      </w:r>
      <w:r>
        <w:rPr>
          <w:rFonts w:ascii="Times New Roman" w:hAnsi="Times New Roman" w:cs="Times New Roman" w:eastAsia="Times New Roman" w:hint="default"/>
          <w:spacing w:val="-1"/>
        </w:rPr>
        <w:t>(1)</w:t>
      </w:r>
      <w:r>
        <w:rPr>
          <w:spacing w:val="-1"/>
        </w:rPr>
        <w:t>以外，按类似信用风险特征划分为若干组合，按组</w:t>
      </w:r>
      <w:r>
        <w:rPr>
          <w:spacing w:val="-41"/>
        </w:rPr>
        <w:t> </w:t>
      </w:r>
      <w:r>
        <w:rPr>
          <w:spacing w:val="-41"/>
        </w:rPr>
      </w:r>
      <w:r>
        <w:rPr/>
        <w:t>合计提坏账准备的应收款项。</w:t>
      </w:r>
    </w:p>
    <w:p>
      <w:pPr>
        <w:pStyle w:val="BodyText"/>
        <w:spacing w:line="272" w:lineRule="exact" w:before="1"/>
        <w:ind w:left="138" w:right="146"/>
        <w:jc w:val="left"/>
      </w:pPr>
      <w:r>
        <w:rPr>
          <w:spacing w:val="-1"/>
        </w:rPr>
        <w:t>（</w:t>
      </w:r>
      <w:r>
        <w:rPr>
          <w:rFonts w:ascii="Times New Roman" w:hAnsi="Times New Roman" w:cs="Times New Roman" w:eastAsia="Times New Roman" w:hint="default"/>
          <w:spacing w:val="-1"/>
        </w:rPr>
        <w:t>3</w:t>
      </w:r>
      <w:r>
        <w:rPr>
          <w:spacing w:val="-1"/>
        </w:rPr>
        <w:t>）单项金额虽不重大但单项计提坏账准备</w:t>
      </w:r>
      <w:r>
        <w:rPr>
          <w:rFonts w:ascii="Times New Roman" w:hAnsi="Times New Roman" w:cs="Times New Roman" w:eastAsia="Times New Roman" w:hint="default"/>
          <w:spacing w:val="-1"/>
        </w:rPr>
        <w:t>:</w:t>
      </w:r>
      <w:r>
        <w:rPr>
          <w:spacing w:val="-1"/>
        </w:rPr>
        <w:t>除已包含在范围</w:t>
      </w:r>
      <w:r>
        <w:rPr>
          <w:rFonts w:ascii="Times New Roman" w:hAnsi="Times New Roman" w:cs="Times New Roman" w:eastAsia="Times New Roman" w:hint="default"/>
          <w:spacing w:val="-1"/>
        </w:rPr>
        <w:t>(1)</w:t>
      </w:r>
      <w:r>
        <w:rPr>
          <w:spacing w:val="-1"/>
        </w:rPr>
        <w:t>以外，有确凿证据表明可收回性</w:t>
      </w:r>
      <w:r>
        <w:rPr>
          <w:spacing w:val="-39"/>
        </w:rPr>
        <w:t> </w:t>
      </w:r>
      <w:r>
        <w:rPr>
          <w:spacing w:val="-39"/>
        </w:rPr>
      </w:r>
      <w:r>
        <w:rPr/>
        <w:t>存在明显差异，单项计提坏账准备的应收款项。</w:t>
      </w:r>
    </w:p>
    <w:p>
      <w:pPr>
        <w:spacing w:line="240" w:lineRule="auto" w:before="5"/>
        <w:rPr>
          <w:rFonts w:ascii="宋体" w:hAnsi="宋体" w:cs="宋体" w:eastAsia="宋体" w:hint="default"/>
          <w:sz w:val="16"/>
          <w:szCs w:val="16"/>
        </w:rPr>
      </w:pPr>
    </w:p>
    <w:p>
      <w:pPr>
        <w:pStyle w:val="BodyText"/>
        <w:spacing w:line="274" w:lineRule="exact"/>
        <w:ind w:left="138" w:right="146"/>
        <w:jc w:val="left"/>
      </w:pPr>
      <w:r>
        <w:rPr/>
        <w:t>组合中，采用余额百分比法计提坏账准备的应收账款：</w:t>
      </w:r>
    </w:p>
    <w:p>
      <w:pPr>
        <w:pStyle w:val="BodyText"/>
        <w:spacing w:line="274" w:lineRule="exact"/>
        <w:ind w:left="138" w:right="146"/>
        <w:jc w:val="left"/>
      </w:pPr>
      <w:r>
        <w:rPr/>
        <w:t>□适用√不适用</w:t>
      </w:r>
    </w:p>
    <w:p>
      <w:pPr>
        <w:spacing w:after="0" w:line="274" w:lineRule="exact"/>
        <w:jc w:val="left"/>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74" w:lineRule="exact" w:before="36"/>
        <w:ind w:left="138" w:right="146"/>
        <w:jc w:val="left"/>
      </w:pPr>
      <w:r>
        <w:rPr/>
        <w:t>组合中，采用其他方法计提坏账准备的应收账款：</w:t>
      </w:r>
    </w:p>
    <w:p>
      <w:pPr>
        <w:pStyle w:val="BodyText"/>
        <w:spacing w:line="290" w:lineRule="exact"/>
        <w:ind w:left="138" w:right="14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138" w:right="146"/>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spacing w:line="240" w:lineRule="auto" w:before="56"/>
        <w:ind w:left="138" w:right="146"/>
        <w:jc w:val="left"/>
      </w:pPr>
      <w:r>
        <w:rPr/>
        <w:t>本期计提坏账准备金额</w:t>
      </w:r>
      <w:r>
        <w:rPr>
          <w:spacing w:val="-54"/>
        </w:rPr>
        <w:t> </w:t>
      </w:r>
      <w:r>
        <w:rPr>
          <w:rFonts w:ascii="Times New Roman" w:hAnsi="Times New Roman" w:cs="Times New Roman" w:eastAsia="Times New Roman" w:hint="default"/>
        </w:rPr>
        <w:t>4,712,367.69</w:t>
      </w:r>
      <w:r>
        <w:rPr>
          <w:rFonts w:ascii="Times New Roman" w:hAnsi="Times New Roman" w:cs="Times New Roman" w:eastAsia="Times New Roman" w:hint="default"/>
          <w:spacing w:val="-4"/>
        </w:rPr>
        <w:t> </w:t>
      </w:r>
      <w:r>
        <w:rPr/>
        <w:t>元；本期收回或转回坏账准备金额</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spacing w:val="-3"/>
        </w:rPr>
        <w:t>元。</w:t>
      </w:r>
      <w:r>
        <w:rPr/>
      </w:r>
    </w:p>
    <w:p>
      <w:pPr>
        <w:spacing w:line="240" w:lineRule="auto" w:before="0"/>
        <w:rPr>
          <w:rFonts w:ascii="宋体" w:hAnsi="宋体" w:cs="宋体" w:eastAsia="宋体" w:hint="default"/>
          <w:sz w:val="17"/>
          <w:szCs w:val="17"/>
        </w:rPr>
      </w:pPr>
    </w:p>
    <w:p>
      <w:pPr>
        <w:pStyle w:val="BodyText"/>
        <w:spacing w:line="274" w:lineRule="exact"/>
        <w:ind w:left="138" w:right="146"/>
        <w:jc w:val="left"/>
      </w:pPr>
      <w:r>
        <w:rPr/>
        <w:t>其中本期坏账准备收回或转回金额重要的：</w:t>
      </w:r>
    </w:p>
    <w:p>
      <w:pPr>
        <w:pStyle w:val="BodyText"/>
        <w:spacing w:line="274" w:lineRule="exact"/>
        <w:ind w:left="138" w:right="146"/>
        <w:jc w:val="left"/>
      </w:pPr>
      <w:r>
        <w:rPr/>
        <w:t>□适用√不适用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2"/>
        <w:spacing w:line="240" w:lineRule="auto"/>
        <w:ind w:left="138" w:right="146"/>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59"/>
        <w:ind w:left="138" w:right="146"/>
        <w:jc w:val="left"/>
      </w:pPr>
      <w:r>
        <w:rPr/>
        <w:t>□适用√不适用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2"/>
        <w:spacing w:line="240" w:lineRule="auto"/>
        <w:ind w:left="138" w:right="146"/>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pStyle w:val="BodyText"/>
        <w:spacing w:line="273" w:lineRule="exact" w:before="56"/>
        <w:ind w:left="138" w:right="146"/>
        <w:jc w:val="left"/>
      </w:pPr>
      <w:r>
        <w:rPr/>
        <w:t>√适用□不适用</w:t>
      </w:r>
    </w:p>
    <w:p>
      <w:pPr>
        <w:pStyle w:val="BodyText"/>
        <w:spacing w:line="274" w:lineRule="exact" w:before="24"/>
        <w:ind w:left="138" w:right="146"/>
        <w:jc w:val="left"/>
      </w:pPr>
      <w:r>
        <w:rPr/>
        <w:t>本报告期按欠款方归集的期末余额前五名应收账款汇总金额</w:t>
      </w:r>
      <w:r>
        <w:rPr>
          <w:spacing w:val="-47"/>
        </w:rPr>
        <w:t> </w:t>
      </w:r>
      <w:r>
        <w:rPr>
          <w:rFonts w:ascii="Times New Roman" w:hAnsi="Times New Roman" w:cs="Times New Roman" w:eastAsia="Times New Roman" w:hint="default"/>
        </w:rPr>
        <w:t>80,054,357.80</w:t>
      </w:r>
      <w:r>
        <w:rPr>
          <w:rFonts w:ascii="Times New Roman" w:hAnsi="Times New Roman" w:cs="Times New Roman" w:eastAsia="Times New Roman" w:hint="default"/>
          <w:spacing w:val="2"/>
        </w:rPr>
        <w:t> </w:t>
      </w:r>
      <w:r>
        <w:rPr>
          <w:spacing w:val="-6"/>
        </w:rPr>
        <w:t>元，占应收账款期末余</w:t>
      </w:r>
      <w:r>
        <w:rPr>
          <w:spacing w:val="-103"/>
        </w:rPr>
        <w:t> </w:t>
      </w:r>
      <w:r>
        <w:rPr>
          <w:spacing w:val="-103"/>
        </w:rPr>
      </w:r>
      <w:r>
        <w:rPr/>
        <w:t>额合计数的比例</w:t>
      </w:r>
      <w:r>
        <w:rPr>
          <w:spacing w:val="-55"/>
        </w:rPr>
        <w:t> </w:t>
      </w:r>
      <w:r>
        <w:rPr>
          <w:rFonts w:ascii="Times New Roman" w:hAnsi="Times New Roman" w:cs="Times New Roman" w:eastAsia="Times New Roman" w:hint="default"/>
        </w:rPr>
        <w:t>46.72%</w:t>
      </w:r>
      <w:r>
        <w:rPr/>
        <w:t>，相应计提的坏账准备期末余额汇总金额</w:t>
      </w:r>
      <w:r>
        <w:rPr>
          <w:spacing w:val="-55"/>
        </w:rPr>
        <w:t> </w:t>
      </w:r>
      <w:r>
        <w:rPr>
          <w:rFonts w:ascii="Times New Roman" w:hAnsi="Times New Roman" w:cs="Times New Roman" w:eastAsia="Times New Roman" w:hint="default"/>
        </w:rPr>
        <w:t>3,449,309.66</w:t>
      </w:r>
      <w:r>
        <w:rPr>
          <w:rFonts w:ascii="Times New Roman" w:hAnsi="Times New Roman" w:cs="Times New Roman" w:eastAsia="Times New Roman" w:hint="default"/>
          <w:spacing w:val="-2"/>
        </w:rPr>
        <w:t> </w:t>
      </w:r>
      <w:r>
        <w:rPr/>
        <w:t>元。</w:t>
      </w:r>
    </w:p>
    <w:p>
      <w:pPr>
        <w:spacing w:line="240" w:lineRule="auto" w:before="12"/>
        <w:rPr>
          <w:rFonts w:ascii="宋体" w:hAnsi="宋体" w:cs="宋体" w:eastAsia="宋体" w:hint="default"/>
          <w:sz w:val="20"/>
          <w:szCs w:val="20"/>
        </w:rPr>
      </w:pPr>
    </w:p>
    <w:p>
      <w:pPr>
        <w:pStyle w:val="Heading2"/>
        <w:spacing w:line="240" w:lineRule="auto"/>
        <w:ind w:left="138" w:right="146"/>
        <w:jc w:val="left"/>
        <w:rPr>
          <w:b w:val="0"/>
          <w:bCs w:val="0"/>
        </w:rPr>
      </w:pPr>
      <w:r>
        <w:rPr>
          <w:rFonts w:ascii="宋体" w:hAnsi="宋体" w:cs="宋体" w:eastAsia="宋体" w:hint="default"/>
        </w:rPr>
        <w:t>(5).</w:t>
      </w:r>
      <w:r>
        <w:rPr>
          <w:rFonts w:ascii="宋体" w:hAnsi="宋体" w:cs="宋体" w:eastAsia="宋体" w:hint="default"/>
          <w:spacing w:val="44"/>
        </w:rPr>
        <w:t> </w:t>
      </w:r>
      <w:r>
        <w:rPr/>
        <w:t>因金融资产转移而终止确认的应收账款：</w:t>
      </w:r>
      <w:r>
        <w:rPr>
          <w:b w:val="0"/>
          <w:bCs w:val="0"/>
        </w:rPr>
      </w:r>
    </w:p>
    <w:p>
      <w:pPr>
        <w:pStyle w:val="BodyText"/>
        <w:spacing w:line="240" w:lineRule="auto" w:before="58"/>
        <w:ind w:left="138" w:right="146"/>
        <w:jc w:val="left"/>
      </w:pPr>
      <w:r>
        <w:rPr/>
        <w:t>□适用√不适用</w:t>
      </w:r>
    </w:p>
    <w:p>
      <w:pPr>
        <w:spacing w:line="240" w:lineRule="auto" w:before="11"/>
        <w:rPr>
          <w:rFonts w:ascii="宋体" w:hAnsi="宋体" w:cs="宋体" w:eastAsia="宋体" w:hint="default"/>
          <w:sz w:val="22"/>
          <w:szCs w:val="22"/>
        </w:rPr>
      </w:pPr>
    </w:p>
    <w:p>
      <w:pPr>
        <w:pStyle w:val="Heading2"/>
        <w:spacing w:line="240" w:lineRule="auto"/>
        <w:ind w:left="138" w:right="146"/>
        <w:jc w:val="left"/>
        <w:rPr>
          <w:b w:val="0"/>
          <w:bCs w:val="0"/>
        </w:rPr>
      </w:pPr>
      <w:r>
        <w:rPr>
          <w:rFonts w:ascii="宋体" w:hAnsi="宋体" w:cs="宋体" w:eastAsia="宋体" w:hint="default"/>
        </w:rPr>
        <w:t>(6).</w:t>
      </w:r>
      <w:r>
        <w:rPr>
          <w:rFonts w:ascii="宋体" w:hAnsi="宋体" w:cs="宋体" w:eastAsia="宋体" w:hint="default"/>
          <w:spacing w:val="43"/>
        </w:rPr>
        <w:t> </w:t>
      </w:r>
      <w:r>
        <w:rPr/>
        <w:t>转移应收账款且继续涉入形成的资产、负债金额：</w:t>
      </w:r>
      <w:r>
        <w:rPr>
          <w:b w:val="0"/>
          <w:bCs w:val="0"/>
        </w:rPr>
      </w:r>
    </w:p>
    <w:p>
      <w:pPr>
        <w:pStyle w:val="BodyText"/>
        <w:spacing w:line="240" w:lineRule="auto" w:before="56"/>
        <w:ind w:left="138" w:right="146"/>
        <w:jc w:val="left"/>
      </w:pPr>
      <w:r>
        <w:rPr/>
        <w:t>□适用√不适用</w:t>
      </w:r>
    </w:p>
    <w:p>
      <w:pPr>
        <w:spacing w:line="240" w:lineRule="auto" w:before="3"/>
        <w:rPr>
          <w:rFonts w:ascii="宋体" w:hAnsi="宋体" w:cs="宋体" w:eastAsia="宋体" w:hint="default"/>
          <w:sz w:val="18"/>
          <w:szCs w:val="18"/>
        </w:rPr>
      </w:pPr>
    </w:p>
    <w:p>
      <w:pPr>
        <w:pStyle w:val="BodyText"/>
        <w:spacing w:line="274" w:lineRule="exact"/>
        <w:ind w:left="138" w:right="146"/>
        <w:jc w:val="left"/>
      </w:pPr>
      <w:r>
        <w:rPr/>
        <w:t>其他说明：</w:t>
      </w:r>
    </w:p>
    <w:p>
      <w:pPr>
        <w:pStyle w:val="BodyText"/>
        <w:spacing w:line="274" w:lineRule="exact"/>
        <w:ind w:left="138" w:right="146"/>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60" w:right="1120"/>
        </w:sectPr>
      </w:pPr>
    </w:p>
    <w:p>
      <w:pPr>
        <w:pStyle w:val="Heading2"/>
        <w:spacing w:line="240" w:lineRule="auto" w:before="36"/>
        <w:ind w:left="138" w:right="-19"/>
        <w:jc w:val="left"/>
        <w:rPr>
          <w:b w:val="0"/>
          <w:bCs w:val="0"/>
        </w:rPr>
      </w:pPr>
      <w:r>
        <w:rPr/>
        <w:t>（</w:t>
      </w:r>
      <w:r>
        <w:rPr>
          <w:rFonts w:ascii="Calibri" w:hAnsi="Calibri" w:cs="Calibri" w:eastAsia="Calibri" w:hint="default"/>
        </w:rPr>
        <w:t>2</w:t>
      </w:r>
      <w:r>
        <w:rPr/>
        <w:t>）</w:t>
      </w:r>
      <w:r>
        <w:rPr>
          <w:spacing w:val="85"/>
        </w:rPr>
        <w:t> </w:t>
      </w:r>
      <w:r>
        <w:rPr/>
        <w:t>预付款项</w:t>
      </w:r>
      <w:r>
        <w:rPr>
          <w:b w:val="0"/>
          <w:bCs w:val="0"/>
        </w:rPr>
      </w:r>
    </w:p>
    <w:p>
      <w:pPr>
        <w:pStyle w:val="Heading2"/>
        <w:spacing w:line="240" w:lineRule="auto" w:before="29"/>
        <w:ind w:left="138"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pStyle w:val="BodyText"/>
        <w:spacing w:line="240" w:lineRule="auto" w:before="58"/>
        <w:ind w:left="138" w:right="-19"/>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120" w:bottom="1380" w:left="1660" w:right="1120"/>
          <w:cols w:num="2" w:equalWidth="0">
            <w:col w:w="2656" w:space="4077"/>
            <w:col w:w="239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281" w:hRule="exact"/>
        </w:trPr>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1361" w:type="dxa"/>
            <w:vMerge/>
            <w:tcBorders>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6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7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spacing w:val="-1"/>
                <w:sz w:val="21"/>
              </w:rPr>
              <w:t>12,849,520.75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99.32%</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10,516,030.00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97.87%</w:t>
            </w:r>
          </w:p>
        </w:tc>
      </w:tr>
      <w:tr>
        <w:trPr>
          <w:trHeight w:val="28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228,899.00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2.13%</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87,500.00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0.68%</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892"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spacing w:val="-1"/>
                <w:sz w:val="21"/>
              </w:rPr>
              <w:t>12,937,020.75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100.00%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10,744,929.00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2"/>
        <w:rPr>
          <w:rFonts w:ascii="宋体" w:hAnsi="宋体" w:cs="宋体" w:eastAsia="宋体" w:hint="default"/>
          <w:sz w:val="13"/>
          <w:szCs w:val="13"/>
        </w:rPr>
      </w:pPr>
    </w:p>
    <w:p>
      <w:pPr>
        <w:pStyle w:val="BodyText"/>
        <w:spacing w:line="281" w:lineRule="exact" w:before="36"/>
        <w:ind w:left="138" w:right="146"/>
        <w:jc w:val="left"/>
      </w:pP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年且金额重要的预付款项未及时结算原因的说明：</w:t>
      </w:r>
    </w:p>
    <w:p>
      <w:pPr>
        <w:pStyle w:val="BodyText"/>
        <w:spacing w:line="281" w:lineRule="exact"/>
        <w:ind w:left="138" w:right="146"/>
        <w:jc w:val="left"/>
      </w:pPr>
      <w:r>
        <w:rPr/>
        <w:t>公司无账龄超过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年且金额重要的预付款项。</w:t>
      </w:r>
    </w:p>
    <w:p>
      <w:pPr>
        <w:spacing w:line="240" w:lineRule="auto" w:before="10"/>
        <w:rPr>
          <w:rFonts w:ascii="宋体" w:hAnsi="宋体" w:cs="宋体" w:eastAsia="宋体" w:hint="default"/>
          <w:sz w:val="21"/>
          <w:szCs w:val="21"/>
        </w:rPr>
      </w:pPr>
    </w:p>
    <w:p>
      <w:pPr>
        <w:pStyle w:val="Heading2"/>
        <w:spacing w:line="240" w:lineRule="auto"/>
        <w:ind w:left="138" w:right="146"/>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pStyle w:val="BodyText"/>
        <w:spacing w:line="273" w:lineRule="exact" w:before="56"/>
        <w:ind w:left="138" w:right="146"/>
        <w:jc w:val="left"/>
      </w:pPr>
      <w:r>
        <w:rPr/>
        <w:t>√适用□不适用</w:t>
      </w:r>
    </w:p>
    <w:p>
      <w:pPr>
        <w:pStyle w:val="BodyText"/>
        <w:spacing w:line="274" w:lineRule="exact" w:before="24"/>
        <w:ind w:left="138" w:right="146"/>
        <w:jc w:val="left"/>
      </w:pPr>
      <w:r>
        <w:rPr/>
        <w:t>本报告期按预付对象归集的期末余额前五名预付款项汇总金额</w:t>
      </w:r>
      <w:r>
        <w:rPr>
          <w:spacing w:val="-54"/>
        </w:rPr>
        <w:t> </w:t>
      </w:r>
      <w:r>
        <w:rPr>
          <w:rFonts w:ascii="Times New Roman" w:hAnsi="Times New Roman" w:cs="Times New Roman" w:eastAsia="Times New Roman" w:hint="default"/>
        </w:rPr>
        <w:t>11,278,982.00</w:t>
      </w:r>
      <w:r>
        <w:rPr>
          <w:rFonts w:ascii="Times New Roman" w:hAnsi="Times New Roman" w:cs="Times New Roman" w:eastAsia="Times New Roman" w:hint="default"/>
          <w:spacing w:val="-4"/>
        </w:rPr>
        <w:t> </w:t>
      </w:r>
      <w:r>
        <w:rPr>
          <w:spacing w:val="-5"/>
        </w:rPr>
        <w:t>元，占预付款项期末</w:t>
      </w:r>
      <w:r>
        <w:rPr>
          <w:w w:val="100"/>
        </w:rPr>
        <w:t> </w:t>
      </w:r>
      <w:r>
        <w:rPr/>
        <w:t>余额合计数的比例</w:t>
      </w:r>
      <w:r>
        <w:rPr>
          <w:spacing w:val="-54"/>
        </w:rPr>
        <w:t> </w:t>
      </w:r>
      <w:r>
        <w:rPr>
          <w:rFonts w:ascii="Times New Roman" w:hAnsi="Times New Roman" w:cs="Times New Roman" w:eastAsia="Times New Roman" w:hint="default"/>
        </w:rPr>
        <w:t>87.18%</w:t>
      </w:r>
      <w:r>
        <w:rPr/>
        <w:t>。</w:t>
      </w:r>
    </w:p>
    <w:p>
      <w:pPr>
        <w:spacing w:after="0" w:line="274" w:lineRule="exact"/>
        <w:jc w:val="left"/>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74" w:lineRule="exact" w:before="36"/>
        <w:ind w:left="138" w:right="146"/>
        <w:jc w:val="left"/>
      </w:pPr>
      <w:r>
        <w:rPr/>
        <w:t>其他说明</w:t>
      </w:r>
    </w:p>
    <w:p>
      <w:pPr>
        <w:pStyle w:val="BodyText"/>
        <w:spacing w:line="274" w:lineRule="exact"/>
        <w:ind w:left="138" w:right="146"/>
        <w:jc w:val="left"/>
      </w:pPr>
      <w:r>
        <w:rPr/>
        <w:t>□适用√不适用</w:t>
      </w:r>
    </w:p>
    <w:p>
      <w:pPr>
        <w:spacing w:line="240" w:lineRule="auto" w:before="11"/>
        <w:rPr>
          <w:rFonts w:ascii="宋体" w:hAnsi="宋体" w:cs="宋体" w:eastAsia="宋体" w:hint="default"/>
          <w:sz w:val="22"/>
          <w:szCs w:val="22"/>
        </w:rPr>
      </w:pPr>
    </w:p>
    <w:p>
      <w:pPr>
        <w:pStyle w:val="Heading2"/>
        <w:spacing w:line="264" w:lineRule="auto"/>
        <w:ind w:left="138" w:right="7155"/>
        <w:jc w:val="left"/>
        <w:rPr>
          <w:b w:val="0"/>
          <w:bCs w:val="0"/>
        </w:rPr>
      </w:pPr>
      <w:r>
        <w:rPr/>
        <w:t>（</w:t>
      </w:r>
      <w:r>
        <w:rPr>
          <w:rFonts w:ascii="Calibri" w:hAnsi="Calibri" w:cs="Calibri" w:eastAsia="Calibri" w:hint="default"/>
        </w:rPr>
        <w:t>3</w:t>
      </w:r>
      <w:r>
        <w:rPr/>
        <w:t>）</w:t>
      </w:r>
      <w:r>
        <w:rPr>
          <w:spacing w:val="85"/>
        </w:rPr>
        <w:t> </w:t>
      </w:r>
      <w:r>
        <w:rPr/>
        <w:t>应收利息</w:t>
      </w:r>
      <w:r>
        <w:rPr>
          <w:w w:val="100"/>
        </w:rPr>
        <w:t> </w:t>
      </w:r>
      <w:r>
        <w:rPr>
          <w:rFonts w:ascii="宋体" w:hAnsi="宋体" w:cs="宋体" w:eastAsia="宋体" w:hint="default"/>
        </w:rPr>
        <w:t>(1).</w:t>
      </w:r>
      <w:r>
        <w:rPr>
          <w:rFonts w:ascii="宋体" w:hAnsi="宋体" w:cs="宋体" w:eastAsia="宋体" w:hint="default"/>
          <w:spacing w:val="19"/>
        </w:rPr>
        <w:t> </w:t>
      </w:r>
      <w:r>
        <w:rPr/>
        <w:t>应收利息分类</w:t>
      </w:r>
      <w:r>
        <w:rPr>
          <w:b w:val="0"/>
          <w:bCs w:val="0"/>
        </w:rPr>
      </w:r>
    </w:p>
    <w:p>
      <w:pPr>
        <w:spacing w:line="290" w:lineRule="auto" w:before="37"/>
        <w:ind w:left="138" w:right="7155"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pacing w:val="19"/>
          <w:sz w:val="21"/>
          <w:szCs w:val="21"/>
        </w:rPr>
        <w:t> </w:t>
      </w:r>
      <w:r>
        <w:rPr>
          <w:rFonts w:ascii="宋体" w:hAnsi="宋体" w:cs="宋体" w:eastAsia="宋体" w:hint="default"/>
          <w:b/>
          <w:bCs/>
          <w:sz w:val="21"/>
          <w:szCs w:val="21"/>
        </w:rPr>
        <w:t>重要逾期利息</w:t>
      </w:r>
      <w:r>
        <w:rPr>
          <w:rFonts w:ascii="宋体" w:hAnsi="宋体" w:cs="宋体" w:eastAsia="宋体" w:hint="default"/>
          <w:sz w:val="21"/>
          <w:szCs w:val="21"/>
        </w:rPr>
      </w:r>
    </w:p>
    <w:p>
      <w:pPr>
        <w:pStyle w:val="BodyText"/>
        <w:spacing w:line="272" w:lineRule="exact" w:before="42"/>
        <w:ind w:left="138" w:right="7505"/>
        <w:jc w:val="left"/>
      </w:pPr>
      <w:r>
        <w:rPr>
          <w:spacing w:val="-1"/>
        </w:rPr>
        <w:t>□适用√不适用</w:t>
      </w:r>
      <w:r>
        <w:rPr>
          <w:spacing w:val="-96"/>
        </w:rPr>
        <w:t> </w:t>
      </w:r>
      <w:r>
        <w:rPr>
          <w:spacing w:val="-96"/>
        </w:rPr>
      </w:r>
      <w:r>
        <w:rPr/>
        <w:t>其他说明：</w:t>
      </w:r>
    </w:p>
    <w:p>
      <w:pPr>
        <w:pStyle w:val="BodyText"/>
        <w:spacing w:line="246" w:lineRule="exact"/>
        <w:ind w:left="138" w:right="146"/>
        <w:jc w:val="left"/>
      </w:pPr>
      <w:r>
        <w:rPr/>
        <w:t>□适用√不适用</w:t>
      </w:r>
    </w:p>
    <w:p>
      <w:pPr>
        <w:spacing w:line="240" w:lineRule="auto" w:before="1"/>
        <w:rPr>
          <w:rFonts w:ascii="宋体" w:hAnsi="宋体" w:cs="宋体" w:eastAsia="宋体" w:hint="default"/>
          <w:sz w:val="23"/>
          <w:szCs w:val="23"/>
        </w:rPr>
      </w:pPr>
    </w:p>
    <w:p>
      <w:pPr>
        <w:pStyle w:val="Heading2"/>
        <w:spacing w:line="290" w:lineRule="auto"/>
        <w:ind w:left="138" w:right="7559"/>
        <w:jc w:val="left"/>
        <w:rPr>
          <w:b w:val="0"/>
          <w:bCs w:val="0"/>
        </w:rPr>
      </w:pPr>
      <w:r>
        <w:rPr/>
        <w:t>（</w:t>
      </w:r>
      <w:r>
        <w:rPr>
          <w:rFonts w:ascii="宋体" w:hAnsi="宋体" w:cs="宋体" w:eastAsia="宋体" w:hint="default"/>
        </w:rPr>
        <w:t>4</w:t>
      </w:r>
      <w:r>
        <w:rPr/>
        <w:t>）</w:t>
      </w:r>
      <w:r>
        <w:rPr>
          <w:spacing w:val="-68"/>
        </w:rPr>
        <w:t> </w:t>
      </w:r>
      <w:r>
        <w:rPr/>
        <w:t>应收股利</w:t>
      </w:r>
      <w:r>
        <w:rPr>
          <w:w w:val="100"/>
        </w:rPr>
        <w:t> </w:t>
      </w:r>
      <w:r>
        <w:rPr>
          <w:rFonts w:ascii="宋体" w:hAnsi="宋体" w:cs="宋体" w:eastAsia="宋体" w:hint="default"/>
        </w:rPr>
        <w:t>(1).</w:t>
      </w:r>
      <w:r>
        <w:rPr>
          <w:rFonts w:ascii="宋体" w:hAnsi="宋体" w:cs="宋体" w:eastAsia="宋体" w:hint="default"/>
          <w:spacing w:val="30"/>
        </w:rPr>
        <w:t> </w:t>
      </w:r>
      <w:r>
        <w:rPr/>
        <w:t>应收股利</w:t>
      </w:r>
      <w:r>
        <w:rPr>
          <w:b w:val="0"/>
          <w:bCs w:val="0"/>
        </w:rPr>
      </w:r>
    </w:p>
    <w:p>
      <w:pPr>
        <w:pStyle w:val="BodyText"/>
        <w:spacing w:line="240" w:lineRule="auto" w:before="14"/>
        <w:ind w:left="138" w:right="146"/>
        <w:jc w:val="left"/>
      </w:pPr>
      <w:r>
        <w:rPr/>
        <w:t>□适用√不适用</w:t>
      </w:r>
    </w:p>
    <w:p>
      <w:pPr>
        <w:pStyle w:val="Heading2"/>
        <w:spacing w:line="240" w:lineRule="auto" w:before="56"/>
        <w:ind w:left="138" w:right="146"/>
        <w:jc w:val="left"/>
        <w:rPr>
          <w:b w:val="0"/>
          <w:bCs w:val="0"/>
        </w:rPr>
      </w:pPr>
      <w:r>
        <w:rPr>
          <w:rFonts w:ascii="宋体" w:hAnsi="宋体" w:cs="宋体" w:eastAsia="宋体" w:hint="default"/>
        </w:rPr>
        <w:t>(2). </w:t>
      </w:r>
      <w:r>
        <w:rPr/>
        <w:t>重要的账龄超过 </w:t>
      </w:r>
      <w:r>
        <w:rPr>
          <w:rFonts w:ascii="Cambria" w:hAnsi="Cambria" w:cs="Cambria" w:eastAsia="Cambria" w:hint="default"/>
        </w:rPr>
        <w:t>1</w:t>
      </w:r>
      <w:r>
        <w:rPr>
          <w:rFonts w:ascii="Cambria" w:hAnsi="Cambria" w:cs="Cambria" w:eastAsia="Cambria" w:hint="default"/>
          <w:spacing w:val="-18"/>
        </w:rPr>
        <w:t> </w:t>
      </w:r>
      <w:r>
        <w:rPr/>
        <w:t>年的应收股利：</w:t>
      </w:r>
      <w:r>
        <w:rPr>
          <w:b w:val="0"/>
          <w:bCs w:val="0"/>
        </w:rPr>
      </w:r>
    </w:p>
    <w:p>
      <w:pPr>
        <w:pStyle w:val="BodyText"/>
        <w:spacing w:line="240" w:lineRule="auto" w:before="39"/>
        <w:ind w:left="138" w:right="7505"/>
        <w:jc w:val="left"/>
      </w:pPr>
      <w:r>
        <w:rPr>
          <w:spacing w:val="-1"/>
        </w:rPr>
        <w:t>□适用√不适用</w:t>
      </w:r>
      <w:r>
        <w:rPr>
          <w:spacing w:val="-96"/>
        </w:rPr>
        <w:t> </w:t>
      </w:r>
      <w:r>
        <w:rPr>
          <w:spacing w:val="-96"/>
        </w:rPr>
      </w:r>
      <w:r>
        <w:rPr/>
        <w:t>其他说明：</w:t>
      </w:r>
    </w:p>
    <w:p>
      <w:pPr>
        <w:pStyle w:val="BodyText"/>
        <w:spacing w:line="271" w:lineRule="exact"/>
        <w:ind w:left="138" w:right="146"/>
        <w:jc w:val="left"/>
      </w:pPr>
      <w:r>
        <w:rPr/>
        <w:t>□适用√不适用</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60" w:right="1120"/>
        </w:sectPr>
      </w:pPr>
    </w:p>
    <w:p>
      <w:pPr>
        <w:pStyle w:val="Heading2"/>
        <w:spacing w:line="240" w:lineRule="auto" w:before="36"/>
        <w:ind w:left="138" w:right="-19"/>
        <w:jc w:val="left"/>
        <w:rPr>
          <w:b w:val="0"/>
          <w:bCs w:val="0"/>
        </w:rPr>
      </w:pPr>
      <w:r>
        <w:rPr/>
        <w:t>（</w:t>
      </w:r>
      <w:r>
        <w:rPr>
          <w:rFonts w:ascii="Calibri" w:hAnsi="Calibri" w:cs="Calibri" w:eastAsia="Calibri" w:hint="default"/>
        </w:rPr>
        <w:t>5</w:t>
      </w:r>
      <w:r>
        <w:rPr/>
        <w:t>）</w:t>
      </w:r>
      <w:r>
        <w:rPr>
          <w:spacing w:val="86"/>
        </w:rPr>
        <w:t> </w:t>
      </w:r>
      <w:r>
        <w:rPr/>
        <w:t>其他应收款</w:t>
      </w:r>
      <w:r>
        <w:rPr>
          <w:b w:val="0"/>
          <w:bCs w:val="0"/>
        </w:rPr>
      </w:r>
    </w:p>
    <w:p>
      <w:pPr>
        <w:pStyle w:val="Heading2"/>
        <w:spacing w:line="240" w:lineRule="auto" w:before="29"/>
        <w:ind w:left="138" w:right="-19"/>
        <w:jc w:val="left"/>
        <w:rPr>
          <w:b w:val="0"/>
          <w:bCs w:val="0"/>
        </w:rPr>
      </w:pPr>
      <w:r>
        <w:rPr>
          <w:rFonts w:ascii="宋体" w:hAnsi="宋体" w:cs="宋体" w:eastAsia="宋体" w:hint="default"/>
        </w:rPr>
        <w:t>(1).</w:t>
      </w:r>
      <w:r>
        <w:rPr>
          <w:rFonts w:ascii="宋体" w:hAnsi="宋体" w:cs="宋体" w:eastAsia="宋体" w:hint="default"/>
          <w:spacing w:val="61"/>
        </w:rPr>
        <w:t> </w:t>
      </w:r>
      <w:r>
        <w:rPr/>
        <w:t>其他应收款分类披露</w:t>
      </w:r>
      <w:r>
        <w:rPr>
          <w:b w:val="0"/>
          <w:bCs w:val="0"/>
        </w:rPr>
      </w:r>
    </w:p>
    <w:p>
      <w:pPr>
        <w:pStyle w:val="BodyText"/>
        <w:spacing w:line="240" w:lineRule="auto" w:before="56"/>
        <w:ind w:left="138" w:right="-19"/>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120" w:bottom="1380" w:left="1660" w:right="1120"/>
          <w:cols w:num="2" w:equalWidth="0">
            <w:col w:w="2627" w:space="4002"/>
            <w:col w:w="250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2"/>
        <w:gridCol w:w="1104"/>
        <w:gridCol w:w="711"/>
        <w:gridCol w:w="878"/>
        <w:gridCol w:w="530"/>
        <w:gridCol w:w="1099"/>
        <w:gridCol w:w="1104"/>
        <w:gridCol w:w="713"/>
        <w:gridCol w:w="879"/>
        <w:gridCol w:w="530"/>
        <w:gridCol w:w="1104"/>
      </w:tblGrid>
      <w:tr>
        <w:trPr>
          <w:trHeight w:val="293" w:hRule="exact"/>
        </w:trPr>
        <w:tc>
          <w:tcPr>
            <w:tcW w:w="2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6" w:right="-5"/>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3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3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42" w:type="dxa"/>
            <w:vMerge/>
            <w:tcBorders>
              <w:left w:val="single" w:sz="4" w:space="0" w:color="000000"/>
              <w:right w:val="single" w:sz="4" w:space="0" w:color="000000"/>
            </w:tcBorders>
          </w:tcPr>
          <w:p>
            <w:pPr/>
          </w:p>
        </w:tc>
        <w:tc>
          <w:tcPr>
            <w:tcW w:w="18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7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9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333" w:right="331"/>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8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7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0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338" w:right="331"/>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797" w:hRule="exact"/>
        </w:trPr>
        <w:tc>
          <w:tcPr>
            <w:tcW w:w="242" w:type="dxa"/>
            <w:vMerge/>
            <w:tcBorders>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191" w:right="0"/>
              <w:jc w:val="left"/>
              <w:rPr>
                <w:rFonts w:ascii="Times New Roman" w:hAnsi="Times New Roman" w:cs="Times New Roman" w:eastAsia="Times New Roman" w:hint="default"/>
                <w:sz w:val="21"/>
                <w:szCs w:val="21"/>
              </w:rPr>
            </w:pPr>
            <w:r>
              <w:rPr>
                <w:rFonts w:ascii="Times New Roman"/>
                <w:sz w:val="21"/>
              </w:rPr>
              <w:t>(%)</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4" w:lineRule="exact"/>
              <w:ind w:left="5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103" w:right="0"/>
              <w:jc w:val="left"/>
              <w:rPr>
                <w:rFonts w:ascii="Times New Roman" w:hAnsi="Times New Roman" w:cs="Times New Roman" w:eastAsia="Times New Roman" w:hint="default"/>
                <w:sz w:val="21"/>
                <w:szCs w:val="21"/>
              </w:rPr>
            </w:pPr>
            <w:r>
              <w:rPr>
                <w:rFonts w:ascii="Times New Roman"/>
                <w:sz w:val="21"/>
              </w:rPr>
              <w:t>(%)</w:t>
            </w:r>
          </w:p>
        </w:tc>
        <w:tc>
          <w:tcPr>
            <w:tcW w:w="1099" w:type="dxa"/>
            <w:vMerge/>
            <w:tcBorders>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1"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194" w:right="0"/>
              <w:jc w:val="left"/>
              <w:rPr>
                <w:rFonts w:ascii="Times New Roman" w:hAnsi="Times New Roman" w:cs="Times New Roman" w:eastAsia="Times New Roman" w:hint="default"/>
                <w:sz w:val="21"/>
                <w:szCs w:val="21"/>
              </w:rPr>
            </w:pPr>
            <w:r>
              <w:rPr>
                <w:rFonts w:ascii="Times New Roman"/>
                <w:sz w:val="21"/>
              </w:rPr>
              <w: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4" w:lineRule="exact"/>
              <w:ind w:left="4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100" w:right="0"/>
              <w:jc w:val="left"/>
              <w:rPr>
                <w:rFonts w:ascii="Times New Roman" w:hAnsi="Times New Roman" w:cs="Times New Roman" w:eastAsia="Times New Roman" w:hint="default"/>
                <w:sz w:val="21"/>
                <w:szCs w:val="21"/>
              </w:rPr>
            </w:pPr>
            <w:r>
              <w:rPr>
                <w:rFonts w:ascii="Times New Roman"/>
                <w:sz w:val="21"/>
              </w:rPr>
              <w:t>(%)</w:t>
            </w:r>
          </w:p>
        </w:tc>
        <w:tc>
          <w:tcPr>
            <w:tcW w:w="1104"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42"/>
        <w:gridCol w:w="1104"/>
        <w:gridCol w:w="711"/>
        <w:gridCol w:w="878"/>
        <w:gridCol w:w="530"/>
        <w:gridCol w:w="1099"/>
        <w:gridCol w:w="1104"/>
        <w:gridCol w:w="713"/>
        <w:gridCol w:w="879"/>
        <w:gridCol w:w="530"/>
        <w:gridCol w:w="1104"/>
      </w:tblGrid>
      <w:tr>
        <w:trPr>
          <w:trHeight w:val="5732" w:hRule="exact"/>
        </w:trPr>
        <w:tc>
          <w:tcPr>
            <w:tcW w:w="2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单</w:t>
            </w:r>
          </w:p>
          <w:p>
            <w:pPr>
              <w:pStyle w:val="TableParagraph"/>
              <w:spacing w:line="237" w:lineRule="auto"/>
              <w:ind w:left="26" w:right="-5"/>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并</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0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5730" w:hRule="exact"/>
        </w:trPr>
        <w:tc>
          <w:tcPr>
            <w:tcW w:w="2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ind w:left="26" w:right="-5"/>
              <w:jc w:val="both"/>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w w:val="100"/>
                <w:sz w:val="21"/>
                <w:szCs w:val="21"/>
              </w:rPr>
              <w:t> </w:t>
            </w:r>
            <w:r>
              <w:rPr>
                <w:rFonts w:ascii="宋体" w:hAnsi="宋体" w:cs="宋体" w:eastAsia="宋体" w:hint="default"/>
                <w:sz w:val="21"/>
                <w:szCs w:val="21"/>
              </w:rPr>
              <w:t>风</w:t>
            </w:r>
            <w:r>
              <w:rPr>
                <w:rFonts w:ascii="宋体" w:hAnsi="宋体" w:cs="宋体" w:eastAsia="宋体" w:hint="default"/>
                <w:w w:val="100"/>
                <w:sz w:val="21"/>
                <w:szCs w:val="21"/>
              </w:rPr>
              <w:t> </w:t>
            </w:r>
            <w:r>
              <w:rPr>
                <w:rFonts w:ascii="宋体" w:hAnsi="宋体" w:cs="宋体" w:eastAsia="宋体" w:hint="default"/>
                <w:sz w:val="21"/>
                <w:szCs w:val="21"/>
              </w:rPr>
              <w:t>险</w:t>
            </w:r>
            <w:r>
              <w:rPr>
                <w:rFonts w:ascii="宋体" w:hAnsi="宋体" w:cs="宋体" w:eastAsia="宋体" w:hint="default"/>
                <w:w w:val="100"/>
                <w:sz w:val="21"/>
                <w:szCs w:val="21"/>
              </w:rPr>
              <w:t> </w:t>
            </w:r>
            <w:r>
              <w:rPr>
                <w:rFonts w:ascii="宋体" w:hAnsi="宋体" w:cs="宋体" w:eastAsia="宋体" w:hint="default"/>
                <w:sz w:val="21"/>
                <w:szCs w:val="21"/>
              </w:rPr>
              <w:t>特</w:t>
            </w:r>
            <w:r>
              <w:rPr>
                <w:rFonts w:ascii="宋体" w:hAnsi="宋体" w:cs="宋体" w:eastAsia="宋体" w:hint="default"/>
                <w:w w:val="100"/>
                <w:sz w:val="21"/>
                <w:szCs w:val="21"/>
              </w:rPr>
              <w:t> </w:t>
            </w:r>
            <w:r>
              <w:rPr>
                <w:rFonts w:ascii="宋体" w:hAnsi="宋体" w:cs="宋体" w:eastAsia="宋体" w:hint="default"/>
                <w:sz w:val="21"/>
                <w:szCs w:val="21"/>
              </w:rPr>
              <w:t>征</w:t>
            </w:r>
            <w:r>
              <w:rPr>
                <w:rFonts w:ascii="宋体" w:hAnsi="宋体" w:cs="宋体" w:eastAsia="宋体" w:hint="default"/>
                <w:w w:val="100"/>
                <w:sz w:val="21"/>
                <w:szCs w:val="21"/>
              </w:rPr>
              <w:t> </w:t>
            </w: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1"/>
              <w:jc w:val="right"/>
              <w:rPr>
                <w:rFonts w:ascii="Times New Roman" w:hAnsi="Times New Roman" w:cs="Times New Roman" w:eastAsia="Times New Roman" w:hint="default"/>
                <w:sz w:val="21"/>
                <w:szCs w:val="21"/>
              </w:rPr>
            </w:pPr>
            <w:r>
              <w:rPr>
                <w:rFonts w:ascii="Times New Roman"/>
                <w:spacing w:val="-1"/>
                <w:sz w:val="21"/>
              </w:rPr>
              <w:t>10,504,457.</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z w:val="21"/>
              </w:rPr>
              <w:t>47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2"/>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w w:val="100"/>
                <w:sz w:val="21"/>
              </w:rPr>
              <w:t>%</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1"/>
              <w:jc w:val="right"/>
              <w:rPr>
                <w:rFonts w:ascii="Times New Roman" w:hAnsi="Times New Roman" w:cs="Times New Roman" w:eastAsia="Times New Roman" w:hint="default"/>
                <w:sz w:val="21"/>
                <w:szCs w:val="21"/>
              </w:rPr>
            </w:pPr>
            <w:r>
              <w:rPr>
                <w:rFonts w:ascii="Times New Roman"/>
                <w:spacing w:val="-1"/>
                <w:sz w:val="21"/>
              </w:rPr>
              <w:t>357,340.</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z w:val="21"/>
              </w:rPr>
              <w:t>85</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center"/>
              <w:rPr>
                <w:rFonts w:ascii="Times New Roman" w:hAnsi="Times New Roman" w:cs="Times New Roman" w:eastAsia="Times New Roman" w:hint="default"/>
                <w:sz w:val="21"/>
                <w:szCs w:val="21"/>
              </w:rPr>
            </w:pPr>
            <w:r>
              <w:rPr>
                <w:rFonts w:ascii="Times New Roman"/>
                <w:sz w:val="21"/>
              </w:rPr>
              <w:t>3.40</w:t>
            </w:r>
          </w:p>
          <w:p>
            <w:pPr>
              <w:pStyle w:val="TableParagraph"/>
              <w:spacing w:line="241" w:lineRule="exact"/>
              <w:ind w:left="293" w:right="0"/>
              <w:jc w:val="center"/>
              <w:rPr>
                <w:rFonts w:ascii="Times New Roman" w:hAnsi="Times New Roman" w:cs="Times New Roman" w:eastAsia="Times New Roman" w:hint="default"/>
                <w:sz w:val="21"/>
                <w:szCs w:val="21"/>
              </w:rPr>
            </w:pPr>
            <w:r>
              <w:rPr>
                <w:rFonts w:ascii="Times New Roman"/>
                <w:w w:val="100"/>
                <w:sz w:val="21"/>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1"/>
              <w:jc w:val="right"/>
              <w:rPr>
                <w:rFonts w:ascii="Times New Roman" w:hAnsi="Times New Roman" w:cs="Times New Roman" w:eastAsia="Times New Roman" w:hint="default"/>
                <w:sz w:val="21"/>
                <w:szCs w:val="21"/>
              </w:rPr>
            </w:pPr>
            <w:r>
              <w:rPr>
                <w:rFonts w:ascii="Times New Roman"/>
                <w:spacing w:val="-2"/>
                <w:sz w:val="21"/>
              </w:rPr>
              <w:t>10,147,116.</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z w:val="21"/>
              </w:rPr>
              <w:t>62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1"/>
              <w:jc w:val="right"/>
              <w:rPr>
                <w:rFonts w:ascii="Times New Roman" w:hAnsi="Times New Roman" w:cs="Times New Roman" w:eastAsia="Times New Roman" w:hint="default"/>
                <w:sz w:val="21"/>
                <w:szCs w:val="21"/>
              </w:rPr>
            </w:pPr>
            <w:r>
              <w:rPr>
                <w:rFonts w:ascii="Times New Roman"/>
                <w:spacing w:val="-1"/>
                <w:sz w:val="21"/>
              </w:rPr>
              <w:t>10,963,799.</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z w:val="21"/>
              </w:rPr>
              <w:t>41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3"/>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2"/>
              <w:jc w:val="right"/>
              <w:rPr>
                <w:rFonts w:ascii="Times New Roman" w:hAnsi="Times New Roman" w:cs="Times New Roman" w:eastAsia="Times New Roman" w:hint="default"/>
                <w:sz w:val="21"/>
                <w:szCs w:val="21"/>
              </w:rPr>
            </w:pPr>
            <w:r>
              <w:rPr>
                <w:rFonts w:ascii="Times New Roman"/>
                <w:spacing w:val="-1"/>
                <w:sz w:val="21"/>
              </w:rPr>
              <w:t>949,277.</w:t>
            </w:r>
          </w:p>
          <w:p>
            <w:pPr>
              <w:pStyle w:val="TableParagraph"/>
              <w:spacing w:line="241" w:lineRule="exact"/>
              <w:ind w:right="26"/>
              <w:jc w:val="right"/>
              <w:rPr>
                <w:rFonts w:ascii="Times New Roman" w:hAnsi="Times New Roman" w:cs="Times New Roman" w:eastAsia="Times New Roman" w:hint="default"/>
                <w:sz w:val="21"/>
                <w:szCs w:val="21"/>
              </w:rPr>
            </w:pPr>
            <w:r>
              <w:rPr>
                <w:rFonts w:ascii="Times New Roman"/>
                <w:sz w:val="21"/>
              </w:rPr>
              <w:t>69</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98" w:right="0"/>
              <w:jc w:val="center"/>
              <w:rPr>
                <w:rFonts w:ascii="Times New Roman" w:hAnsi="Times New Roman" w:cs="Times New Roman" w:eastAsia="Times New Roman" w:hint="default"/>
                <w:sz w:val="21"/>
                <w:szCs w:val="21"/>
              </w:rPr>
            </w:pPr>
            <w:r>
              <w:rPr>
                <w:rFonts w:ascii="Times New Roman"/>
                <w:sz w:val="21"/>
              </w:rPr>
              <w:t>8.66</w:t>
            </w:r>
          </w:p>
          <w:p>
            <w:pPr>
              <w:pStyle w:val="TableParagraph"/>
              <w:spacing w:line="241" w:lineRule="exact"/>
              <w:ind w:left="288" w:right="0"/>
              <w:jc w:val="center"/>
              <w:rPr>
                <w:rFonts w:ascii="Times New Roman" w:hAnsi="Times New Roman" w:cs="Times New Roman" w:eastAsia="Times New Roman" w:hint="default"/>
                <w:sz w:val="21"/>
                <w:szCs w:val="21"/>
              </w:rPr>
            </w:pPr>
            <w:r>
              <w:rPr>
                <w:rFonts w:ascii="Times New Roman"/>
                <w:w w:val="100"/>
                <w:sz w:val="21"/>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9"/>
              <w:jc w:val="right"/>
              <w:rPr>
                <w:rFonts w:ascii="Times New Roman" w:hAnsi="Times New Roman" w:cs="Times New Roman" w:eastAsia="Times New Roman" w:hint="default"/>
                <w:sz w:val="21"/>
                <w:szCs w:val="21"/>
              </w:rPr>
            </w:pPr>
            <w:r>
              <w:rPr>
                <w:rFonts w:ascii="Times New Roman"/>
                <w:spacing w:val="-1"/>
                <w:sz w:val="21"/>
              </w:rPr>
              <w:t>10,014,521.</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z w:val="21"/>
              </w:rPr>
              <w:t>72</w:t>
            </w:r>
          </w:p>
        </w:tc>
      </w:tr>
    </w:tbl>
    <w:p>
      <w:pPr>
        <w:spacing w:after="0" w:line="241" w:lineRule="exact"/>
        <w:jc w:val="right"/>
        <w:rPr>
          <w:rFonts w:ascii="Times New Roman" w:hAnsi="Times New Roman" w:cs="Times New Roman" w:eastAsia="Times New Roman" w:hint="default"/>
          <w:sz w:val="21"/>
          <w:szCs w:val="21"/>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42"/>
        <w:gridCol w:w="1104"/>
        <w:gridCol w:w="711"/>
        <w:gridCol w:w="878"/>
        <w:gridCol w:w="530"/>
        <w:gridCol w:w="1099"/>
        <w:gridCol w:w="1104"/>
        <w:gridCol w:w="713"/>
        <w:gridCol w:w="879"/>
        <w:gridCol w:w="530"/>
        <w:gridCol w:w="1104"/>
      </w:tblGrid>
      <w:tr>
        <w:trPr>
          <w:trHeight w:val="6003" w:hRule="exact"/>
        </w:trPr>
        <w:tc>
          <w:tcPr>
            <w:tcW w:w="2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单</w:t>
            </w:r>
          </w:p>
          <w:p>
            <w:pPr>
              <w:pStyle w:val="TableParagraph"/>
              <w:spacing w:line="237" w:lineRule="auto"/>
              <w:ind w:left="26" w:right="-5"/>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但</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0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5"/>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4" w:lineRule="exact"/>
              <w:ind w:left="26" w:right="-5"/>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10,504,457.</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47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357,340.</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85</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10,147,116.</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62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10,963,799.</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41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949,277.</w:t>
            </w:r>
          </w:p>
          <w:p>
            <w:pPr>
              <w:pStyle w:val="TableParagraph"/>
              <w:spacing w:line="240" w:lineRule="auto" w:before="1"/>
              <w:ind w:right="26"/>
              <w:jc w:val="right"/>
              <w:rPr>
                <w:rFonts w:ascii="Times New Roman" w:hAnsi="Times New Roman" w:cs="Times New Roman" w:eastAsia="Times New Roman" w:hint="default"/>
                <w:sz w:val="21"/>
                <w:szCs w:val="21"/>
              </w:rPr>
            </w:pPr>
            <w:r>
              <w:rPr>
                <w:rFonts w:ascii="Times New Roman"/>
                <w:sz w:val="21"/>
              </w:rPr>
              <w:t>69</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
              <w:jc w:val="center"/>
              <w:rPr>
                <w:rFonts w:ascii="Times New Roman" w:hAnsi="Times New Roman" w:cs="Times New Roman" w:eastAsia="Times New Roman" w:hint="default"/>
                <w:sz w:val="21"/>
                <w:szCs w:val="21"/>
              </w:rPr>
            </w:pPr>
            <w:r>
              <w:rPr>
                <w:rFonts w:ascii="Times New Roman"/>
                <w:w w:val="100"/>
                <w:sz w:val="21"/>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10,014,521.</w:t>
            </w:r>
          </w:p>
          <w:p>
            <w:pPr>
              <w:pStyle w:val="TableParagraph"/>
              <w:spacing w:line="240" w:lineRule="auto" w:before="1"/>
              <w:ind w:left="26" w:right="0"/>
              <w:jc w:val="left"/>
              <w:rPr>
                <w:rFonts w:ascii="Times New Roman" w:hAnsi="Times New Roman" w:cs="Times New Roman" w:eastAsia="Times New Roman" w:hint="default"/>
                <w:sz w:val="21"/>
                <w:szCs w:val="21"/>
              </w:rPr>
            </w:pPr>
            <w:r>
              <w:rPr>
                <w:rFonts w:ascii="Times New Roman"/>
                <w:sz w:val="21"/>
              </w:rPr>
              <w:t>72</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p>
      <w:pPr>
        <w:spacing w:after="0" w:line="240" w:lineRule="auto"/>
        <w:rPr>
          <w:rFonts w:ascii="Times New Roman" w:hAnsi="Times New Roman" w:cs="Times New Roman" w:eastAsia="Times New Roman" w:hint="default"/>
          <w:sz w:val="16"/>
          <w:szCs w:val="16"/>
        </w:rPr>
        <w:sectPr>
          <w:footerReference w:type="default" r:id="rId56"/>
          <w:pgSz w:w="11910" w:h="16840"/>
          <w:pgMar w:footer="1195" w:header="882" w:top="1120" w:bottom="1380" w:left="1660" w:right="1120"/>
        </w:sectPr>
      </w:pPr>
    </w:p>
    <w:p>
      <w:pPr>
        <w:pStyle w:val="BodyText"/>
        <w:spacing w:line="274" w:lineRule="exact" w:before="36"/>
        <w:ind w:left="138" w:right="0"/>
        <w:jc w:val="left"/>
      </w:pPr>
      <w:r>
        <w:rPr>
          <w:spacing w:val="-2"/>
        </w:rPr>
        <w:t>期末单项金额重大并单项计提坏帐准备的其他应收款</w:t>
      </w:r>
    </w:p>
    <w:p>
      <w:pPr>
        <w:pStyle w:val="BodyText"/>
        <w:spacing w:line="272" w:lineRule="exact" w:before="27"/>
        <w:ind w:left="138" w:right="0"/>
        <w:jc w:val="left"/>
      </w:pPr>
      <w:r>
        <w:rPr/>
        <w:t>□适用√不适用</w:t>
      </w:r>
      <w:r>
        <w:rPr>
          <w:spacing w:val="-103"/>
        </w:rPr>
        <w:t> </w:t>
      </w:r>
      <w:r>
        <w:rPr>
          <w:spacing w:val="-103"/>
        </w:rPr>
      </w:r>
      <w:r>
        <w:rPr>
          <w:spacing w:val="-2"/>
        </w:rPr>
        <w:t>组合中，按账龄分析法计提坏账准备的其他应收款：</w:t>
      </w:r>
    </w:p>
    <w:p>
      <w:pPr>
        <w:pStyle w:val="BodyText"/>
        <w:spacing w:line="249" w:lineRule="exact"/>
        <w:ind w:left="13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120" w:bottom="1380" w:left="1660" w:right="1120"/>
          <w:cols w:num="2" w:equalWidth="0">
            <w:col w:w="4973" w:space="1760"/>
            <w:col w:w="239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374"/>
        <w:gridCol w:w="2203"/>
        <w:gridCol w:w="2131"/>
        <w:gridCol w:w="2187"/>
      </w:tblGrid>
      <w:tr>
        <w:trPr>
          <w:trHeight w:val="281"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69"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4,983,699.22</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149,510.97</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z w:val="21"/>
              </w:rPr>
              <w:t>3.00%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856,628.93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85,662.89</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z w:val="21"/>
              </w:rPr>
              <w:t>10.00%</w:t>
            </w:r>
          </w:p>
        </w:tc>
      </w:tr>
      <w:tr>
        <w:trPr>
          <w:trHeight w:val="28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12,328.70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4"/>
              <w:jc w:val="right"/>
              <w:rPr>
                <w:rFonts w:ascii="Times New Roman" w:hAnsi="Times New Roman" w:cs="Times New Roman" w:eastAsia="Times New Roman" w:hint="default"/>
                <w:sz w:val="21"/>
                <w:szCs w:val="21"/>
              </w:rPr>
            </w:pPr>
            <w:r>
              <w:rPr>
                <w:rFonts w:ascii="Times New Roman"/>
                <w:spacing w:val="-1"/>
                <w:sz w:val="21"/>
              </w:rPr>
              <w:t>2,465.74</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z w:val="21"/>
              </w:rPr>
              <w:t>20.00%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213,486.66</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106,743.33</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z w:val="21"/>
              </w:rPr>
              <w:t>50.00%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16,197.40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Times New Roman" w:hAnsi="Times New Roman" w:cs="Times New Roman" w:eastAsia="Times New Roman" w:hint="default"/>
                <w:sz w:val="21"/>
                <w:szCs w:val="21"/>
              </w:rPr>
            </w:pPr>
            <w:r>
              <w:rPr>
                <w:rFonts w:ascii="Times New Roman"/>
                <w:spacing w:val="-1"/>
                <w:sz w:val="21"/>
              </w:rPr>
              <w:t>12,957.92</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z w:val="21"/>
              </w:rPr>
              <w:t>80.00%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6,082,340.91</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357,340.85</w:t>
            </w:r>
          </w:p>
        </w:tc>
        <w:tc>
          <w:tcPr>
            <w:tcW w:w="21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2"/>
          <w:szCs w:val="12"/>
        </w:rPr>
      </w:pPr>
    </w:p>
    <w:p>
      <w:pPr>
        <w:pStyle w:val="BodyText"/>
        <w:spacing w:line="274" w:lineRule="exact" w:before="36"/>
        <w:ind w:left="138" w:right="146"/>
        <w:jc w:val="left"/>
      </w:pPr>
      <w:r>
        <w:rPr/>
        <w:t>确定该组合依据的说明：</w:t>
      </w:r>
    </w:p>
    <w:p>
      <w:pPr>
        <w:pStyle w:val="BodyText"/>
        <w:spacing w:line="228" w:lineRule="auto" w:before="11"/>
        <w:ind w:left="138" w:right="143"/>
        <w:jc w:val="left"/>
      </w:pPr>
      <w:r>
        <w:rPr>
          <w:rFonts w:ascii="Times New Roman" w:hAnsi="Times New Roman" w:cs="Times New Roman" w:eastAsia="Times New Roman" w:hint="default"/>
        </w:rPr>
        <w:t>(1)</w:t>
      </w:r>
      <w:r>
        <w:rPr/>
        <w:t>单项金额重大并单项计提坏账准备：占其他应收款余额 </w:t>
      </w:r>
      <w:r>
        <w:rPr>
          <w:rFonts w:ascii="Times New Roman" w:hAnsi="Times New Roman" w:cs="Times New Roman" w:eastAsia="Times New Roman" w:hint="default"/>
        </w:rPr>
        <w:t>10%</w:t>
      </w:r>
      <w:r>
        <w:rPr/>
        <w:t>以上或期末前五名的款项。</w:t>
      </w:r>
      <w:r>
        <w:rPr>
          <w:spacing w:val="-30"/>
        </w:rPr>
        <w:t> </w:t>
      </w:r>
      <w:r>
        <w:rPr>
          <w:rFonts w:ascii="Times New Roman" w:hAnsi="Times New Roman" w:cs="Times New Roman" w:eastAsia="Times New Roman" w:hint="default"/>
        </w:rPr>
        <w:t>(2)</w:t>
      </w:r>
      <w:r>
        <w:rPr/>
        <w:t>按</w:t>
      </w:r>
      <w:r>
        <w:rPr>
          <w:w w:val="100"/>
        </w:rPr>
        <w:t> </w:t>
      </w:r>
      <w:r>
        <w:rPr>
          <w:spacing w:val="-2"/>
        </w:rPr>
        <w:t>组合计提坏账准备：除已包含在范围</w:t>
      </w:r>
      <w:r>
        <w:rPr>
          <w:rFonts w:ascii="Times New Roman" w:hAnsi="Times New Roman" w:cs="Times New Roman" w:eastAsia="Times New Roman" w:hint="default"/>
          <w:spacing w:val="-2"/>
        </w:rPr>
        <w:t>(1)</w:t>
      </w:r>
      <w:r>
        <w:rPr>
          <w:spacing w:val="-2"/>
        </w:rPr>
        <w:t>以外，按类似信用风险特征划分为若干组合，按组合计提</w:t>
      </w:r>
      <w:r>
        <w:rPr>
          <w:spacing w:val="-48"/>
        </w:rPr>
        <w:t> </w:t>
      </w:r>
      <w:r>
        <w:rPr>
          <w:spacing w:val="-48"/>
        </w:rPr>
      </w:r>
      <w:r>
        <w:rPr/>
        <w:t>坏账准备的其他应收款。</w:t>
      </w:r>
      <w:r>
        <w:rPr>
          <w:w w:val="100"/>
        </w:rPr>
        <w:t> </w:t>
      </w:r>
      <w:r>
        <w:rPr>
          <w:rFonts w:ascii="Times New Roman" w:hAnsi="Times New Roman" w:cs="Times New Roman" w:eastAsia="Times New Roman" w:hint="default"/>
          <w:spacing w:val="-3"/>
        </w:rPr>
        <w:t>(3)</w:t>
      </w:r>
      <w:r>
        <w:rPr>
          <w:spacing w:val="-3"/>
        </w:rPr>
        <w:t>单项金额虽不重大但单项计提坏账准备：除已包含在范围</w:t>
      </w:r>
      <w:r>
        <w:rPr>
          <w:rFonts w:ascii="Times New Roman" w:hAnsi="Times New Roman" w:cs="Times New Roman" w:eastAsia="Times New Roman" w:hint="default"/>
          <w:spacing w:val="-3"/>
        </w:rPr>
        <w:t>(1)</w:t>
      </w:r>
      <w:r>
        <w:rPr>
          <w:spacing w:val="-3"/>
        </w:rPr>
        <w:t>以外，有确凿证据表明可收回性存</w:t>
      </w:r>
      <w:r>
        <w:rPr>
          <w:spacing w:val="-33"/>
        </w:rPr>
        <w:t> </w:t>
      </w:r>
      <w:r>
        <w:rPr>
          <w:spacing w:val="-33"/>
        </w:rPr>
      </w:r>
      <w:r>
        <w:rPr/>
        <w:t>在明显差异，单项计提坏账准备的其他应收款。</w:t>
      </w:r>
    </w:p>
    <w:p>
      <w:pPr>
        <w:spacing w:line="240" w:lineRule="auto" w:before="5"/>
        <w:rPr>
          <w:rFonts w:ascii="宋体" w:hAnsi="宋体" w:cs="宋体" w:eastAsia="宋体" w:hint="default"/>
          <w:sz w:val="18"/>
          <w:szCs w:val="18"/>
        </w:rPr>
      </w:pPr>
    </w:p>
    <w:p>
      <w:pPr>
        <w:pStyle w:val="BodyText"/>
        <w:spacing w:line="273" w:lineRule="exact"/>
        <w:ind w:left="138" w:right="146"/>
        <w:jc w:val="left"/>
      </w:pPr>
      <w:r>
        <w:rPr/>
        <w:t>组合中，采用余额百分比法计提坏账准备的其他应收款：</w:t>
      </w:r>
    </w:p>
    <w:p>
      <w:pPr>
        <w:pStyle w:val="BodyText"/>
        <w:spacing w:line="273" w:lineRule="exact"/>
        <w:ind w:left="138" w:right="146"/>
        <w:jc w:val="left"/>
      </w:pPr>
      <w:r>
        <w:rPr/>
        <w:t>□适用√不适用</w:t>
      </w:r>
    </w:p>
    <w:p>
      <w:pPr>
        <w:spacing w:after="0" w:line="273" w:lineRule="exact"/>
        <w:jc w:val="left"/>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spacing w:line="273" w:lineRule="exact" w:before="36"/>
        <w:ind w:right="2465"/>
        <w:jc w:val="left"/>
      </w:pPr>
      <w:r>
        <w:rPr/>
        <w:t>组合中，采用其他方法计提坏账准备的其他应收款：</w:t>
      </w:r>
    </w:p>
    <w:p>
      <w:pPr>
        <w:pStyle w:val="BodyText"/>
        <w:spacing w:line="273" w:lineRule="exact"/>
        <w:ind w:right="2465"/>
        <w:jc w:val="left"/>
      </w:pPr>
      <w:r>
        <w:rPr/>
        <w:t>□适用√不适用</w:t>
      </w:r>
    </w:p>
    <w:p>
      <w:pPr>
        <w:spacing w:line="240" w:lineRule="auto" w:before="11"/>
        <w:rPr>
          <w:rFonts w:ascii="宋体" w:hAnsi="宋体" w:cs="宋体" w:eastAsia="宋体" w:hint="default"/>
          <w:sz w:val="22"/>
          <w:szCs w:val="22"/>
        </w:rPr>
      </w:pPr>
    </w:p>
    <w:p>
      <w:pPr>
        <w:pStyle w:val="Heading2"/>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spacing w:line="272" w:lineRule="exact" w:before="86"/>
        <w:ind w:right="2492"/>
        <w:jc w:val="left"/>
      </w:pPr>
      <w:r>
        <w:rPr/>
        <w:t>本期计提坏账准备金额</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元；本期转回坏账准备金额</w:t>
      </w:r>
      <w:r>
        <w:rPr>
          <w:spacing w:val="-54"/>
        </w:rPr>
        <w:t> </w:t>
      </w:r>
      <w:r>
        <w:rPr>
          <w:rFonts w:ascii="Times New Roman" w:hAnsi="Times New Roman" w:cs="Times New Roman" w:eastAsia="Times New Roman" w:hint="default"/>
        </w:rPr>
        <w:t>591,936.84</w:t>
      </w:r>
      <w:r>
        <w:rPr>
          <w:rFonts w:ascii="Times New Roman" w:hAnsi="Times New Roman" w:cs="Times New Roman" w:eastAsia="Times New Roman" w:hint="default"/>
          <w:spacing w:val="-4"/>
        </w:rPr>
        <w:t> </w:t>
      </w:r>
      <w:r>
        <w:rPr/>
        <w:t>元。</w:t>
      </w:r>
      <w:r>
        <w:rPr>
          <w:w w:val="100"/>
        </w:rPr>
        <w:t> </w:t>
      </w:r>
      <w:r>
        <w:rPr/>
        <w:t>其中本期坏账准备转回或收回金额重要的：</w:t>
      </w:r>
    </w:p>
    <w:p>
      <w:pPr>
        <w:pStyle w:val="BodyText"/>
        <w:spacing w:line="249" w:lineRule="exact"/>
        <w:ind w:right="2465"/>
        <w:jc w:val="left"/>
      </w:pPr>
      <w:r>
        <w:rPr/>
        <w:t>□适用√不适用</w:t>
      </w:r>
    </w:p>
    <w:p>
      <w:pPr>
        <w:pStyle w:val="Heading2"/>
        <w:spacing w:line="240" w:lineRule="auto" w:before="56"/>
        <w:ind w:right="2465"/>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spacing w:line="272" w:lineRule="exact" w:before="86"/>
        <w:ind w:right="5269"/>
        <w:jc w:val="left"/>
      </w:pPr>
      <w:r>
        <w:rPr/>
        <w:t>□适用√不适用</w:t>
      </w:r>
      <w:r>
        <w:rPr>
          <w:spacing w:val="-103"/>
        </w:rPr>
        <w:t> </w:t>
      </w:r>
      <w:r>
        <w:rPr>
          <w:spacing w:val="-103"/>
        </w:rPr>
      </w:r>
      <w:r>
        <w:rPr>
          <w:spacing w:val="-2"/>
        </w:rPr>
        <w:t>其中重要的其他应收款核销情况：</w:t>
      </w:r>
    </w:p>
    <w:p>
      <w:pPr>
        <w:pStyle w:val="BodyText"/>
        <w:spacing w:line="272" w:lineRule="exact" w:before="2"/>
        <w:ind w:right="6323"/>
        <w:jc w:val="left"/>
      </w:pPr>
      <w:r>
        <w:rPr/>
        <w:t>□适用√不适用</w:t>
      </w:r>
      <w:r>
        <w:rPr>
          <w:spacing w:val="-103"/>
        </w:rPr>
        <w:t> </w:t>
      </w:r>
      <w:r>
        <w:rPr>
          <w:spacing w:val="-103"/>
        </w:rPr>
      </w:r>
      <w:r>
        <w:rPr>
          <w:spacing w:val="-2"/>
        </w:rPr>
        <w:t>其他应收款核销说明：</w:t>
      </w:r>
    </w:p>
    <w:p>
      <w:pPr>
        <w:pStyle w:val="BodyText"/>
        <w:spacing w:line="249" w:lineRule="exact"/>
        <w:ind w:right="2465"/>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57"/>
          <w:pgSz w:w="11910" w:h="16840"/>
          <w:pgMar w:footer="1195" w:header="882" w:top="1120" w:bottom="1380" w:left="1580" w:right="1040"/>
          <w:pgNumType w:start="111"/>
        </w:sectPr>
      </w:pPr>
    </w:p>
    <w:p>
      <w:pPr>
        <w:pStyle w:val="Heading2"/>
        <w:spacing w:line="240" w:lineRule="auto" w:before="36"/>
        <w:ind w:right="-18"/>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56"/>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759" w:space="2753"/>
            <w:col w:w="277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5,324.00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4,546,037.47</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5,469,309.82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3,002,107.55</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4,422,116.56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2,998,977.00</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房租押金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607,707.09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416,677.39</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10,504,457.47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10,963,799.41</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2"/>
        <w:spacing w:line="240" w:lineRule="auto" w:before="36"/>
        <w:ind w:right="-16"/>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56"/>
        <w:ind w:right="-16"/>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5655" w:space="1078"/>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36"/>
        <w:gridCol w:w="1354"/>
        <w:gridCol w:w="1238"/>
        <w:gridCol w:w="1328"/>
        <w:gridCol w:w="1765"/>
        <w:gridCol w:w="1675"/>
      </w:tblGrid>
      <w:tr>
        <w:trPr>
          <w:trHeight w:val="797"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483"/>
              <w:jc w:val="right"/>
              <w:rPr>
                <w:rFonts w:ascii="宋体" w:hAnsi="宋体" w:cs="宋体" w:eastAsia="宋体" w:hint="default"/>
                <w:sz w:val="21"/>
                <w:szCs w:val="21"/>
              </w:rPr>
            </w:pPr>
            <w:r>
              <w:rPr>
                <w:rFonts w:ascii="宋体" w:hAnsi="宋体" w:cs="宋体" w:eastAsia="宋体" w:hint="default"/>
                <w:sz w:val="21"/>
                <w:szCs w:val="21"/>
              </w:rPr>
              <w:t>账龄</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占其他应收款期末</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余额合计数的比例</w:t>
            </w:r>
          </w:p>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6"/>
              <w:ind w:left="412" w:right="408"/>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281"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公安事业部</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1,963,664.13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02"/>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z w:val="21"/>
              </w:rPr>
              <w:t>18.69%</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58,909.92</w:t>
            </w:r>
          </w:p>
        </w:tc>
      </w:tr>
      <w:tr>
        <w:trPr>
          <w:trHeight w:val="557"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6"/>
                <w:sz w:val="21"/>
                <w:szCs w:val="21"/>
              </w:rPr>
              <w:t>电子政务事业</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1,023,409.99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7"/>
                <w:sz w:val="21"/>
                <w:szCs w:val="21"/>
              </w:rPr>
              <w:t> </w:t>
            </w:r>
            <w:r>
              <w:rPr>
                <w:rFonts w:ascii="宋体" w:hAnsi="宋体" w:cs="宋体" w:eastAsia="宋体" w:hint="default"/>
                <w:spacing w:val="-13"/>
                <w:sz w:val="21"/>
                <w:szCs w:val="21"/>
              </w:rPr>
              <w:t>年以内、</w:t>
            </w:r>
            <w:r>
              <w:rPr>
                <w:rFonts w:ascii="Times New Roman" w:hAnsi="Times New Roman" w:cs="Times New Roman" w:eastAsia="Times New Roman" w:hint="default"/>
                <w:spacing w:val="-13"/>
                <w:sz w:val="21"/>
                <w:szCs w:val="21"/>
              </w:rPr>
              <w:t>1-2</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z w:val="21"/>
              </w:rPr>
              <w:t>9.74%</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39,326.05</w:t>
            </w:r>
          </w:p>
        </w:tc>
      </w:tr>
      <w:tr>
        <w:trPr>
          <w:trHeight w:val="281"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山西省公安厅</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859,880.00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02"/>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z w:val="21"/>
              </w:rPr>
              <w:t>8.19%</w:t>
            </w: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西安事业部</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541,000.00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02"/>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z w:val="21"/>
              </w:rPr>
              <w:t>5.15%</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16,230.00</w:t>
            </w:r>
          </w:p>
        </w:tc>
      </w:tr>
      <w:tr>
        <w:trPr>
          <w:trHeight w:val="826"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6"/>
                <w:sz w:val="21"/>
                <w:szCs w:val="21"/>
              </w:rPr>
              <w:t>中航技国际经</w:t>
            </w:r>
          </w:p>
          <w:p>
            <w:pPr>
              <w:pStyle w:val="TableParagraph"/>
              <w:spacing w:line="272" w:lineRule="exact" w:before="27"/>
              <w:ind w:left="26" w:right="128"/>
              <w:jc w:val="left"/>
              <w:rPr>
                <w:rFonts w:ascii="宋体" w:hAnsi="宋体" w:cs="宋体" w:eastAsia="宋体" w:hint="default"/>
                <w:sz w:val="21"/>
                <w:szCs w:val="21"/>
              </w:rPr>
            </w:pPr>
            <w:r>
              <w:rPr>
                <w:rFonts w:ascii="宋体" w:hAnsi="宋体" w:cs="宋体" w:eastAsia="宋体" w:hint="default"/>
                <w:spacing w:val="16"/>
                <w:sz w:val="21"/>
                <w:szCs w:val="21"/>
              </w:rPr>
              <w:t>贸发展有限公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司新疆分公司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439,744.00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02"/>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z w:val="21"/>
              </w:rPr>
              <w:t>4.19%</w:t>
            </w: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68"/>
              <w:jc w:val="center"/>
              <w:rPr>
                <w:rFonts w:ascii="Times New Roman" w:hAnsi="Times New Roman" w:cs="Times New Roman" w:eastAsia="Times New Roman" w:hint="default"/>
                <w:sz w:val="21"/>
                <w:szCs w:val="21"/>
              </w:rPr>
            </w:pPr>
            <w:r>
              <w:rPr>
                <w:rFonts w:ascii="Times New Roman"/>
                <w:w w:val="100"/>
                <w:sz w:val="21"/>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4,827,698.12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70"/>
              <w:jc w:val="center"/>
              <w:rPr>
                <w:rFonts w:ascii="Times New Roman" w:hAnsi="Times New Roman" w:cs="Times New Roman" w:eastAsia="Times New Roman" w:hint="default"/>
                <w:sz w:val="21"/>
                <w:szCs w:val="21"/>
              </w:rPr>
            </w:pPr>
            <w:r>
              <w:rPr>
                <w:rFonts w:ascii="Times New Roman"/>
                <w:w w:val="100"/>
                <w:sz w:val="21"/>
              </w:rPr>
              <w:t>/</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74"/>
              <w:jc w:val="right"/>
              <w:rPr>
                <w:rFonts w:ascii="Times New Roman" w:hAnsi="Times New Roman" w:cs="Times New Roman" w:eastAsia="Times New Roman" w:hint="default"/>
                <w:sz w:val="21"/>
                <w:szCs w:val="21"/>
              </w:rPr>
            </w:pPr>
            <w:r>
              <w:rPr>
                <w:rFonts w:ascii="Times New Roman"/>
                <w:sz w:val="21"/>
              </w:rPr>
              <w:t>45.96%</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2"/>
                <w:sz w:val="21"/>
              </w:rPr>
              <w:t>114,465.97</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2"/>
        <w:spacing w:line="240" w:lineRule="auto" w:before="36"/>
        <w:ind w:right="2465"/>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pStyle w:val="BodyText"/>
        <w:spacing w:line="240" w:lineRule="auto" w:before="56"/>
        <w:ind w:right="2465"/>
        <w:jc w:val="left"/>
      </w:pPr>
      <w:r>
        <w:rPr/>
        <w:t>□适用√不适用</w:t>
      </w:r>
    </w:p>
    <w:p>
      <w:pPr>
        <w:spacing w:line="240" w:lineRule="auto" w:before="11"/>
        <w:rPr>
          <w:rFonts w:ascii="宋体" w:hAnsi="宋体" w:cs="宋体" w:eastAsia="宋体" w:hint="default"/>
          <w:sz w:val="22"/>
          <w:szCs w:val="22"/>
        </w:rPr>
      </w:pPr>
    </w:p>
    <w:p>
      <w:pPr>
        <w:pStyle w:val="Heading2"/>
        <w:spacing w:line="240" w:lineRule="auto"/>
        <w:ind w:right="2465"/>
        <w:jc w:val="left"/>
        <w:rPr>
          <w:b w:val="0"/>
          <w:bCs w:val="0"/>
        </w:rPr>
      </w:pPr>
      <w:r>
        <w:rPr>
          <w:rFonts w:ascii="宋体" w:hAnsi="宋体" w:cs="宋体" w:eastAsia="宋体" w:hint="default"/>
        </w:rPr>
        <w:t>(7).</w:t>
      </w:r>
      <w:r>
        <w:rPr>
          <w:rFonts w:ascii="宋体" w:hAnsi="宋体" w:cs="宋体" w:eastAsia="宋体" w:hint="default"/>
          <w:spacing w:val="59"/>
        </w:rPr>
        <w:t> </w:t>
      </w:r>
      <w:r>
        <w:rPr/>
        <w:t>因金融资产转移而终止确认的其他应收款：</w:t>
      </w:r>
      <w:r>
        <w:rPr>
          <w:b w:val="0"/>
          <w:bCs w:val="0"/>
        </w:rPr>
      </w:r>
    </w:p>
    <w:p>
      <w:pPr>
        <w:pStyle w:val="BodyText"/>
        <w:spacing w:line="240" w:lineRule="auto" w:before="58"/>
        <w:ind w:right="2465"/>
        <w:jc w:val="left"/>
      </w:pPr>
      <w:r>
        <w:rPr/>
        <w:t>□适用√不适用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2"/>
        <w:spacing w:line="240" w:lineRule="auto" w:before="36"/>
        <w:ind w:left="138" w:right="146"/>
        <w:jc w:val="left"/>
        <w:rPr>
          <w:b w:val="0"/>
          <w:bCs w:val="0"/>
        </w:rPr>
      </w:pPr>
      <w:r>
        <w:rPr>
          <w:rFonts w:ascii="宋体" w:hAnsi="宋体" w:cs="宋体" w:eastAsia="宋体" w:hint="default"/>
        </w:rPr>
        <w:t>(8).</w:t>
      </w:r>
      <w:r>
        <w:rPr>
          <w:rFonts w:ascii="宋体" w:hAnsi="宋体" w:cs="宋体" w:eastAsia="宋体" w:hint="default"/>
          <w:spacing w:val="55"/>
        </w:rPr>
        <w:t> </w:t>
      </w:r>
      <w:r>
        <w:rPr/>
        <w:t>转移其他应收款且继续涉入形成的资产、负债的金额：</w:t>
      </w:r>
      <w:r>
        <w:rPr>
          <w:b w:val="0"/>
          <w:bCs w:val="0"/>
        </w:rPr>
      </w:r>
    </w:p>
    <w:p>
      <w:pPr>
        <w:pStyle w:val="BodyText"/>
        <w:spacing w:line="240" w:lineRule="auto" w:before="58"/>
        <w:ind w:left="138" w:right="146"/>
        <w:jc w:val="left"/>
      </w:pPr>
      <w:r>
        <w:rPr/>
        <w:t>□适用√不适用</w:t>
      </w:r>
    </w:p>
    <w:p>
      <w:pPr>
        <w:spacing w:line="240" w:lineRule="auto" w:before="3"/>
        <w:rPr>
          <w:rFonts w:ascii="宋体" w:hAnsi="宋体" w:cs="宋体" w:eastAsia="宋体" w:hint="default"/>
          <w:sz w:val="18"/>
          <w:szCs w:val="18"/>
        </w:rPr>
      </w:pPr>
    </w:p>
    <w:p>
      <w:pPr>
        <w:pStyle w:val="BodyText"/>
        <w:spacing w:line="273" w:lineRule="exact"/>
        <w:ind w:left="138" w:right="146"/>
        <w:jc w:val="left"/>
      </w:pPr>
      <w:r>
        <w:rPr/>
        <w:t>其他说明：</w:t>
      </w:r>
    </w:p>
    <w:p>
      <w:pPr>
        <w:pStyle w:val="BodyText"/>
        <w:spacing w:line="273" w:lineRule="exact"/>
        <w:ind w:left="138" w:right="146"/>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60" w:right="1120"/>
        </w:sectPr>
      </w:pPr>
    </w:p>
    <w:p>
      <w:pPr>
        <w:pStyle w:val="Heading2"/>
        <w:tabs>
          <w:tab w:pos="769" w:val="left" w:leader="none"/>
        </w:tabs>
        <w:spacing w:line="266" w:lineRule="auto" w:before="36"/>
        <w:ind w:left="138" w:right="0"/>
        <w:jc w:val="left"/>
        <w:rPr>
          <w:b w:val="0"/>
          <w:bCs w:val="0"/>
        </w:rPr>
      </w:pPr>
      <w:r>
        <w:rPr/>
        <w:t>（</w:t>
      </w:r>
      <w:r>
        <w:rPr>
          <w:rFonts w:ascii="Calibri" w:hAnsi="Calibri" w:cs="Calibri" w:eastAsia="Calibri" w:hint="default"/>
        </w:rPr>
        <w:t>6</w:t>
      </w:r>
      <w:r>
        <w:rPr/>
        <w:t>）</w:t>
      </w:r>
      <w:r>
        <w:rPr>
          <w:spacing w:val="85"/>
        </w:rPr>
        <w:t> </w:t>
      </w:r>
      <w:r>
        <w:rPr/>
        <w:t>存货</w:t>
      </w:r>
      <w:r>
        <w:rPr>
          <w:w w:val="100"/>
        </w:rPr>
        <w:t> </w:t>
      </w:r>
      <w:r>
        <w:rPr>
          <w:rFonts w:ascii="宋体" w:hAnsi="宋体" w:cs="宋体" w:eastAsia="宋体" w:hint="default"/>
          <w:w w:val="95"/>
        </w:rPr>
        <w:t>(1).</w:t>
        <w:tab/>
      </w:r>
      <w:r>
        <w:rPr/>
        <w:t>存货分类</w:t>
      </w:r>
      <w:r>
        <w:rPr>
          <w:b w:val="0"/>
          <w:bCs w:val="0"/>
        </w:rPr>
      </w:r>
    </w:p>
    <w:p>
      <w:pPr>
        <w:pStyle w:val="BodyText"/>
        <w:spacing w:line="240" w:lineRule="auto" w:before="33"/>
        <w:ind w:left="138" w:right="-7"/>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120" w:bottom="1380" w:left="1660" w:right="1120"/>
          <w:cols w:num="2" w:equalWidth="0">
            <w:col w:w="1615" w:space="5118"/>
            <w:col w:w="239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442"/>
        <w:gridCol w:w="1270"/>
        <w:gridCol w:w="1186"/>
        <w:gridCol w:w="1270"/>
        <w:gridCol w:w="1277"/>
        <w:gridCol w:w="1177"/>
        <w:gridCol w:w="1274"/>
      </w:tblGrid>
      <w:tr>
        <w:trPr>
          <w:trHeight w:val="284" w:hRule="exact"/>
        </w:trPr>
        <w:tc>
          <w:tcPr>
            <w:tcW w:w="1442" w:type="dxa"/>
            <w:vMerge w:val="restart"/>
            <w:tcBorders>
              <w:top w:val="single" w:sz="4" w:space="0" w:color="000000"/>
              <w:left w:val="single" w:sz="4" w:space="0" w:color="000000"/>
              <w:right w:val="single" w:sz="4" w:space="0" w:color="000000"/>
            </w:tcBorders>
          </w:tcPr>
          <w:p>
            <w:pPr>
              <w:pStyle w:val="TableParagraph"/>
              <w:spacing w:line="240" w:lineRule="auto" w:before="10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442" w:type="dxa"/>
            <w:vMerge/>
            <w:tcBorders>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9"/>
              <w:jc w:val="right"/>
              <w:rPr>
                <w:rFonts w:ascii="Times New Roman" w:hAnsi="Times New Roman" w:cs="Times New Roman" w:eastAsia="Times New Roman" w:hint="default"/>
                <w:sz w:val="21"/>
                <w:szCs w:val="21"/>
              </w:rPr>
            </w:pPr>
            <w:r>
              <w:rPr>
                <w:rFonts w:ascii="Times New Roman"/>
                <w:spacing w:val="-1"/>
                <w:sz w:val="21"/>
              </w:rPr>
              <w:t>7,821,139.64</w:t>
            </w:r>
          </w:p>
        </w:tc>
        <w:tc>
          <w:tcPr>
            <w:tcW w:w="118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7"/>
              <w:jc w:val="right"/>
              <w:rPr>
                <w:rFonts w:ascii="Times New Roman" w:hAnsi="Times New Roman" w:cs="Times New Roman" w:eastAsia="Times New Roman" w:hint="default"/>
                <w:sz w:val="21"/>
                <w:szCs w:val="21"/>
              </w:rPr>
            </w:pPr>
            <w:r>
              <w:rPr>
                <w:rFonts w:ascii="Times New Roman"/>
                <w:spacing w:val="-1"/>
                <w:sz w:val="21"/>
              </w:rPr>
              <w:t>7,821,139.64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9"/>
              <w:jc w:val="right"/>
              <w:rPr>
                <w:rFonts w:ascii="Times New Roman" w:hAnsi="Times New Roman" w:cs="Times New Roman" w:eastAsia="Times New Roman" w:hint="default"/>
                <w:sz w:val="21"/>
                <w:szCs w:val="21"/>
              </w:rPr>
            </w:pPr>
            <w:r>
              <w:rPr>
                <w:rFonts w:ascii="Times New Roman"/>
                <w:spacing w:val="-1"/>
                <w:sz w:val="21"/>
              </w:rPr>
              <w:t>5,480,882.21</w:t>
            </w:r>
          </w:p>
        </w:tc>
        <w:tc>
          <w:tcPr>
            <w:tcW w:w="11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pacing w:val="-1"/>
                <w:sz w:val="21"/>
              </w:rPr>
              <w:t>5,480,882.21</w:t>
            </w:r>
          </w:p>
        </w:tc>
      </w:tr>
      <w:tr>
        <w:trPr>
          <w:trHeight w:val="283"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27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3,647,317.91</w:t>
            </w:r>
          </w:p>
        </w:tc>
        <w:tc>
          <w:tcPr>
            <w:tcW w:w="118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spacing w:val="-1"/>
                <w:sz w:val="21"/>
              </w:rPr>
              <w:t>3,647,317.91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2,505,590.77</w:t>
            </w:r>
          </w:p>
        </w:tc>
        <w:tc>
          <w:tcPr>
            <w:tcW w:w="11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2,505,590.77</w:t>
            </w:r>
          </w:p>
        </w:tc>
      </w:tr>
      <w:tr>
        <w:trPr>
          <w:trHeight w:val="283"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27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7"/>
                <w:sz w:val="21"/>
                <w:szCs w:val="21"/>
              </w:rPr>
              <w:t>消耗性生物资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27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7"/>
                <w:sz w:val="21"/>
                <w:szCs w:val="21"/>
              </w:rPr>
              <w:t>建造合同形成</w:t>
            </w:r>
          </w:p>
          <w:p>
            <w:pPr>
              <w:pStyle w:val="TableParagraph"/>
              <w:spacing w:line="272" w:lineRule="exact" w:before="27"/>
              <w:ind w:left="26" w:right="22"/>
              <w:jc w:val="left"/>
              <w:rPr>
                <w:rFonts w:ascii="宋体" w:hAnsi="宋体" w:cs="宋体" w:eastAsia="宋体" w:hint="default"/>
                <w:sz w:val="21"/>
                <w:szCs w:val="21"/>
              </w:rPr>
            </w:pPr>
            <w:r>
              <w:rPr>
                <w:rFonts w:ascii="宋体" w:hAnsi="宋体" w:cs="宋体" w:eastAsia="宋体" w:hint="default"/>
                <w:spacing w:val="17"/>
                <w:sz w:val="21"/>
                <w:szCs w:val="21"/>
              </w:rPr>
              <w:t>的已完工未结</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算资产</w:t>
            </w:r>
          </w:p>
        </w:tc>
        <w:tc>
          <w:tcPr>
            <w:tcW w:w="127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9,303,515.92</w:t>
            </w:r>
          </w:p>
        </w:tc>
        <w:tc>
          <w:tcPr>
            <w:tcW w:w="118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spacing w:val="-1"/>
                <w:sz w:val="21"/>
              </w:rPr>
              <w:t>9,303,515.92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16,123,003.79</w:t>
            </w:r>
          </w:p>
        </w:tc>
        <w:tc>
          <w:tcPr>
            <w:tcW w:w="11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16,123,003.79</w:t>
            </w:r>
          </w:p>
        </w:tc>
      </w:tr>
      <w:tr>
        <w:trPr>
          <w:trHeight w:val="284"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包装物</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246,592.12</w:t>
            </w:r>
          </w:p>
        </w:tc>
        <w:tc>
          <w:tcPr>
            <w:tcW w:w="118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spacing w:val="-1"/>
                <w:sz w:val="21"/>
              </w:rPr>
              <w:t>246,592.12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254,609.38</w:t>
            </w:r>
          </w:p>
        </w:tc>
        <w:tc>
          <w:tcPr>
            <w:tcW w:w="11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254,609.38</w:t>
            </w:r>
          </w:p>
        </w:tc>
      </w:tr>
      <w:tr>
        <w:trPr>
          <w:trHeight w:val="283"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21,018,565.59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w w:val="100"/>
                <w:sz w:val="21"/>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21,018,565.59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24,364,086.15</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w w:val="100"/>
                <w:sz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24,364,086.15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2"/>
        <w:tabs>
          <w:tab w:pos="769" w:val="left" w:leader="none"/>
        </w:tabs>
        <w:spacing w:line="240" w:lineRule="auto" w:before="36"/>
        <w:ind w:left="138" w:right="146"/>
        <w:jc w:val="left"/>
        <w:rPr>
          <w:b w:val="0"/>
          <w:bCs w:val="0"/>
        </w:rPr>
      </w:pPr>
      <w:r>
        <w:rPr>
          <w:rFonts w:ascii="宋体" w:hAnsi="宋体" w:cs="宋体" w:eastAsia="宋体" w:hint="default"/>
          <w:w w:val="95"/>
        </w:rPr>
        <w:t>(2).</w:t>
        <w:tab/>
      </w:r>
      <w:r>
        <w:rPr/>
        <w:t>存货跌价准备</w:t>
      </w:r>
      <w:r>
        <w:rPr>
          <w:b w:val="0"/>
          <w:bCs w:val="0"/>
        </w:rPr>
      </w:r>
    </w:p>
    <w:p>
      <w:pPr>
        <w:pStyle w:val="BodyText"/>
        <w:spacing w:line="240" w:lineRule="auto" w:before="56"/>
        <w:ind w:left="138" w:right="146"/>
        <w:jc w:val="left"/>
      </w:pPr>
      <w:r>
        <w:rPr/>
        <w:t>□适用√不适用</w:t>
      </w:r>
    </w:p>
    <w:p>
      <w:pPr>
        <w:pStyle w:val="Heading2"/>
        <w:tabs>
          <w:tab w:pos="769" w:val="left" w:leader="none"/>
        </w:tabs>
        <w:spacing w:line="240" w:lineRule="auto" w:before="58"/>
        <w:ind w:left="138" w:right="146"/>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pStyle w:val="BodyText"/>
        <w:spacing w:line="240" w:lineRule="auto" w:before="56"/>
        <w:ind w:left="138" w:right="146"/>
        <w:jc w:val="left"/>
      </w:pPr>
      <w:r>
        <w:rPr/>
        <w:t>□适用√不适用</w:t>
      </w:r>
    </w:p>
    <w:p>
      <w:pPr>
        <w:spacing w:line="240" w:lineRule="auto" w:before="11"/>
        <w:rPr>
          <w:rFonts w:ascii="宋体" w:hAnsi="宋体" w:cs="宋体" w:eastAsia="宋体" w:hint="default"/>
          <w:sz w:val="22"/>
          <w:szCs w:val="22"/>
        </w:rPr>
      </w:pPr>
    </w:p>
    <w:p>
      <w:pPr>
        <w:pStyle w:val="Heading2"/>
        <w:tabs>
          <w:tab w:pos="769" w:val="left" w:leader="none"/>
        </w:tabs>
        <w:spacing w:line="240" w:lineRule="auto"/>
        <w:ind w:left="138" w:right="146"/>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BodyText"/>
        <w:spacing w:line="272" w:lineRule="exact" w:before="87"/>
        <w:ind w:left="138" w:right="7505"/>
        <w:jc w:val="left"/>
      </w:pPr>
      <w:r>
        <w:rPr>
          <w:spacing w:val="-1"/>
        </w:rPr>
        <w:t>□适用√不适用</w:t>
      </w:r>
      <w:r>
        <w:rPr>
          <w:spacing w:val="-96"/>
        </w:rPr>
        <w:t> </w:t>
      </w:r>
      <w:r>
        <w:rPr>
          <w:spacing w:val="-96"/>
        </w:rPr>
      </w:r>
      <w:r>
        <w:rPr/>
        <w:t>其他说明</w:t>
      </w:r>
    </w:p>
    <w:p>
      <w:pPr>
        <w:pStyle w:val="BodyText"/>
        <w:spacing w:line="249" w:lineRule="exact"/>
        <w:ind w:left="138" w:right="146"/>
        <w:jc w:val="left"/>
      </w:pPr>
      <w:r>
        <w:rPr/>
        <w:t>□适用√不适用</w:t>
      </w:r>
    </w:p>
    <w:p>
      <w:pPr>
        <w:spacing w:line="240" w:lineRule="auto" w:before="11"/>
        <w:rPr>
          <w:rFonts w:ascii="宋体" w:hAnsi="宋体" w:cs="宋体" w:eastAsia="宋体" w:hint="default"/>
          <w:sz w:val="22"/>
          <w:szCs w:val="22"/>
        </w:rPr>
      </w:pPr>
    </w:p>
    <w:p>
      <w:pPr>
        <w:pStyle w:val="Heading2"/>
        <w:spacing w:line="240" w:lineRule="auto"/>
        <w:ind w:left="138" w:right="146"/>
        <w:jc w:val="left"/>
        <w:rPr>
          <w:b w:val="0"/>
          <w:bCs w:val="0"/>
        </w:rPr>
      </w:pPr>
      <w:r>
        <w:rPr/>
        <w:t>（</w:t>
      </w:r>
      <w:r>
        <w:rPr>
          <w:rFonts w:ascii="Calibri" w:hAnsi="Calibri" w:cs="Calibri" w:eastAsia="Calibri" w:hint="default"/>
        </w:rPr>
        <w:t>7</w:t>
      </w:r>
      <w:r>
        <w:rPr/>
        <w:t>）</w:t>
      </w:r>
      <w:r>
        <w:rPr>
          <w:spacing w:val="86"/>
        </w:rPr>
        <w:t> </w:t>
      </w:r>
      <w:r>
        <w:rPr/>
        <w:t>持有待售资产</w:t>
      </w:r>
      <w:r>
        <w:rPr>
          <w:b w:val="0"/>
          <w:bCs w:val="0"/>
        </w:rPr>
      </w:r>
    </w:p>
    <w:p>
      <w:pPr>
        <w:pStyle w:val="BodyText"/>
        <w:spacing w:line="240" w:lineRule="auto" w:before="29"/>
        <w:ind w:left="138" w:right="146"/>
        <w:jc w:val="left"/>
      </w:pPr>
      <w:r>
        <w:rPr/>
        <w:t>□适用√不适用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2"/>
        <w:spacing w:line="240" w:lineRule="auto"/>
        <w:ind w:left="138" w:right="146"/>
        <w:jc w:val="left"/>
        <w:rPr>
          <w:b w:val="0"/>
          <w:bCs w:val="0"/>
        </w:rPr>
      </w:pPr>
      <w:r>
        <w:rPr/>
        <w:t>（</w:t>
      </w:r>
      <w:r>
        <w:rPr>
          <w:rFonts w:ascii="Calibri" w:hAnsi="Calibri" w:cs="Calibri" w:eastAsia="Calibri" w:hint="default"/>
        </w:rPr>
        <w:t>8</w:t>
      </w:r>
      <w:r>
        <w:rPr/>
        <w:t>）</w:t>
      </w:r>
      <w:r>
        <w:rPr>
          <w:spacing w:val="85"/>
        </w:rPr>
        <w:t> </w:t>
      </w:r>
      <w:r>
        <w:rPr/>
        <w:t>一年内到期的非流动资产</w:t>
      </w:r>
      <w:r>
        <w:rPr>
          <w:b w:val="0"/>
          <w:bCs w:val="0"/>
        </w:rPr>
      </w:r>
    </w:p>
    <w:p>
      <w:pPr>
        <w:pStyle w:val="BodyText"/>
        <w:spacing w:line="240" w:lineRule="auto" w:before="29"/>
        <w:ind w:left="138" w:right="146"/>
        <w:jc w:val="left"/>
      </w:pPr>
      <w:r>
        <w:rPr/>
        <w:t>□适用√不适用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2"/>
        <w:spacing w:line="240" w:lineRule="auto"/>
        <w:ind w:left="138" w:right="146"/>
        <w:jc w:val="left"/>
        <w:rPr>
          <w:b w:val="0"/>
          <w:bCs w:val="0"/>
        </w:rPr>
      </w:pPr>
      <w:r>
        <w:rPr/>
        <w:t>（</w:t>
      </w:r>
      <w:r>
        <w:rPr>
          <w:rFonts w:ascii="Calibri" w:hAnsi="Calibri" w:cs="Calibri" w:eastAsia="Calibri" w:hint="default"/>
        </w:rPr>
        <w:t>9</w:t>
      </w:r>
      <w:r>
        <w:rPr/>
        <w:t>）</w:t>
      </w:r>
      <w:r>
        <w:rPr>
          <w:spacing w:val="86"/>
        </w:rPr>
        <w:t> </w:t>
      </w:r>
      <w:r>
        <w:rPr/>
        <w:t>其他流动资产</w:t>
      </w:r>
      <w:r>
        <w:rPr>
          <w:b w:val="0"/>
          <w:bCs w:val="0"/>
        </w:rPr>
      </w:r>
    </w:p>
    <w:p>
      <w:pPr>
        <w:pStyle w:val="BodyText"/>
        <w:spacing w:line="240" w:lineRule="auto" w:before="29"/>
        <w:ind w:left="138" w:right="146"/>
        <w:jc w:val="left"/>
      </w:pPr>
      <w:r>
        <w:rPr/>
        <w:t>√适用□不适用</w:t>
      </w:r>
    </w:p>
    <w:p>
      <w:pPr>
        <w:spacing w:after="0" w:line="240" w:lineRule="auto"/>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pStyle w:val="BodyText"/>
        <w:spacing w:line="240" w:lineRule="auto" w:before="36"/>
        <w:ind w:left="0" w:right="230"/>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102,180,000.00</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结构性存款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142,000,000.00</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待抵扣进项税</w:t>
            </w:r>
            <w:r>
              <w:rPr>
                <w:rFonts w:ascii="Times New Roman" w:hAnsi="Times New Roman" w:cs="Times New Roman" w:eastAsia="Times New Roman" w:hint="default"/>
                <w:sz w:val="21"/>
                <w:szCs w:val="21"/>
              </w:rPr>
              <w:t>/</w:t>
            </w:r>
            <w:r>
              <w:rPr>
                <w:rFonts w:ascii="宋体" w:hAnsi="宋体" w:cs="宋体" w:eastAsia="宋体" w:hint="default"/>
                <w:sz w:val="21"/>
                <w:szCs w:val="21"/>
              </w:rPr>
              <w:t>未认证进项税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66,419.02</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244,246,419.02</w:t>
            </w:r>
          </w:p>
        </w:tc>
        <w:tc>
          <w:tcPr>
            <w:tcW w:w="28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72" w:lineRule="exact" w:before="64"/>
        <w:ind w:right="2465"/>
        <w:jc w:val="left"/>
      </w:pPr>
      <w:r>
        <w:rPr/>
        <w:t>其他说明</w:t>
      </w:r>
      <w:r>
        <w:rPr>
          <w:w w:val="100"/>
        </w:rPr>
        <w:t> </w:t>
      </w:r>
      <w:r>
        <w:rPr>
          <w:spacing w:val="-2"/>
        </w:rPr>
        <w:t>期末未发现其他流动资产存在明显减值迹象，故未计提减值准备。</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80" w:right="1040"/>
        </w:sectPr>
      </w:pPr>
    </w:p>
    <w:p>
      <w:pPr>
        <w:pStyle w:val="Heading2"/>
        <w:tabs>
          <w:tab w:pos="861" w:val="left" w:leader="none"/>
        </w:tabs>
        <w:spacing w:line="290" w:lineRule="auto" w:before="36"/>
        <w:ind w:right="0"/>
        <w:jc w:val="left"/>
        <w:rPr>
          <w:b w:val="0"/>
          <w:bCs w:val="0"/>
        </w:rPr>
      </w:pPr>
      <w:r>
        <w:rPr/>
        <w:t>（</w:t>
      </w:r>
      <w:r>
        <w:rPr>
          <w:rFonts w:ascii="宋体" w:hAnsi="宋体" w:cs="宋体" w:eastAsia="宋体" w:hint="default"/>
        </w:rPr>
        <w:t>10</w:t>
      </w:r>
      <w:r>
        <w:rPr/>
        <w:t>）</w:t>
      </w:r>
      <w:r>
        <w:rPr>
          <w:spacing w:val="-20"/>
        </w:rPr>
        <w:t> </w:t>
      </w:r>
      <w:r>
        <w:rPr/>
        <w:t>可供出售金融资产</w:t>
      </w:r>
      <w:r>
        <w:rPr>
          <w:w w:val="100"/>
        </w:rPr>
        <w:t> </w:t>
      </w:r>
      <w:r>
        <w:rPr>
          <w:rFonts w:ascii="宋体" w:hAnsi="宋体" w:cs="宋体" w:eastAsia="宋体" w:hint="default"/>
          <w:w w:val="95"/>
        </w:rPr>
        <w:t>(1).</w:t>
        <w:tab/>
      </w:r>
      <w:r>
        <w:rPr>
          <w:spacing w:val="-1"/>
        </w:rPr>
        <w:t>可供出售金融资产情况</w:t>
      </w:r>
      <w:r>
        <w:rPr>
          <w:b w:val="0"/>
          <w:bCs w:val="0"/>
          <w:spacing w:val="-1"/>
        </w:rPr>
      </w:r>
    </w:p>
    <w:p>
      <w:pPr>
        <w:pStyle w:val="BodyText"/>
        <w:spacing w:line="240" w:lineRule="auto" w:before="13"/>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971" w:space="3762"/>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113"/>
        <w:gridCol w:w="1166"/>
        <w:gridCol w:w="1073"/>
        <w:gridCol w:w="1167"/>
        <w:gridCol w:w="1164"/>
        <w:gridCol w:w="1049"/>
        <w:gridCol w:w="1164"/>
      </w:tblGrid>
      <w:tr>
        <w:trPr>
          <w:trHeight w:val="283" w:hRule="exact"/>
        </w:trPr>
        <w:tc>
          <w:tcPr>
            <w:tcW w:w="2113"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113" w:type="dxa"/>
            <w:vMerge/>
            <w:tcBorders>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16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7,200,000.00</w:t>
            </w:r>
          </w:p>
        </w:tc>
        <w:tc>
          <w:tcPr>
            <w:tcW w:w="1073"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7,200,000.00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7,200,000.00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7,200,000.00</w:t>
            </w:r>
          </w:p>
        </w:tc>
      </w:tr>
      <w:tr>
        <w:trPr>
          <w:trHeight w:val="283" w:hRule="exact"/>
        </w:trPr>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按公允价值计量的</w:t>
            </w:r>
          </w:p>
        </w:tc>
        <w:tc>
          <w:tcPr>
            <w:tcW w:w="116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7,200,000.00</w:t>
            </w:r>
          </w:p>
        </w:tc>
        <w:tc>
          <w:tcPr>
            <w:tcW w:w="1073"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7,200,000.00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7,200,000.00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7,200,000.00</w:t>
            </w:r>
          </w:p>
        </w:tc>
      </w:tr>
      <w:tr>
        <w:trPr>
          <w:trHeight w:val="283" w:hRule="exact"/>
        </w:trPr>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7,200,000.00</w:t>
            </w:r>
          </w:p>
        </w:tc>
        <w:tc>
          <w:tcPr>
            <w:tcW w:w="1073"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7,200,000.00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7,200,000.00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7,200,000.00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80" w:right="1040"/>
        </w:sectPr>
      </w:pPr>
    </w:p>
    <w:p>
      <w:pPr>
        <w:pStyle w:val="Heading2"/>
        <w:tabs>
          <w:tab w:pos="861" w:val="left" w:leader="none"/>
        </w:tabs>
        <w:spacing w:line="240" w:lineRule="auto" w:before="36"/>
        <w:ind w:right="0"/>
        <w:jc w:val="left"/>
        <w:rPr>
          <w:b w:val="0"/>
          <w:bCs w:val="0"/>
        </w:rPr>
      </w:pPr>
      <w:r>
        <w:rPr>
          <w:rFonts w:ascii="宋体" w:hAnsi="宋体" w:cs="宋体" w:eastAsia="宋体" w:hint="default"/>
          <w:w w:val="95"/>
        </w:rPr>
        <w:t>(2).</w:t>
        <w:tab/>
      </w:r>
      <w:r>
        <w:rPr>
          <w:spacing w:val="-1"/>
        </w:rPr>
        <w:t>期末按公允价值计量的可供出售金融资产</w:t>
      </w:r>
      <w:r>
        <w:rPr>
          <w:b w:val="0"/>
          <w:bCs w:val="0"/>
          <w:spacing w:val="-1"/>
        </w:rPr>
      </w:r>
    </w:p>
    <w:p>
      <w:pPr>
        <w:pStyle w:val="BodyText"/>
        <w:spacing w:line="240" w:lineRule="auto" w:before="58"/>
        <w:ind w:right="0"/>
        <w:jc w:val="left"/>
      </w:pPr>
      <w:r>
        <w:rPr/>
        <w:t>□适用√不适用</w:t>
      </w:r>
    </w:p>
    <w:p>
      <w:pPr>
        <w:pStyle w:val="Heading2"/>
        <w:tabs>
          <w:tab w:pos="861" w:val="left" w:leader="none"/>
        </w:tabs>
        <w:spacing w:line="240" w:lineRule="auto" w:before="56"/>
        <w:ind w:right="0"/>
        <w:jc w:val="left"/>
        <w:rPr>
          <w:b w:val="0"/>
          <w:bCs w:val="0"/>
        </w:rPr>
      </w:pPr>
      <w:r>
        <w:rPr>
          <w:rFonts w:ascii="宋体" w:hAnsi="宋体" w:cs="宋体" w:eastAsia="宋体" w:hint="default"/>
          <w:w w:val="95"/>
        </w:rPr>
        <w:t>(3).</w:t>
        <w:tab/>
      </w:r>
      <w:r>
        <w:rPr/>
        <w:t>期末按成本计量的可供出售金融资产</w:t>
      </w:r>
      <w:r>
        <w:rPr>
          <w:b w:val="0"/>
          <w:bCs w:val="0"/>
        </w:rPr>
      </w:r>
    </w:p>
    <w:p>
      <w:pPr>
        <w:pStyle w:val="BodyText"/>
        <w:spacing w:line="240" w:lineRule="auto" w:before="58"/>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4659" w:space="2074"/>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23"/>
        <w:gridCol w:w="823"/>
        <w:gridCol w:w="821"/>
        <w:gridCol w:w="823"/>
        <w:gridCol w:w="823"/>
        <w:gridCol w:w="824"/>
        <w:gridCol w:w="823"/>
        <w:gridCol w:w="823"/>
        <w:gridCol w:w="821"/>
        <w:gridCol w:w="881"/>
        <w:gridCol w:w="763"/>
      </w:tblGrid>
      <w:tr>
        <w:trPr>
          <w:trHeight w:val="718" w:hRule="exact"/>
        </w:trPr>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37" w:lineRule="auto"/>
              <w:ind w:left="196" w:right="192"/>
              <w:jc w:val="center"/>
              <w:rPr>
                <w:rFonts w:ascii="宋体" w:hAnsi="宋体" w:cs="宋体" w:eastAsia="宋体" w:hint="default"/>
                <w:sz w:val="21"/>
                <w:szCs w:val="21"/>
              </w:rPr>
            </w:pPr>
            <w:r>
              <w:rPr>
                <w:rFonts w:ascii="宋体" w:hAnsi="宋体" w:cs="宋体" w:eastAsia="宋体" w:hint="default"/>
                <w:sz w:val="21"/>
                <w:szCs w:val="21"/>
              </w:rPr>
              <w:t>被投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单位</w:t>
            </w:r>
          </w:p>
        </w:tc>
        <w:tc>
          <w:tcPr>
            <w:tcW w:w="32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2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5"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881" w:type="dxa"/>
            <w:vMerge w:val="restart"/>
            <w:tcBorders>
              <w:top w:val="single" w:sz="4" w:space="0" w:color="000000"/>
              <w:left w:val="single" w:sz="4" w:space="0" w:color="000000"/>
              <w:right w:val="single" w:sz="4" w:space="0" w:color="000000"/>
            </w:tcBorders>
          </w:tcPr>
          <w:p>
            <w:pPr>
              <w:pStyle w:val="TableParagraph"/>
              <w:spacing w:line="237" w:lineRule="auto" w:before="78"/>
              <w:ind w:left="120" w:right="115"/>
              <w:jc w:val="both"/>
              <w:rPr>
                <w:rFonts w:ascii="Times New Roman" w:hAnsi="Times New Roman" w:cs="Times New Roman" w:eastAsia="Times New Roman" w:hint="default"/>
                <w:sz w:val="21"/>
                <w:szCs w:val="21"/>
              </w:rPr>
            </w:pPr>
            <w:r>
              <w:rPr>
                <w:rFonts w:ascii="宋体" w:hAnsi="宋体" w:cs="宋体" w:eastAsia="宋体" w:hint="default"/>
                <w:sz w:val="21"/>
                <w:szCs w:val="21"/>
              </w:rPr>
              <w:t>在被投</w:t>
            </w:r>
            <w:r>
              <w:rPr>
                <w:rFonts w:ascii="宋体" w:hAnsi="宋体" w:cs="宋体" w:eastAsia="宋体" w:hint="default"/>
                <w:spacing w:val="-102"/>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37" w:lineRule="auto"/>
              <w:ind w:left="165" w:right="163"/>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红利</w:t>
            </w:r>
          </w:p>
        </w:tc>
      </w:tr>
      <w:tr>
        <w:trPr>
          <w:trHeight w:val="602" w:hRule="exact"/>
        </w:trPr>
        <w:tc>
          <w:tcPr>
            <w:tcW w:w="823" w:type="dxa"/>
            <w:vMerge/>
            <w:tcBorders>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96"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
              <w:ind w:left="196" w:right="190"/>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
              <w:ind w:left="196" w:right="192"/>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96"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96"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
              <w:ind w:left="194" w:right="194"/>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
              <w:ind w:left="194" w:right="194"/>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94"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88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r>
      <w:tr>
        <w:trPr>
          <w:trHeight w:val="2189"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84"/>
                <w:sz w:val="21"/>
                <w:szCs w:val="21"/>
              </w:rPr>
              <w:t> </w:t>
            </w:r>
            <w:r>
              <w:rPr>
                <w:rFonts w:ascii="宋体" w:hAnsi="宋体" w:cs="宋体" w:eastAsia="宋体" w:hint="default"/>
                <w:sz w:val="21"/>
                <w:szCs w:val="21"/>
              </w:rPr>
              <w:t>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省</w:t>
            </w:r>
            <w:r>
              <w:rPr>
                <w:rFonts w:ascii="宋体" w:hAnsi="宋体" w:cs="宋体" w:eastAsia="宋体" w:hint="default"/>
                <w:spacing w:val="84"/>
                <w:sz w:val="21"/>
                <w:szCs w:val="21"/>
              </w:rPr>
              <w:t> </w:t>
            </w:r>
            <w:r>
              <w:rPr>
                <w:rFonts w:ascii="宋体" w:hAnsi="宋体" w:cs="宋体" w:eastAsia="宋体" w:hint="default"/>
                <w:sz w:val="21"/>
                <w:szCs w:val="21"/>
              </w:rPr>
              <w:t>数</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字</w:t>
            </w:r>
            <w:r>
              <w:rPr>
                <w:rFonts w:ascii="宋体" w:hAnsi="宋体" w:cs="宋体" w:eastAsia="宋体" w:hint="default"/>
                <w:spacing w:val="84"/>
                <w:sz w:val="21"/>
                <w:szCs w:val="21"/>
              </w:rPr>
              <w:t> </w:t>
            </w:r>
            <w:r>
              <w:rPr>
                <w:rFonts w:ascii="宋体" w:hAnsi="宋体" w:cs="宋体" w:eastAsia="宋体" w:hint="default"/>
                <w:sz w:val="21"/>
                <w:szCs w:val="21"/>
              </w:rPr>
              <w:t>安</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pacing w:val="84"/>
                <w:sz w:val="21"/>
                <w:szCs w:val="21"/>
              </w:rPr>
              <w:t> </w:t>
            </w:r>
            <w:r>
              <w:rPr>
                <w:rFonts w:ascii="宋体" w:hAnsi="宋体" w:cs="宋体" w:eastAsia="宋体" w:hint="default"/>
                <w:sz w:val="21"/>
                <w:szCs w:val="21"/>
              </w:rPr>
              <w:t>证</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书</w:t>
            </w:r>
            <w:r>
              <w:rPr>
                <w:rFonts w:ascii="宋体" w:hAnsi="宋体" w:cs="宋体" w:eastAsia="宋体" w:hint="default"/>
                <w:spacing w:val="84"/>
                <w:sz w:val="21"/>
                <w:szCs w:val="21"/>
              </w:rPr>
              <w:t> </w:t>
            </w:r>
            <w:r>
              <w:rPr>
                <w:rFonts w:ascii="宋体" w:hAnsi="宋体" w:cs="宋体" w:eastAsia="宋体" w:hint="default"/>
                <w:sz w:val="21"/>
                <w:szCs w:val="21"/>
              </w:rPr>
              <w:t>管</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spacing w:val="84"/>
                <w:sz w:val="21"/>
                <w:szCs w:val="21"/>
              </w:rPr>
              <w:t> </w:t>
            </w:r>
            <w:r>
              <w:rPr>
                <w:rFonts w:ascii="宋体" w:hAnsi="宋体" w:cs="宋体" w:eastAsia="宋体" w:hint="default"/>
                <w:sz w:val="21"/>
                <w:szCs w:val="21"/>
              </w:rPr>
              <w:t>有</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4"/>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4" w:right="0"/>
              <w:jc w:val="left"/>
              <w:rPr>
                <w:rFonts w:ascii="Times New Roman" w:hAnsi="Times New Roman" w:cs="Times New Roman" w:eastAsia="Times New Roman" w:hint="default"/>
                <w:sz w:val="21"/>
                <w:szCs w:val="21"/>
              </w:rPr>
            </w:pPr>
            <w:r>
              <w:rPr>
                <w:rFonts w:ascii="Times New Roman"/>
                <w:sz w:val="21"/>
              </w:rPr>
              <w:t>7,200,</w:t>
            </w:r>
          </w:p>
          <w:p>
            <w:pPr>
              <w:pStyle w:val="TableParagraph"/>
              <w:spacing w:line="240" w:lineRule="auto" w:before="1"/>
              <w:ind w:left="131" w:right="0"/>
              <w:jc w:val="left"/>
              <w:rPr>
                <w:rFonts w:ascii="Times New Roman" w:hAnsi="Times New Roman" w:cs="Times New Roman" w:eastAsia="Times New Roman" w:hint="default"/>
                <w:sz w:val="21"/>
                <w:szCs w:val="21"/>
              </w:rPr>
            </w:pPr>
            <w:r>
              <w:rPr>
                <w:rFonts w:ascii="Times New Roman"/>
                <w:sz w:val="21"/>
              </w:rPr>
              <w:t>000.00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4" w:right="0"/>
              <w:jc w:val="left"/>
              <w:rPr>
                <w:rFonts w:ascii="Times New Roman" w:hAnsi="Times New Roman" w:cs="Times New Roman" w:eastAsia="Times New Roman" w:hint="default"/>
                <w:sz w:val="21"/>
                <w:szCs w:val="21"/>
              </w:rPr>
            </w:pPr>
            <w:r>
              <w:rPr>
                <w:rFonts w:ascii="Times New Roman"/>
                <w:sz w:val="21"/>
              </w:rPr>
              <w:t>7,200,</w:t>
            </w:r>
          </w:p>
          <w:p>
            <w:pPr>
              <w:pStyle w:val="TableParagraph"/>
              <w:spacing w:line="240" w:lineRule="auto" w:before="1"/>
              <w:ind w:left="131" w:right="0"/>
              <w:jc w:val="left"/>
              <w:rPr>
                <w:rFonts w:ascii="Times New Roman" w:hAnsi="Times New Roman" w:cs="Times New Roman" w:eastAsia="Times New Roman" w:hint="default"/>
                <w:sz w:val="21"/>
                <w:szCs w:val="21"/>
              </w:rPr>
            </w:pPr>
            <w:r>
              <w:rPr>
                <w:rFonts w:ascii="Times New Roman"/>
                <w:sz w:val="21"/>
              </w:rPr>
              <w:t>000.00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 w:right="0"/>
              <w:jc w:val="center"/>
              <w:rPr>
                <w:rFonts w:ascii="Times New Roman" w:hAnsi="Times New Roman" w:cs="Times New Roman" w:eastAsia="Times New Roman" w:hint="default"/>
                <w:sz w:val="21"/>
                <w:szCs w:val="21"/>
              </w:rPr>
            </w:pPr>
            <w:r>
              <w:rPr>
                <w:rFonts w:ascii="Times New Roman"/>
                <w:sz w:val="21"/>
              </w:rPr>
              <w:t>19.92%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438,7</w:t>
            </w:r>
          </w:p>
          <w:p>
            <w:pPr>
              <w:pStyle w:val="TableParagraph"/>
              <w:spacing w:line="240" w:lineRule="auto" w:before="1"/>
              <w:ind w:left="177" w:right="0"/>
              <w:jc w:val="left"/>
              <w:rPr>
                <w:rFonts w:ascii="Times New Roman" w:hAnsi="Times New Roman" w:cs="Times New Roman" w:eastAsia="Times New Roman" w:hint="default"/>
                <w:sz w:val="21"/>
                <w:szCs w:val="21"/>
              </w:rPr>
            </w:pPr>
            <w:r>
              <w:rPr>
                <w:rFonts w:ascii="Times New Roman"/>
                <w:sz w:val="21"/>
              </w:rPr>
              <w:t>00.00</w:t>
            </w:r>
          </w:p>
        </w:tc>
      </w:tr>
      <w:tr>
        <w:trPr>
          <w:trHeight w:val="49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9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4" w:right="0"/>
              <w:jc w:val="left"/>
              <w:rPr>
                <w:rFonts w:ascii="Times New Roman" w:hAnsi="Times New Roman" w:cs="Times New Roman" w:eastAsia="Times New Roman" w:hint="default"/>
                <w:sz w:val="21"/>
                <w:szCs w:val="21"/>
              </w:rPr>
            </w:pPr>
            <w:r>
              <w:rPr>
                <w:rFonts w:ascii="Times New Roman"/>
                <w:sz w:val="21"/>
              </w:rPr>
              <w:t>7,200,</w:t>
            </w:r>
          </w:p>
          <w:p>
            <w:pPr>
              <w:pStyle w:val="TableParagraph"/>
              <w:spacing w:line="240" w:lineRule="auto" w:before="1"/>
              <w:ind w:left="131" w:right="0"/>
              <w:jc w:val="left"/>
              <w:rPr>
                <w:rFonts w:ascii="Times New Roman" w:hAnsi="Times New Roman" w:cs="Times New Roman" w:eastAsia="Times New Roman" w:hint="default"/>
                <w:sz w:val="21"/>
                <w:szCs w:val="21"/>
              </w:rPr>
            </w:pPr>
            <w:r>
              <w:rPr>
                <w:rFonts w:ascii="Times New Roman"/>
                <w:sz w:val="21"/>
              </w:rPr>
              <w:t>000.00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4" w:right="0"/>
              <w:jc w:val="left"/>
              <w:rPr>
                <w:rFonts w:ascii="Times New Roman" w:hAnsi="Times New Roman" w:cs="Times New Roman" w:eastAsia="Times New Roman" w:hint="default"/>
                <w:sz w:val="21"/>
                <w:szCs w:val="21"/>
              </w:rPr>
            </w:pPr>
            <w:r>
              <w:rPr>
                <w:rFonts w:ascii="Times New Roman"/>
                <w:sz w:val="21"/>
              </w:rPr>
              <w:t>7,200,</w:t>
            </w:r>
          </w:p>
          <w:p>
            <w:pPr>
              <w:pStyle w:val="TableParagraph"/>
              <w:spacing w:line="240" w:lineRule="auto" w:before="1"/>
              <w:ind w:left="131" w:right="0"/>
              <w:jc w:val="left"/>
              <w:rPr>
                <w:rFonts w:ascii="Times New Roman" w:hAnsi="Times New Roman" w:cs="Times New Roman" w:eastAsia="Times New Roman" w:hint="default"/>
                <w:sz w:val="21"/>
                <w:szCs w:val="21"/>
              </w:rPr>
            </w:pPr>
            <w:r>
              <w:rPr>
                <w:rFonts w:ascii="Times New Roman"/>
                <w:sz w:val="21"/>
              </w:rPr>
              <w:t>000.00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438,7</w:t>
            </w:r>
          </w:p>
          <w:p>
            <w:pPr>
              <w:pStyle w:val="TableParagraph"/>
              <w:spacing w:line="240" w:lineRule="auto" w:before="1"/>
              <w:ind w:left="177" w:right="0"/>
              <w:jc w:val="left"/>
              <w:rPr>
                <w:rFonts w:ascii="Times New Roman" w:hAnsi="Times New Roman" w:cs="Times New Roman" w:eastAsia="Times New Roman" w:hint="default"/>
                <w:sz w:val="21"/>
                <w:szCs w:val="21"/>
              </w:rPr>
            </w:pPr>
            <w:r>
              <w:rPr>
                <w:rFonts w:ascii="Times New Roman"/>
                <w:sz w:val="21"/>
              </w:rPr>
              <w:t>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tabs>
          <w:tab w:pos="861" w:val="left" w:leader="none"/>
        </w:tabs>
        <w:spacing w:line="240" w:lineRule="auto" w:before="36"/>
        <w:ind w:right="2465"/>
        <w:jc w:val="left"/>
        <w:rPr>
          <w:b w:val="0"/>
          <w:bCs w:val="0"/>
        </w:rPr>
      </w:pPr>
      <w:r>
        <w:rPr>
          <w:rFonts w:ascii="宋体" w:hAnsi="宋体" w:cs="宋体" w:eastAsia="宋体" w:hint="default"/>
          <w:w w:val="95"/>
        </w:rPr>
        <w:t>(4).</w:t>
        <w:tab/>
      </w:r>
      <w:r>
        <w:rPr/>
        <w:t>报告期内可供出售金融资产减值的变动情况</w:t>
      </w:r>
      <w:r>
        <w:rPr>
          <w:b w:val="0"/>
          <w:bCs w:val="0"/>
        </w:rPr>
      </w:r>
    </w:p>
    <w:p>
      <w:pPr>
        <w:pStyle w:val="BodyText"/>
        <w:spacing w:line="240" w:lineRule="auto" w:before="56"/>
        <w:ind w:right="2465"/>
        <w:jc w:val="left"/>
      </w:pPr>
      <w:r>
        <w:rPr/>
        <w:t>□适用√不适用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tabs>
          <w:tab w:pos="861" w:val="left" w:leader="none"/>
        </w:tabs>
        <w:spacing w:line="240" w:lineRule="auto" w:before="36"/>
        <w:ind w:right="65"/>
        <w:jc w:val="left"/>
        <w:rPr>
          <w:b w:val="0"/>
          <w:bCs w:val="0"/>
        </w:rPr>
      </w:pPr>
      <w:r>
        <w:rPr>
          <w:rFonts w:ascii="宋体" w:hAnsi="宋体" w:cs="宋体" w:eastAsia="宋体" w:hint="default"/>
          <w:w w:val="95"/>
        </w:rPr>
        <w:t>(5).</w:t>
        <w:tab/>
      </w:r>
      <w:r>
        <w:rPr/>
        <w:t>可供出售权益工具期末公允价值严重下跌或非暂时性下跌但未计提减值准备的相关说明：</w:t>
      </w:r>
      <w:r>
        <w:rPr>
          <w:b w:val="0"/>
          <w:bCs w:val="0"/>
        </w:rPr>
      </w:r>
    </w:p>
    <w:p>
      <w:pPr>
        <w:pStyle w:val="BodyText"/>
        <w:spacing w:line="272" w:lineRule="exact" w:before="86"/>
        <w:ind w:right="7585"/>
        <w:jc w:val="left"/>
      </w:pPr>
      <w:r>
        <w:rPr>
          <w:spacing w:val="-1"/>
        </w:rPr>
        <w:t>□适用√不适用</w:t>
      </w:r>
      <w:r>
        <w:rPr>
          <w:spacing w:val="-96"/>
        </w:rPr>
        <w:t> </w:t>
      </w:r>
      <w:r>
        <w:rPr>
          <w:spacing w:val="-96"/>
        </w:rPr>
      </w:r>
      <w:r>
        <w:rPr/>
        <w:t>其他说明</w:t>
      </w:r>
    </w:p>
    <w:p>
      <w:pPr>
        <w:pStyle w:val="BodyText"/>
        <w:spacing w:line="249" w:lineRule="exact"/>
        <w:ind w:right="2465"/>
        <w:jc w:val="left"/>
      </w:pPr>
      <w:r>
        <w:rPr/>
        <w:t>□适用√不适用</w:t>
      </w:r>
    </w:p>
    <w:p>
      <w:pPr>
        <w:spacing w:line="240" w:lineRule="auto" w:before="11"/>
        <w:rPr>
          <w:rFonts w:ascii="宋体" w:hAnsi="宋体" w:cs="宋体" w:eastAsia="宋体" w:hint="default"/>
          <w:sz w:val="22"/>
          <w:szCs w:val="22"/>
        </w:rPr>
      </w:pPr>
    </w:p>
    <w:p>
      <w:pPr>
        <w:pStyle w:val="Heading2"/>
        <w:spacing w:line="290" w:lineRule="auto"/>
        <w:ind w:right="6516"/>
        <w:jc w:val="left"/>
        <w:rPr>
          <w:b w:val="0"/>
          <w:bCs w:val="0"/>
        </w:rPr>
      </w:pPr>
      <w:r>
        <w:rPr/>
        <w:t>（</w:t>
      </w:r>
      <w:r>
        <w:rPr>
          <w:rFonts w:ascii="宋体" w:hAnsi="宋体" w:cs="宋体" w:eastAsia="宋体" w:hint="default"/>
        </w:rPr>
        <w:t>11</w:t>
      </w:r>
      <w:r>
        <w:rPr/>
        <w:t>）</w:t>
      </w:r>
      <w:r>
        <w:rPr>
          <w:spacing w:val="-20"/>
        </w:rPr>
        <w:t> </w:t>
      </w:r>
      <w:r>
        <w:rPr/>
        <w:t>持有至到期投资</w:t>
      </w:r>
      <w:r>
        <w:rPr>
          <w:w w:val="100"/>
        </w:rPr>
        <w:t> </w:t>
      </w:r>
      <w:r>
        <w:rPr>
          <w:rFonts w:ascii="宋体" w:hAnsi="宋体" w:cs="宋体" w:eastAsia="宋体" w:hint="default"/>
        </w:rPr>
        <w:t>(1).</w:t>
      </w:r>
      <w:r>
        <w:rPr/>
        <w:t>持有至到期投资情况：</w:t>
      </w:r>
      <w:r>
        <w:rPr>
          <w:b w:val="0"/>
          <w:bCs w:val="0"/>
        </w:rPr>
      </w:r>
    </w:p>
    <w:p>
      <w:pPr>
        <w:pStyle w:val="BodyText"/>
        <w:spacing w:line="228" w:lineRule="exact"/>
        <w:ind w:right="2465"/>
        <w:jc w:val="left"/>
      </w:pPr>
      <w:r>
        <w:rPr/>
        <w:t>□适用√不适用</w:t>
      </w:r>
    </w:p>
    <w:p>
      <w:pPr>
        <w:pStyle w:val="Heading2"/>
        <w:spacing w:line="272" w:lineRule="exact"/>
        <w:ind w:right="2465"/>
        <w:jc w:val="left"/>
        <w:rPr>
          <w:b w:val="0"/>
          <w:bCs w:val="0"/>
        </w:rPr>
      </w:pPr>
      <w:r>
        <w:rPr>
          <w:rFonts w:ascii="宋体" w:hAnsi="宋体" w:cs="宋体" w:eastAsia="宋体" w:hint="default"/>
        </w:rPr>
        <w:t>(2).</w:t>
      </w:r>
      <w:r>
        <w:rPr/>
        <w:t>期末重要的持有至到期投资：</w:t>
      </w:r>
      <w:r>
        <w:rPr>
          <w:b w:val="0"/>
          <w:bCs w:val="0"/>
        </w:rPr>
      </w:r>
    </w:p>
    <w:p>
      <w:pPr>
        <w:spacing w:line="272" w:lineRule="exact" w:before="27"/>
        <w:ind w:left="218" w:right="5673"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pStyle w:val="BodyText"/>
        <w:spacing w:line="249" w:lineRule="exact"/>
        <w:ind w:right="2465"/>
        <w:jc w:val="left"/>
      </w:pPr>
      <w:r>
        <w:rPr/>
        <w:t>□适用√不适用</w:t>
      </w:r>
    </w:p>
    <w:p>
      <w:pPr>
        <w:spacing w:line="240" w:lineRule="auto" w:before="4"/>
        <w:rPr>
          <w:rFonts w:ascii="宋体" w:hAnsi="宋体" w:cs="宋体" w:eastAsia="宋体" w:hint="default"/>
          <w:sz w:val="18"/>
          <w:szCs w:val="18"/>
        </w:rPr>
      </w:pPr>
    </w:p>
    <w:p>
      <w:pPr>
        <w:pStyle w:val="BodyText"/>
        <w:spacing w:line="273" w:lineRule="exact"/>
        <w:ind w:right="2465"/>
        <w:jc w:val="left"/>
      </w:pPr>
      <w:r>
        <w:rPr/>
        <w:t>其他说明：</w:t>
      </w:r>
    </w:p>
    <w:p>
      <w:pPr>
        <w:pStyle w:val="BodyText"/>
        <w:spacing w:line="273" w:lineRule="exact"/>
        <w:ind w:right="2465"/>
        <w:jc w:val="left"/>
      </w:pPr>
      <w:r>
        <w:rPr/>
        <w:t>□适用√不适用</w:t>
      </w:r>
    </w:p>
    <w:p>
      <w:pPr>
        <w:spacing w:line="240" w:lineRule="auto" w:before="11"/>
        <w:rPr>
          <w:rFonts w:ascii="宋体" w:hAnsi="宋体" w:cs="宋体" w:eastAsia="宋体" w:hint="default"/>
          <w:sz w:val="22"/>
          <w:szCs w:val="22"/>
        </w:rPr>
      </w:pPr>
    </w:p>
    <w:p>
      <w:pPr>
        <w:pStyle w:val="Heading2"/>
        <w:spacing w:line="240" w:lineRule="auto"/>
        <w:ind w:right="2465"/>
        <w:jc w:val="left"/>
        <w:rPr>
          <w:b w:val="0"/>
          <w:bCs w:val="0"/>
        </w:rPr>
      </w:pPr>
      <w:r>
        <w:rPr/>
        <w:t>（</w:t>
      </w:r>
      <w:r>
        <w:rPr>
          <w:rFonts w:ascii="宋体" w:hAnsi="宋体" w:cs="宋体" w:eastAsia="宋体" w:hint="default"/>
        </w:rPr>
        <w:t>12</w:t>
      </w:r>
      <w:r>
        <w:rPr/>
        <w:t>）</w:t>
      </w:r>
      <w:r>
        <w:rPr>
          <w:spacing w:val="-19"/>
        </w:rPr>
        <w:t> </w:t>
      </w:r>
      <w:r>
        <w:rPr/>
        <w:t>长期应收款</w:t>
      </w:r>
      <w:r>
        <w:rPr>
          <w:b w:val="0"/>
          <w:bCs w:val="0"/>
        </w:rPr>
      </w:r>
    </w:p>
    <w:p>
      <w:pPr>
        <w:pStyle w:val="Heading2"/>
        <w:spacing w:line="240" w:lineRule="auto" w:before="58"/>
        <w:ind w:right="2465"/>
        <w:jc w:val="left"/>
        <w:rPr>
          <w:b w:val="0"/>
          <w:bCs w:val="0"/>
        </w:rPr>
      </w:pPr>
      <w:r>
        <w:rPr>
          <w:rFonts w:ascii="宋体" w:hAnsi="宋体" w:cs="宋体" w:eastAsia="宋体" w:hint="default"/>
        </w:rPr>
        <w:t>(1)</w:t>
      </w:r>
      <w:r>
        <w:rPr>
          <w:rFonts w:ascii="宋体" w:hAnsi="宋体" w:cs="宋体" w:eastAsia="宋体" w:hint="default"/>
          <w:spacing w:val="4"/>
        </w:rPr>
        <w:t> </w:t>
      </w:r>
      <w:r>
        <w:rPr/>
        <w:t>长期应收款情况：</w:t>
      </w:r>
      <w:r>
        <w:rPr>
          <w:b w:val="0"/>
          <w:bCs w:val="0"/>
        </w:rPr>
      </w:r>
    </w:p>
    <w:p>
      <w:pPr>
        <w:pStyle w:val="BodyText"/>
        <w:spacing w:line="240" w:lineRule="auto" w:before="56"/>
        <w:ind w:right="2465"/>
        <w:jc w:val="left"/>
      </w:pPr>
      <w:r>
        <w:rPr/>
        <w:t>□适用√不适用</w:t>
      </w:r>
    </w:p>
    <w:p>
      <w:pPr>
        <w:pStyle w:val="Heading2"/>
        <w:spacing w:line="240" w:lineRule="auto" w:before="58"/>
        <w:ind w:right="2465"/>
        <w:jc w:val="left"/>
        <w:rPr>
          <w:b w:val="0"/>
          <w:bCs w:val="0"/>
        </w:rPr>
      </w:pPr>
      <w:r>
        <w:rPr>
          <w:rFonts w:ascii="宋体" w:hAnsi="宋体" w:cs="宋体" w:eastAsia="宋体" w:hint="default"/>
        </w:rPr>
        <w:t>(2)</w:t>
      </w:r>
      <w:r>
        <w:rPr>
          <w:rFonts w:ascii="宋体" w:hAnsi="宋体" w:cs="宋体" w:eastAsia="宋体" w:hint="default"/>
          <w:spacing w:val="2"/>
        </w:rPr>
        <w:t> </w:t>
      </w:r>
      <w:r>
        <w:rPr/>
        <w:t>因金融资产转移而终止确认的长期应收款</w:t>
      </w:r>
      <w:r>
        <w:rPr>
          <w:b w:val="0"/>
          <w:bCs w:val="0"/>
        </w:rPr>
      </w:r>
    </w:p>
    <w:p>
      <w:pPr>
        <w:pStyle w:val="BodyText"/>
        <w:spacing w:line="240" w:lineRule="auto" w:before="56"/>
        <w:ind w:right="2465"/>
        <w:jc w:val="left"/>
      </w:pPr>
      <w:r>
        <w:rPr/>
        <w:t>□适用√不适用</w:t>
      </w:r>
    </w:p>
    <w:p>
      <w:pPr>
        <w:spacing w:line="240" w:lineRule="auto" w:before="11"/>
        <w:rPr>
          <w:rFonts w:ascii="宋体" w:hAnsi="宋体" w:cs="宋体" w:eastAsia="宋体" w:hint="default"/>
          <w:sz w:val="22"/>
          <w:szCs w:val="22"/>
        </w:rPr>
      </w:pPr>
    </w:p>
    <w:p>
      <w:pPr>
        <w:pStyle w:val="Heading2"/>
        <w:spacing w:line="240" w:lineRule="auto"/>
        <w:ind w:right="2465"/>
        <w:jc w:val="left"/>
        <w:rPr>
          <w:b w:val="0"/>
          <w:bCs w:val="0"/>
        </w:rPr>
      </w:pPr>
      <w:r>
        <w:rPr>
          <w:rFonts w:ascii="宋体" w:hAnsi="宋体" w:cs="宋体" w:eastAsia="宋体" w:hint="default"/>
        </w:rPr>
        <w:t>(3) </w:t>
      </w:r>
      <w:r>
        <w:rPr/>
        <w:t>转移长期应收款且继续涉入形成的资产、负债金额</w:t>
      </w:r>
      <w:r>
        <w:rPr>
          <w:b w:val="0"/>
          <w:bCs w:val="0"/>
        </w:rPr>
      </w:r>
    </w:p>
    <w:p>
      <w:pPr>
        <w:pStyle w:val="BodyText"/>
        <w:spacing w:line="240" w:lineRule="auto" w:before="58"/>
        <w:ind w:right="2465"/>
        <w:jc w:val="left"/>
      </w:pPr>
      <w:r>
        <w:rPr/>
        <w:t>□适用√不适用</w:t>
      </w:r>
    </w:p>
    <w:p>
      <w:pPr>
        <w:spacing w:line="240" w:lineRule="auto" w:before="3"/>
        <w:rPr>
          <w:rFonts w:ascii="宋体" w:hAnsi="宋体" w:cs="宋体" w:eastAsia="宋体" w:hint="default"/>
          <w:sz w:val="18"/>
          <w:szCs w:val="18"/>
        </w:rPr>
      </w:pPr>
    </w:p>
    <w:p>
      <w:pPr>
        <w:pStyle w:val="BodyText"/>
        <w:spacing w:line="274" w:lineRule="exact"/>
        <w:ind w:right="2465"/>
        <w:jc w:val="left"/>
      </w:pPr>
      <w:r>
        <w:rPr/>
        <w:t>其他说明</w:t>
      </w:r>
    </w:p>
    <w:p>
      <w:pPr>
        <w:pStyle w:val="BodyText"/>
        <w:spacing w:line="274" w:lineRule="exact"/>
        <w:ind w:right="2465"/>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2"/>
        <w:spacing w:line="240" w:lineRule="auto" w:before="36"/>
        <w:ind w:right="-18"/>
        <w:jc w:val="left"/>
        <w:rPr>
          <w:b w:val="0"/>
          <w:bCs w:val="0"/>
        </w:rPr>
      </w:pPr>
      <w:r>
        <w:rPr/>
        <w:t>（</w:t>
      </w:r>
      <w:r>
        <w:rPr>
          <w:rFonts w:ascii="宋体" w:hAnsi="宋体" w:cs="宋体" w:eastAsia="宋体" w:hint="default"/>
        </w:rPr>
        <w:t>13</w:t>
      </w:r>
      <w:r>
        <w:rPr/>
        <w:t>）</w:t>
      </w:r>
      <w:r>
        <w:rPr>
          <w:spacing w:val="-19"/>
        </w:rPr>
        <w:t> </w:t>
      </w:r>
      <w:r>
        <w:rPr/>
        <w:t>长期股权投资</w:t>
      </w:r>
      <w:r>
        <w:rPr>
          <w:b w:val="0"/>
          <w:bCs w:val="0"/>
        </w:rPr>
      </w:r>
    </w:p>
    <w:p>
      <w:pPr>
        <w:pStyle w:val="BodyText"/>
        <w:spacing w:line="240" w:lineRule="auto" w:before="56"/>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206" w:space="4527"/>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23"/>
        <w:gridCol w:w="758"/>
        <w:gridCol w:w="759"/>
        <w:gridCol w:w="672"/>
        <w:gridCol w:w="787"/>
        <w:gridCol w:w="706"/>
        <w:gridCol w:w="711"/>
        <w:gridCol w:w="785"/>
        <w:gridCol w:w="775"/>
        <w:gridCol w:w="757"/>
        <w:gridCol w:w="770"/>
        <w:gridCol w:w="746"/>
      </w:tblGrid>
      <w:tr>
        <w:trPr>
          <w:trHeight w:val="283" w:hRule="exact"/>
        </w:trPr>
        <w:tc>
          <w:tcPr>
            <w:tcW w:w="8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37" w:lineRule="auto"/>
              <w:ind w:left="196" w:right="192"/>
              <w:jc w:val="both"/>
              <w:rPr>
                <w:rFonts w:ascii="宋体" w:hAnsi="宋体" w:cs="宋体" w:eastAsia="宋体" w:hint="default"/>
                <w:sz w:val="21"/>
                <w:szCs w:val="21"/>
              </w:rPr>
            </w:pPr>
            <w:r>
              <w:rPr>
                <w:rFonts w:ascii="宋体" w:hAnsi="宋体" w:cs="宋体" w:eastAsia="宋体" w:hint="default"/>
                <w:sz w:val="21"/>
                <w:szCs w:val="21"/>
              </w:rPr>
              <w:t>被投</w:t>
            </w:r>
            <w:r>
              <w:rPr>
                <w:rFonts w:ascii="宋体" w:hAnsi="宋体" w:cs="宋体" w:eastAsia="宋体" w:hint="default"/>
                <w:spacing w:val="-103"/>
                <w:sz w:val="21"/>
                <w:szCs w:val="21"/>
              </w:rPr>
              <w:t> </w:t>
            </w:r>
            <w:r>
              <w:rPr>
                <w:rFonts w:ascii="宋体" w:hAnsi="宋体" w:cs="宋体" w:eastAsia="宋体" w:hint="default"/>
                <w:sz w:val="21"/>
                <w:szCs w:val="21"/>
              </w:rPr>
              <w:t>资单</w:t>
            </w:r>
            <w:r>
              <w:rPr>
                <w:rFonts w:ascii="宋体" w:hAnsi="宋体" w:cs="宋体" w:eastAsia="宋体" w:hint="default"/>
                <w:spacing w:val="-103"/>
                <w:sz w:val="21"/>
                <w:szCs w:val="21"/>
              </w:rPr>
              <w:t> </w:t>
            </w:r>
            <w:r>
              <w:rPr>
                <w:rFonts w:ascii="宋体" w:hAnsi="宋体" w:cs="宋体" w:eastAsia="宋体" w:hint="default"/>
                <w:sz w:val="21"/>
                <w:szCs w:val="21"/>
              </w:rPr>
              <w:t>位</w:t>
            </w:r>
          </w:p>
        </w:tc>
        <w:tc>
          <w:tcPr>
            <w:tcW w:w="7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7"/>
              <w:ind w:left="163" w:right="161"/>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7"/>
              <w:ind w:left="170" w:right="167"/>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4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37" w:lineRule="auto"/>
              <w:ind w:left="158" w:right="155"/>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645" w:hRule="exact"/>
        </w:trPr>
        <w:tc>
          <w:tcPr>
            <w:tcW w:w="823"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63" w:right="161"/>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19" w:right="119"/>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ind w:left="177" w:right="175"/>
              <w:jc w:val="both"/>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36" w:right="134"/>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37" w:lineRule="auto"/>
              <w:ind w:left="139" w:right="13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ind w:left="177" w:right="173"/>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37" w:lineRule="auto"/>
              <w:ind w:left="172" w:right="168"/>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70" w:type="dxa"/>
            <w:vMerge/>
            <w:tcBorders>
              <w:left w:val="single" w:sz="4" w:space="0" w:color="000000"/>
              <w:bottom w:val="single" w:sz="4" w:space="0" w:color="000000"/>
              <w:right w:val="single" w:sz="4" w:space="0" w:color="000000"/>
            </w:tcBorders>
          </w:tcPr>
          <w:p>
            <w:pPr/>
          </w:p>
        </w:tc>
        <w:tc>
          <w:tcPr>
            <w:tcW w:w="746" w:type="dxa"/>
            <w:vMerge/>
            <w:tcBorders>
              <w:left w:val="single" w:sz="4" w:space="0" w:color="000000"/>
              <w:bottom w:val="single" w:sz="4" w:space="0" w:color="000000"/>
              <w:right w:val="single" w:sz="4" w:space="0" w:color="000000"/>
            </w:tcBorders>
          </w:tcPr>
          <w:p>
            <w:pPr/>
          </w:p>
        </w:tc>
      </w:tr>
      <w:tr>
        <w:trPr>
          <w:trHeight w:val="281"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一、联营企业</w:t>
            </w:r>
          </w:p>
        </w:tc>
      </w:tr>
      <w:tr>
        <w:trPr>
          <w:trHeight w:val="2189"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84"/>
                <w:sz w:val="21"/>
                <w:szCs w:val="21"/>
              </w:rPr>
              <w:t> </w:t>
            </w:r>
            <w:r>
              <w:rPr>
                <w:rFonts w:ascii="宋体" w:hAnsi="宋体" w:cs="宋体" w:eastAsia="宋体" w:hint="default"/>
                <w:sz w:val="21"/>
                <w:szCs w:val="21"/>
              </w:rPr>
              <w:t>钞</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格</w:t>
            </w:r>
            <w:r>
              <w:rPr>
                <w:rFonts w:ascii="宋体" w:hAnsi="宋体" w:cs="宋体" w:eastAsia="宋体" w:hint="default"/>
                <w:spacing w:val="84"/>
                <w:sz w:val="21"/>
                <w:szCs w:val="21"/>
              </w:rPr>
              <w:t> </w:t>
            </w:r>
            <w:r>
              <w:rPr>
                <w:rFonts w:ascii="宋体" w:hAnsi="宋体" w:cs="宋体" w:eastAsia="宋体" w:hint="default"/>
                <w:sz w:val="21"/>
                <w:szCs w:val="21"/>
              </w:rPr>
              <w:t>尔</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智</w:t>
            </w:r>
            <w:r>
              <w:rPr>
                <w:rFonts w:ascii="宋体" w:hAnsi="宋体" w:cs="宋体" w:eastAsia="宋体" w:hint="default"/>
                <w:spacing w:val="84"/>
                <w:sz w:val="21"/>
                <w:szCs w:val="21"/>
              </w:rPr>
              <w:t> </w:t>
            </w:r>
            <w:r>
              <w:rPr>
                <w:rFonts w:ascii="宋体" w:hAnsi="宋体" w:cs="宋体" w:eastAsia="宋体" w:hint="default"/>
                <w:sz w:val="21"/>
                <w:szCs w:val="21"/>
              </w:rPr>
              <w:t>能</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卡</w:t>
            </w:r>
            <w:r>
              <w:rPr>
                <w:rFonts w:ascii="宋体" w:hAnsi="宋体" w:cs="宋体" w:eastAsia="宋体" w:hint="default"/>
                <w:spacing w:val="84"/>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上</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spacing w:val="84"/>
                <w:sz w:val="21"/>
                <w:szCs w:val="21"/>
              </w:rPr>
              <w:t> </w:t>
            </w:r>
            <w:r>
              <w:rPr>
                <w:rFonts w:ascii="宋体" w:hAnsi="宋体" w:cs="宋体" w:eastAsia="宋体" w:hint="default"/>
                <w:sz w:val="21"/>
                <w:szCs w:val="21"/>
              </w:rPr>
              <w:t>公</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70" w:right="0"/>
              <w:jc w:val="left"/>
              <w:rPr>
                <w:rFonts w:ascii="Times New Roman" w:hAnsi="Times New Roman" w:cs="Times New Roman" w:eastAsia="Times New Roman" w:hint="default"/>
                <w:sz w:val="21"/>
                <w:szCs w:val="21"/>
              </w:rPr>
            </w:pPr>
            <w:r>
              <w:rPr>
                <w:rFonts w:ascii="Times New Roman"/>
                <w:sz w:val="21"/>
              </w:rPr>
              <w:t>15,61</w:t>
            </w:r>
          </w:p>
          <w:p>
            <w:pPr>
              <w:pStyle w:val="TableParagraph"/>
              <w:spacing w:line="241" w:lineRule="exact"/>
              <w:ind w:left="117" w:right="0"/>
              <w:jc w:val="left"/>
              <w:rPr>
                <w:rFonts w:ascii="Times New Roman" w:hAnsi="Times New Roman" w:cs="Times New Roman" w:eastAsia="Times New Roman" w:hint="default"/>
                <w:sz w:val="21"/>
                <w:szCs w:val="21"/>
              </w:rPr>
            </w:pPr>
            <w:r>
              <w:rPr>
                <w:rFonts w:ascii="Times New Roman"/>
                <w:sz w:val="21"/>
              </w:rPr>
              <w:t>3,246.</w:t>
            </w:r>
          </w:p>
          <w:p>
            <w:pPr>
              <w:pStyle w:val="TableParagraph"/>
              <w:spacing w:line="240" w:lineRule="auto" w:before="1"/>
              <w:ind w:left="431" w:right="0"/>
              <w:jc w:val="left"/>
              <w:rPr>
                <w:rFonts w:ascii="Times New Roman" w:hAnsi="Times New Roman" w:cs="Times New Roman" w:eastAsia="Times New Roman" w:hint="default"/>
                <w:sz w:val="21"/>
                <w:szCs w:val="21"/>
              </w:rPr>
            </w:pPr>
            <w:r>
              <w:rPr>
                <w:rFonts w:ascii="Times New Roman"/>
                <w:sz w:val="21"/>
              </w:rPr>
              <w:t>65</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01" w:right="0"/>
              <w:jc w:val="left"/>
              <w:rPr>
                <w:rFonts w:ascii="Times New Roman" w:hAnsi="Times New Roman" w:cs="Times New Roman" w:eastAsia="Times New Roman" w:hint="default"/>
                <w:sz w:val="21"/>
                <w:szCs w:val="21"/>
              </w:rPr>
            </w:pPr>
            <w:r>
              <w:rPr>
                <w:rFonts w:ascii="Times New Roman"/>
                <w:sz w:val="21"/>
              </w:rPr>
              <w:t>607,7</w:t>
            </w:r>
          </w:p>
          <w:p>
            <w:pPr>
              <w:pStyle w:val="TableParagraph"/>
              <w:spacing w:line="241" w:lineRule="exact"/>
              <w:ind w:left="201" w:right="0"/>
              <w:jc w:val="left"/>
              <w:rPr>
                <w:rFonts w:ascii="Times New Roman" w:hAnsi="Times New Roman" w:cs="Times New Roman" w:eastAsia="Times New Roman" w:hint="default"/>
                <w:sz w:val="21"/>
                <w:szCs w:val="21"/>
              </w:rPr>
            </w:pPr>
            <w:r>
              <w:rPr>
                <w:rFonts w:ascii="Times New Roman"/>
                <w:sz w:val="21"/>
              </w:rPr>
              <w:t>23.32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84" w:right="0"/>
              <w:jc w:val="left"/>
              <w:rPr>
                <w:rFonts w:ascii="Times New Roman" w:hAnsi="Times New Roman" w:cs="Times New Roman" w:eastAsia="Times New Roman" w:hint="default"/>
                <w:sz w:val="21"/>
                <w:szCs w:val="21"/>
              </w:rPr>
            </w:pPr>
            <w:r>
              <w:rPr>
                <w:rFonts w:ascii="Times New Roman"/>
                <w:sz w:val="21"/>
              </w:rPr>
              <w:t>16,22</w:t>
            </w:r>
          </w:p>
          <w:p>
            <w:pPr>
              <w:pStyle w:val="TableParagraph"/>
              <w:spacing w:line="241" w:lineRule="exact"/>
              <w:ind w:left="131" w:right="0"/>
              <w:jc w:val="left"/>
              <w:rPr>
                <w:rFonts w:ascii="Times New Roman" w:hAnsi="Times New Roman" w:cs="Times New Roman" w:eastAsia="Times New Roman" w:hint="default"/>
                <w:sz w:val="21"/>
                <w:szCs w:val="21"/>
              </w:rPr>
            </w:pPr>
            <w:r>
              <w:rPr>
                <w:rFonts w:ascii="Times New Roman"/>
                <w:sz w:val="21"/>
              </w:rPr>
              <w:t>0,969.</w:t>
            </w:r>
          </w:p>
          <w:p>
            <w:pPr>
              <w:pStyle w:val="TableParagraph"/>
              <w:spacing w:line="240" w:lineRule="auto" w:before="1"/>
              <w:ind w:left="446" w:right="0"/>
              <w:jc w:val="left"/>
              <w:rPr>
                <w:rFonts w:ascii="Times New Roman" w:hAnsi="Times New Roman" w:cs="Times New Roman" w:eastAsia="Times New Roman" w:hint="default"/>
                <w:sz w:val="21"/>
                <w:szCs w:val="21"/>
              </w:rPr>
            </w:pPr>
            <w:r>
              <w:rPr>
                <w:rFonts w:ascii="Times New Roman"/>
                <w:sz w:val="21"/>
              </w:rPr>
              <w:t>97</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84"/>
                <w:sz w:val="21"/>
                <w:szCs w:val="21"/>
              </w:rPr>
              <w:t> </w:t>
            </w:r>
            <w:r>
              <w:rPr>
                <w:rFonts w:ascii="宋体" w:hAnsi="宋体" w:cs="宋体" w:eastAsia="宋体" w:hint="default"/>
                <w:sz w:val="21"/>
                <w:szCs w:val="21"/>
              </w:rPr>
              <w:t>疆</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0" w:right="0"/>
              <w:jc w:val="left"/>
              <w:rPr>
                <w:rFonts w:ascii="Times New Roman" w:hAnsi="Times New Roman" w:cs="Times New Roman" w:eastAsia="Times New Roman" w:hint="default"/>
                <w:sz w:val="21"/>
                <w:szCs w:val="21"/>
              </w:rPr>
            </w:pPr>
            <w:r>
              <w:rPr>
                <w:rFonts w:ascii="Times New Roman"/>
                <w:sz w:val="21"/>
              </w:rPr>
              <w:t>13,08</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8" w:right="0"/>
              <w:jc w:val="left"/>
              <w:rPr>
                <w:rFonts w:ascii="Times New Roman" w:hAnsi="Times New Roman" w:cs="Times New Roman" w:eastAsia="Times New Roman" w:hint="default"/>
                <w:sz w:val="21"/>
                <w:szCs w:val="21"/>
              </w:rPr>
            </w:pPr>
            <w:r>
              <w:rPr>
                <w:rFonts w:ascii="Times New Roman"/>
                <w:sz w:val="21"/>
              </w:rPr>
              <w:t>5,336,</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6" w:right="0"/>
              <w:jc w:val="left"/>
              <w:rPr>
                <w:rFonts w:ascii="Times New Roman" w:hAnsi="Times New Roman" w:cs="Times New Roman" w:eastAsia="Times New Roman" w:hint="default"/>
                <w:sz w:val="21"/>
                <w:szCs w:val="21"/>
              </w:rPr>
            </w:pPr>
            <w:r>
              <w:rPr>
                <w:rFonts w:ascii="Times New Roman"/>
                <w:sz w:val="21"/>
              </w:rPr>
              <w:t>4,380,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4" w:right="0"/>
              <w:jc w:val="left"/>
              <w:rPr>
                <w:rFonts w:ascii="Times New Roman" w:hAnsi="Times New Roman" w:cs="Times New Roman" w:eastAsia="Times New Roman" w:hint="default"/>
                <w:sz w:val="21"/>
                <w:szCs w:val="21"/>
              </w:rPr>
            </w:pPr>
            <w:r>
              <w:rPr>
                <w:rFonts w:ascii="Times New Roman"/>
                <w:sz w:val="21"/>
              </w:rPr>
              <w:t>14,04</w:t>
            </w:r>
          </w:p>
        </w:tc>
        <w:tc>
          <w:tcPr>
            <w:tcW w:w="74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823"/>
        <w:gridCol w:w="758"/>
        <w:gridCol w:w="759"/>
        <w:gridCol w:w="672"/>
        <w:gridCol w:w="787"/>
        <w:gridCol w:w="706"/>
        <w:gridCol w:w="711"/>
        <w:gridCol w:w="785"/>
        <w:gridCol w:w="775"/>
        <w:gridCol w:w="757"/>
        <w:gridCol w:w="770"/>
        <w:gridCol w:w="746"/>
      </w:tblGrid>
      <w:tr>
        <w:trPr>
          <w:trHeight w:val="164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pacing w:val="84"/>
                <w:sz w:val="21"/>
                <w:szCs w:val="21"/>
              </w:rPr>
              <w:t> </w:t>
            </w:r>
            <w:r>
              <w:rPr>
                <w:rFonts w:ascii="宋体" w:hAnsi="宋体" w:cs="宋体" w:eastAsia="宋体" w:hint="default"/>
                <w:sz w:val="21"/>
                <w:szCs w:val="21"/>
              </w:rPr>
              <w:t>字</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证</w:t>
            </w:r>
            <w:r>
              <w:rPr>
                <w:rFonts w:ascii="宋体" w:hAnsi="宋体" w:cs="宋体" w:eastAsia="宋体" w:hint="default"/>
                <w:spacing w:val="84"/>
                <w:sz w:val="21"/>
                <w:szCs w:val="21"/>
              </w:rPr>
              <w:t> </w:t>
            </w:r>
            <w:r>
              <w:rPr>
                <w:rFonts w:ascii="宋体" w:hAnsi="宋体" w:cs="宋体" w:eastAsia="宋体" w:hint="default"/>
                <w:sz w:val="21"/>
                <w:szCs w:val="21"/>
              </w:rPr>
              <w:t>书</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认</w:t>
            </w:r>
            <w:r>
              <w:rPr>
                <w:rFonts w:ascii="宋体" w:hAnsi="宋体" w:cs="宋体" w:eastAsia="宋体" w:hint="default"/>
                <w:spacing w:val="84"/>
                <w:sz w:val="21"/>
                <w:szCs w:val="21"/>
              </w:rPr>
              <w:t> </w:t>
            </w:r>
            <w:r>
              <w:rPr>
                <w:rFonts w:ascii="宋体" w:hAnsi="宋体" w:cs="宋体" w:eastAsia="宋体" w:hint="default"/>
                <w:sz w:val="21"/>
                <w:szCs w:val="21"/>
              </w:rPr>
              <w:t>证</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84"/>
                <w:sz w:val="21"/>
                <w:szCs w:val="21"/>
              </w:rPr>
              <w:t> </w:t>
            </w:r>
            <w:r>
              <w:rPr>
                <w:rFonts w:ascii="宋体" w:hAnsi="宋体" w:cs="宋体" w:eastAsia="宋体" w:hint="default"/>
                <w:sz w:val="21"/>
                <w:szCs w:val="21"/>
              </w:rPr>
              <w:t>心</w:t>
            </w:r>
          </w:p>
          <w:p>
            <w:pPr>
              <w:pStyle w:val="TableParagraph"/>
              <w:spacing w:line="28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9"/>
                <w:sz w:val="21"/>
                <w:szCs w:val="21"/>
              </w:rPr>
              <w:t> </w:t>
            </w:r>
            <w:r>
              <w:rPr>
                <w:rFonts w:ascii="宋体" w:hAnsi="宋体" w:cs="宋体" w:eastAsia="宋体" w:hint="default"/>
                <w:spacing w:val="28"/>
                <w:sz w:val="21"/>
                <w:szCs w:val="21"/>
              </w:rPr>
              <w:t>有限</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8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公司</w:t>
            </w:r>
            <w:r>
              <w:rPr>
                <w:rFonts w:ascii="Times New Roman" w:hAnsi="Times New Roman" w:cs="Times New Roman" w:eastAsia="Times New Roman" w:hint="default"/>
                <w:sz w:val="21"/>
                <w:szCs w:val="21"/>
              </w:rPr>
              <w:t>)</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17" w:right="0"/>
              <w:jc w:val="left"/>
              <w:rPr>
                <w:rFonts w:ascii="Times New Roman" w:hAnsi="Times New Roman" w:cs="Times New Roman" w:eastAsia="Times New Roman" w:hint="default"/>
                <w:sz w:val="21"/>
                <w:szCs w:val="21"/>
              </w:rPr>
            </w:pPr>
            <w:r>
              <w:rPr>
                <w:rFonts w:ascii="Times New Roman"/>
                <w:sz w:val="21"/>
              </w:rPr>
              <w:t>3,225.</w:t>
            </w:r>
          </w:p>
          <w:p>
            <w:pPr>
              <w:pStyle w:val="TableParagraph"/>
              <w:spacing w:line="241" w:lineRule="exact"/>
              <w:ind w:left="431" w:right="0"/>
              <w:jc w:val="left"/>
              <w:rPr>
                <w:rFonts w:ascii="Times New Roman" w:hAnsi="Times New Roman" w:cs="Times New Roman" w:eastAsia="Times New Roman" w:hint="default"/>
                <w:sz w:val="21"/>
                <w:szCs w:val="21"/>
              </w:rPr>
            </w:pPr>
            <w:r>
              <w:rPr>
                <w:rFonts w:ascii="Times New Roman"/>
                <w:sz w:val="21"/>
              </w:rPr>
              <w:t>19</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804.4</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3</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31" w:right="0"/>
              <w:jc w:val="left"/>
              <w:rPr>
                <w:rFonts w:ascii="Times New Roman" w:hAnsi="Times New Roman" w:cs="Times New Roman" w:eastAsia="Times New Roman" w:hint="default"/>
                <w:sz w:val="21"/>
                <w:szCs w:val="21"/>
              </w:rPr>
            </w:pPr>
            <w:r>
              <w:rPr>
                <w:rFonts w:ascii="Times New Roman"/>
                <w:sz w:val="21"/>
              </w:rPr>
              <w:t>0,029.</w:t>
            </w:r>
          </w:p>
          <w:p>
            <w:pPr>
              <w:pStyle w:val="TableParagraph"/>
              <w:spacing w:line="241" w:lineRule="exact"/>
              <w:ind w:left="446" w:right="0"/>
              <w:jc w:val="left"/>
              <w:rPr>
                <w:rFonts w:ascii="Times New Roman" w:hAnsi="Times New Roman" w:cs="Times New Roman" w:eastAsia="Times New Roman" w:hint="default"/>
                <w:sz w:val="21"/>
                <w:szCs w:val="21"/>
              </w:rPr>
            </w:pPr>
            <w:r>
              <w:rPr>
                <w:rFonts w:ascii="Times New Roman"/>
                <w:sz w:val="21"/>
              </w:rPr>
              <w:t>62</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70" w:right="0"/>
              <w:jc w:val="left"/>
              <w:rPr>
                <w:rFonts w:ascii="Times New Roman" w:hAnsi="Times New Roman" w:cs="Times New Roman" w:eastAsia="Times New Roman" w:hint="default"/>
                <w:sz w:val="21"/>
                <w:szCs w:val="21"/>
              </w:rPr>
            </w:pPr>
            <w:r>
              <w:rPr>
                <w:rFonts w:ascii="Times New Roman"/>
                <w:sz w:val="21"/>
              </w:rPr>
              <w:t>28,69</w:t>
            </w:r>
          </w:p>
          <w:p>
            <w:pPr>
              <w:pStyle w:val="TableParagraph"/>
              <w:spacing w:line="241" w:lineRule="exact"/>
              <w:ind w:left="117" w:right="0"/>
              <w:jc w:val="left"/>
              <w:rPr>
                <w:rFonts w:ascii="Times New Roman" w:hAnsi="Times New Roman" w:cs="Times New Roman" w:eastAsia="Times New Roman" w:hint="default"/>
                <w:sz w:val="21"/>
                <w:szCs w:val="21"/>
              </w:rPr>
            </w:pPr>
            <w:r>
              <w:rPr>
                <w:rFonts w:ascii="Times New Roman"/>
                <w:sz w:val="21"/>
              </w:rPr>
              <w:t>6,471.</w:t>
            </w:r>
          </w:p>
          <w:p>
            <w:pPr>
              <w:pStyle w:val="TableParagraph"/>
              <w:spacing w:line="240" w:lineRule="auto" w:before="1"/>
              <w:ind w:left="431" w:right="0"/>
              <w:jc w:val="left"/>
              <w:rPr>
                <w:rFonts w:ascii="Times New Roman" w:hAnsi="Times New Roman" w:cs="Times New Roman" w:eastAsia="Times New Roman" w:hint="default"/>
                <w:sz w:val="21"/>
                <w:szCs w:val="21"/>
              </w:rPr>
            </w:pPr>
            <w:r>
              <w:rPr>
                <w:rFonts w:ascii="Times New Roman"/>
                <w:sz w:val="21"/>
              </w:rPr>
              <w:t>84</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5,944,</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527.7</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5</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4,380,</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84" w:right="0"/>
              <w:jc w:val="left"/>
              <w:rPr>
                <w:rFonts w:ascii="Times New Roman" w:hAnsi="Times New Roman" w:cs="Times New Roman" w:eastAsia="Times New Roman" w:hint="default"/>
                <w:sz w:val="21"/>
                <w:szCs w:val="21"/>
              </w:rPr>
            </w:pPr>
            <w:r>
              <w:rPr>
                <w:rFonts w:ascii="Times New Roman"/>
                <w:sz w:val="21"/>
              </w:rPr>
              <w:t>30,26</w:t>
            </w:r>
          </w:p>
          <w:p>
            <w:pPr>
              <w:pStyle w:val="TableParagraph"/>
              <w:spacing w:line="241" w:lineRule="exact"/>
              <w:ind w:left="131" w:right="0"/>
              <w:jc w:val="left"/>
              <w:rPr>
                <w:rFonts w:ascii="Times New Roman" w:hAnsi="Times New Roman" w:cs="Times New Roman" w:eastAsia="Times New Roman" w:hint="default"/>
                <w:sz w:val="21"/>
                <w:szCs w:val="21"/>
              </w:rPr>
            </w:pPr>
            <w:r>
              <w:rPr>
                <w:rFonts w:ascii="Times New Roman"/>
                <w:sz w:val="21"/>
              </w:rPr>
              <w:t>0,999.</w:t>
            </w:r>
          </w:p>
          <w:p>
            <w:pPr>
              <w:pStyle w:val="TableParagraph"/>
              <w:spacing w:line="240" w:lineRule="auto" w:before="1"/>
              <w:ind w:left="446" w:right="0"/>
              <w:jc w:val="left"/>
              <w:rPr>
                <w:rFonts w:ascii="Times New Roman" w:hAnsi="Times New Roman" w:cs="Times New Roman" w:eastAsia="Times New Roman" w:hint="default"/>
                <w:sz w:val="21"/>
                <w:szCs w:val="21"/>
              </w:rPr>
            </w:pPr>
            <w:r>
              <w:rPr>
                <w:rFonts w:ascii="Times New Roman"/>
                <w:sz w:val="21"/>
              </w:rPr>
              <w:t>59</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737"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70" w:right="0"/>
              <w:jc w:val="left"/>
              <w:rPr>
                <w:rFonts w:ascii="Times New Roman" w:hAnsi="Times New Roman" w:cs="Times New Roman" w:eastAsia="Times New Roman" w:hint="default"/>
                <w:sz w:val="21"/>
                <w:szCs w:val="21"/>
              </w:rPr>
            </w:pPr>
            <w:r>
              <w:rPr>
                <w:rFonts w:ascii="Times New Roman"/>
                <w:sz w:val="21"/>
              </w:rPr>
              <w:t>28,69</w:t>
            </w:r>
          </w:p>
          <w:p>
            <w:pPr>
              <w:pStyle w:val="TableParagraph"/>
              <w:spacing w:line="241" w:lineRule="exact"/>
              <w:ind w:left="117" w:right="0"/>
              <w:jc w:val="left"/>
              <w:rPr>
                <w:rFonts w:ascii="Times New Roman" w:hAnsi="Times New Roman" w:cs="Times New Roman" w:eastAsia="Times New Roman" w:hint="default"/>
                <w:sz w:val="21"/>
                <w:szCs w:val="21"/>
              </w:rPr>
            </w:pPr>
            <w:r>
              <w:rPr>
                <w:rFonts w:ascii="Times New Roman"/>
                <w:sz w:val="21"/>
              </w:rPr>
              <w:t>6,471.</w:t>
            </w:r>
          </w:p>
          <w:p>
            <w:pPr>
              <w:pStyle w:val="TableParagraph"/>
              <w:spacing w:line="240" w:lineRule="auto" w:before="1"/>
              <w:ind w:left="431" w:right="0"/>
              <w:jc w:val="left"/>
              <w:rPr>
                <w:rFonts w:ascii="Times New Roman" w:hAnsi="Times New Roman" w:cs="Times New Roman" w:eastAsia="Times New Roman" w:hint="default"/>
                <w:sz w:val="21"/>
                <w:szCs w:val="21"/>
              </w:rPr>
            </w:pPr>
            <w:r>
              <w:rPr>
                <w:rFonts w:ascii="Times New Roman"/>
                <w:sz w:val="21"/>
              </w:rPr>
              <w:t>84</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5,944,</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527.7</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5</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4,380,</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84" w:right="0"/>
              <w:jc w:val="left"/>
              <w:rPr>
                <w:rFonts w:ascii="Times New Roman" w:hAnsi="Times New Roman" w:cs="Times New Roman" w:eastAsia="Times New Roman" w:hint="default"/>
                <w:sz w:val="21"/>
                <w:szCs w:val="21"/>
              </w:rPr>
            </w:pPr>
            <w:r>
              <w:rPr>
                <w:rFonts w:ascii="Times New Roman"/>
                <w:sz w:val="21"/>
              </w:rPr>
              <w:t>30,26</w:t>
            </w:r>
          </w:p>
          <w:p>
            <w:pPr>
              <w:pStyle w:val="TableParagraph"/>
              <w:spacing w:line="241" w:lineRule="exact"/>
              <w:ind w:left="131" w:right="0"/>
              <w:jc w:val="left"/>
              <w:rPr>
                <w:rFonts w:ascii="Times New Roman" w:hAnsi="Times New Roman" w:cs="Times New Roman" w:eastAsia="Times New Roman" w:hint="default"/>
                <w:sz w:val="21"/>
                <w:szCs w:val="21"/>
              </w:rPr>
            </w:pPr>
            <w:r>
              <w:rPr>
                <w:rFonts w:ascii="Times New Roman"/>
                <w:sz w:val="21"/>
              </w:rPr>
              <w:t>0,999.</w:t>
            </w:r>
          </w:p>
          <w:p>
            <w:pPr>
              <w:pStyle w:val="TableParagraph"/>
              <w:spacing w:line="240" w:lineRule="auto" w:before="1"/>
              <w:ind w:left="446" w:right="0"/>
              <w:jc w:val="left"/>
              <w:rPr>
                <w:rFonts w:ascii="Times New Roman" w:hAnsi="Times New Roman" w:cs="Times New Roman" w:eastAsia="Times New Roman" w:hint="default"/>
                <w:sz w:val="21"/>
                <w:szCs w:val="21"/>
              </w:rPr>
            </w:pPr>
            <w:r>
              <w:rPr>
                <w:rFonts w:ascii="Times New Roman"/>
                <w:sz w:val="21"/>
              </w:rPr>
              <w:t>59</w:t>
            </w:r>
          </w:p>
        </w:tc>
        <w:tc>
          <w:tcPr>
            <w:tcW w:w="7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2465"/>
        <w:jc w:val="left"/>
      </w:pPr>
      <w:r>
        <w:rPr/>
        <w:t>投资性</w:t>
      </w:r>
    </w:p>
    <w:p>
      <w:pPr>
        <w:spacing w:line="290" w:lineRule="auto" w:before="56"/>
        <w:ind w:left="218" w:right="76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14</w:t>
      </w:r>
      <w:r>
        <w:rPr>
          <w:rFonts w:ascii="宋体" w:hAnsi="宋体" w:cs="宋体" w:eastAsia="宋体" w:hint="default"/>
          <w:b/>
          <w:bCs/>
          <w:sz w:val="21"/>
          <w:szCs w:val="21"/>
        </w:rPr>
        <w:t>）</w:t>
      </w:r>
      <w:r>
        <w:rPr>
          <w:rFonts w:ascii="宋体" w:hAnsi="宋体" w:cs="宋体" w:eastAsia="宋体" w:hint="default"/>
          <w:b/>
          <w:bCs/>
          <w:spacing w:val="-20"/>
          <w:sz w:val="21"/>
          <w:szCs w:val="21"/>
        </w:rPr>
        <w:t> </w:t>
      </w:r>
      <w:r>
        <w:rPr>
          <w:rFonts w:ascii="宋体" w:hAnsi="宋体" w:cs="宋体" w:eastAsia="宋体" w:hint="default"/>
          <w:b/>
          <w:bCs/>
          <w:sz w:val="21"/>
          <w:szCs w:val="21"/>
        </w:rPr>
        <w:t>房地产</w:t>
      </w:r>
      <w:r>
        <w:rPr>
          <w:rFonts w:ascii="宋体" w:hAnsi="宋体" w:cs="宋体" w:eastAsia="宋体" w:hint="default"/>
          <w:b/>
          <w:bCs/>
          <w:w w:val="100"/>
          <w:sz w:val="21"/>
          <w:szCs w:val="21"/>
        </w:rPr>
        <w:t> </w:t>
      </w:r>
      <w:r>
        <w:rPr>
          <w:rFonts w:ascii="宋体" w:hAnsi="宋体" w:cs="宋体" w:eastAsia="宋体" w:hint="default"/>
          <w:sz w:val="21"/>
          <w:szCs w:val="21"/>
        </w:rPr>
        <w:t>为成本计量</w:t>
      </w: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580" w:right="1040"/>
        </w:sectPr>
      </w:pPr>
    </w:p>
    <w:p>
      <w:pPr>
        <w:pStyle w:val="Heading2"/>
        <w:spacing w:line="290" w:lineRule="auto" w:before="36"/>
        <w:ind w:right="-19"/>
        <w:jc w:val="left"/>
        <w:rPr>
          <w:b w:val="0"/>
          <w:bCs w:val="0"/>
        </w:rPr>
      </w:pPr>
      <w:r>
        <w:rPr/>
        <w:t>（</w:t>
      </w:r>
      <w:r>
        <w:rPr>
          <w:rFonts w:ascii="宋体" w:hAnsi="宋体" w:cs="宋体" w:eastAsia="宋体" w:hint="default"/>
        </w:rPr>
        <w:t>15</w:t>
      </w:r>
      <w:r>
        <w:rPr/>
        <w:t>）</w:t>
      </w:r>
      <w:r>
        <w:rPr>
          <w:spacing w:val="-20"/>
        </w:rPr>
        <w:t> </w:t>
      </w:r>
      <w:r>
        <w:rPr/>
        <w:t>固定资产</w:t>
      </w:r>
      <w:r>
        <w:rPr>
          <w:w w:val="100"/>
        </w:rPr>
        <w:t> </w:t>
      </w:r>
      <w:r>
        <w:rPr>
          <w:rFonts w:ascii="宋体" w:hAnsi="宋体" w:cs="宋体" w:eastAsia="宋体" w:hint="default"/>
        </w:rPr>
        <w:t>(1).</w:t>
      </w:r>
      <w:r>
        <w:rPr>
          <w:rFonts w:ascii="宋体" w:hAnsi="宋体" w:cs="宋体" w:eastAsia="宋体" w:hint="default"/>
          <w:spacing w:val="60"/>
        </w:rPr>
        <w:t> </w:t>
      </w:r>
      <w:r>
        <w:rPr/>
        <w:t>固定资产情况</w:t>
      </w:r>
      <w:r>
        <w:rPr>
          <w:b w:val="0"/>
          <w:bCs w:val="0"/>
        </w:rPr>
      </w:r>
    </w:p>
    <w:p>
      <w:pPr>
        <w:pStyle w:val="BodyText"/>
        <w:spacing w:line="240" w:lineRule="auto" w:before="14"/>
        <w:ind w:right="-19"/>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074" w:space="4659"/>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00"/>
        <w:gridCol w:w="1270"/>
        <w:gridCol w:w="1270"/>
        <w:gridCol w:w="1337"/>
        <w:gridCol w:w="1273"/>
        <w:gridCol w:w="1447"/>
      </w:tblGrid>
      <w:tr>
        <w:trPr>
          <w:trHeight w:val="555"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房屋及建筑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物</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办公设备及</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54,620,045.39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33,628,128.42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1,592,098.60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304,863.87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90,145,136.28</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3,600.00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10,670,581.52</w:t>
            </w:r>
          </w:p>
        </w:tc>
        <w:tc>
          <w:tcPr>
            <w:tcW w:w="133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101,589.89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10,775,771.41</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3,600.00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10,670,581.52</w:t>
            </w:r>
          </w:p>
        </w:tc>
        <w:tc>
          <w:tcPr>
            <w:tcW w:w="133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101,589.89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10,775,771.41</w:t>
            </w:r>
          </w:p>
        </w:tc>
      </w:tr>
      <w:tr>
        <w:trPr>
          <w:trHeight w:val="55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657" w:right="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）在建工程转</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657" w:right="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）企业合并增</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加</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7,301,459.53</w:t>
            </w:r>
          </w:p>
        </w:tc>
        <w:tc>
          <w:tcPr>
            <w:tcW w:w="133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7,301,459.53</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53"/>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）处置或报废</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7,301,459.53</w:t>
            </w:r>
          </w:p>
        </w:tc>
        <w:tc>
          <w:tcPr>
            <w:tcW w:w="133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7,301,459.53</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54,623,645.39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36,997,250.41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1,592,098.60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406,453.76</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93,619,448.16</w:t>
            </w:r>
          </w:p>
        </w:tc>
      </w:tr>
      <w:tr>
        <w:trPr>
          <w:trHeight w:val="281"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3,957,898.77</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22,367,777.61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384,797.61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177,638.89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26,888,112.88</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917,020.79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6,654,961.74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330,060.48</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6,096.92</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7,908,139.93</w:t>
            </w:r>
          </w:p>
        </w:tc>
      </w:tr>
      <w:tr>
        <w:trPr>
          <w:trHeight w:val="281"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917,020.79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6,654,961.74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330,060.48</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6,096.92</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7,908,139.93</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6,936,386.57</w:t>
            </w:r>
          </w:p>
        </w:tc>
        <w:tc>
          <w:tcPr>
            <w:tcW w:w="133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6,936,386.57</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3"/>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）处置或报废</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6,936,386.57</w:t>
            </w:r>
          </w:p>
        </w:tc>
        <w:tc>
          <w:tcPr>
            <w:tcW w:w="133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6,936,386.57</w:t>
            </w:r>
          </w:p>
        </w:tc>
      </w:tr>
      <w:tr>
        <w:trPr>
          <w:trHeight w:val="281"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4,874,919.56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22,086,352.78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714,858.09</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183,735.81</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27,859,866.24</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53"/>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）处置或报废</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300"/>
        <w:gridCol w:w="1270"/>
        <w:gridCol w:w="1270"/>
        <w:gridCol w:w="1337"/>
        <w:gridCol w:w="1273"/>
        <w:gridCol w:w="1447"/>
      </w:tblGrid>
      <w:tr>
        <w:trPr>
          <w:trHeight w:val="28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420"/>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期末账面价值</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21"/>
                <w:szCs w:val="21"/>
              </w:rPr>
            </w:pPr>
            <w:r>
              <w:rPr>
                <w:rFonts w:ascii="Times New Roman"/>
                <w:sz w:val="21"/>
              </w:rPr>
              <w:t>49,748,725.83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21"/>
                <w:szCs w:val="21"/>
              </w:rPr>
            </w:pPr>
            <w:r>
              <w:rPr>
                <w:rFonts w:ascii="Times New Roman"/>
                <w:sz w:val="21"/>
              </w:rPr>
              <w:t>14,910,897.63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877,240.51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222,717.95</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65,759,581.92</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420"/>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期初账面价值</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Times New Roman" w:hAnsi="Times New Roman" w:cs="Times New Roman" w:eastAsia="Times New Roman" w:hint="default"/>
                <w:sz w:val="21"/>
                <w:szCs w:val="21"/>
              </w:rPr>
            </w:pPr>
            <w:r>
              <w:rPr>
                <w:rFonts w:ascii="Times New Roman"/>
                <w:sz w:val="21"/>
              </w:rPr>
              <w:t>50,662,146.62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3" w:right="0"/>
              <w:jc w:val="left"/>
              <w:rPr>
                <w:rFonts w:ascii="Times New Roman" w:hAnsi="Times New Roman" w:cs="Times New Roman" w:eastAsia="Times New Roman" w:hint="default"/>
                <w:sz w:val="21"/>
                <w:szCs w:val="21"/>
              </w:rPr>
            </w:pPr>
            <w:r>
              <w:rPr>
                <w:rFonts w:ascii="Times New Roman"/>
                <w:sz w:val="21"/>
              </w:rPr>
              <w:t>11,260,350.81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1,207,300.99</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127,224.98</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63,257,023.40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40" w:lineRule="auto" w:before="36"/>
        <w:ind w:left="138" w:right="146"/>
        <w:jc w:val="left"/>
        <w:rPr>
          <w:b w:val="0"/>
          <w:bCs w:val="0"/>
        </w:rPr>
      </w:pPr>
      <w:r>
        <w:rPr>
          <w:rFonts w:ascii="宋体" w:hAnsi="宋体" w:cs="宋体" w:eastAsia="宋体" w:hint="default"/>
        </w:rPr>
        <w:t>(2).</w:t>
      </w:r>
      <w:r>
        <w:rPr>
          <w:rFonts w:ascii="宋体" w:hAnsi="宋体" w:cs="宋体" w:eastAsia="宋体" w:hint="default"/>
          <w:spacing w:val="59"/>
        </w:rPr>
        <w:t> </w:t>
      </w:r>
      <w:r>
        <w:rPr/>
        <w:t>暂时闲置的固定资产情况</w:t>
      </w:r>
      <w:r>
        <w:rPr>
          <w:b w:val="0"/>
          <w:bCs w:val="0"/>
        </w:rPr>
      </w:r>
    </w:p>
    <w:p>
      <w:pPr>
        <w:pStyle w:val="BodyText"/>
        <w:spacing w:line="240" w:lineRule="auto" w:before="56"/>
        <w:ind w:left="138" w:right="146"/>
        <w:jc w:val="left"/>
      </w:pPr>
      <w:r>
        <w:rPr/>
        <w:t>□适用√不适用</w:t>
      </w:r>
    </w:p>
    <w:p>
      <w:pPr>
        <w:pStyle w:val="Heading2"/>
        <w:spacing w:line="240" w:lineRule="auto" w:before="58"/>
        <w:ind w:left="138" w:right="146"/>
        <w:jc w:val="left"/>
        <w:rPr>
          <w:b w:val="0"/>
          <w:bCs w:val="0"/>
        </w:rPr>
      </w:pPr>
      <w:r>
        <w:rPr>
          <w:rFonts w:ascii="宋体" w:hAnsi="宋体" w:cs="宋体" w:eastAsia="宋体" w:hint="default"/>
        </w:rPr>
        <w:t>(3).</w:t>
      </w:r>
      <w:r>
        <w:rPr>
          <w:rFonts w:ascii="宋体" w:hAnsi="宋体" w:cs="宋体" w:eastAsia="宋体" w:hint="default"/>
          <w:spacing w:val="57"/>
        </w:rPr>
        <w:t> </w:t>
      </w:r>
      <w:r>
        <w:rPr/>
        <w:t>通过融资租赁租入的固定资产情况</w:t>
      </w:r>
      <w:r>
        <w:rPr>
          <w:b w:val="0"/>
          <w:bCs w:val="0"/>
        </w:rPr>
      </w:r>
    </w:p>
    <w:p>
      <w:pPr>
        <w:pStyle w:val="BodyText"/>
        <w:spacing w:line="240" w:lineRule="auto" w:before="56"/>
        <w:ind w:left="138" w:right="146"/>
        <w:jc w:val="left"/>
      </w:pPr>
      <w:r>
        <w:rPr/>
        <w:t>□适用√不适用</w:t>
      </w:r>
    </w:p>
    <w:p>
      <w:pPr>
        <w:pStyle w:val="Heading2"/>
        <w:spacing w:line="240" w:lineRule="auto" w:before="58"/>
        <w:ind w:left="138" w:right="146"/>
        <w:jc w:val="left"/>
        <w:rPr>
          <w:b w:val="0"/>
          <w:bCs w:val="0"/>
        </w:rPr>
      </w:pPr>
      <w:r>
        <w:rPr>
          <w:rFonts w:ascii="宋体" w:hAnsi="宋体" w:cs="宋体" w:eastAsia="宋体" w:hint="default"/>
        </w:rPr>
        <w:t>(4).</w:t>
      </w:r>
      <w:r>
        <w:rPr>
          <w:rFonts w:ascii="宋体" w:hAnsi="宋体" w:cs="宋体" w:eastAsia="宋体" w:hint="default"/>
          <w:spacing w:val="56"/>
        </w:rPr>
        <w:t> </w:t>
      </w:r>
      <w:r>
        <w:rPr/>
        <w:t>通过经营租赁租出的固定资产</w:t>
      </w:r>
      <w:r>
        <w:rPr>
          <w:b w:val="0"/>
          <w:bCs w:val="0"/>
        </w:rPr>
      </w:r>
    </w:p>
    <w:p>
      <w:pPr>
        <w:pStyle w:val="BodyText"/>
        <w:spacing w:line="240" w:lineRule="auto" w:before="56"/>
        <w:ind w:left="138" w:right="146"/>
        <w:jc w:val="left"/>
      </w:pPr>
      <w:r>
        <w:rPr/>
        <w:t>□适用√不适用</w:t>
      </w:r>
    </w:p>
    <w:p>
      <w:pPr>
        <w:pStyle w:val="Heading2"/>
        <w:spacing w:line="240" w:lineRule="auto" w:before="59"/>
        <w:ind w:left="138" w:right="146"/>
        <w:jc w:val="left"/>
        <w:rPr>
          <w:b w:val="0"/>
          <w:bCs w:val="0"/>
        </w:rPr>
      </w:pPr>
      <w:r>
        <w:rPr>
          <w:rFonts w:ascii="宋体" w:hAnsi="宋体" w:cs="宋体" w:eastAsia="宋体" w:hint="default"/>
        </w:rPr>
        <w:t>(5).</w:t>
      </w:r>
      <w:r>
        <w:rPr>
          <w:rFonts w:ascii="宋体" w:hAnsi="宋体" w:cs="宋体" w:eastAsia="宋体" w:hint="default"/>
          <w:spacing w:val="57"/>
        </w:rPr>
        <w:t> </w:t>
      </w:r>
      <w:r>
        <w:rPr/>
        <w:t>未办妥产权证书的固定资产情况</w:t>
      </w:r>
      <w:r>
        <w:rPr>
          <w:b w:val="0"/>
          <w:bCs w:val="0"/>
        </w:rPr>
      </w:r>
    </w:p>
    <w:p>
      <w:pPr>
        <w:pStyle w:val="BodyText"/>
        <w:spacing w:line="240" w:lineRule="auto" w:before="56"/>
        <w:ind w:left="138" w:right="7505"/>
        <w:jc w:val="left"/>
      </w:pPr>
      <w:r>
        <w:rPr>
          <w:spacing w:val="-1"/>
        </w:rPr>
        <w:t>□适用√不适用</w:t>
      </w:r>
      <w:r>
        <w:rPr>
          <w:spacing w:val="-96"/>
        </w:rPr>
        <w:t> </w:t>
      </w:r>
      <w:r>
        <w:rPr>
          <w:spacing w:val="-96"/>
        </w:rPr>
      </w:r>
      <w:r>
        <w:rPr/>
        <w:t>其他说明：</w:t>
      </w:r>
    </w:p>
    <w:p>
      <w:pPr>
        <w:pStyle w:val="BodyText"/>
        <w:spacing w:line="271" w:lineRule="exact"/>
        <w:ind w:left="138" w:right="146"/>
        <w:jc w:val="left"/>
      </w:pPr>
      <w:r>
        <w:rPr/>
        <w:t>□适用√不适用</w:t>
      </w:r>
    </w:p>
    <w:p>
      <w:pPr>
        <w:spacing w:line="240" w:lineRule="auto" w:before="11"/>
        <w:rPr>
          <w:rFonts w:ascii="宋体" w:hAnsi="宋体" w:cs="宋体" w:eastAsia="宋体" w:hint="default"/>
          <w:sz w:val="22"/>
          <w:szCs w:val="22"/>
        </w:rPr>
      </w:pPr>
    </w:p>
    <w:p>
      <w:pPr>
        <w:pStyle w:val="Heading2"/>
        <w:spacing w:line="290" w:lineRule="auto"/>
        <w:ind w:left="138" w:right="7114"/>
        <w:jc w:val="left"/>
        <w:rPr>
          <w:b w:val="0"/>
          <w:bCs w:val="0"/>
        </w:rPr>
      </w:pPr>
      <w:r>
        <w:rPr/>
        <w:t>（</w:t>
      </w:r>
      <w:r>
        <w:rPr>
          <w:rFonts w:ascii="宋体" w:hAnsi="宋体" w:cs="宋体" w:eastAsia="宋体" w:hint="default"/>
        </w:rPr>
        <w:t>16</w:t>
      </w:r>
      <w:r>
        <w:rPr/>
        <w:t>）</w:t>
      </w:r>
      <w:r>
        <w:rPr>
          <w:spacing w:val="-20"/>
        </w:rPr>
        <w:t> </w:t>
      </w:r>
      <w:r>
        <w:rPr/>
        <w:t>在建工程</w:t>
      </w:r>
      <w:r>
        <w:rPr>
          <w:w w:val="100"/>
        </w:rPr>
        <w:t> </w:t>
      </w:r>
      <w:r>
        <w:rPr>
          <w:rFonts w:ascii="宋体" w:hAnsi="宋体" w:cs="宋体" w:eastAsia="宋体" w:hint="default"/>
        </w:rPr>
        <w:t>(1).</w:t>
      </w:r>
      <w:r>
        <w:rPr>
          <w:rFonts w:ascii="宋体" w:hAnsi="宋体" w:cs="宋体" w:eastAsia="宋体" w:hint="default"/>
          <w:spacing w:val="60"/>
        </w:rPr>
        <w:t> </w:t>
      </w:r>
      <w:r>
        <w:rPr/>
        <w:t>在建工程情况</w:t>
      </w:r>
      <w:r>
        <w:rPr>
          <w:b w:val="0"/>
          <w:bCs w:val="0"/>
        </w:rPr>
      </w:r>
    </w:p>
    <w:p>
      <w:pPr>
        <w:pStyle w:val="BodyText"/>
        <w:spacing w:line="240" w:lineRule="auto" w:before="12"/>
        <w:ind w:left="138" w:right="14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2"/>
        <w:spacing w:line="240" w:lineRule="auto" w:before="43"/>
        <w:ind w:left="138" w:right="146"/>
        <w:jc w:val="left"/>
        <w:rPr>
          <w:b w:val="0"/>
          <w:bCs w:val="0"/>
        </w:rPr>
      </w:pPr>
      <w:r>
        <w:rPr>
          <w:rFonts w:ascii="宋体" w:hAnsi="宋体" w:cs="宋体" w:eastAsia="宋体" w:hint="default"/>
        </w:rPr>
        <w:t>(2).</w:t>
      </w:r>
      <w:r>
        <w:rPr>
          <w:rFonts w:ascii="宋体" w:hAnsi="宋体" w:cs="宋体" w:eastAsia="宋体" w:hint="default"/>
          <w:spacing w:val="57"/>
        </w:rPr>
        <w:t> </w:t>
      </w:r>
      <w:r>
        <w:rPr/>
        <w:t>重要在建工程项目本期变动情况</w:t>
      </w:r>
      <w:r>
        <w:rPr>
          <w:b w:val="0"/>
          <w:bCs w:val="0"/>
        </w:rPr>
      </w:r>
    </w:p>
    <w:p>
      <w:pPr>
        <w:pStyle w:val="BodyText"/>
        <w:spacing w:line="240" w:lineRule="auto" w:before="56"/>
        <w:ind w:left="138" w:right="14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2"/>
        <w:spacing w:line="240" w:lineRule="auto" w:before="43"/>
        <w:ind w:left="138" w:right="146"/>
        <w:jc w:val="left"/>
        <w:rPr>
          <w:b w:val="0"/>
          <w:bCs w:val="0"/>
        </w:rPr>
      </w:pPr>
      <w:r>
        <w:rPr>
          <w:rFonts w:ascii="宋体" w:hAnsi="宋体" w:cs="宋体" w:eastAsia="宋体" w:hint="default"/>
        </w:rPr>
        <w:t>(3).</w:t>
      </w:r>
      <w:r>
        <w:rPr>
          <w:rFonts w:ascii="宋体" w:hAnsi="宋体" w:cs="宋体" w:eastAsia="宋体" w:hint="default"/>
          <w:spacing w:val="57"/>
        </w:rPr>
        <w:t> </w:t>
      </w:r>
      <w:r>
        <w:rPr/>
        <w:t>本期计提在建工程减值准备情况：</w:t>
      </w:r>
      <w:r>
        <w:rPr>
          <w:b w:val="0"/>
          <w:bCs w:val="0"/>
        </w:rPr>
      </w:r>
    </w:p>
    <w:p>
      <w:pPr>
        <w:pStyle w:val="BodyText"/>
        <w:spacing w:line="272" w:lineRule="exact" w:before="84"/>
        <w:ind w:left="138" w:right="7690"/>
        <w:jc w:val="left"/>
      </w:pPr>
      <w:r>
        <w:rPr>
          <w:rFonts w:ascii="Times New Roman" w:hAnsi="Times New Roman" w:cs="Times New Roman" w:eastAsia="Times New Roman" w:hint="default"/>
          <w:spacing w:val="-2"/>
        </w:rPr>
        <w:t>□</w:t>
      </w:r>
      <w:r>
        <w:rPr>
          <w:spacing w:val="-2"/>
        </w:rPr>
        <w:t>适用</w:t>
      </w:r>
      <w:r>
        <w:rPr>
          <w:rFonts w:ascii="Times New Roman" w:hAnsi="Times New Roman" w:cs="Times New Roman" w:eastAsia="Times New Roman" w:hint="default"/>
          <w:spacing w:val="-2"/>
        </w:rPr>
        <w:t>√</w:t>
      </w:r>
      <w:r>
        <w:rPr>
          <w:spacing w:val="-2"/>
        </w:rPr>
        <w:t>不适用</w:t>
      </w:r>
      <w:r>
        <w:rPr>
          <w:spacing w:val="-93"/>
        </w:rPr>
        <w:t> </w:t>
      </w:r>
      <w:r>
        <w:rPr>
          <w:spacing w:val="-93"/>
        </w:rPr>
      </w:r>
      <w:r>
        <w:rPr/>
        <w:t>其他说明</w:t>
      </w:r>
    </w:p>
    <w:p>
      <w:pPr>
        <w:pStyle w:val="BodyText"/>
        <w:spacing w:line="265" w:lineRule="exact"/>
        <w:ind w:left="138" w:right="14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138" w:right="146"/>
        <w:jc w:val="left"/>
        <w:rPr>
          <w:b w:val="0"/>
          <w:bCs w:val="0"/>
        </w:rPr>
      </w:pPr>
      <w:r>
        <w:rPr/>
        <w:t>（</w:t>
      </w:r>
      <w:r>
        <w:rPr>
          <w:rFonts w:ascii="宋体" w:hAnsi="宋体" w:cs="宋体" w:eastAsia="宋体" w:hint="default"/>
        </w:rPr>
        <w:t>17</w:t>
      </w:r>
      <w:r>
        <w:rPr/>
        <w:t>）</w:t>
      </w:r>
      <w:r>
        <w:rPr>
          <w:spacing w:val="-20"/>
        </w:rPr>
        <w:t> </w:t>
      </w:r>
      <w:r>
        <w:rPr/>
        <w:t>工程物资</w:t>
      </w:r>
      <w:r>
        <w:rPr>
          <w:b w:val="0"/>
          <w:bCs w:val="0"/>
        </w:rPr>
      </w:r>
    </w:p>
    <w:p>
      <w:pPr>
        <w:pStyle w:val="BodyText"/>
        <w:spacing w:line="240" w:lineRule="auto" w:before="58"/>
        <w:ind w:left="138" w:right="14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7"/>
          <w:szCs w:val="17"/>
        </w:rPr>
      </w:pPr>
    </w:p>
    <w:p>
      <w:pPr>
        <w:pStyle w:val="Heading2"/>
        <w:spacing w:line="240" w:lineRule="auto"/>
        <w:ind w:left="138" w:right="146"/>
        <w:jc w:val="left"/>
        <w:rPr>
          <w:b w:val="0"/>
          <w:bCs w:val="0"/>
        </w:rPr>
      </w:pPr>
      <w:r>
        <w:rPr/>
        <w:t>（</w:t>
      </w:r>
      <w:r>
        <w:rPr>
          <w:rFonts w:ascii="宋体" w:hAnsi="宋体" w:cs="宋体" w:eastAsia="宋体" w:hint="default"/>
        </w:rPr>
        <w:t>18</w:t>
      </w:r>
      <w:r>
        <w:rPr/>
        <w:t>）</w:t>
      </w:r>
      <w:r>
        <w:rPr>
          <w:spacing w:val="-19"/>
        </w:rPr>
        <w:t> </w:t>
      </w:r>
      <w:r>
        <w:rPr/>
        <w:t>固定资产清理</w:t>
      </w:r>
      <w:r>
        <w:rPr>
          <w:b w:val="0"/>
          <w:bCs w:val="0"/>
        </w:rPr>
      </w:r>
    </w:p>
    <w:p>
      <w:pPr>
        <w:pStyle w:val="BodyText"/>
        <w:spacing w:line="240" w:lineRule="auto" w:before="58"/>
        <w:ind w:left="138" w:right="14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18"/>
          <w:szCs w:val="18"/>
        </w:rPr>
      </w:pPr>
    </w:p>
    <w:p>
      <w:pPr>
        <w:pStyle w:val="Heading2"/>
        <w:spacing w:line="240" w:lineRule="auto"/>
        <w:ind w:left="138" w:right="146"/>
        <w:jc w:val="left"/>
        <w:rPr>
          <w:b w:val="0"/>
          <w:bCs w:val="0"/>
        </w:rPr>
      </w:pPr>
      <w:r>
        <w:rPr/>
        <w:t>（</w:t>
      </w:r>
      <w:r>
        <w:rPr>
          <w:rFonts w:ascii="宋体" w:hAnsi="宋体" w:cs="宋体" w:eastAsia="宋体" w:hint="default"/>
        </w:rPr>
        <w:t>19</w:t>
      </w:r>
      <w:r>
        <w:rPr/>
        <w:t>）</w:t>
      </w:r>
      <w:r>
        <w:rPr>
          <w:spacing w:val="-19"/>
        </w:rPr>
        <w:t> </w:t>
      </w:r>
      <w:r>
        <w:rPr/>
        <w:t>生产性生物资产</w:t>
      </w:r>
      <w:r>
        <w:rPr>
          <w:b w:val="0"/>
          <w:bCs w:val="0"/>
        </w:rPr>
      </w:r>
    </w:p>
    <w:p>
      <w:pPr>
        <w:pStyle w:val="Heading2"/>
        <w:spacing w:line="240" w:lineRule="auto" w:before="58"/>
        <w:ind w:left="138" w:right="146"/>
        <w:jc w:val="left"/>
        <w:rPr>
          <w:b w:val="0"/>
          <w:bCs w:val="0"/>
        </w:rPr>
      </w:pPr>
      <w:r>
        <w:rPr>
          <w:rFonts w:ascii="宋体" w:hAnsi="宋体" w:cs="宋体" w:eastAsia="宋体" w:hint="default"/>
        </w:rPr>
        <w:t>(1).</w:t>
      </w:r>
      <w:r>
        <w:rPr>
          <w:rFonts w:ascii="宋体" w:hAnsi="宋体" w:cs="宋体" w:eastAsia="宋体" w:hint="default"/>
          <w:spacing w:val="73"/>
        </w:rPr>
        <w:t> </w:t>
      </w:r>
      <w:r>
        <w:rPr/>
        <w:t>采用成本计量模式的生产性生物资产</w:t>
      </w:r>
      <w:r>
        <w:rPr>
          <w:b w:val="0"/>
          <w:bCs w:val="0"/>
        </w:rPr>
      </w:r>
    </w:p>
    <w:p>
      <w:pPr>
        <w:pStyle w:val="BodyText"/>
        <w:spacing w:line="240" w:lineRule="auto" w:before="56"/>
        <w:ind w:left="138" w:right="14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2"/>
        <w:spacing w:line="240" w:lineRule="auto" w:before="43"/>
        <w:ind w:left="138" w:right="146"/>
        <w:jc w:val="left"/>
        <w:rPr>
          <w:b w:val="0"/>
          <w:bCs w:val="0"/>
        </w:rPr>
      </w:pPr>
      <w:r>
        <w:rPr>
          <w:rFonts w:ascii="宋体" w:hAnsi="宋体" w:cs="宋体" w:eastAsia="宋体" w:hint="default"/>
        </w:rPr>
        <w:t>(2).</w:t>
      </w:r>
      <w:r>
        <w:rPr>
          <w:rFonts w:ascii="宋体" w:hAnsi="宋体" w:cs="宋体" w:eastAsia="宋体" w:hint="default"/>
          <w:spacing w:val="73"/>
        </w:rPr>
        <w:t> </w:t>
      </w:r>
      <w:r>
        <w:rPr/>
        <w:t>采用公允价值计量模式的生产性生物资产</w:t>
      </w:r>
      <w:r>
        <w:rPr>
          <w:b w:val="0"/>
          <w:bCs w:val="0"/>
        </w:rPr>
      </w:r>
    </w:p>
    <w:p>
      <w:pPr>
        <w:pStyle w:val="BodyText"/>
        <w:spacing w:line="274" w:lineRule="exact" w:before="82"/>
        <w:ind w:left="138" w:right="7690"/>
        <w:jc w:val="left"/>
      </w:pPr>
      <w:r>
        <w:rPr>
          <w:rFonts w:ascii="Times New Roman" w:hAnsi="Times New Roman" w:cs="Times New Roman" w:eastAsia="Times New Roman" w:hint="default"/>
          <w:spacing w:val="-2"/>
        </w:rPr>
        <w:t>□</w:t>
      </w:r>
      <w:r>
        <w:rPr>
          <w:spacing w:val="-2"/>
        </w:rPr>
        <w:t>适用</w:t>
      </w:r>
      <w:r>
        <w:rPr>
          <w:rFonts w:ascii="Times New Roman" w:hAnsi="Times New Roman" w:cs="Times New Roman" w:eastAsia="Times New Roman" w:hint="default"/>
          <w:spacing w:val="-2"/>
        </w:rPr>
        <w:t>√</w:t>
      </w:r>
      <w:r>
        <w:rPr>
          <w:spacing w:val="-2"/>
        </w:rPr>
        <w:t>不适用</w:t>
      </w:r>
      <w:r>
        <w:rPr>
          <w:spacing w:val="-93"/>
        </w:rPr>
        <w:t> </w:t>
      </w:r>
      <w:r>
        <w:rPr>
          <w:spacing w:val="-93"/>
        </w:rPr>
      </w:r>
      <w:r>
        <w:rPr/>
        <w:t>其他说明</w:t>
      </w:r>
    </w:p>
    <w:p>
      <w:pPr>
        <w:pStyle w:val="BodyText"/>
        <w:spacing w:line="262" w:lineRule="exact"/>
        <w:ind w:left="138" w:right="14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138" w:right="146"/>
        <w:jc w:val="left"/>
        <w:rPr>
          <w:b w:val="0"/>
          <w:bCs w:val="0"/>
        </w:rPr>
      </w:pPr>
      <w:r>
        <w:rPr/>
        <w:t>（</w:t>
      </w:r>
      <w:r>
        <w:rPr>
          <w:rFonts w:ascii="宋体" w:hAnsi="宋体" w:cs="宋体" w:eastAsia="宋体" w:hint="default"/>
        </w:rPr>
        <w:t>20</w:t>
      </w:r>
      <w:r>
        <w:rPr/>
        <w:t>）</w:t>
      </w:r>
      <w:r>
        <w:rPr>
          <w:spacing w:val="-20"/>
        </w:rPr>
        <w:t> </w:t>
      </w:r>
      <w:r>
        <w:rPr/>
        <w:t>油气资产</w:t>
      </w:r>
      <w:r>
        <w:rPr>
          <w:b w:val="0"/>
          <w:bCs w:val="0"/>
        </w:rPr>
      </w:r>
    </w:p>
    <w:p>
      <w:pPr>
        <w:pStyle w:val="BodyText"/>
        <w:spacing w:line="240" w:lineRule="auto" w:before="59"/>
        <w:ind w:left="138" w:right="14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pgSz w:w="11910" w:h="16840"/>
          <w:pgMar w:header="882" w:footer="1195" w:top="1120" w:bottom="1380" w:left="166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90" w:lineRule="auto" w:before="36"/>
        <w:ind w:right="-20"/>
        <w:jc w:val="left"/>
        <w:rPr>
          <w:b w:val="0"/>
          <w:bCs w:val="0"/>
        </w:rPr>
      </w:pPr>
      <w:r>
        <w:rPr/>
        <w:t>（</w:t>
      </w:r>
      <w:r>
        <w:rPr>
          <w:rFonts w:ascii="宋体" w:hAnsi="宋体" w:cs="宋体" w:eastAsia="宋体" w:hint="default"/>
        </w:rPr>
        <w:t>21</w:t>
      </w:r>
      <w:r>
        <w:rPr/>
        <w:t>）</w:t>
      </w:r>
      <w:r>
        <w:rPr>
          <w:spacing w:val="-20"/>
        </w:rPr>
        <w:t> </w:t>
      </w:r>
      <w:r>
        <w:rPr/>
        <w:t>无形资产</w:t>
      </w:r>
      <w:r>
        <w:rPr>
          <w:w w:val="100"/>
        </w:rPr>
        <w:t> </w:t>
      </w: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pStyle w:val="BodyText"/>
        <w:spacing w:line="240" w:lineRule="auto" w:before="12"/>
        <w:ind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088" w:space="4645"/>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70"/>
        <w:gridCol w:w="1426"/>
        <w:gridCol w:w="1349"/>
        <w:gridCol w:w="1308"/>
        <w:gridCol w:w="1424"/>
        <w:gridCol w:w="1572"/>
      </w:tblGrid>
      <w:tr>
        <w:trPr>
          <w:trHeight w:val="350"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8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50"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z w:val="21"/>
                <w:szCs w:val="21"/>
              </w:rPr>
              <w:t>软件</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72,901.70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18,061,055.68</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18,133,957.38</w:t>
            </w:r>
          </w:p>
        </w:tc>
      </w:tr>
      <w:tr>
        <w:trPr>
          <w:trHeight w:val="554"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本</w:t>
            </w:r>
            <w:r>
              <w:rPr>
                <w:rFonts w:ascii="宋体" w:hAnsi="宋体" w:cs="宋体" w:eastAsia="宋体" w:hint="default"/>
                <w:spacing w:val="-73"/>
                <w:sz w:val="21"/>
                <w:szCs w:val="21"/>
              </w:rPr>
              <w:t> </w:t>
            </w:r>
            <w:r>
              <w:rPr>
                <w:rFonts w:ascii="宋体" w:hAnsi="宋体" w:cs="宋体" w:eastAsia="宋体" w:hint="default"/>
                <w:spacing w:val="16"/>
                <w:sz w:val="21"/>
                <w:szCs w:val="21"/>
              </w:rPr>
              <w:t>期增加金</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14,848,764.82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14,848,764.82</w:t>
            </w:r>
          </w:p>
        </w:tc>
      </w:tr>
      <w:tr>
        <w:trPr>
          <w:trHeight w:val="350"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14,848,764.82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14,848,764.82</w:t>
            </w:r>
          </w:p>
        </w:tc>
      </w:tr>
      <w:tr>
        <w:trPr>
          <w:trHeight w:val="493"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内部研发</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企业合并</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本</w:t>
            </w:r>
            <w:r>
              <w:rPr>
                <w:rFonts w:ascii="宋体" w:hAnsi="宋体" w:cs="宋体" w:eastAsia="宋体" w:hint="default"/>
                <w:spacing w:val="-74"/>
                <w:sz w:val="21"/>
                <w:szCs w:val="21"/>
              </w:rPr>
              <w:t> </w:t>
            </w:r>
            <w:r>
              <w:rPr>
                <w:rFonts w:ascii="宋体" w:hAnsi="宋体" w:cs="宋体" w:eastAsia="宋体" w:hint="default"/>
                <w:spacing w:val="16"/>
                <w:sz w:val="21"/>
                <w:szCs w:val="21"/>
              </w:rPr>
              <w:t>期减少金</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72,901.70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32,909,820.50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32,982,722.20</w:t>
            </w:r>
          </w:p>
        </w:tc>
      </w:tr>
      <w:tr>
        <w:trPr>
          <w:trHeight w:val="350"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65,611.57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6,746,617.26</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6,812,228.83</w:t>
            </w:r>
          </w:p>
        </w:tc>
      </w:tr>
      <w:tr>
        <w:trPr>
          <w:trHeight w:val="555"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本</w:t>
            </w:r>
            <w:r>
              <w:rPr>
                <w:rFonts w:ascii="宋体" w:hAnsi="宋体" w:cs="宋体" w:eastAsia="宋体" w:hint="default"/>
                <w:spacing w:val="-73"/>
                <w:sz w:val="21"/>
                <w:szCs w:val="21"/>
              </w:rPr>
              <w:t> </w:t>
            </w:r>
            <w:r>
              <w:rPr>
                <w:rFonts w:ascii="宋体" w:hAnsi="宋体" w:cs="宋体" w:eastAsia="宋体" w:hint="default"/>
                <w:spacing w:val="16"/>
                <w:sz w:val="21"/>
                <w:szCs w:val="21"/>
              </w:rPr>
              <w:t>期增加金</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7,290.13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4,281,838.26</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4,289,128.39</w:t>
            </w:r>
          </w:p>
        </w:tc>
      </w:tr>
      <w:tr>
        <w:trPr>
          <w:trHeight w:val="350"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7,290.13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4,281,838.26</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4,289,128.39</w:t>
            </w:r>
          </w:p>
        </w:tc>
      </w:tr>
      <w:tr>
        <w:trPr>
          <w:trHeight w:val="554"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本</w:t>
            </w:r>
            <w:r>
              <w:rPr>
                <w:rFonts w:ascii="宋体" w:hAnsi="宋体" w:cs="宋体" w:eastAsia="宋体" w:hint="default"/>
                <w:spacing w:val="-73"/>
                <w:sz w:val="21"/>
                <w:szCs w:val="21"/>
              </w:rPr>
              <w:t> </w:t>
            </w:r>
            <w:r>
              <w:rPr>
                <w:rFonts w:ascii="宋体" w:hAnsi="宋体" w:cs="宋体" w:eastAsia="宋体" w:hint="default"/>
                <w:spacing w:val="16"/>
                <w:sz w:val="21"/>
                <w:szCs w:val="21"/>
              </w:rPr>
              <w:t>期减少金</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8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72,901.70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11,028,455.52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11,101,357.22</w:t>
            </w:r>
          </w:p>
        </w:tc>
      </w:tr>
      <w:tr>
        <w:trPr>
          <w:trHeight w:val="350"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本</w:t>
            </w:r>
            <w:r>
              <w:rPr>
                <w:rFonts w:ascii="宋体" w:hAnsi="宋体" w:cs="宋体" w:eastAsia="宋体" w:hint="default"/>
                <w:spacing w:val="-73"/>
                <w:sz w:val="21"/>
                <w:szCs w:val="21"/>
              </w:rPr>
              <w:t> </w:t>
            </w:r>
            <w:r>
              <w:rPr>
                <w:rFonts w:ascii="宋体" w:hAnsi="宋体" w:cs="宋体" w:eastAsia="宋体" w:hint="default"/>
                <w:spacing w:val="16"/>
                <w:sz w:val="21"/>
                <w:szCs w:val="21"/>
              </w:rPr>
              <w:t>期增加金</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97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本</w:t>
            </w:r>
            <w:r>
              <w:rPr>
                <w:rFonts w:ascii="宋体" w:hAnsi="宋体" w:cs="宋体" w:eastAsia="宋体" w:hint="default"/>
                <w:spacing w:val="-73"/>
                <w:sz w:val="21"/>
                <w:szCs w:val="21"/>
              </w:rPr>
              <w:t> </w:t>
            </w:r>
            <w:r>
              <w:rPr>
                <w:rFonts w:ascii="宋体" w:hAnsi="宋体" w:cs="宋体" w:eastAsia="宋体" w:hint="default"/>
                <w:spacing w:val="16"/>
                <w:sz w:val="21"/>
                <w:szCs w:val="21"/>
              </w:rPr>
              <w:t>期减少金</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期</w:t>
            </w:r>
            <w:r>
              <w:rPr>
                <w:rFonts w:ascii="宋体" w:hAnsi="宋体" w:cs="宋体" w:eastAsia="宋体" w:hint="default"/>
                <w:spacing w:val="-75"/>
                <w:sz w:val="21"/>
                <w:szCs w:val="21"/>
              </w:rPr>
              <w:t> </w:t>
            </w:r>
            <w:r>
              <w:rPr>
                <w:rFonts w:ascii="宋体" w:hAnsi="宋体" w:cs="宋体" w:eastAsia="宋体" w:hint="default"/>
                <w:spacing w:val="16"/>
                <w:sz w:val="21"/>
                <w:szCs w:val="21"/>
              </w:rPr>
              <w:t>末账面价</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21,881,364.98</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21,881,364.98</w:t>
            </w:r>
          </w:p>
        </w:tc>
      </w:tr>
      <w:tr>
        <w:trPr>
          <w:trHeight w:val="554"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8"/>
                <w:sz w:val="21"/>
                <w:szCs w:val="21"/>
              </w:rPr>
              <w:t> </w:t>
            </w:r>
            <w:r>
              <w:rPr>
                <w:rFonts w:ascii="宋体" w:hAnsi="宋体" w:cs="宋体" w:eastAsia="宋体" w:hint="default"/>
                <w:spacing w:val="18"/>
                <w:sz w:val="21"/>
                <w:szCs w:val="21"/>
              </w:rPr>
              <w:t>期初账面价</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7,290.13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11,314,438.42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11,321,728.55</w:t>
            </w:r>
          </w:p>
        </w:tc>
      </w:tr>
    </w:tbl>
    <w:p>
      <w:pPr>
        <w:spacing w:line="240" w:lineRule="auto" w:before="2"/>
        <w:rPr>
          <w:rFonts w:ascii="宋体" w:hAnsi="宋体" w:cs="宋体" w:eastAsia="宋体" w:hint="default"/>
          <w:sz w:val="13"/>
          <w:szCs w:val="13"/>
        </w:rPr>
      </w:pPr>
    </w:p>
    <w:p>
      <w:pPr>
        <w:pStyle w:val="BodyText"/>
        <w:spacing w:line="240" w:lineRule="auto" w:before="36"/>
        <w:ind w:right="2465"/>
        <w:jc w:val="left"/>
        <w:rPr>
          <w:rFonts w:ascii="Times New Roman" w:hAnsi="Times New Roman" w:cs="Times New Roman" w:eastAsia="Times New Roman" w:hint="default"/>
        </w:rPr>
      </w:pPr>
      <w:r>
        <w:rPr>
          <w:spacing w:val="-2"/>
        </w:rPr>
        <w:t>本期末通过公司内部研发形成的无形资产占无形资产余额的比例</w:t>
      </w:r>
      <w:r>
        <w:rPr>
          <w:spacing w:val="5"/>
        </w:rPr>
        <w:t> </w:t>
      </w:r>
      <w:r>
        <w:rPr>
          <w:rFonts w:ascii="Times New Roman" w:hAnsi="Times New Roman" w:cs="Times New Roman" w:eastAsia="Times New Roman" w:hint="default"/>
          <w:spacing w:val="-1"/>
        </w:rPr>
        <w:t>0.00%</w:t>
      </w:r>
    </w:p>
    <w:p>
      <w:pPr>
        <w:spacing w:after="0" w:line="240" w:lineRule="auto"/>
        <w:jc w:val="left"/>
        <w:rPr>
          <w:rFonts w:ascii="Times New Roman" w:hAnsi="Times New Roman" w:cs="Times New Roman" w:eastAsia="Times New Roman" w:hint="default"/>
        </w:rPr>
        <w:sectPr>
          <w:type w:val="continuous"/>
          <w:pgSz w:w="11910" w:h="16840"/>
          <w:pgMar w:top="1120" w:bottom="1380" w:left="1580" w:right="1040"/>
        </w:sectPr>
      </w:pPr>
    </w:p>
    <w:p>
      <w:pPr>
        <w:spacing w:line="240" w:lineRule="auto" w:before="7"/>
        <w:rPr>
          <w:rFonts w:ascii="Times New Roman" w:hAnsi="Times New Roman" w:cs="Times New Roman" w:eastAsia="Times New Roman" w:hint="default"/>
          <w:sz w:val="28"/>
          <w:szCs w:val="28"/>
        </w:rPr>
      </w:pPr>
    </w:p>
    <w:p>
      <w:pPr>
        <w:pStyle w:val="Heading2"/>
        <w:spacing w:line="240" w:lineRule="auto" w:before="36"/>
        <w:ind w:right="2465"/>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BodyText"/>
        <w:spacing w:line="272" w:lineRule="exact" w:before="86"/>
        <w:ind w:right="7770"/>
        <w:jc w:val="left"/>
      </w:pPr>
      <w:r>
        <w:rPr>
          <w:rFonts w:ascii="Times New Roman" w:hAnsi="Times New Roman" w:cs="Times New Roman" w:eastAsia="Times New Roman" w:hint="default"/>
          <w:spacing w:val="-2"/>
        </w:rPr>
        <w:t>□</w:t>
      </w:r>
      <w:r>
        <w:rPr>
          <w:spacing w:val="-2"/>
        </w:rPr>
        <w:t>适用</w:t>
      </w:r>
      <w:r>
        <w:rPr>
          <w:rFonts w:ascii="Times New Roman" w:hAnsi="Times New Roman" w:cs="Times New Roman" w:eastAsia="Times New Roman" w:hint="default"/>
          <w:spacing w:val="-2"/>
        </w:rPr>
        <w:t>√</w:t>
      </w:r>
      <w:r>
        <w:rPr>
          <w:spacing w:val="-2"/>
        </w:rPr>
        <w:t>不适用</w:t>
      </w:r>
      <w:r>
        <w:rPr>
          <w:spacing w:val="-93"/>
        </w:rPr>
        <w:t> </w:t>
      </w:r>
      <w:r>
        <w:rPr>
          <w:spacing w:val="-93"/>
        </w:rPr>
      </w:r>
      <w:r>
        <w:rPr/>
        <w:t>其他说明：</w:t>
      </w:r>
    </w:p>
    <w:p>
      <w:pPr>
        <w:pStyle w:val="BodyText"/>
        <w:spacing w:line="265" w:lineRule="exact"/>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right="2465"/>
        <w:jc w:val="left"/>
        <w:rPr>
          <w:b w:val="0"/>
          <w:bCs w:val="0"/>
        </w:rPr>
      </w:pPr>
      <w:r>
        <w:rPr/>
        <w:t>（</w:t>
      </w:r>
      <w:r>
        <w:rPr>
          <w:rFonts w:ascii="宋体" w:hAnsi="宋体" w:cs="宋体" w:eastAsia="宋体" w:hint="default"/>
        </w:rPr>
        <w:t>22</w:t>
      </w:r>
      <w:r>
        <w:rPr/>
        <w:t>）</w:t>
      </w:r>
      <w:r>
        <w:rPr>
          <w:spacing w:val="-20"/>
        </w:rPr>
        <w:t> </w:t>
      </w:r>
      <w:r>
        <w:rPr/>
        <w:t>开发支出</w:t>
      </w:r>
      <w:r>
        <w:rPr>
          <w:b w:val="0"/>
          <w:bCs w:val="0"/>
        </w:rPr>
      </w:r>
    </w:p>
    <w:p>
      <w:pPr>
        <w:pStyle w:val="BodyText"/>
        <w:spacing w:line="240" w:lineRule="auto" w:before="56"/>
        <w:ind w:right="2465"/>
        <w:jc w:val="left"/>
      </w:pPr>
      <w:r>
        <w:rPr/>
        <w:t>□适用√不适用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2"/>
        <w:spacing w:line="240" w:lineRule="auto"/>
        <w:ind w:right="2465"/>
        <w:jc w:val="left"/>
        <w:rPr>
          <w:b w:val="0"/>
          <w:bCs w:val="0"/>
        </w:rPr>
      </w:pPr>
      <w:r>
        <w:rPr/>
        <w:t>（</w:t>
      </w:r>
      <w:r>
        <w:rPr>
          <w:rFonts w:ascii="宋体" w:hAnsi="宋体" w:cs="宋体" w:eastAsia="宋体" w:hint="default"/>
        </w:rPr>
        <w:t>23</w:t>
      </w:r>
      <w:r>
        <w:rPr/>
        <w:t>）</w:t>
      </w:r>
      <w:r>
        <w:rPr>
          <w:spacing w:val="-20"/>
        </w:rPr>
        <w:t> </w:t>
      </w:r>
      <w:r>
        <w:rPr/>
        <w:t>商誉</w:t>
      </w:r>
      <w:r>
        <w:rPr>
          <w:b w:val="0"/>
          <w:bCs w:val="0"/>
        </w:rPr>
      </w:r>
    </w:p>
    <w:p>
      <w:pPr>
        <w:pStyle w:val="Heading2"/>
        <w:spacing w:line="240" w:lineRule="auto" w:before="58"/>
        <w:ind w:right="2465"/>
        <w:jc w:val="left"/>
        <w:rPr>
          <w:b w:val="0"/>
          <w:bCs w:val="0"/>
        </w:rPr>
      </w:pPr>
      <w:r>
        <w:rPr>
          <w:rFonts w:ascii="宋体" w:hAnsi="宋体" w:cs="宋体" w:eastAsia="宋体" w:hint="default"/>
        </w:rPr>
        <w:t>(1).</w:t>
      </w:r>
      <w:r>
        <w:rPr>
          <w:rFonts w:ascii="宋体" w:hAnsi="宋体" w:cs="宋体" w:eastAsia="宋体" w:hint="default"/>
          <w:spacing w:val="60"/>
        </w:rPr>
        <w:t> </w:t>
      </w:r>
      <w:r>
        <w:rPr/>
        <w:t>商誉账面原值</w:t>
      </w:r>
      <w:r>
        <w:rPr>
          <w:b w:val="0"/>
          <w:bCs w:val="0"/>
        </w:rPr>
      </w:r>
    </w:p>
    <w:p>
      <w:pPr>
        <w:pStyle w:val="BodyText"/>
        <w:spacing w:line="240" w:lineRule="auto" w:before="57"/>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2"/>
        <w:spacing w:line="240" w:lineRule="auto" w:before="43"/>
        <w:ind w:right="2465"/>
        <w:jc w:val="left"/>
        <w:rPr>
          <w:b w:val="0"/>
          <w:bCs w:val="0"/>
        </w:rPr>
      </w:pPr>
      <w:r>
        <w:rPr>
          <w:rFonts w:ascii="宋体" w:hAnsi="宋体" w:cs="宋体" w:eastAsia="宋体" w:hint="default"/>
        </w:rPr>
        <w:t>(2).</w:t>
      </w:r>
      <w:r>
        <w:rPr>
          <w:rFonts w:ascii="宋体" w:hAnsi="宋体" w:cs="宋体" w:eastAsia="宋体" w:hint="default"/>
          <w:spacing w:val="60"/>
        </w:rPr>
        <w:t> </w:t>
      </w:r>
      <w:r>
        <w:rPr/>
        <w:t>商誉减值准备</w:t>
      </w:r>
      <w:r>
        <w:rPr>
          <w:b w:val="0"/>
          <w:bCs w:val="0"/>
        </w:rPr>
      </w:r>
    </w:p>
    <w:p>
      <w:pPr>
        <w:pStyle w:val="BodyText"/>
        <w:spacing w:line="274" w:lineRule="exact" w:before="82"/>
        <w:ind w:right="259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spacing w:val="-2"/>
        </w:rPr>
        <w:t>说明商誉减值测试过程、参数及商誉减值损失的确认方法</w:t>
      </w:r>
    </w:p>
    <w:p>
      <w:pPr>
        <w:pStyle w:val="BodyText"/>
        <w:spacing w:line="262" w:lineRule="exact"/>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82" w:footer="1195" w:top="1120" w:bottom="1380" w:left="1580" w:right="1040"/>
        </w:sectPr>
      </w:pPr>
    </w:p>
    <w:p>
      <w:pPr>
        <w:pStyle w:val="BodyText"/>
        <w:spacing w:line="274" w:lineRule="exact" w:before="36"/>
        <w:ind w:right="-18"/>
        <w:jc w:val="left"/>
      </w:pPr>
      <w:r>
        <w:rPr/>
        <w:t>其他说明</w:t>
      </w:r>
    </w:p>
    <w:p>
      <w:pPr>
        <w:pStyle w:val="BodyText"/>
        <w:spacing w:line="290" w:lineRule="exact"/>
        <w:ind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2"/>
        <w:spacing w:line="240" w:lineRule="auto" w:before="40"/>
        <w:ind w:right="-18"/>
        <w:jc w:val="left"/>
        <w:rPr>
          <w:b w:val="0"/>
          <w:bCs w:val="0"/>
        </w:rPr>
      </w:pPr>
      <w:r>
        <w:rPr/>
        <w:t>（</w:t>
      </w:r>
      <w:r>
        <w:rPr>
          <w:rFonts w:ascii="宋体" w:hAnsi="宋体" w:cs="宋体" w:eastAsia="宋体" w:hint="default"/>
        </w:rPr>
        <w:t>24</w:t>
      </w:r>
      <w:r>
        <w:rPr/>
        <w:t>）</w:t>
      </w:r>
      <w:r>
        <w:rPr>
          <w:spacing w:val="-19"/>
        </w:rPr>
        <w:t> </w:t>
      </w:r>
      <w:r>
        <w:rPr/>
        <w:t>长期待摊费用</w:t>
      </w:r>
      <w:r>
        <w:rPr>
          <w:b w:val="0"/>
          <w:bCs w:val="0"/>
        </w:rPr>
      </w:r>
    </w:p>
    <w:p>
      <w:pPr>
        <w:pStyle w:val="BodyText"/>
        <w:spacing w:line="240" w:lineRule="auto" w:before="58"/>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206" w:space="4527"/>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47"/>
        <w:gridCol w:w="1498"/>
        <w:gridCol w:w="1495"/>
        <w:gridCol w:w="1498"/>
        <w:gridCol w:w="1522"/>
        <w:gridCol w:w="1589"/>
      </w:tblGrid>
      <w:tr>
        <w:trPr>
          <w:trHeight w:val="28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04"/>
              <w:jc w:val="right"/>
              <w:rPr>
                <w:rFonts w:ascii="宋体" w:hAnsi="宋体" w:cs="宋体" w:eastAsia="宋体" w:hint="default"/>
                <w:sz w:val="21"/>
                <w:szCs w:val="21"/>
              </w:rPr>
            </w:pPr>
            <w:r>
              <w:rPr>
                <w:rFonts w:ascii="宋体" w:hAnsi="宋体" w:cs="宋体" w:eastAsia="宋体" w:hint="default"/>
                <w:sz w:val="21"/>
                <w:szCs w:val="21"/>
              </w:rPr>
              <w:t>项目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11"/>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4"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83" w:right="0"/>
              <w:jc w:val="left"/>
              <w:rPr>
                <w:rFonts w:ascii="Times New Roman" w:hAnsi="Times New Roman" w:cs="Times New Roman" w:eastAsia="Times New Roman" w:hint="default"/>
                <w:sz w:val="21"/>
                <w:szCs w:val="21"/>
              </w:rPr>
            </w:pPr>
            <w:r>
              <w:rPr>
                <w:rFonts w:ascii="Times New Roman"/>
                <w:sz w:val="21"/>
              </w:rPr>
              <w:t>2,277,225.03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135,351.00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1,001,867.55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74" w:right="0"/>
              <w:jc w:val="left"/>
              <w:rPr>
                <w:rFonts w:ascii="Times New Roman" w:hAnsi="Times New Roman" w:cs="Times New Roman" w:eastAsia="Times New Roman" w:hint="default"/>
                <w:sz w:val="21"/>
                <w:szCs w:val="21"/>
              </w:rPr>
            </w:pPr>
            <w:r>
              <w:rPr>
                <w:rFonts w:ascii="Times New Roman"/>
                <w:sz w:val="21"/>
              </w:rPr>
              <w:t>1,410,708.48</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4"/>
              <w:jc w:val="right"/>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83" w:right="0"/>
              <w:jc w:val="left"/>
              <w:rPr>
                <w:rFonts w:ascii="Times New Roman" w:hAnsi="Times New Roman" w:cs="Times New Roman" w:eastAsia="Times New Roman" w:hint="default"/>
                <w:sz w:val="21"/>
                <w:szCs w:val="21"/>
              </w:rPr>
            </w:pPr>
            <w:r>
              <w:rPr>
                <w:rFonts w:ascii="Times New Roman"/>
                <w:sz w:val="21"/>
              </w:rPr>
              <w:t>2,277,225.03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135,351.00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1,001,867.55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74" w:right="0"/>
              <w:jc w:val="left"/>
              <w:rPr>
                <w:rFonts w:ascii="Times New Roman" w:hAnsi="Times New Roman" w:cs="Times New Roman" w:eastAsia="Times New Roman" w:hint="default"/>
                <w:sz w:val="21"/>
                <w:szCs w:val="21"/>
              </w:rPr>
            </w:pPr>
            <w:r>
              <w:rPr>
                <w:rFonts w:ascii="Times New Roman"/>
                <w:sz w:val="21"/>
              </w:rPr>
              <w:t>1,410,708.48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80" w:right="1040"/>
        </w:sectPr>
      </w:pPr>
    </w:p>
    <w:p>
      <w:pPr>
        <w:pStyle w:val="Heading2"/>
        <w:spacing w:line="290" w:lineRule="auto" w:before="36"/>
        <w:ind w:right="-16"/>
        <w:jc w:val="left"/>
        <w:rPr>
          <w:b w:val="0"/>
          <w:bCs w:val="0"/>
        </w:rPr>
      </w:pPr>
      <w:r>
        <w:rPr/>
        <w:t>（</w:t>
      </w:r>
      <w:r>
        <w:rPr>
          <w:rFonts w:ascii="宋体" w:hAnsi="宋体" w:cs="宋体" w:eastAsia="宋体" w:hint="default"/>
        </w:rPr>
        <w:t>25</w:t>
      </w:r>
      <w:r>
        <w:rPr/>
        <w:t>） 递延所得税资产</w:t>
      </w:r>
      <w:r>
        <w:rPr>
          <w:rFonts w:ascii="宋体" w:hAnsi="宋体" w:cs="宋体" w:eastAsia="宋体" w:hint="default"/>
        </w:rPr>
        <w:t>/</w:t>
      </w:r>
      <w:r>
        <w:rPr>
          <w:rFonts w:ascii="宋体" w:hAnsi="宋体" w:cs="宋体" w:eastAsia="宋体" w:hint="default"/>
          <w:spacing w:val="-20"/>
        </w:rPr>
        <w:t> </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spacing w:line="240" w:lineRule="auto" w:before="14"/>
        <w:ind w:right="-16"/>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4105" w:space="2628"/>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4"/>
        <w:gridCol w:w="1651"/>
        <w:gridCol w:w="1649"/>
        <w:gridCol w:w="1664"/>
        <w:gridCol w:w="1644"/>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5" w:hRule="exact"/>
        </w:trPr>
        <w:tc>
          <w:tcPr>
            <w:tcW w:w="2444" w:type="dxa"/>
            <w:vMerge/>
            <w:tcBorders>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差异</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11,798,531.17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1,769,779.68</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7,678,100.32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1,203,975.83</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2"/>
                <w:sz w:val="21"/>
              </w:rPr>
              <w:t>11,798,531.17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1,769,779.68</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7,678,100.32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1,203,975.83</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spacing w:line="240" w:lineRule="auto" w:before="58"/>
        <w:ind w:right="-18"/>
        <w:jc w:val="left"/>
      </w:pPr>
      <w:r>
        <w:rPr/>
        <w:t>□适用√不适用</w:t>
      </w:r>
    </w:p>
    <w:p>
      <w:pPr>
        <w:pStyle w:val="Heading2"/>
        <w:spacing w:line="240" w:lineRule="auto" w:before="56"/>
        <w:ind w:right="-18"/>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spacing w:line="240" w:lineRule="auto" w:before="58"/>
        <w:ind w:right="-18"/>
        <w:jc w:val="left"/>
      </w:pPr>
      <w:r>
        <w:rPr/>
        <w:t>□适用√不适用</w:t>
      </w:r>
    </w:p>
    <w:p>
      <w:pPr>
        <w:pStyle w:val="Heading2"/>
        <w:spacing w:line="240" w:lineRule="auto" w:before="56"/>
        <w:ind w:right="-18"/>
        <w:jc w:val="left"/>
        <w:rPr>
          <w:b w:val="0"/>
          <w:bCs w:val="0"/>
        </w:rPr>
      </w:pPr>
      <w:r>
        <w:rPr>
          <w:rFonts w:ascii="宋体" w:hAnsi="宋体" w:cs="宋体" w:eastAsia="宋体" w:hint="default"/>
        </w:rPr>
        <w:t>(4).</w:t>
      </w:r>
      <w:r>
        <w:rPr>
          <w:rFonts w:ascii="宋体" w:hAnsi="宋体" w:cs="宋体" w:eastAsia="宋体" w:hint="default"/>
          <w:spacing w:val="56"/>
        </w:rPr>
        <w:t> </w:t>
      </w:r>
      <w:r>
        <w:rPr/>
        <w:t>未确认递延所得税资产明细</w:t>
      </w:r>
      <w:r>
        <w:rPr>
          <w:b w:val="0"/>
          <w:bCs w:val="0"/>
        </w:rPr>
      </w:r>
    </w:p>
    <w:p>
      <w:pPr>
        <w:pStyle w:val="BodyText"/>
        <w:spacing w:line="240" w:lineRule="auto" w:before="59"/>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9"/>
        <w:ind w:right="0"/>
        <w:jc w:val="left"/>
      </w:pPr>
      <w:r>
        <w:rPr/>
        <w:t>单位：元币种：人民币</w:t>
      </w:r>
    </w:p>
    <w:p>
      <w:pPr>
        <w:spacing w:after="0" w:line="240" w:lineRule="auto"/>
        <w:jc w:val="left"/>
        <w:sectPr>
          <w:type w:val="continuous"/>
          <w:pgSz w:w="11910" w:h="16840"/>
          <w:pgMar w:top="1120" w:bottom="1380" w:left="1580" w:right="1040"/>
          <w:cols w:num="2" w:equalWidth="0">
            <w:col w:w="5026" w:space="1707"/>
            <w:col w:w="2557"/>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6"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174,524.91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1,015,826.97</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174,524.91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1,015,826.97</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580" w:right="1040"/>
        </w:sectPr>
      </w:pPr>
    </w:p>
    <w:p>
      <w:pPr>
        <w:pStyle w:val="Heading2"/>
        <w:spacing w:line="240" w:lineRule="auto" w:before="36"/>
        <w:ind w:right="-17"/>
        <w:jc w:val="left"/>
        <w:rPr>
          <w:b w:val="0"/>
          <w:bCs w:val="0"/>
        </w:rPr>
      </w:pPr>
      <w:r>
        <w:rPr>
          <w:rFonts w:ascii="宋体" w:hAnsi="宋体" w:cs="宋体" w:eastAsia="宋体" w:hint="default"/>
        </w:rPr>
        <w:t>(5). 1,015,826.97</w:t>
      </w:r>
      <w:r>
        <w:rPr>
          <w:rFonts w:ascii="宋体" w:hAnsi="宋体" w:cs="宋体" w:eastAsia="宋体" w:hint="default"/>
          <w:spacing w:val="4"/>
        </w:rPr>
        <w:t> </w:t>
      </w:r>
      <w:r>
        <w:rPr/>
        <w:t>资产的可抵扣亏损将于以下年度到期</w:t>
      </w:r>
      <w:r>
        <w:rPr>
          <w:b w:val="0"/>
          <w:bCs w:val="0"/>
        </w:rPr>
      </w:r>
    </w:p>
    <w:p>
      <w:pPr>
        <w:pStyle w:val="BodyText"/>
        <w:spacing w:line="240" w:lineRule="auto" w:before="56"/>
        <w:ind w:right="-17"/>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5503" w:space="1174"/>
            <w:col w:w="2613"/>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7"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6,772,179.81</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1,163,499.43</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1,163,499.43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6,772,179.81</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3"/>
        <w:rPr>
          <w:rFonts w:ascii="宋体" w:hAnsi="宋体" w:cs="宋体" w:eastAsia="宋体" w:hint="default"/>
          <w:sz w:val="12"/>
          <w:szCs w:val="12"/>
        </w:rPr>
      </w:pPr>
    </w:p>
    <w:p>
      <w:pPr>
        <w:pStyle w:val="BodyText"/>
        <w:spacing w:line="274" w:lineRule="exact" w:before="36"/>
        <w:ind w:right="2465"/>
        <w:jc w:val="left"/>
      </w:pPr>
      <w:r>
        <w:rPr/>
        <w:t>其他说明：</w:t>
      </w:r>
    </w:p>
    <w:p>
      <w:pPr>
        <w:pStyle w:val="BodyText"/>
        <w:spacing w:line="274" w:lineRule="exact"/>
        <w:ind w:right="2465"/>
        <w:jc w:val="left"/>
      </w:pPr>
      <w:r>
        <w:rPr/>
        <w:t>□适用√不适用</w:t>
      </w:r>
    </w:p>
    <w:p>
      <w:pPr>
        <w:spacing w:line="240" w:lineRule="auto" w:before="11"/>
        <w:rPr>
          <w:rFonts w:ascii="宋体" w:hAnsi="宋体" w:cs="宋体" w:eastAsia="宋体" w:hint="default"/>
          <w:sz w:val="22"/>
          <w:szCs w:val="22"/>
        </w:rPr>
      </w:pPr>
    </w:p>
    <w:p>
      <w:pPr>
        <w:pStyle w:val="Heading2"/>
        <w:spacing w:line="240" w:lineRule="auto"/>
        <w:ind w:right="2465"/>
        <w:jc w:val="left"/>
        <w:rPr>
          <w:b w:val="0"/>
          <w:bCs w:val="0"/>
        </w:rPr>
      </w:pPr>
      <w:r>
        <w:rPr/>
        <w:t>（</w:t>
      </w:r>
      <w:r>
        <w:rPr>
          <w:rFonts w:ascii="Calibri" w:hAnsi="Calibri" w:cs="Calibri" w:eastAsia="Calibri" w:hint="default"/>
        </w:rPr>
        <w:t>26</w:t>
      </w:r>
      <w:r>
        <w:rPr/>
        <w:t>）</w:t>
      </w:r>
      <w:r>
        <w:rPr>
          <w:spacing w:val="-21"/>
        </w:rPr>
        <w:t> </w:t>
      </w:r>
      <w:r>
        <w:rPr/>
        <w:t>其他非流动资产</w:t>
      </w:r>
      <w:r>
        <w:rPr>
          <w:b w:val="0"/>
          <w:bCs w:val="0"/>
        </w:rPr>
      </w:r>
    </w:p>
    <w:p>
      <w:pPr>
        <w:pStyle w:val="BodyText"/>
        <w:spacing w:line="240" w:lineRule="auto" w:before="29"/>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8"/>
          <w:szCs w:val="18"/>
        </w:rPr>
      </w:pPr>
    </w:p>
    <w:p>
      <w:pPr>
        <w:pStyle w:val="Heading2"/>
        <w:tabs>
          <w:tab w:pos="849" w:val="left" w:leader="none"/>
        </w:tabs>
        <w:spacing w:line="290" w:lineRule="auto"/>
        <w:ind w:right="7168"/>
        <w:jc w:val="left"/>
        <w:rPr>
          <w:b w:val="0"/>
          <w:bCs w:val="0"/>
        </w:rPr>
      </w:pPr>
      <w:r>
        <w:rPr/>
        <w:t>（</w:t>
      </w:r>
      <w:r>
        <w:rPr>
          <w:rFonts w:ascii="宋体" w:hAnsi="宋体" w:cs="宋体" w:eastAsia="宋体" w:hint="default"/>
        </w:rPr>
        <w:t>27</w:t>
      </w:r>
      <w:r>
        <w:rPr/>
        <w:t>）</w:t>
      </w:r>
      <w:r>
        <w:rPr>
          <w:spacing w:val="-20"/>
        </w:rPr>
        <w:t> </w:t>
      </w:r>
      <w:r>
        <w:rPr/>
        <w:t>短期借款</w:t>
      </w:r>
      <w:r>
        <w:rPr>
          <w:w w:val="100"/>
        </w:rPr>
        <w:t> </w:t>
      </w:r>
      <w:r>
        <w:rPr>
          <w:rFonts w:ascii="宋体" w:hAnsi="宋体" w:cs="宋体" w:eastAsia="宋体" w:hint="default"/>
          <w:w w:val="95"/>
        </w:rPr>
        <w:t>(1).</w:t>
        <w:tab/>
      </w:r>
      <w:r>
        <w:rPr/>
        <w:t>短期借款分类</w:t>
      </w:r>
      <w:r>
        <w:rPr>
          <w:b w:val="0"/>
          <w:bCs w:val="0"/>
        </w:rPr>
      </w:r>
    </w:p>
    <w:p>
      <w:pPr>
        <w:pStyle w:val="BodyText"/>
        <w:spacing w:line="240" w:lineRule="auto" w:before="15"/>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8"/>
          <w:szCs w:val="18"/>
        </w:rPr>
      </w:pPr>
    </w:p>
    <w:p>
      <w:pPr>
        <w:pStyle w:val="Heading2"/>
        <w:tabs>
          <w:tab w:pos="849" w:val="left" w:leader="none"/>
        </w:tabs>
        <w:spacing w:line="240" w:lineRule="auto"/>
        <w:ind w:right="2465"/>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spacing w:line="240" w:lineRule="auto" w:before="56"/>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4" w:lineRule="exact"/>
        <w:ind w:right="2465"/>
        <w:jc w:val="left"/>
      </w:pPr>
      <w:r>
        <w:rPr/>
        <w:t>其中重要的已逾期未偿还的短期借款情况如下：</w:t>
      </w:r>
    </w:p>
    <w:p>
      <w:pPr>
        <w:pStyle w:val="BodyText"/>
        <w:spacing w:line="272" w:lineRule="exact" w:before="27"/>
        <w:ind w:right="7770"/>
        <w:jc w:val="left"/>
      </w:pPr>
      <w:r>
        <w:rPr>
          <w:rFonts w:ascii="Times New Roman" w:hAnsi="Times New Roman" w:cs="Times New Roman" w:eastAsia="Times New Roman" w:hint="default"/>
          <w:spacing w:val="-2"/>
        </w:rPr>
        <w:t>□</w:t>
      </w:r>
      <w:r>
        <w:rPr>
          <w:spacing w:val="-2"/>
        </w:rPr>
        <w:t>适用</w:t>
      </w:r>
      <w:r>
        <w:rPr>
          <w:rFonts w:ascii="Times New Roman" w:hAnsi="Times New Roman" w:cs="Times New Roman" w:eastAsia="Times New Roman" w:hint="default"/>
          <w:spacing w:val="-2"/>
        </w:rPr>
        <w:t>√</w:t>
      </w:r>
      <w:r>
        <w:rPr>
          <w:spacing w:val="-2"/>
        </w:rPr>
        <w:t>不适用</w:t>
      </w:r>
      <w:r>
        <w:rPr>
          <w:spacing w:val="-93"/>
        </w:rPr>
        <w:t> </w:t>
      </w:r>
      <w:r>
        <w:rPr>
          <w:spacing w:val="-93"/>
        </w:rPr>
      </w:r>
      <w:r>
        <w:rPr/>
        <w:t>其他说明</w:t>
      </w:r>
    </w:p>
    <w:p>
      <w:pPr>
        <w:pStyle w:val="BodyText"/>
        <w:spacing w:line="265" w:lineRule="exact"/>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right="2465"/>
        <w:jc w:val="left"/>
        <w:rPr>
          <w:b w:val="0"/>
          <w:bCs w:val="0"/>
        </w:rPr>
      </w:pPr>
      <w:r>
        <w:rPr/>
        <w:t>（</w:t>
      </w:r>
      <w:r>
        <w:rPr>
          <w:rFonts w:ascii="Calibri" w:hAnsi="Calibri" w:cs="Calibri" w:eastAsia="Calibri" w:hint="default"/>
        </w:rPr>
        <w:t>28</w:t>
      </w:r>
      <w:r>
        <w:rPr/>
        <w:t>）</w:t>
      </w:r>
      <w:r>
        <w:rPr>
          <w:spacing w:val="-24"/>
        </w:rPr>
        <w:t> </w:t>
      </w:r>
      <w:r>
        <w:rPr/>
        <w:t>以公允价值计量且其变动计入当期损益的金融负债</w:t>
      </w:r>
      <w:r>
        <w:rPr>
          <w:b w:val="0"/>
          <w:bCs w:val="0"/>
        </w:rPr>
      </w:r>
    </w:p>
    <w:p>
      <w:pPr>
        <w:pStyle w:val="BodyText"/>
        <w:spacing w:line="240" w:lineRule="auto" w:before="30"/>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8"/>
          <w:szCs w:val="18"/>
        </w:rPr>
      </w:pPr>
    </w:p>
    <w:p>
      <w:pPr>
        <w:pStyle w:val="Heading2"/>
        <w:spacing w:line="240" w:lineRule="auto"/>
        <w:ind w:right="2465"/>
        <w:jc w:val="left"/>
        <w:rPr>
          <w:b w:val="0"/>
          <w:bCs w:val="0"/>
        </w:rPr>
      </w:pPr>
      <w:r>
        <w:rPr/>
        <w:t>（</w:t>
      </w:r>
      <w:r>
        <w:rPr>
          <w:rFonts w:ascii="Calibri" w:hAnsi="Calibri" w:cs="Calibri" w:eastAsia="Calibri" w:hint="default"/>
        </w:rPr>
        <w:t>29</w:t>
      </w:r>
      <w:r>
        <w:rPr/>
        <w:t>）</w:t>
      </w:r>
      <w:r>
        <w:rPr>
          <w:spacing w:val="-21"/>
        </w:rPr>
        <w:t> </w:t>
      </w:r>
      <w:r>
        <w:rPr/>
        <w:t>衍生金融负债</w:t>
      </w:r>
      <w:r>
        <w:rPr>
          <w:b w:val="0"/>
          <w:bCs w:val="0"/>
        </w:rPr>
      </w:r>
    </w:p>
    <w:p>
      <w:pPr>
        <w:pStyle w:val="BodyText"/>
        <w:spacing w:line="240" w:lineRule="auto" w:before="29"/>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8"/>
          <w:szCs w:val="18"/>
        </w:rPr>
      </w:pPr>
    </w:p>
    <w:p>
      <w:pPr>
        <w:pStyle w:val="Heading2"/>
        <w:spacing w:line="240" w:lineRule="auto"/>
        <w:ind w:right="2465"/>
        <w:jc w:val="left"/>
        <w:rPr>
          <w:b w:val="0"/>
          <w:bCs w:val="0"/>
        </w:rPr>
      </w:pPr>
      <w:r>
        <w:rPr/>
        <w:t>（</w:t>
      </w:r>
      <w:r>
        <w:rPr>
          <w:rFonts w:ascii="Calibri" w:hAnsi="Calibri" w:cs="Calibri" w:eastAsia="Calibri" w:hint="default"/>
        </w:rPr>
        <w:t>30</w:t>
      </w:r>
      <w:r>
        <w:rPr/>
        <w:t>）</w:t>
      </w:r>
      <w:r>
        <w:rPr>
          <w:spacing w:val="-22"/>
        </w:rPr>
        <w:t> </w:t>
      </w:r>
      <w:r>
        <w:rPr/>
        <w:t>应付票据</w:t>
      </w:r>
      <w:r>
        <w:rPr>
          <w:b w:val="0"/>
          <w:bCs w:val="0"/>
        </w:rPr>
      </w:r>
    </w:p>
    <w:p>
      <w:pPr>
        <w:pStyle w:val="BodyText"/>
        <w:spacing w:line="240" w:lineRule="auto" w:before="32"/>
        <w:ind w:right="2465"/>
        <w:jc w:val="left"/>
      </w:pPr>
      <w:r>
        <w:rPr/>
        <w:t>□适用√不适用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2"/>
        <w:spacing w:line="290" w:lineRule="auto"/>
        <w:ind w:right="7194"/>
        <w:jc w:val="left"/>
        <w:rPr>
          <w:b w:val="0"/>
          <w:bCs w:val="0"/>
        </w:rPr>
      </w:pPr>
      <w:r>
        <w:rPr/>
        <w:t>（</w:t>
      </w:r>
      <w:r>
        <w:rPr>
          <w:rFonts w:ascii="宋体" w:hAnsi="宋体" w:cs="宋体" w:eastAsia="宋体" w:hint="default"/>
        </w:rPr>
        <w:t>31</w:t>
      </w:r>
      <w:r>
        <w:rPr/>
        <w:t>）</w:t>
      </w:r>
      <w:r>
        <w:rPr>
          <w:spacing w:val="-20"/>
        </w:rPr>
        <w:t> </w:t>
      </w:r>
      <w:r>
        <w:rPr/>
        <w:t>应付账款</w:t>
      </w:r>
      <w:r>
        <w:rPr>
          <w:w w:val="100"/>
        </w:rPr>
        <w:t> </w:t>
      </w: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12"/>
        <w:ind w:right="2465"/>
        <w:jc w:val="left"/>
      </w:pPr>
      <w:r>
        <w:rPr/>
        <w:t>√适用□不适用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0" w:right="230"/>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应付货款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40,597,604.20</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8,799,138.10</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40,597,604.20</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8,799,138.10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58"/>
          <w:pgSz w:w="11910" w:h="16840"/>
          <w:pgMar w:footer="1195" w:header="882" w:top="1120" w:bottom="1380" w:left="1580" w:right="1040"/>
        </w:sectPr>
      </w:pPr>
    </w:p>
    <w:p>
      <w:pPr>
        <w:pStyle w:val="Heading2"/>
        <w:spacing w:line="240" w:lineRule="auto" w:before="36"/>
        <w:ind w:right="-17"/>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240" w:lineRule="auto" w:before="41"/>
        <w:ind w:right="-17"/>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567" w:space="3166"/>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4"/>
        <w:gridCol w:w="2828"/>
        <w:gridCol w:w="2938"/>
      </w:tblGrid>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北京宏博远达科技有限公司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491,150.00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按合同执行</w:t>
            </w:r>
          </w:p>
        </w:tc>
      </w:tr>
      <w:tr>
        <w:trPr>
          <w:trHeight w:val="28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新疆泛舟信息科技有限公司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374,400.00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按合同执行</w:t>
            </w:r>
          </w:p>
        </w:tc>
      </w:tr>
      <w:tr>
        <w:trPr>
          <w:trHeight w:val="55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北京天大清源通信科技股份有限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215,600.00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按合同执行</w:t>
            </w:r>
          </w:p>
        </w:tc>
      </w:tr>
      <w:tr>
        <w:trPr>
          <w:trHeight w:val="55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乌鲁木齐市鑫锐铭泰机电设备有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185,400.00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按合同执行</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北京赢泰天信科技有限公司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180,600.00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按合同执行</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1,447,150.00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2"/>
        <w:rPr>
          <w:rFonts w:ascii="宋体" w:hAnsi="宋体" w:cs="宋体" w:eastAsia="宋体" w:hint="default"/>
          <w:sz w:val="13"/>
          <w:szCs w:val="13"/>
        </w:rPr>
      </w:pPr>
    </w:p>
    <w:p>
      <w:pPr>
        <w:pStyle w:val="BodyText"/>
        <w:spacing w:line="273" w:lineRule="exact" w:before="36"/>
        <w:ind w:right="2465"/>
        <w:jc w:val="left"/>
      </w:pPr>
      <w:r>
        <w:rPr/>
        <w:t>其他说明</w:t>
      </w:r>
    </w:p>
    <w:p>
      <w:pPr>
        <w:pStyle w:val="BodyText"/>
        <w:spacing w:line="273" w:lineRule="exact"/>
        <w:ind w:right="2465"/>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before="36"/>
        <w:ind w:right="-19"/>
        <w:jc w:val="left"/>
        <w:rPr>
          <w:b w:val="0"/>
          <w:bCs w:val="0"/>
        </w:rPr>
      </w:pPr>
      <w:r>
        <w:rPr/>
        <w:t>（</w:t>
      </w:r>
      <w:r>
        <w:rPr>
          <w:rFonts w:ascii="宋体" w:hAnsi="宋体" w:cs="宋体" w:eastAsia="宋体" w:hint="default"/>
        </w:rPr>
        <w:t>32</w:t>
      </w:r>
      <w:r>
        <w:rPr/>
        <w:t>）</w:t>
      </w:r>
      <w:r>
        <w:rPr>
          <w:spacing w:val="-20"/>
        </w:rPr>
        <w:t> </w:t>
      </w:r>
      <w:r>
        <w:rPr/>
        <w:t>预收款项</w:t>
      </w:r>
      <w:r>
        <w:rPr>
          <w:b w:val="0"/>
          <w:bCs w:val="0"/>
        </w:rPr>
      </w:r>
    </w:p>
    <w:p>
      <w:pPr>
        <w:pStyle w:val="Heading2"/>
        <w:spacing w:line="240" w:lineRule="auto" w:before="59"/>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6"/>
        <w:ind w:right="-19"/>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225" w:space="4508"/>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预收货款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26,069,113.00</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20,384,765.76</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26,069,113.00</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20,384,765.76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1580" w:right="1040"/>
        </w:sectPr>
      </w:pPr>
    </w:p>
    <w:p>
      <w:pPr>
        <w:pStyle w:val="Heading2"/>
        <w:spacing w:line="240" w:lineRule="auto" w:before="36"/>
        <w:ind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41"/>
        <w:ind w:right="-16"/>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507" w:space="3226"/>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89"/>
        <w:gridCol w:w="3012"/>
        <w:gridCol w:w="3049"/>
      </w:tblGrid>
      <w:tr>
        <w:trPr>
          <w:trHeight w:val="28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西安雅逸工贸有限公司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770,000.00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项目未完成</w:t>
            </w:r>
          </w:p>
        </w:tc>
      </w:tr>
      <w:tr>
        <w:trPr>
          <w:trHeight w:val="554"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新疆数字证书认证中心（有限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451,500.00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项目未完成</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中国人民解放军信息工程大学</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361,545.00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项目未完成</w:t>
            </w:r>
          </w:p>
        </w:tc>
      </w:tr>
      <w:tr>
        <w:trPr>
          <w:trHeight w:val="28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深圳市雁联计算系统有限公司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342,000.00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项目未完成</w:t>
            </w:r>
          </w:p>
        </w:tc>
      </w:tr>
      <w:tr>
        <w:trPr>
          <w:trHeight w:val="557"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中国人民解放军第四三二八工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厂</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330,000.00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项目未完成</w:t>
            </w:r>
          </w:p>
        </w:tc>
      </w:tr>
      <w:tr>
        <w:trPr>
          <w:trHeight w:val="28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2,255,045.00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2"/>
        <w:spacing w:line="240" w:lineRule="auto" w:before="36"/>
        <w:ind w:right="2465"/>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40" w:lineRule="auto" w:before="56"/>
        <w:ind w:right="7585"/>
        <w:jc w:val="left"/>
      </w:pPr>
      <w:r>
        <w:rPr>
          <w:spacing w:val="-1"/>
        </w:rPr>
        <w:t>□适用√不适用</w:t>
      </w:r>
      <w:r>
        <w:rPr>
          <w:spacing w:val="-96"/>
        </w:rPr>
        <w:t> </w:t>
      </w:r>
      <w:r>
        <w:rPr>
          <w:spacing w:val="-96"/>
        </w:rPr>
      </w:r>
      <w:r>
        <w:rPr/>
        <w:t>其他说明</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2465"/>
        <w:jc w:val="left"/>
      </w:pPr>
      <w:r>
        <w:rPr/>
        <w:t>□适用√不适用</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59"/>
          <w:pgSz w:w="11910" w:h="16840"/>
          <w:pgMar w:footer="1195" w:header="882" w:top="1120" w:bottom="1380" w:left="1580" w:right="1040"/>
          <w:pgNumType w:start="121"/>
        </w:sectPr>
      </w:pPr>
    </w:p>
    <w:p>
      <w:pPr>
        <w:pStyle w:val="Heading2"/>
        <w:spacing w:line="290" w:lineRule="auto" w:before="36"/>
        <w:ind w:right="-16"/>
        <w:jc w:val="left"/>
        <w:rPr>
          <w:b w:val="0"/>
          <w:bCs w:val="0"/>
        </w:rPr>
      </w:pPr>
      <w:r>
        <w:rPr/>
        <w:t>（</w:t>
      </w:r>
      <w:r>
        <w:rPr>
          <w:rFonts w:ascii="宋体" w:hAnsi="宋体" w:cs="宋体" w:eastAsia="宋体" w:hint="default"/>
        </w:rPr>
        <w:t>33</w:t>
      </w:r>
      <w:r>
        <w:rPr/>
        <w:t>）</w:t>
      </w:r>
      <w:r>
        <w:rPr>
          <w:spacing w:val="-20"/>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2"/>
        <w:ind w:right="-16"/>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544" w:space="4189"/>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00"/>
        <w:gridCol w:w="1613"/>
        <w:gridCol w:w="1606"/>
        <w:gridCol w:w="1611"/>
        <w:gridCol w:w="1620"/>
      </w:tblGrid>
      <w:tr>
        <w:trPr>
          <w:trHeight w:val="28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2"/>
              <w:jc w:val="right"/>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21,025.29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53,918,308.41</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53,939,333.70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Times New Roman" w:hAnsi="Times New Roman" w:cs="Times New Roman" w:eastAsia="Times New Roman" w:hint="default"/>
                <w:sz w:val="21"/>
                <w:szCs w:val="21"/>
              </w:rPr>
              <w:t>-</w:t>
            </w:r>
            <w:r>
              <w:rPr>
                <w:rFonts w:ascii="宋体" w:hAnsi="宋体" w:cs="宋体" w:eastAsia="宋体" w:hint="default"/>
                <w:sz w:val="21"/>
                <w:szCs w:val="21"/>
              </w:rPr>
              <w:t>设定提存</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5,996,479.32</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5,996,479.32</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四、一年内到期的其他福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利</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2"/>
              <w:jc w:val="right"/>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21,025.29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59,914,787.73</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59,935,813.02</w:t>
            </w: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80" w:right="1040"/>
        </w:sectPr>
      </w:pPr>
    </w:p>
    <w:p>
      <w:pPr>
        <w:pStyle w:val="Heading2"/>
        <w:spacing w:line="240" w:lineRule="auto" w:before="36"/>
        <w:ind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6"/>
        <w:ind w:right="-16"/>
        <w:jc w:val="left"/>
      </w:pPr>
      <w:r>
        <w:rPr/>
        <w:t>√适用□不适用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spacing w:line="240" w:lineRule="auto"/>
        <w:ind w:right="0"/>
        <w:jc w:val="left"/>
      </w:pPr>
      <w:r>
        <w:rPr/>
        <w:t>单位：元币种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2" w:equalWidth="0">
            <w:col w:w="2122" w:space="4762"/>
            <w:col w:w="2406"/>
          </w:cols>
        </w:sect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一、工资、奖金、津贴和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47,620,208.44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47,620,208.44</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21,025.29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91,794.91</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112,820.20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3,200,594.07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3,200,594.07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2,834,238.19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2,834,238.19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96,654.41</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96,654.41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269,701.47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269,701.47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2,437,895.30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2,437,895.30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五、工会经费和职工教育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567,815.69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567,815.69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21,025.29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53,918,308.41</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53,939,333.70</w:t>
            </w: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2"/>
        <w:spacing w:line="240" w:lineRule="auto" w:before="36"/>
        <w:ind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8"/>
        <w:ind w:right="-16"/>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333" w:space="4400"/>
            <w:col w:w="255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5,792,153.06</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5,792,153.06</w:t>
            </w:r>
          </w:p>
        </w:tc>
        <w:tc>
          <w:tcPr>
            <w:tcW w:w="1591" w:type="dxa"/>
            <w:tcBorders>
              <w:top w:val="single" w:sz="6"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204,326.26</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204,326.26</w:t>
            </w: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、企业年金缴费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5,996,479.32</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5,996,479.32</w:t>
            </w:r>
          </w:p>
        </w:tc>
        <w:tc>
          <w:tcPr>
            <w:tcW w:w="15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74" w:lineRule="exact" w:before="36"/>
        <w:ind w:right="2465"/>
        <w:jc w:val="left"/>
      </w:pPr>
      <w:r>
        <w:rPr/>
        <w:t>其他说明：</w:t>
      </w:r>
    </w:p>
    <w:p>
      <w:pPr>
        <w:pStyle w:val="BodyText"/>
        <w:spacing w:line="274" w:lineRule="exact"/>
        <w:ind w:right="2465"/>
        <w:jc w:val="left"/>
      </w:pPr>
      <w:r>
        <w:rPr/>
        <w:t>□适用√不适用</w:t>
      </w:r>
    </w:p>
    <w:p>
      <w:pPr>
        <w:spacing w:after="0" w:line="274"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before="36"/>
        <w:ind w:right="-18"/>
        <w:jc w:val="left"/>
        <w:rPr>
          <w:b w:val="0"/>
          <w:bCs w:val="0"/>
        </w:rPr>
      </w:pPr>
      <w:r>
        <w:rPr/>
        <w:t>（</w:t>
      </w:r>
      <w:r>
        <w:rPr>
          <w:rFonts w:ascii="宋体" w:hAnsi="宋体" w:cs="宋体" w:eastAsia="宋体" w:hint="default"/>
        </w:rPr>
        <w:t>34</w:t>
      </w:r>
      <w:r>
        <w:rPr/>
        <w:t>）</w:t>
      </w:r>
      <w:r>
        <w:rPr>
          <w:spacing w:val="-20"/>
        </w:rPr>
        <w:t> </w:t>
      </w:r>
      <w:r>
        <w:rPr/>
        <w:t>应交税费</w:t>
      </w:r>
      <w:r>
        <w:rPr>
          <w:b w:val="0"/>
          <w:bCs w:val="0"/>
        </w:rPr>
      </w:r>
    </w:p>
    <w:p>
      <w:pPr>
        <w:pStyle w:val="BodyText"/>
        <w:spacing w:line="240" w:lineRule="auto" w:before="58"/>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783" w:space="4950"/>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9,239,031.01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6,593,278.67</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1,550,981.10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6,963,748.33</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245,037.99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157,243.91</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937,720.62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578,930.69</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468,559.92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285,406.77</w:t>
            </w:r>
          </w:p>
        </w:tc>
      </w:tr>
      <w:tr>
        <w:trPr>
          <w:trHeight w:val="284"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311,820.44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189,718.33</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30,319.24</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河道管理费</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2,715.95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92,600.12</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12,786,186.27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14,860,926.82</w:t>
            </w:r>
          </w:p>
        </w:tc>
      </w:tr>
    </w:tbl>
    <w:p>
      <w:pPr>
        <w:spacing w:line="240" w:lineRule="auto" w:before="7"/>
        <w:rPr>
          <w:rFonts w:ascii="宋体" w:hAnsi="宋体" w:cs="宋体" w:eastAsia="宋体" w:hint="default"/>
          <w:sz w:val="17"/>
          <w:szCs w:val="17"/>
        </w:rPr>
      </w:pPr>
    </w:p>
    <w:p>
      <w:pPr>
        <w:pStyle w:val="Heading2"/>
        <w:spacing w:line="240" w:lineRule="auto" w:before="36"/>
        <w:ind w:right="2465"/>
        <w:jc w:val="left"/>
        <w:rPr>
          <w:b w:val="0"/>
          <w:bCs w:val="0"/>
        </w:rPr>
      </w:pPr>
      <w:r>
        <w:rPr/>
        <w:t>（</w:t>
      </w:r>
      <w:r>
        <w:rPr>
          <w:rFonts w:ascii="宋体" w:hAnsi="宋体" w:cs="宋体" w:eastAsia="宋体" w:hint="default"/>
        </w:rPr>
        <w:t>35</w:t>
      </w:r>
      <w:r>
        <w:rPr/>
        <w:t>）</w:t>
      </w:r>
      <w:r>
        <w:rPr>
          <w:spacing w:val="-20"/>
        </w:rPr>
        <w:t> </w:t>
      </w:r>
      <w:r>
        <w:rPr/>
        <w:t>应付利息</w:t>
      </w:r>
      <w:r>
        <w:rPr>
          <w:b w:val="0"/>
          <w:bCs w:val="0"/>
        </w:rPr>
      </w:r>
    </w:p>
    <w:p>
      <w:pPr>
        <w:pStyle w:val="BodyText"/>
        <w:spacing w:line="272" w:lineRule="exact" w:before="86"/>
        <w:ind w:right="5269"/>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spacing w:val="-2"/>
        </w:rPr>
        <w:t>重要的已逾期未支付的利息情况：</w:t>
      </w:r>
    </w:p>
    <w:p>
      <w:pPr>
        <w:pStyle w:val="BodyText"/>
        <w:spacing w:line="265" w:lineRule="exact"/>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40" w:lineRule="auto" w:before="40"/>
        <w:ind w:right="2465"/>
        <w:jc w:val="left"/>
      </w:pPr>
      <w:r>
        <w:rPr/>
        <w:t>其他说明：</w:t>
      </w:r>
    </w:p>
    <w:p>
      <w:pPr>
        <w:pStyle w:val="BodyText"/>
        <w:spacing w:line="240" w:lineRule="auto" w:before="58"/>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6"/>
          <w:szCs w:val="26"/>
        </w:rPr>
      </w:pPr>
    </w:p>
    <w:p>
      <w:pPr>
        <w:pStyle w:val="Heading2"/>
        <w:spacing w:line="240" w:lineRule="auto"/>
        <w:ind w:right="2465"/>
        <w:jc w:val="left"/>
        <w:rPr>
          <w:b w:val="0"/>
          <w:bCs w:val="0"/>
        </w:rPr>
      </w:pPr>
      <w:r>
        <w:rPr/>
        <w:t>（</w:t>
      </w:r>
      <w:r>
        <w:rPr>
          <w:rFonts w:ascii="宋体" w:hAnsi="宋体" w:cs="宋体" w:eastAsia="宋体" w:hint="default"/>
        </w:rPr>
        <w:t>36</w:t>
      </w:r>
      <w:r>
        <w:rPr/>
        <w:t>）</w:t>
      </w:r>
      <w:r>
        <w:rPr>
          <w:spacing w:val="-20"/>
        </w:rPr>
        <w:t> </w:t>
      </w:r>
      <w:r>
        <w:rPr/>
        <w:t>应付股利</w:t>
      </w:r>
      <w:r>
        <w:rPr>
          <w:b w:val="0"/>
          <w:bCs w:val="0"/>
        </w:rPr>
      </w:r>
    </w:p>
    <w:p>
      <w:pPr>
        <w:pStyle w:val="BodyText"/>
        <w:spacing w:line="240" w:lineRule="auto" w:before="56"/>
        <w:ind w:right="2465"/>
        <w:jc w:val="left"/>
      </w:pPr>
      <w:r>
        <w:rPr/>
        <w:t>□适用√不适用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2"/>
        <w:spacing w:line="240" w:lineRule="auto" w:before="36"/>
        <w:ind w:right="-18"/>
        <w:jc w:val="left"/>
        <w:rPr>
          <w:b w:val="0"/>
          <w:bCs w:val="0"/>
        </w:rPr>
      </w:pPr>
      <w:r>
        <w:rPr/>
        <w:t>（</w:t>
      </w:r>
      <w:r>
        <w:rPr>
          <w:rFonts w:ascii="宋体" w:hAnsi="宋体" w:cs="宋体" w:eastAsia="宋体" w:hint="default"/>
        </w:rPr>
        <w:t>37</w:t>
      </w:r>
      <w:r>
        <w:rPr/>
        <w:t>）</w:t>
      </w:r>
      <w:r>
        <w:rPr>
          <w:spacing w:val="-19"/>
        </w:rPr>
        <w:t> </w:t>
      </w:r>
      <w:r>
        <w:rPr/>
        <w:t>其他应付款</w:t>
      </w:r>
      <w:r>
        <w:rPr>
          <w:b w:val="0"/>
          <w:bCs w:val="0"/>
        </w:rPr>
      </w:r>
    </w:p>
    <w:p>
      <w:pPr>
        <w:pStyle w:val="Heading2"/>
        <w:spacing w:line="240" w:lineRule="auto" w:before="56"/>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8"/>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276" w:space="3457"/>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3,395,853.42</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3,382,468.39</w:t>
            </w:r>
          </w:p>
        </w:tc>
      </w:tr>
      <w:tr>
        <w:trPr>
          <w:trHeight w:val="555"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商用密码基础设施工作组费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642,661.86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674,923.68</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员工报销款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2,296,988.05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413,442.56</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6,335,503.33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4,470,834.63</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2"/>
        <w:spacing w:line="240" w:lineRule="auto" w:before="36"/>
        <w:ind w:right="-1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40" w:lineRule="auto" w:before="41"/>
        <w:ind w:right="-15"/>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718" w:space="3015"/>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27"/>
        <w:gridCol w:w="3113"/>
      </w:tblGrid>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商用密码工作组</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509,261.86</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按项目进度支付</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合计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509,261.86</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2"/>
        <w:rPr>
          <w:rFonts w:ascii="宋体" w:hAnsi="宋体" w:cs="宋体" w:eastAsia="宋体" w:hint="default"/>
          <w:sz w:val="13"/>
          <w:szCs w:val="13"/>
        </w:rPr>
      </w:pPr>
    </w:p>
    <w:p>
      <w:pPr>
        <w:pStyle w:val="BodyText"/>
        <w:spacing w:line="273" w:lineRule="exact" w:before="36"/>
        <w:ind w:right="2465"/>
        <w:jc w:val="left"/>
      </w:pPr>
      <w:r>
        <w:rPr/>
        <w:t>其他说明</w:t>
      </w:r>
    </w:p>
    <w:p>
      <w:pPr>
        <w:pStyle w:val="BodyText"/>
        <w:spacing w:line="273" w:lineRule="exact"/>
        <w:ind w:right="2465"/>
        <w:jc w:val="left"/>
      </w:pPr>
      <w:r>
        <w:rPr/>
        <w:t>□适用√不适用</w:t>
      </w:r>
    </w:p>
    <w:p>
      <w:pPr>
        <w:spacing w:after="0" w:line="273"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right="2465"/>
        <w:jc w:val="left"/>
        <w:rPr>
          <w:b w:val="0"/>
          <w:bCs w:val="0"/>
        </w:rPr>
      </w:pPr>
      <w:r>
        <w:rPr/>
        <w:t>（</w:t>
      </w:r>
      <w:r>
        <w:rPr>
          <w:rFonts w:ascii="Calibri" w:hAnsi="Calibri" w:cs="Calibri" w:eastAsia="Calibri" w:hint="default"/>
        </w:rPr>
        <w:t>38</w:t>
      </w:r>
      <w:r>
        <w:rPr/>
        <w:t>）</w:t>
      </w:r>
      <w:r>
        <w:rPr>
          <w:spacing w:val="-21"/>
        </w:rPr>
        <w:t> </w:t>
      </w:r>
      <w:r>
        <w:rPr/>
        <w:t>持有待售负债</w:t>
      </w:r>
      <w:r>
        <w:rPr>
          <w:b w:val="0"/>
          <w:bCs w:val="0"/>
        </w:rPr>
      </w:r>
    </w:p>
    <w:p>
      <w:pPr>
        <w:pStyle w:val="BodyText"/>
        <w:spacing w:line="240" w:lineRule="auto" w:before="32"/>
        <w:ind w:right="2465"/>
        <w:jc w:val="left"/>
      </w:pPr>
      <w:r>
        <w:rPr/>
        <w:t>□适用√不适用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60"/>
          <w:pgSz w:w="11910" w:h="16840"/>
          <w:pgMar w:footer="1195" w:header="882" w:top="1120" w:bottom="1380" w:left="1580" w:right="1040"/>
          <w:pgNumType w:start="123"/>
        </w:sectPr>
      </w:pPr>
    </w:p>
    <w:p>
      <w:pPr>
        <w:pStyle w:val="Heading2"/>
        <w:spacing w:line="240" w:lineRule="auto" w:before="36"/>
        <w:ind w:right="-17"/>
        <w:jc w:val="left"/>
        <w:rPr>
          <w:b w:val="0"/>
          <w:bCs w:val="0"/>
        </w:rPr>
      </w:pPr>
      <w:r>
        <w:rPr/>
        <w:t>（</w:t>
      </w:r>
      <w:r>
        <w:rPr>
          <w:rFonts w:ascii="宋体" w:hAnsi="宋体" w:cs="宋体" w:eastAsia="宋体" w:hint="default"/>
        </w:rPr>
        <w:t>39</w:t>
      </w:r>
      <w:r>
        <w:rPr/>
        <w:t>） </w:t>
      </w:r>
      <w:r>
        <w:rPr>
          <w:rFonts w:ascii="宋体" w:hAnsi="宋体" w:cs="宋体" w:eastAsia="宋体" w:hint="default"/>
        </w:rPr>
        <w:t>1</w:t>
      </w:r>
      <w:r>
        <w:rPr>
          <w:rFonts w:ascii="宋体" w:hAnsi="宋体" w:cs="宋体" w:eastAsia="宋体" w:hint="default"/>
          <w:spacing w:val="-72"/>
        </w:rPr>
        <w:t> </w:t>
      </w:r>
      <w:r>
        <w:rPr/>
        <w:t>年内到期的非流动负债</w:t>
      </w:r>
      <w:r>
        <w:rPr>
          <w:b w:val="0"/>
          <w:bCs w:val="0"/>
        </w:rPr>
      </w:r>
    </w:p>
    <w:p>
      <w:pPr>
        <w:pStyle w:val="BodyText"/>
        <w:spacing w:line="240" w:lineRule="auto" w:before="56"/>
        <w:ind w:right="-17"/>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209" w:space="3524"/>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36"/>
        <w:gridCol w:w="3104"/>
      </w:tblGrid>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3,380,000.00</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年内到期的应付债券</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年内到期的长期应付款</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3,380,000.00</w:t>
            </w:r>
          </w:p>
        </w:tc>
      </w:tr>
    </w:tbl>
    <w:p>
      <w:pPr>
        <w:spacing w:line="240" w:lineRule="auto" w:before="4"/>
        <w:rPr>
          <w:rFonts w:ascii="宋体" w:hAnsi="宋体" w:cs="宋体" w:eastAsia="宋体" w:hint="default"/>
          <w:sz w:val="22"/>
          <w:szCs w:val="22"/>
        </w:rPr>
      </w:pPr>
    </w:p>
    <w:p>
      <w:pPr>
        <w:spacing w:line="290" w:lineRule="auto" w:before="36"/>
        <w:ind w:left="218" w:right="727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40</w:t>
      </w:r>
      <w:r>
        <w:rPr>
          <w:rFonts w:ascii="宋体" w:hAnsi="宋体" w:cs="宋体" w:eastAsia="宋体" w:hint="default"/>
          <w:b/>
          <w:bCs/>
          <w:sz w:val="21"/>
          <w:szCs w:val="21"/>
        </w:rPr>
        <w:t>）</w:t>
      </w:r>
      <w:r>
        <w:rPr>
          <w:rFonts w:ascii="宋体" w:hAnsi="宋体" w:cs="宋体" w:eastAsia="宋体" w:hint="default"/>
          <w:b/>
          <w:bCs/>
          <w:spacing w:val="-19"/>
          <w:sz w:val="21"/>
          <w:szCs w:val="21"/>
        </w:rPr>
        <w:t> </w:t>
      </w:r>
      <w:r>
        <w:rPr>
          <w:rFonts w:ascii="宋体" w:hAnsi="宋体" w:cs="宋体" w:eastAsia="宋体" w:hint="default"/>
          <w:b/>
          <w:bCs/>
          <w:sz w:val="21"/>
          <w:szCs w:val="21"/>
        </w:rPr>
        <w:t>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spacing w:line="225" w:lineRule="exact"/>
        <w:ind w:right="2465"/>
        <w:jc w:val="left"/>
      </w:pPr>
      <w:r>
        <w:rPr/>
        <w:t>□适用√不适用</w:t>
      </w:r>
    </w:p>
    <w:p>
      <w:pPr>
        <w:pStyle w:val="BodyText"/>
        <w:spacing w:line="272" w:lineRule="exact"/>
        <w:ind w:right="2465"/>
        <w:jc w:val="left"/>
      </w:pPr>
      <w:r>
        <w:rPr/>
        <w:t>短期应付债券的增减变动：</w:t>
      </w:r>
    </w:p>
    <w:p>
      <w:pPr>
        <w:pStyle w:val="BodyText"/>
        <w:spacing w:line="290" w:lineRule="auto"/>
        <w:ind w:right="7585"/>
        <w:jc w:val="left"/>
      </w:pPr>
      <w:r>
        <w:rPr>
          <w:spacing w:val="-1"/>
        </w:rPr>
        <w:t>□适用√不适用</w:t>
      </w:r>
      <w:r>
        <w:rPr>
          <w:spacing w:val="-96"/>
        </w:rPr>
        <w:t> </w:t>
      </w:r>
      <w:r>
        <w:rPr>
          <w:spacing w:val="-96"/>
        </w:rPr>
      </w:r>
      <w:r>
        <w:rPr/>
        <w:t>其他说明：</w:t>
      </w:r>
    </w:p>
    <w:p>
      <w:pPr>
        <w:pStyle w:val="BodyText"/>
        <w:spacing w:line="240" w:lineRule="auto" w:before="14"/>
        <w:ind w:right="2465"/>
        <w:jc w:val="left"/>
      </w:pPr>
      <w:r>
        <w:rPr/>
        <w:t>□适用√不适用</w:t>
      </w:r>
    </w:p>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2"/>
        <w:tabs>
          <w:tab w:pos="849" w:val="left" w:leader="none"/>
        </w:tabs>
        <w:spacing w:line="290" w:lineRule="auto" w:before="36"/>
        <w:ind w:right="0"/>
        <w:jc w:val="left"/>
        <w:rPr>
          <w:b w:val="0"/>
          <w:bCs w:val="0"/>
        </w:rPr>
      </w:pPr>
      <w:r>
        <w:rPr/>
        <w:t>（</w:t>
      </w:r>
      <w:r>
        <w:rPr>
          <w:rFonts w:ascii="宋体" w:hAnsi="宋体" w:cs="宋体" w:eastAsia="宋体" w:hint="default"/>
        </w:rPr>
        <w:t>41</w:t>
      </w:r>
      <w:r>
        <w:rPr/>
        <w:t>）</w:t>
      </w:r>
      <w:r>
        <w:rPr>
          <w:spacing w:val="-20"/>
        </w:rPr>
        <w:t> </w:t>
      </w:r>
      <w:r>
        <w:rPr/>
        <w:t>长期借款</w:t>
      </w:r>
      <w:r>
        <w:rPr>
          <w:w w:val="100"/>
        </w:rPr>
        <w:t> </w:t>
      </w:r>
      <w:r>
        <w:rPr>
          <w:rFonts w:ascii="宋体" w:hAnsi="宋体" w:cs="宋体" w:eastAsia="宋体" w:hint="default"/>
          <w:w w:val="95"/>
        </w:rPr>
        <w:t>(1).</w:t>
        <w:tab/>
      </w:r>
      <w:r>
        <w:rPr/>
        <w:t>长期借款分类</w:t>
      </w:r>
      <w:r>
        <w:rPr>
          <w:b w:val="0"/>
          <w:bCs w:val="0"/>
        </w:rPr>
      </w:r>
    </w:p>
    <w:p>
      <w:pPr>
        <w:pStyle w:val="BodyText"/>
        <w:spacing w:line="240" w:lineRule="auto" w:before="14"/>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117" w:space="4616"/>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001"/>
        <w:gridCol w:w="2998"/>
        <w:gridCol w:w="2897"/>
      </w:tblGrid>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2"/>
              <w:jc w:val="right"/>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z w:val="21"/>
              </w:rPr>
              <w:t>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2,535,000.00</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2"/>
              <w:jc w:val="right"/>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z w:val="21"/>
              </w:rPr>
              <w:t>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2,535,000.00</w:t>
            </w:r>
          </w:p>
        </w:tc>
      </w:tr>
    </w:tbl>
    <w:p>
      <w:pPr>
        <w:spacing w:line="240" w:lineRule="auto" w:before="4"/>
        <w:rPr>
          <w:rFonts w:ascii="宋体" w:hAnsi="宋体" w:cs="宋体" w:eastAsia="宋体" w:hint="default"/>
          <w:sz w:val="22"/>
          <w:szCs w:val="22"/>
        </w:rPr>
      </w:pPr>
    </w:p>
    <w:p>
      <w:pPr>
        <w:pStyle w:val="BodyText"/>
        <w:spacing w:line="273" w:lineRule="exact" w:before="36"/>
        <w:ind w:right="0"/>
        <w:jc w:val="both"/>
      </w:pPr>
      <w:r>
        <w:rPr/>
        <w:t>其他说明，包括利率区间：</w:t>
      </w:r>
    </w:p>
    <w:p>
      <w:pPr>
        <w:pStyle w:val="BodyText"/>
        <w:spacing w:line="272" w:lineRule="exact"/>
        <w:ind w:right="0"/>
        <w:jc w:val="both"/>
      </w:pPr>
      <w:r>
        <w:rPr/>
        <w:t>√适用□不适用</w:t>
      </w:r>
    </w:p>
    <w:p>
      <w:pPr>
        <w:pStyle w:val="BodyText"/>
        <w:spacing w:line="225" w:lineRule="auto" w:before="13"/>
        <w:ind w:right="227"/>
        <w:jc w:val="both"/>
      </w:pPr>
      <w:r>
        <w:rPr>
          <w:spacing w:val="-3"/>
        </w:rPr>
        <w:t>长期借款系向上海银行普陀支行抵押借款。</w:t>
      </w:r>
      <w:r>
        <w:rPr>
          <w:rFonts w:ascii="Times New Roman" w:hAnsi="Times New Roman" w:cs="Times New Roman" w:eastAsia="Times New Roman" w:hint="default"/>
          <w:spacing w:val="-3"/>
        </w:rPr>
        <w:t>2013 </w:t>
      </w:r>
      <w:r>
        <w:rPr/>
        <w:t>年 </w:t>
      </w:r>
      <w:r>
        <w:rPr>
          <w:rFonts w:ascii="Times New Roman" w:hAnsi="Times New Roman" w:cs="Times New Roman" w:eastAsia="Times New Roman" w:hint="default"/>
        </w:rPr>
        <w:t>7 </w:t>
      </w:r>
      <w:r>
        <w:rPr>
          <w:spacing w:val="-3"/>
        </w:rPr>
        <w:t>月，公司与上海银行股份有限公司普陀支行</w:t>
      </w:r>
      <w:r>
        <w:rPr>
          <w:spacing w:val="-80"/>
        </w:rPr>
        <w:t> </w:t>
      </w:r>
      <w:r>
        <w:rPr>
          <w:spacing w:val="-80"/>
        </w:rPr>
      </w:r>
      <w:r>
        <w:rPr>
          <w:spacing w:val="-5"/>
          <w:w w:val="100"/>
        </w:rPr>
        <w:t>签订一系列《法人房产按揭借款合同》以及《房地产抵押合同》，于</w:t>
      </w:r>
      <w:r>
        <w:rPr>
          <w:spacing w:val="-50"/>
          <w:w w:val="100"/>
        </w:rPr>
        <w:t> </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w w:val="100"/>
        </w:rPr>
        <w:t> </w:t>
      </w:r>
      <w:r>
        <w:rPr>
          <w:w w:val="100"/>
        </w:rPr>
        <w:t>年</w:t>
      </w:r>
      <w:r>
        <w:rPr>
          <w:spacing w:val="-53"/>
          <w:w w:val="100"/>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4"/>
          <w:w w:val="100"/>
        </w:rPr>
        <w:t> </w:t>
      </w:r>
      <w:r>
        <w:rPr>
          <w:w w:val="100"/>
        </w:rPr>
        <w:t>月</w:t>
      </w:r>
      <w:r>
        <w:rPr>
          <w:spacing w:val="-53"/>
          <w:w w:val="100"/>
        </w:rPr>
        <w:t> </w:t>
      </w:r>
      <w:r>
        <w:rPr>
          <w:rFonts w:ascii="Times New Roman" w:hAnsi="Times New Roman" w:cs="Times New Roman" w:eastAsia="Times New Roman" w:hint="default"/>
          <w:w w:val="100"/>
        </w:rPr>
        <w:t>8</w:t>
      </w:r>
      <w:r>
        <w:rPr>
          <w:rFonts w:ascii="Times New Roman" w:hAnsi="Times New Roman" w:cs="Times New Roman" w:eastAsia="Times New Roman" w:hint="default"/>
          <w:spacing w:val="3"/>
          <w:w w:val="100"/>
        </w:rPr>
        <w:t> </w:t>
      </w:r>
      <w:r>
        <w:rPr>
          <w:spacing w:val="-2"/>
          <w:w w:val="100"/>
        </w:rPr>
        <w:t>日到期，借款</w:t>
      </w:r>
      <w:r>
        <w:rPr>
          <w:w w:val="100"/>
        </w:rPr>
        <w:t> </w:t>
      </w:r>
      <w:r>
        <w:rPr/>
        <w:t>利率</w:t>
      </w:r>
      <w:r>
        <w:rPr>
          <w:spacing w:val="-12"/>
        </w:rPr>
        <w:t> </w:t>
      </w:r>
      <w:r>
        <w:rPr>
          <w:rFonts w:ascii="Times New Roman" w:hAnsi="Times New Roman" w:cs="Times New Roman" w:eastAsia="Times New Roman" w:hint="default"/>
        </w:rPr>
        <w:t>6.72%</w:t>
      </w:r>
      <w:r>
        <w:rPr/>
        <w:t>。截止本报告期末，公司已经还清上述房屋的抵押贷款，在静安区房产交易中心办理</w:t>
      </w:r>
      <w:r>
        <w:rPr>
          <w:w w:val="100"/>
        </w:rPr>
        <w:t> </w:t>
      </w:r>
      <w:r>
        <w:rPr/>
        <w:t>了抵押权注销。</w:t>
      </w:r>
    </w:p>
    <w:p>
      <w:pPr>
        <w:spacing w:line="240" w:lineRule="auto" w:before="13"/>
        <w:rPr>
          <w:rFonts w:ascii="宋体" w:hAnsi="宋体" w:cs="宋体" w:eastAsia="宋体" w:hint="default"/>
          <w:sz w:val="22"/>
          <w:szCs w:val="22"/>
        </w:rPr>
      </w:pPr>
    </w:p>
    <w:p>
      <w:pPr>
        <w:pStyle w:val="Heading2"/>
        <w:tabs>
          <w:tab w:pos="889" w:val="left" w:leader="none"/>
        </w:tabs>
        <w:spacing w:line="290" w:lineRule="auto"/>
        <w:ind w:right="7501"/>
        <w:jc w:val="left"/>
        <w:rPr>
          <w:b w:val="0"/>
          <w:bCs w:val="0"/>
        </w:rPr>
      </w:pPr>
      <w:r>
        <w:rPr/>
        <w:t>（</w:t>
      </w:r>
      <w:r>
        <w:rPr>
          <w:rFonts w:ascii="宋体" w:hAnsi="宋体" w:cs="宋体" w:eastAsia="宋体" w:hint="default"/>
        </w:rPr>
        <w:t>42</w:t>
      </w:r>
      <w:r>
        <w:rPr/>
        <w:t>）</w:t>
      </w:r>
      <w:r>
        <w:rPr>
          <w:spacing w:val="-20"/>
        </w:rPr>
        <w:t> </w:t>
      </w:r>
      <w:r>
        <w:rPr/>
        <w:t>应付债券</w:t>
      </w:r>
      <w:r>
        <w:rPr>
          <w:w w:val="100"/>
        </w:rPr>
        <w:t> </w:t>
      </w:r>
      <w:r>
        <w:rPr>
          <w:rFonts w:ascii="宋体" w:hAnsi="宋体" w:cs="宋体" w:eastAsia="宋体" w:hint="default"/>
          <w:w w:val="95"/>
        </w:rPr>
        <w:t>(1).</w:t>
        <w:tab/>
      </w:r>
      <w:r>
        <w:rPr/>
        <w:t>应付债券</w:t>
      </w:r>
      <w:r>
        <w:rPr>
          <w:b w:val="0"/>
          <w:bCs w:val="0"/>
        </w:rPr>
      </w:r>
    </w:p>
    <w:p>
      <w:pPr>
        <w:pStyle w:val="BodyText"/>
        <w:spacing w:line="240" w:lineRule="auto" w:before="14"/>
        <w:ind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2"/>
        <w:spacing w:line="240" w:lineRule="auto" w:before="40"/>
        <w:ind w:right="0"/>
        <w:jc w:val="both"/>
        <w:rPr>
          <w:b w:val="0"/>
          <w:bCs w:val="0"/>
        </w:rPr>
      </w:pPr>
      <w:r>
        <w:rPr>
          <w:rFonts w:ascii="宋体" w:hAnsi="宋体" w:cs="宋体" w:eastAsia="宋体" w:hint="default"/>
          <w:w w:val="99"/>
        </w:rPr>
        <w:t>(2).</w:t>
      </w:r>
      <w:r>
        <w:rPr>
          <w:rFonts w:ascii="宋体" w:hAnsi="宋体" w:cs="宋体" w:eastAsia="宋体" w:hint="default"/>
        </w:rPr>
        <w:t> </w:t>
      </w:r>
      <w:r>
        <w:rPr>
          <w:rFonts w:ascii="宋体" w:hAnsi="宋体" w:cs="宋体" w:eastAsia="宋体" w:hint="default"/>
          <w:spacing w:val="37"/>
        </w:rPr>
        <w:t> </w:t>
      </w:r>
      <w:r>
        <w:rPr>
          <w:w w:val="100"/>
        </w:rPr>
        <w:t>应付债券的增减变动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b w:val="0"/>
          <w:bCs w:val="0"/>
          <w:w w:val="100"/>
        </w:rPr>
      </w:r>
    </w:p>
    <w:p>
      <w:pPr>
        <w:pStyle w:val="BodyText"/>
        <w:spacing w:line="240" w:lineRule="auto" w:before="58"/>
        <w:ind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2"/>
        <w:spacing w:line="240" w:lineRule="auto" w:before="41"/>
        <w:ind w:right="0"/>
        <w:jc w:val="both"/>
        <w:rPr>
          <w:b w:val="0"/>
          <w:bCs w:val="0"/>
        </w:rPr>
      </w:pPr>
      <w:r>
        <w:rPr>
          <w:rFonts w:ascii="宋体" w:hAnsi="宋体" w:cs="宋体" w:eastAsia="宋体" w:hint="default"/>
        </w:rPr>
        <w:t>(3). </w:t>
      </w:r>
      <w:r>
        <w:rPr>
          <w:rFonts w:ascii="宋体" w:hAnsi="宋体" w:cs="宋体" w:eastAsia="宋体" w:hint="default"/>
          <w:spacing w:val="37"/>
        </w:rPr>
        <w:t> </w:t>
      </w:r>
      <w:r>
        <w:rPr/>
        <w:t>可转换公司债券的转股条件、转股时间说明：</w:t>
      </w:r>
      <w:r>
        <w:rPr>
          <w:b w:val="0"/>
          <w:bCs w:val="0"/>
        </w:rPr>
      </w:r>
    </w:p>
    <w:p>
      <w:pPr>
        <w:pStyle w:val="BodyText"/>
        <w:spacing w:line="240" w:lineRule="auto" w:before="58"/>
        <w:ind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both"/>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tabs>
          <w:tab w:pos="809" w:val="left" w:leader="none"/>
        </w:tabs>
        <w:spacing w:line="290" w:lineRule="auto" w:before="36"/>
        <w:ind w:left="138" w:right="3729"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划分为金融负债的其他金融工具说明：</w:t>
      </w:r>
      <w:r>
        <w:rPr>
          <w:rFonts w:ascii="宋体" w:hAnsi="宋体" w:cs="宋体" w:eastAsia="宋体" w:hint="default"/>
          <w:b/>
          <w:bCs/>
          <w:w w:val="100"/>
          <w:sz w:val="21"/>
          <w:szCs w:val="21"/>
        </w:rPr>
        <w:t> </w:t>
      </w:r>
      <w:r>
        <w:rPr>
          <w:rFonts w:ascii="宋体" w:hAnsi="宋体" w:cs="宋体" w:eastAsia="宋体" w:hint="default"/>
          <w:spacing w:val="-2"/>
          <w:sz w:val="21"/>
          <w:szCs w:val="21"/>
        </w:rPr>
        <w:t>期末发行在外的优先股、永续债等其他金融工具基本情况</w:t>
      </w:r>
    </w:p>
    <w:p>
      <w:pPr>
        <w:pStyle w:val="BodyText"/>
        <w:spacing w:line="243" w:lineRule="exact"/>
        <w:ind w:left="138" w:right="14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4" w:lineRule="exact"/>
        <w:ind w:left="138" w:right="146"/>
        <w:jc w:val="left"/>
      </w:pPr>
      <w:r>
        <w:rPr/>
        <w:t>期末发行在外的优先股、永续债等金融工具变动情况表</w:t>
      </w:r>
    </w:p>
    <w:p>
      <w:pPr>
        <w:pStyle w:val="BodyText"/>
        <w:spacing w:line="273" w:lineRule="auto"/>
        <w:ind w:left="138" w:right="3972"/>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spacing w:val="-2"/>
        </w:rPr>
        <w:t>其他金融工具划分为金融负债的依据说明</w:t>
      </w:r>
    </w:p>
    <w:p>
      <w:pPr>
        <w:pStyle w:val="BodyText"/>
        <w:spacing w:line="240" w:lineRule="auto" w:before="29"/>
        <w:ind w:left="138" w:right="14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6"/>
          <w:szCs w:val="26"/>
        </w:rPr>
      </w:pPr>
    </w:p>
    <w:p>
      <w:pPr>
        <w:pStyle w:val="BodyText"/>
        <w:spacing w:line="240" w:lineRule="auto"/>
        <w:ind w:left="138" w:right="146"/>
        <w:jc w:val="left"/>
      </w:pPr>
      <w:r>
        <w:rPr/>
        <w:t>其他说明：</w:t>
      </w:r>
    </w:p>
    <w:p>
      <w:pPr>
        <w:pStyle w:val="BodyText"/>
        <w:spacing w:line="240" w:lineRule="auto" w:before="57"/>
        <w:ind w:left="138" w:right="14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6"/>
          <w:szCs w:val="26"/>
        </w:rPr>
      </w:pPr>
    </w:p>
    <w:p>
      <w:pPr>
        <w:pStyle w:val="Heading2"/>
        <w:spacing w:line="240" w:lineRule="auto"/>
        <w:ind w:left="138" w:right="146"/>
        <w:jc w:val="left"/>
        <w:rPr>
          <w:b w:val="0"/>
          <w:bCs w:val="0"/>
        </w:rPr>
      </w:pPr>
      <w:r>
        <w:rPr/>
        <w:t>（</w:t>
      </w:r>
      <w:r>
        <w:rPr>
          <w:rFonts w:ascii="宋体" w:hAnsi="宋体" w:cs="宋体" w:eastAsia="宋体" w:hint="default"/>
        </w:rPr>
        <w:t>43</w:t>
      </w:r>
      <w:r>
        <w:rPr/>
        <w:t>）</w:t>
      </w:r>
      <w:r>
        <w:rPr>
          <w:spacing w:val="-19"/>
        </w:rPr>
        <w:t> </w:t>
      </w:r>
      <w:r>
        <w:rPr/>
        <w:t>长期应付款</w:t>
      </w:r>
      <w:r>
        <w:rPr>
          <w:b w:val="0"/>
          <w:bCs w:val="0"/>
        </w:rPr>
      </w:r>
    </w:p>
    <w:p>
      <w:pPr>
        <w:pStyle w:val="Heading2"/>
        <w:spacing w:line="273" w:lineRule="exact" w:before="58"/>
        <w:ind w:left="138" w:right="146"/>
        <w:jc w:val="left"/>
        <w:rPr>
          <w:b w:val="0"/>
          <w:bCs w:val="0"/>
        </w:rPr>
      </w:pPr>
      <w:r>
        <w:rPr>
          <w:rFonts w:ascii="宋体" w:hAnsi="宋体" w:cs="宋体" w:eastAsia="宋体" w:hint="default"/>
        </w:rPr>
        <w:t>(1) </w:t>
      </w:r>
      <w:r>
        <w:rPr/>
        <w:t>按款项性质列示长期应付款：</w:t>
      </w:r>
      <w:r>
        <w:rPr>
          <w:b w:val="0"/>
          <w:bCs w:val="0"/>
        </w:rPr>
      </w:r>
    </w:p>
    <w:p>
      <w:pPr>
        <w:pStyle w:val="BodyText"/>
        <w:spacing w:line="289" w:lineRule="exact"/>
        <w:ind w:left="138" w:right="14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8"/>
          <w:szCs w:val="18"/>
        </w:rPr>
      </w:pPr>
    </w:p>
    <w:p>
      <w:pPr>
        <w:pStyle w:val="Heading2"/>
        <w:spacing w:line="240" w:lineRule="auto"/>
        <w:ind w:left="138" w:right="146"/>
        <w:jc w:val="left"/>
        <w:rPr>
          <w:b w:val="0"/>
          <w:bCs w:val="0"/>
        </w:rPr>
      </w:pPr>
      <w:r>
        <w:rPr/>
        <w:t>（</w:t>
      </w:r>
      <w:r>
        <w:rPr>
          <w:rFonts w:ascii="Calibri" w:hAnsi="Calibri" w:cs="Calibri" w:eastAsia="Calibri" w:hint="default"/>
        </w:rPr>
        <w:t>44</w:t>
      </w:r>
      <w:r>
        <w:rPr/>
        <w:t>）</w:t>
      </w:r>
      <w:r>
        <w:rPr>
          <w:spacing w:val="-20"/>
        </w:rPr>
        <w:t> </w:t>
      </w:r>
      <w:r>
        <w:rPr/>
        <w:t>长期应付职工薪酬</w:t>
      </w:r>
      <w:r>
        <w:rPr>
          <w:b w:val="0"/>
          <w:bCs w:val="0"/>
        </w:rPr>
      </w:r>
    </w:p>
    <w:p>
      <w:pPr>
        <w:pStyle w:val="BodyText"/>
        <w:spacing w:line="240" w:lineRule="auto" w:before="29"/>
        <w:ind w:left="138" w:right="14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8"/>
          <w:szCs w:val="18"/>
        </w:rPr>
      </w:pPr>
    </w:p>
    <w:p>
      <w:pPr>
        <w:pStyle w:val="Heading2"/>
        <w:spacing w:line="240" w:lineRule="auto"/>
        <w:ind w:left="138" w:right="146"/>
        <w:jc w:val="left"/>
        <w:rPr>
          <w:b w:val="0"/>
          <w:bCs w:val="0"/>
        </w:rPr>
      </w:pPr>
      <w:r>
        <w:rPr/>
        <w:t>（</w:t>
      </w:r>
      <w:r>
        <w:rPr>
          <w:rFonts w:ascii="宋体" w:hAnsi="宋体" w:cs="宋体" w:eastAsia="宋体" w:hint="default"/>
        </w:rPr>
        <w:t>45</w:t>
      </w:r>
      <w:r>
        <w:rPr/>
        <w:t>）</w:t>
      </w:r>
      <w:r>
        <w:rPr>
          <w:spacing w:val="-19"/>
        </w:rPr>
        <w:t> </w:t>
      </w:r>
      <w:r>
        <w:rPr/>
        <w:t>专项应付款</w:t>
      </w:r>
      <w:r>
        <w:rPr>
          <w:b w:val="0"/>
          <w:bCs w:val="0"/>
        </w:rPr>
      </w:r>
    </w:p>
    <w:p>
      <w:pPr>
        <w:pStyle w:val="BodyText"/>
        <w:spacing w:line="240" w:lineRule="auto" w:before="56"/>
        <w:ind w:left="138" w:right="14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8"/>
          <w:szCs w:val="18"/>
        </w:rPr>
      </w:pPr>
    </w:p>
    <w:p>
      <w:pPr>
        <w:pStyle w:val="Heading2"/>
        <w:spacing w:line="240" w:lineRule="auto"/>
        <w:ind w:left="138" w:right="146"/>
        <w:jc w:val="left"/>
        <w:rPr>
          <w:b w:val="0"/>
          <w:bCs w:val="0"/>
        </w:rPr>
      </w:pPr>
      <w:r>
        <w:rPr/>
        <w:t>（</w:t>
      </w:r>
      <w:r>
        <w:rPr>
          <w:rFonts w:ascii="宋体" w:hAnsi="宋体" w:cs="宋体" w:eastAsia="宋体" w:hint="default"/>
        </w:rPr>
        <w:t>46</w:t>
      </w:r>
      <w:r>
        <w:rPr/>
        <w:t>）</w:t>
      </w:r>
      <w:r>
        <w:rPr>
          <w:spacing w:val="-20"/>
        </w:rPr>
        <w:t> </w:t>
      </w:r>
      <w:r>
        <w:rPr/>
        <w:t>预计负债</w:t>
      </w:r>
      <w:r>
        <w:rPr>
          <w:b w:val="0"/>
          <w:bCs w:val="0"/>
        </w:rPr>
      </w:r>
    </w:p>
    <w:p>
      <w:pPr>
        <w:pStyle w:val="BodyText"/>
        <w:spacing w:line="240" w:lineRule="auto" w:before="58"/>
        <w:ind w:left="138" w:right="146"/>
        <w:jc w:val="left"/>
      </w:pPr>
      <w:r>
        <w:rPr/>
        <w:t>□适用√不适用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660" w:right="1120"/>
        </w:sectPr>
      </w:pPr>
    </w:p>
    <w:p>
      <w:pPr>
        <w:spacing w:line="290" w:lineRule="auto" w:before="36"/>
        <w:ind w:left="138" w:right="-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47</w:t>
      </w:r>
      <w:r>
        <w:rPr>
          <w:rFonts w:ascii="宋体" w:hAnsi="宋体" w:cs="宋体" w:eastAsia="宋体" w:hint="default"/>
          <w:b/>
          <w:bCs/>
          <w:sz w:val="21"/>
          <w:szCs w:val="21"/>
        </w:rPr>
        <w:t>）</w:t>
      </w:r>
      <w:r>
        <w:rPr>
          <w:rFonts w:ascii="宋体" w:hAnsi="宋体" w:cs="宋体" w:eastAsia="宋体" w:hint="default"/>
          <w:b/>
          <w:bCs/>
          <w:spacing w:val="-20"/>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spacing w:line="227" w:lineRule="exact"/>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715" w:space="4806"/>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02"/>
        <w:gridCol w:w="1443"/>
        <w:gridCol w:w="1457"/>
        <w:gridCol w:w="1440"/>
        <w:gridCol w:w="1486"/>
        <w:gridCol w:w="1567"/>
      </w:tblGrid>
      <w:tr>
        <w:trPr>
          <w:trHeight w:val="346"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33"/>
              <w:jc w:val="right"/>
              <w:rPr>
                <w:rFonts w:ascii="宋体" w:hAnsi="宋体" w:cs="宋体" w:eastAsia="宋体" w:hint="default"/>
                <w:sz w:val="21"/>
                <w:szCs w:val="21"/>
              </w:rPr>
            </w:pPr>
            <w:r>
              <w:rPr>
                <w:rFonts w:ascii="宋体" w:hAnsi="宋体" w:cs="宋体" w:eastAsia="宋体" w:hint="default"/>
                <w:sz w:val="21"/>
                <w:szCs w:val="21"/>
              </w:rPr>
              <w:t>项目</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554"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846,345.74</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875,000.00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02" w:right="0"/>
              <w:jc w:val="left"/>
              <w:rPr>
                <w:rFonts w:ascii="Times New Roman" w:hAnsi="Times New Roman" w:cs="Times New Roman" w:eastAsia="Times New Roman" w:hint="default"/>
                <w:sz w:val="21"/>
                <w:szCs w:val="21"/>
              </w:rPr>
            </w:pPr>
            <w:r>
              <w:rPr>
                <w:rFonts w:ascii="Times New Roman"/>
                <w:sz w:val="21"/>
              </w:rPr>
              <w:t>1,213,496.48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507,849.26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研发项目收到补</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贴</w:t>
            </w:r>
          </w:p>
        </w:tc>
      </w:tr>
      <w:tr>
        <w:trPr>
          <w:trHeight w:val="283"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3"/>
              <w:jc w:val="right"/>
              <w:rPr>
                <w:rFonts w:ascii="宋体" w:hAnsi="宋体" w:cs="宋体" w:eastAsia="宋体" w:hint="default"/>
                <w:sz w:val="21"/>
                <w:szCs w:val="21"/>
              </w:rPr>
            </w:pPr>
            <w:r>
              <w:rPr>
                <w:rFonts w:ascii="宋体" w:hAnsi="宋体" w:cs="宋体" w:eastAsia="宋体" w:hint="default"/>
                <w:sz w:val="21"/>
                <w:szCs w:val="21"/>
              </w:rPr>
              <w:t>合计</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846,345.74</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875,000.00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02" w:right="0"/>
              <w:jc w:val="left"/>
              <w:rPr>
                <w:rFonts w:ascii="Times New Roman" w:hAnsi="Times New Roman" w:cs="Times New Roman" w:eastAsia="Times New Roman" w:hint="default"/>
                <w:sz w:val="21"/>
                <w:szCs w:val="21"/>
              </w:rPr>
            </w:pPr>
            <w:r>
              <w:rPr>
                <w:rFonts w:ascii="Times New Roman"/>
                <w:sz w:val="21"/>
              </w:rPr>
              <w:t>1,213,496.48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507,849.26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660" w:right="1120"/>
        </w:sectPr>
      </w:pPr>
    </w:p>
    <w:p>
      <w:pPr>
        <w:pStyle w:val="BodyText"/>
        <w:spacing w:line="240" w:lineRule="auto" w:before="36"/>
        <w:ind w:left="138" w:right="0"/>
        <w:jc w:val="left"/>
      </w:pPr>
      <w:r>
        <w:rPr>
          <w:spacing w:val="-2"/>
        </w:rPr>
        <w:t>涉及政府补助的项目：</w:t>
      </w:r>
    </w:p>
    <w:p>
      <w:pPr>
        <w:pStyle w:val="BodyText"/>
        <w:spacing w:line="240" w:lineRule="auto" w:before="58"/>
        <w:ind w:left="13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7"/>
        <w:ind w:left="138" w:right="0"/>
        <w:jc w:val="left"/>
      </w:pPr>
      <w:r>
        <w:rPr/>
        <w:t>单位：元币种：人民币</w:t>
      </w:r>
    </w:p>
    <w:p>
      <w:pPr>
        <w:spacing w:after="0" w:line="240" w:lineRule="auto"/>
        <w:jc w:val="left"/>
        <w:sectPr>
          <w:type w:val="continuous"/>
          <w:pgSz w:w="11910" w:h="16840"/>
          <w:pgMar w:top="1120" w:bottom="1380" w:left="1660" w:right="1120"/>
          <w:cols w:num="2" w:equalWidth="0">
            <w:col w:w="2241" w:space="4492"/>
            <w:col w:w="2397"/>
          </w:cols>
        </w:sectPr>
      </w:pPr>
    </w:p>
    <w:p>
      <w:pPr>
        <w:spacing w:line="240" w:lineRule="auto" w:before="1"/>
        <w:rPr>
          <w:rFonts w:ascii="宋体" w:hAnsi="宋体" w:cs="宋体" w:eastAsia="宋体"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1186"/>
        <w:gridCol w:w="1145"/>
        <w:gridCol w:w="1322"/>
        <w:gridCol w:w="1433"/>
        <w:gridCol w:w="1217"/>
        <w:gridCol w:w="1117"/>
        <w:gridCol w:w="1476"/>
      </w:tblGrid>
      <w:tr>
        <w:trPr>
          <w:trHeight w:val="555"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7"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本期新增补助</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本期计入营业</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外收入金额</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2"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Times New Roman" w:hAnsi="Times New Roman" w:cs="Times New Roman" w:eastAsia="Times New Roman" w:hint="default"/>
                <w:sz w:val="21"/>
                <w:szCs w:val="21"/>
              </w:rPr>
              <w:t>/</w:t>
            </w:r>
            <w:r>
              <w:rPr>
                <w:rFonts w:ascii="宋体" w:hAnsi="宋体" w:cs="宋体" w:eastAsia="宋体" w:hint="default"/>
                <w:sz w:val="21"/>
                <w:szCs w:val="21"/>
              </w:rPr>
              <w:t>与</w:t>
            </w:r>
          </w:p>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收益相关</w:t>
            </w:r>
          </w:p>
        </w:tc>
      </w:tr>
      <w:tr>
        <w:trPr>
          <w:trHeight w:val="554"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格尔金融签</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名验签服务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5" w:right="0"/>
              <w:jc w:val="left"/>
              <w:rPr>
                <w:rFonts w:ascii="Times New Roman" w:hAnsi="Times New Roman" w:cs="Times New Roman" w:eastAsia="Times New Roman" w:hint="default"/>
                <w:sz w:val="21"/>
                <w:szCs w:val="21"/>
              </w:rPr>
            </w:pPr>
            <w:r>
              <w:rPr>
                <w:rFonts w:ascii="Times New Roman"/>
                <w:sz w:val="21"/>
              </w:rPr>
              <w:t>346,345.74</w:t>
            </w:r>
          </w:p>
        </w:tc>
        <w:tc>
          <w:tcPr>
            <w:tcW w:w="132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51" w:right="0"/>
              <w:jc w:val="left"/>
              <w:rPr>
                <w:rFonts w:ascii="Times New Roman" w:hAnsi="Times New Roman" w:cs="Times New Roman" w:eastAsia="Times New Roman" w:hint="default"/>
                <w:sz w:val="21"/>
                <w:szCs w:val="21"/>
              </w:rPr>
            </w:pPr>
            <w:r>
              <w:rPr>
                <w:rFonts w:ascii="Times New Roman"/>
                <w:sz w:val="21"/>
              </w:rPr>
              <w:t>346,345.74</w:t>
            </w:r>
          </w:p>
        </w:tc>
        <w:tc>
          <w:tcPr>
            <w:tcW w:w="1217"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bl>
    <w:p>
      <w:pPr>
        <w:spacing w:after="0" w:line="241" w:lineRule="exact"/>
        <w:jc w:val="lef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186"/>
        <w:gridCol w:w="1145"/>
        <w:gridCol w:w="1322"/>
        <w:gridCol w:w="1433"/>
        <w:gridCol w:w="1217"/>
        <w:gridCol w:w="1117"/>
        <w:gridCol w:w="1476"/>
      </w:tblGrid>
      <w:tr>
        <w:trPr>
          <w:trHeight w:val="557"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器研究与产</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业化项目</w:t>
            </w:r>
          </w:p>
        </w:tc>
        <w:tc>
          <w:tcPr>
            <w:tcW w:w="114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pacing w:val="13"/>
                <w:sz w:val="21"/>
                <w:szCs w:val="21"/>
              </w:rPr>
              <w:t>品牌经济发</w:t>
            </w:r>
          </w:p>
          <w:p>
            <w:pPr>
              <w:pStyle w:val="TableParagraph"/>
              <w:spacing w:line="230" w:lineRule="auto" w:before="8"/>
              <w:ind w:left="26" w:right="20"/>
              <w:jc w:val="both"/>
              <w:rPr>
                <w:rFonts w:ascii="宋体" w:hAnsi="宋体" w:cs="宋体" w:eastAsia="宋体" w:hint="default"/>
                <w:sz w:val="21"/>
                <w:szCs w:val="21"/>
              </w:rPr>
            </w:pPr>
            <w:r>
              <w:rPr>
                <w:rFonts w:ascii="宋体" w:hAnsi="宋体" w:cs="宋体" w:eastAsia="宋体" w:hint="default"/>
                <w:sz w:val="21"/>
                <w:szCs w:val="21"/>
              </w:rPr>
              <w:t>展</w:t>
            </w:r>
            <w:r>
              <w:rPr>
                <w:rFonts w:ascii="Times New Roman" w:hAnsi="Times New Roman" w:cs="Times New Roman" w:eastAsia="Times New Roman" w:hint="default"/>
                <w:sz w:val="21"/>
                <w:szCs w:val="21"/>
              </w:rPr>
              <w:t>-</w:t>
            </w:r>
            <w:r>
              <w:rPr>
                <w:rFonts w:ascii="宋体" w:hAnsi="宋体" w:cs="宋体" w:eastAsia="宋体" w:hint="default"/>
                <w:sz w:val="21"/>
                <w:szCs w:val="21"/>
              </w:rPr>
              <w:t>产业转型</w:t>
            </w:r>
            <w:r>
              <w:rPr>
                <w:rFonts w:ascii="宋体" w:hAnsi="宋体" w:cs="宋体" w:eastAsia="宋体" w:hint="default"/>
                <w:w w:val="100"/>
                <w:sz w:val="21"/>
                <w:szCs w:val="21"/>
              </w:rPr>
              <w:t> </w:t>
            </w:r>
            <w:r>
              <w:rPr>
                <w:rFonts w:ascii="宋体" w:hAnsi="宋体" w:cs="宋体" w:eastAsia="宋体" w:hint="default"/>
                <w:spacing w:val="13"/>
                <w:sz w:val="21"/>
                <w:szCs w:val="21"/>
              </w:rPr>
              <w:t>升级发展专</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项</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500,000.00</w:t>
            </w:r>
          </w:p>
        </w:tc>
        <w:tc>
          <w:tcPr>
            <w:tcW w:w="132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500,000.00</w:t>
            </w:r>
          </w:p>
        </w:tc>
        <w:tc>
          <w:tcPr>
            <w:tcW w:w="1217"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370"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pacing w:val="13"/>
                <w:sz w:val="21"/>
                <w:szCs w:val="21"/>
              </w:rPr>
              <w:t>智能网联汽</w:t>
            </w:r>
          </w:p>
          <w:p>
            <w:pPr>
              <w:pStyle w:val="TableParagraph"/>
              <w:spacing w:line="237" w:lineRule="auto"/>
              <w:ind w:left="26" w:right="20"/>
              <w:jc w:val="both"/>
              <w:rPr>
                <w:rFonts w:ascii="宋体" w:hAnsi="宋体" w:cs="宋体" w:eastAsia="宋体" w:hint="default"/>
                <w:sz w:val="21"/>
                <w:szCs w:val="21"/>
              </w:rPr>
            </w:pPr>
            <w:r>
              <w:rPr>
                <w:rFonts w:ascii="宋体" w:hAnsi="宋体" w:cs="宋体" w:eastAsia="宋体" w:hint="default"/>
                <w:spacing w:val="13"/>
                <w:sz w:val="21"/>
                <w:szCs w:val="21"/>
              </w:rPr>
              <w:t>车关键密码</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3"/>
                <w:sz w:val="21"/>
                <w:szCs w:val="21"/>
              </w:rPr>
              <w:t>应用技术体</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3"/>
                <w:sz w:val="21"/>
                <w:szCs w:val="21"/>
              </w:rPr>
              <w:t>系研究及验</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证</w:t>
            </w:r>
          </w:p>
        </w:tc>
        <w:tc>
          <w:tcPr>
            <w:tcW w:w="114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150,000.00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21,500.95</w:t>
            </w:r>
          </w:p>
        </w:tc>
        <w:tc>
          <w:tcPr>
            <w:tcW w:w="1217"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128,499.05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373"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pacing w:val="13"/>
                <w:sz w:val="21"/>
                <w:szCs w:val="21"/>
              </w:rPr>
              <w:t>基于国产密</w:t>
            </w:r>
          </w:p>
          <w:p>
            <w:pPr>
              <w:pStyle w:val="TableParagraph"/>
              <w:spacing w:line="237" w:lineRule="auto" w:before="2"/>
              <w:ind w:left="26" w:right="20"/>
              <w:jc w:val="both"/>
              <w:rPr>
                <w:rFonts w:ascii="宋体" w:hAnsi="宋体" w:cs="宋体" w:eastAsia="宋体" w:hint="default"/>
                <w:sz w:val="21"/>
                <w:szCs w:val="21"/>
              </w:rPr>
            </w:pPr>
            <w:r>
              <w:rPr>
                <w:rFonts w:ascii="宋体" w:hAnsi="宋体" w:cs="宋体" w:eastAsia="宋体" w:hint="default"/>
                <w:spacing w:val="13"/>
                <w:sz w:val="21"/>
                <w:szCs w:val="21"/>
              </w:rPr>
              <w:t>码算法的物</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3"/>
                <w:sz w:val="21"/>
                <w:szCs w:val="21"/>
              </w:rPr>
              <w:t>联网关研发</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3"/>
                <w:sz w:val="21"/>
                <w:szCs w:val="21"/>
              </w:rPr>
              <w:t>及其政务安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全应用</w:t>
            </w:r>
          </w:p>
        </w:tc>
        <w:tc>
          <w:tcPr>
            <w:tcW w:w="114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725,000.00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345,649.79</w:t>
            </w:r>
          </w:p>
        </w:tc>
        <w:tc>
          <w:tcPr>
            <w:tcW w:w="1217"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379,350.21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90"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846,345.74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875,000.00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1,213,496.48</w:t>
            </w:r>
          </w:p>
        </w:tc>
        <w:tc>
          <w:tcPr>
            <w:tcW w:w="1217"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507,849.26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240" w:lineRule="auto" w:before="36"/>
        <w:ind w:right="2465"/>
        <w:jc w:val="left"/>
      </w:pPr>
      <w:r>
        <w:rPr/>
        <w:t>其他说明：</w:t>
      </w:r>
    </w:p>
    <w:p>
      <w:pPr>
        <w:pStyle w:val="BodyText"/>
        <w:spacing w:line="290" w:lineRule="auto" w:before="56"/>
        <w:ind w:right="2465"/>
        <w:jc w:val="left"/>
      </w:pPr>
      <w:r>
        <w:rPr/>
        <w:t>√适用□不适用</w:t>
      </w:r>
      <w:r>
        <w:rPr>
          <w:spacing w:val="-103"/>
        </w:rPr>
        <w:t> </w:t>
      </w:r>
      <w:r>
        <w:rPr>
          <w:spacing w:val="-103"/>
        </w:rPr>
      </w:r>
      <w:r>
        <w:rPr>
          <w:spacing w:val="-2"/>
        </w:rPr>
        <w:t>报告期内减少的递延收益为结转到营业外收入的政府补助项目。</w:t>
      </w:r>
    </w:p>
    <w:p>
      <w:pPr>
        <w:spacing w:line="240" w:lineRule="auto" w:before="6"/>
        <w:rPr>
          <w:rFonts w:ascii="宋体" w:hAnsi="宋体" w:cs="宋体" w:eastAsia="宋体" w:hint="default"/>
          <w:sz w:val="19"/>
          <w:szCs w:val="19"/>
        </w:rPr>
      </w:pPr>
    </w:p>
    <w:p>
      <w:pPr>
        <w:pStyle w:val="Heading2"/>
        <w:spacing w:line="240" w:lineRule="auto"/>
        <w:ind w:right="2465"/>
        <w:jc w:val="left"/>
        <w:rPr>
          <w:b w:val="0"/>
          <w:bCs w:val="0"/>
        </w:rPr>
      </w:pPr>
      <w:r>
        <w:rPr/>
        <w:t>（</w:t>
      </w:r>
      <w:r>
        <w:rPr>
          <w:rFonts w:ascii="宋体" w:hAnsi="宋体" w:cs="宋体" w:eastAsia="宋体" w:hint="default"/>
        </w:rPr>
        <w:t>48</w:t>
      </w:r>
      <w:r>
        <w:rPr/>
        <w:t>）</w:t>
      </w:r>
      <w:r>
        <w:rPr>
          <w:spacing w:val="-19"/>
        </w:rPr>
        <w:t> </w:t>
      </w:r>
      <w:r>
        <w:rPr/>
        <w:t>其他非流动负债</w:t>
      </w:r>
      <w:r>
        <w:rPr>
          <w:b w:val="0"/>
          <w:bCs w:val="0"/>
        </w:rPr>
      </w:r>
    </w:p>
    <w:p>
      <w:pPr>
        <w:pStyle w:val="BodyText"/>
        <w:spacing w:line="240" w:lineRule="auto" w:before="56"/>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580" w:right="1040"/>
        </w:sectPr>
      </w:pPr>
    </w:p>
    <w:p>
      <w:pPr>
        <w:pStyle w:val="Heading2"/>
        <w:spacing w:line="240" w:lineRule="auto" w:before="36"/>
        <w:ind w:right="-5"/>
        <w:jc w:val="left"/>
        <w:rPr>
          <w:b w:val="0"/>
          <w:bCs w:val="0"/>
        </w:rPr>
      </w:pPr>
      <w:r>
        <w:rPr/>
        <w:t>（</w:t>
      </w:r>
      <w:r>
        <w:rPr>
          <w:rFonts w:ascii="宋体" w:hAnsi="宋体" w:cs="宋体" w:eastAsia="宋体" w:hint="default"/>
        </w:rPr>
        <w:t>49</w:t>
      </w:r>
      <w:r>
        <w:rPr/>
        <w:t>）</w:t>
      </w:r>
      <w:r>
        <w:rPr>
          <w:spacing w:val="-20"/>
        </w:rPr>
        <w:t> </w:t>
      </w:r>
      <w:r>
        <w:rPr/>
        <w:t>股本</w:t>
      </w:r>
      <w:r>
        <w:rPr>
          <w:b w:val="0"/>
          <w:bCs w:val="0"/>
        </w:rPr>
      </w:r>
    </w:p>
    <w:p>
      <w:pPr>
        <w:pStyle w:val="BodyText"/>
        <w:spacing w:line="240" w:lineRule="auto" w:before="58"/>
        <w:ind w:right="-5"/>
        <w:jc w:val="left"/>
      </w:pPr>
      <w:r>
        <w:rPr>
          <w:rFonts w:ascii="Times New Roman" w:hAnsi="Times New Roman" w:cs="Times New Roman" w:eastAsia="Times New Roman" w:hint="default"/>
          <w:spacing w:val="-2"/>
        </w:rPr>
        <w:t>√</w:t>
      </w:r>
      <w:r>
        <w:rPr>
          <w:spacing w:val="-2"/>
        </w:rPr>
        <w:t>适用</w:t>
      </w:r>
      <w:r>
        <w:rPr>
          <w:rFonts w:ascii="Times New Roman" w:hAnsi="Times New Roman" w:cs="Times New Roman" w:eastAsia="Times New Roman" w:hint="default"/>
          <w:spacing w:val="-2"/>
        </w:rPr>
        <w:t>□</w:t>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512" w:space="5221"/>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17"/>
        <w:gridCol w:w="1424"/>
        <w:gridCol w:w="1426"/>
        <w:gridCol w:w="758"/>
        <w:gridCol w:w="831"/>
        <w:gridCol w:w="847"/>
        <w:gridCol w:w="1424"/>
        <w:gridCol w:w="1423"/>
      </w:tblGrid>
      <w:tr>
        <w:trPr>
          <w:trHeight w:val="283" w:hRule="exact"/>
        </w:trPr>
        <w:tc>
          <w:tcPr>
            <w:tcW w:w="917" w:type="dxa"/>
            <w:vMerge w:val="restart"/>
            <w:tcBorders>
              <w:top w:val="single" w:sz="4" w:space="0" w:color="000000"/>
              <w:left w:val="single" w:sz="4" w:space="0" w:color="000000"/>
              <w:right w:val="single" w:sz="4" w:space="0" w:color="000000"/>
            </w:tcBorders>
          </w:tcPr>
          <w:p>
            <w:pPr/>
          </w:p>
        </w:tc>
        <w:tc>
          <w:tcPr>
            <w:tcW w:w="142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2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528"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、一）</w:t>
            </w:r>
          </w:p>
        </w:tc>
        <w:tc>
          <w:tcPr>
            <w:tcW w:w="142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828" w:hRule="exact"/>
        </w:trPr>
        <w:tc>
          <w:tcPr>
            <w:tcW w:w="917" w:type="dxa"/>
            <w:vMerge/>
            <w:tcBorders>
              <w:left w:val="single" w:sz="4" w:space="0" w:color="000000"/>
              <w:bottom w:val="single" w:sz="4" w:space="0" w:color="000000"/>
              <w:right w:val="single" w:sz="4" w:space="0" w:color="000000"/>
            </w:tcBorders>
          </w:tcPr>
          <w:p>
            <w:pPr/>
          </w:p>
        </w:tc>
        <w:tc>
          <w:tcPr>
            <w:tcW w:w="1424"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96" w:right="494"/>
              <w:jc w:val="center"/>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新股</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公积</w:t>
            </w:r>
          </w:p>
          <w:p>
            <w:pPr>
              <w:pStyle w:val="TableParagraph"/>
              <w:spacing w:line="272" w:lineRule="exact" w:before="27"/>
              <w:ind w:left="199" w:right="197"/>
              <w:jc w:val="center"/>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转股</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423" w:type="dxa"/>
            <w:vMerge/>
            <w:tcBorders>
              <w:left w:val="single" w:sz="4" w:space="0" w:color="000000"/>
              <w:bottom w:val="single" w:sz="4" w:space="0" w:color="000000"/>
              <w:right w:val="single" w:sz="4" w:space="0" w:color="000000"/>
            </w:tcBorders>
          </w:tcPr>
          <w:p>
            <w:pPr/>
          </w:p>
        </w:tc>
      </w:tr>
      <w:tr>
        <w:trPr>
          <w:trHeight w:val="555"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股份总</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45,750,000.00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15,250,000.00</w:t>
            </w:r>
          </w:p>
        </w:tc>
        <w:tc>
          <w:tcPr>
            <w:tcW w:w="758"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15,250,000.00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61,000,000.00</w:t>
            </w:r>
          </w:p>
        </w:tc>
      </w:tr>
    </w:tbl>
    <w:p>
      <w:pPr>
        <w:pStyle w:val="BodyText"/>
        <w:spacing w:line="240" w:lineRule="auto" w:before="26"/>
        <w:ind w:right="2465"/>
        <w:jc w:val="left"/>
      </w:pPr>
      <w:r>
        <w:rPr/>
        <w:t>其他说明：</w:t>
      </w:r>
    </w:p>
    <w:p>
      <w:pPr>
        <w:pStyle w:val="BodyText"/>
        <w:spacing w:line="274" w:lineRule="exact" w:before="82"/>
        <w:ind w:right="222" w:firstLine="419"/>
        <w:jc w:val="left"/>
      </w:pPr>
      <w:r>
        <w:rPr/>
        <w:t>根据中国证监会证监许可</w:t>
      </w:r>
      <w:r>
        <w:rPr>
          <w:rFonts w:ascii="Times New Roman" w:hAnsi="Times New Roman" w:cs="Times New Roman" w:eastAsia="Times New Roman" w:hint="default"/>
        </w:rPr>
        <w:t>[2017]431</w:t>
      </w:r>
      <w:r>
        <w:rPr>
          <w:rFonts w:ascii="Times New Roman" w:hAnsi="Times New Roman" w:cs="Times New Roman" w:eastAsia="Times New Roman" w:hint="default"/>
          <w:spacing w:val="31"/>
        </w:rPr>
        <w:t> </w:t>
      </w:r>
      <w:r>
        <w:rPr>
          <w:spacing w:val="-5"/>
        </w:rPr>
        <w:t>号《关于核准上海格尔软件股份有限公司首次公开发行股</w:t>
      </w:r>
      <w:r>
        <w:rPr>
          <w:w w:val="100"/>
        </w:rPr>
        <w:t> </w:t>
      </w:r>
      <w:r>
        <w:rPr/>
        <w:t>票的批复》核准，上海格尔软件股份有限公司获准向社会公开发行人民币普通股 </w:t>
      </w:r>
      <w:r>
        <w:rPr>
          <w:rFonts w:ascii="Times New Roman" w:hAnsi="Times New Roman" w:cs="Times New Roman" w:eastAsia="Times New Roman" w:hint="default"/>
        </w:rPr>
        <w:t>1,525</w:t>
      </w:r>
      <w:r>
        <w:rPr>
          <w:rFonts w:ascii="Times New Roman" w:hAnsi="Times New Roman" w:cs="Times New Roman" w:eastAsia="Times New Roman" w:hint="default"/>
          <w:spacing w:val="6"/>
        </w:rPr>
        <w:t> </w:t>
      </w:r>
      <w:r>
        <w:rPr/>
        <w:t>万股，每</w:t>
      </w:r>
    </w:p>
    <w:p>
      <w:pPr>
        <w:pStyle w:val="BodyText"/>
        <w:spacing w:line="253" w:lineRule="exact"/>
        <w:ind w:right="65"/>
        <w:jc w:val="left"/>
      </w:pPr>
      <w:r>
        <w:rPr>
          <w:w w:val="100"/>
        </w:rPr>
        <w:t>股发</w:t>
      </w:r>
      <w:r>
        <w:rPr>
          <w:spacing w:val="-3"/>
          <w:w w:val="100"/>
        </w:rPr>
        <w:t>行</w:t>
      </w:r>
      <w:r>
        <w:rPr>
          <w:w w:val="100"/>
        </w:rPr>
        <w:t>价</w:t>
      </w:r>
      <w:r>
        <w:rPr>
          <w:spacing w:val="-3"/>
          <w:w w:val="100"/>
        </w:rPr>
        <w:t>格</w:t>
      </w:r>
      <w:r>
        <w:rPr>
          <w:w w:val="100"/>
        </w:rPr>
        <w:t>为</w:t>
      </w:r>
      <w:r>
        <w:rPr>
          <w:spacing w:val="-3"/>
          <w:w w:val="100"/>
        </w:rPr>
        <w:t>人民</w:t>
      </w:r>
      <w:r>
        <w:rPr>
          <w:w w:val="100"/>
        </w:rPr>
        <w:t>币</w:t>
      </w:r>
      <w:r>
        <w:rPr>
          <w:spacing w:val="-63"/>
        </w:rPr>
        <w:t> </w:t>
      </w:r>
      <w:r>
        <w:rPr>
          <w:rFonts w:ascii="Times New Roman" w:hAnsi="Times New Roman" w:cs="Times New Roman" w:eastAsia="Times New Roman" w:hint="default"/>
          <w:w w:val="100"/>
        </w:rPr>
        <w:t>18</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10</w:t>
      </w:r>
      <w:r>
        <w:rPr>
          <w:rFonts w:ascii="Times New Roman" w:hAnsi="Times New Roman" w:cs="Times New Roman" w:eastAsia="Times New Roman" w:hint="default"/>
          <w:spacing w:val="-12"/>
        </w:rPr>
        <w:t> </w:t>
      </w:r>
      <w:r>
        <w:rPr>
          <w:w w:val="100"/>
        </w:rPr>
        <w:t>元</w:t>
      </w:r>
      <w:r>
        <w:rPr>
          <w:spacing w:val="-106"/>
          <w:w w:val="100"/>
        </w:rPr>
        <w:t>，</w:t>
      </w:r>
      <w:r>
        <w:rPr>
          <w:spacing w:val="-3"/>
          <w:w w:val="100"/>
        </w:rPr>
        <w:t>股</w:t>
      </w:r>
      <w:r>
        <w:rPr>
          <w:w w:val="100"/>
        </w:rPr>
        <w:t>款</w:t>
      </w:r>
      <w:r>
        <w:rPr>
          <w:spacing w:val="-3"/>
          <w:w w:val="100"/>
        </w:rPr>
        <w:t>以</w:t>
      </w:r>
      <w:r>
        <w:rPr>
          <w:w w:val="100"/>
        </w:rPr>
        <w:t>人</w:t>
      </w:r>
      <w:r>
        <w:rPr>
          <w:spacing w:val="-3"/>
          <w:w w:val="100"/>
        </w:rPr>
        <w:t>民</w:t>
      </w:r>
      <w:r>
        <w:rPr>
          <w:w w:val="100"/>
        </w:rPr>
        <w:t>币</w:t>
      </w:r>
      <w:r>
        <w:rPr>
          <w:spacing w:val="-3"/>
          <w:w w:val="100"/>
        </w:rPr>
        <w:t>缴</w:t>
      </w:r>
      <w:r>
        <w:rPr>
          <w:w w:val="100"/>
        </w:rPr>
        <w:t>足</w:t>
      </w:r>
      <w:r>
        <w:rPr>
          <w:spacing w:val="-106"/>
          <w:w w:val="100"/>
        </w:rPr>
        <w:t>。</w:t>
      </w:r>
      <w:r>
        <w:rPr>
          <w:spacing w:val="-3"/>
          <w:w w:val="100"/>
        </w:rPr>
        <w:t>本</w:t>
      </w:r>
      <w:r>
        <w:rPr>
          <w:w w:val="100"/>
        </w:rPr>
        <w:t>次公</w:t>
      </w:r>
      <w:r>
        <w:rPr>
          <w:spacing w:val="-3"/>
          <w:w w:val="100"/>
        </w:rPr>
        <w:t>开</w:t>
      </w:r>
      <w:r>
        <w:rPr>
          <w:w w:val="100"/>
        </w:rPr>
        <w:t>发</w:t>
      </w:r>
      <w:r>
        <w:rPr>
          <w:spacing w:val="-3"/>
          <w:w w:val="100"/>
        </w:rPr>
        <w:t>行</w:t>
      </w:r>
      <w:r>
        <w:rPr>
          <w:w w:val="100"/>
        </w:rPr>
        <w:t>募</w:t>
      </w:r>
      <w:r>
        <w:rPr>
          <w:spacing w:val="-3"/>
          <w:w w:val="100"/>
        </w:rPr>
        <w:t>集</w:t>
      </w:r>
      <w:r>
        <w:rPr>
          <w:w w:val="100"/>
        </w:rPr>
        <w:t>资</w:t>
      </w:r>
      <w:r>
        <w:rPr>
          <w:spacing w:val="-3"/>
          <w:w w:val="100"/>
        </w:rPr>
        <w:t>金</w:t>
      </w:r>
      <w:r>
        <w:rPr>
          <w:w w:val="100"/>
        </w:rPr>
        <w:t>总</w:t>
      </w:r>
      <w:r>
        <w:rPr>
          <w:spacing w:val="-3"/>
          <w:w w:val="100"/>
        </w:rPr>
        <w:t>额</w:t>
      </w:r>
      <w:r>
        <w:rPr>
          <w:w w:val="100"/>
        </w:rPr>
        <w:t>为</w:t>
      </w:r>
      <w:r>
        <w:rPr>
          <w:spacing w:val="-62"/>
        </w:rPr>
        <w:t> </w:t>
      </w:r>
      <w:r>
        <w:rPr>
          <w:rFonts w:ascii="Times New Roman" w:hAnsi="Times New Roman" w:cs="Times New Roman" w:eastAsia="Times New Roman" w:hint="default"/>
          <w:w w:val="100"/>
        </w:rPr>
        <w:t>27</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602.</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0</w:t>
      </w:r>
      <w:r>
        <w:rPr>
          <w:rFonts w:ascii="Times New Roman" w:hAnsi="Times New Roman" w:cs="Times New Roman" w:eastAsia="Times New Roman" w:hint="default"/>
          <w:spacing w:val="-10"/>
        </w:rPr>
        <w:t> </w:t>
      </w:r>
      <w:r>
        <w:rPr>
          <w:spacing w:val="-3"/>
          <w:w w:val="100"/>
        </w:rPr>
        <w:t>万元；</w:t>
      </w:r>
      <w:r>
        <w:rPr>
          <w:w w:val="100"/>
        </w:rPr>
      </w:r>
    </w:p>
    <w:p>
      <w:pPr>
        <w:pStyle w:val="BodyText"/>
        <w:spacing w:line="272" w:lineRule="exact"/>
        <w:ind w:right="65"/>
        <w:jc w:val="left"/>
      </w:pPr>
      <w:r>
        <w:rPr>
          <w:w w:val="100"/>
        </w:rPr>
        <w:t>扣除</w:t>
      </w:r>
      <w:r>
        <w:rPr>
          <w:spacing w:val="-3"/>
          <w:w w:val="100"/>
        </w:rPr>
        <w:t>发</w:t>
      </w:r>
      <w:r>
        <w:rPr>
          <w:w w:val="100"/>
        </w:rPr>
        <w:t>行</w:t>
      </w:r>
      <w:r>
        <w:rPr>
          <w:spacing w:val="-3"/>
          <w:w w:val="100"/>
        </w:rPr>
        <w:t>费</w:t>
      </w:r>
      <w:r>
        <w:rPr>
          <w:w w:val="100"/>
        </w:rPr>
        <w:t>用</w:t>
      </w:r>
      <w:r>
        <w:rPr>
          <w:spacing w:val="-3"/>
          <w:w w:val="100"/>
        </w:rPr>
        <w:t>后</w:t>
      </w:r>
      <w:r>
        <w:rPr>
          <w:w w:val="100"/>
        </w:rPr>
        <w:t>，</w:t>
      </w:r>
      <w:r>
        <w:rPr>
          <w:spacing w:val="-3"/>
          <w:w w:val="100"/>
        </w:rPr>
        <w:t>募</w:t>
      </w:r>
      <w:r>
        <w:rPr>
          <w:w w:val="100"/>
        </w:rPr>
        <w:t>集</w:t>
      </w:r>
      <w:r>
        <w:rPr>
          <w:spacing w:val="-3"/>
          <w:w w:val="100"/>
        </w:rPr>
        <w:t>资</w:t>
      </w:r>
      <w:r>
        <w:rPr>
          <w:w w:val="100"/>
        </w:rPr>
        <w:t>金净</w:t>
      </w:r>
      <w:r>
        <w:rPr>
          <w:spacing w:val="-3"/>
          <w:w w:val="100"/>
        </w:rPr>
        <w:t>额</w:t>
      </w:r>
      <w:r>
        <w:rPr>
          <w:w w:val="100"/>
        </w:rPr>
        <w:t>为</w:t>
      </w:r>
      <w:r>
        <w:rPr>
          <w:spacing w:val="-48"/>
        </w:rPr>
        <w:t> </w:t>
      </w:r>
      <w:r>
        <w:rPr>
          <w:rFonts w:ascii="Times New Roman" w:hAnsi="Times New Roman" w:cs="Times New Roman" w:eastAsia="Times New Roman" w:hint="default"/>
          <w:w w:val="100"/>
        </w:rPr>
        <w:t>21,2</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spacing w:val="7"/>
        </w:rPr>
        <w:t> </w:t>
      </w:r>
      <w:r>
        <w:rPr>
          <w:spacing w:val="-3"/>
          <w:w w:val="100"/>
        </w:rPr>
        <w:t>万</w:t>
      </w:r>
      <w:r>
        <w:rPr>
          <w:w w:val="100"/>
        </w:rPr>
        <w:t>元</w:t>
      </w:r>
      <w:r>
        <w:rPr>
          <w:spacing w:val="-3"/>
          <w:w w:val="100"/>
        </w:rPr>
        <w:t>。</w:t>
      </w:r>
      <w:r>
        <w:rPr>
          <w:w w:val="100"/>
        </w:rPr>
        <w:t>上会</w:t>
      </w:r>
      <w:r>
        <w:rPr>
          <w:spacing w:val="-3"/>
          <w:w w:val="100"/>
        </w:rPr>
        <w:t>会</w:t>
      </w:r>
      <w:r>
        <w:rPr>
          <w:w w:val="100"/>
        </w:rPr>
        <w:t>计</w:t>
      </w:r>
      <w:r>
        <w:rPr>
          <w:spacing w:val="-3"/>
          <w:w w:val="100"/>
        </w:rPr>
        <w:t>师</w:t>
      </w:r>
      <w:r>
        <w:rPr>
          <w:w w:val="100"/>
        </w:rPr>
        <w:t>事</w:t>
      </w:r>
      <w:r>
        <w:rPr>
          <w:spacing w:val="-3"/>
          <w:w w:val="100"/>
        </w:rPr>
        <w:t>务</w:t>
      </w:r>
      <w:r>
        <w:rPr>
          <w:w w:val="100"/>
        </w:rPr>
        <w:t>所</w:t>
      </w:r>
      <w:r>
        <w:rPr>
          <w:spacing w:val="-3"/>
          <w:w w:val="100"/>
        </w:rPr>
        <w:t>（</w:t>
      </w:r>
      <w:r>
        <w:rPr>
          <w:w w:val="100"/>
        </w:rPr>
        <w:t>特</w:t>
      </w:r>
      <w:r>
        <w:rPr>
          <w:spacing w:val="-3"/>
          <w:w w:val="100"/>
        </w:rPr>
        <w:t>殊</w:t>
      </w:r>
      <w:r>
        <w:rPr>
          <w:w w:val="100"/>
        </w:rPr>
        <w:t>普通</w:t>
      </w:r>
      <w:r>
        <w:rPr>
          <w:spacing w:val="-3"/>
          <w:w w:val="100"/>
        </w:rPr>
        <w:t>合</w:t>
      </w:r>
      <w:r>
        <w:rPr>
          <w:w w:val="100"/>
        </w:rPr>
        <w:t>伙</w:t>
      </w:r>
      <w:r>
        <w:rPr>
          <w:spacing w:val="-108"/>
          <w:w w:val="100"/>
        </w:rPr>
        <w:t>）</w:t>
      </w:r>
      <w:r>
        <w:rPr>
          <w:w w:val="100"/>
        </w:rPr>
        <w:t>（</w:t>
      </w:r>
      <w:r>
        <w:rPr>
          <w:spacing w:val="-3"/>
          <w:w w:val="100"/>
        </w:rPr>
        <w:t>特殊</w:t>
      </w:r>
      <w:r>
        <w:rPr>
          <w:w w:val="100"/>
        </w:rPr>
        <w:t>普</w:t>
      </w:r>
    </w:p>
    <w:p>
      <w:pPr>
        <w:pStyle w:val="BodyText"/>
        <w:spacing w:line="272" w:lineRule="exact"/>
        <w:ind w:right="65"/>
        <w:jc w:val="left"/>
      </w:pPr>
      <w:r>
        <w:rPr/>
        <w:t>通合伙）已于</w:t>
      </w:r>
      <w:r>
        <w:rPr>
          <w:spacing w:val="-51"/>
        </w:rPr>
        <w:t> </w:t>
      </w:r>
      <w:r>
        <w:rPr>
          <w:rFonts w:ascii="Times New Roman" w:hAnsi="Times New Roman" w:cs="Times New Roman" w:eastAsia="Times New Roman" w:hint="default"/>
        </w:rPr>
        <w:t>2017 </w:t>
      </w:r>
      <w:r>
        <w:rPr/>
        <w:t>年</w:t>
      </w:r>
      <w:r>
        <w:rPr>
          <w:spacing w:val="-52"/>
        </w:rPr>
        <w:t> </w:t>
      </w:r>
      <w:r>
        <w:rPr>
          <w:rFonts w:ascii="Times New Roman" w:hAnsi="Times New Roman" w:cs="Times New Roman" w:eastAsia="Times New Roman" w:hint="default"/>
        </w:rPr>
        <w:t>4 </w:t>
      </w:r>
      <w:r>
        <w:rPr/>
        <w:t>月</w:t>
      </w:r>
      <w:r>
        <w:rPr>
          <w:spacing w:val="-50"/>
        </w:rPr>
        <w:t> </w:t>
      </w:r>
      <w:r>
        <w:rPr>
          <w:rFonts w:ascii="Times New Roman" w:hAnsi="Times New Roman" w:cs="Times New Roman" w:eastAsia="Times New Roman" w:hint="default"/>
        </w:rPr>
        <w:t>18 </w:t>
      </w:r>
      <w:r>
        <w:rPr/>
        <w:t>日对公司首次公开发行股票的资金到位情况进行了审验，并出具上</w:t>
      </w:r>
    </w:p>
    <w:p>
      <w:pPr>
        <w:pStyle w:val="BodyText"/>
        <w:spacing w:line="272" w:lineRule="exact"/>
        <w:ind w:right="65"/>
        <w:jc w:val="left"/>
        <w:rPr>
          <w:rFonts w:ascii="Times New Roman" w:hAnsi="Times New Roman" w:cs="Times New Roman" w:eastAsia="Times New Roman" w:hint="default"/>
        </w:rPr>
      </w:pPr>
      <w:r>
        <w:rPr>
          <w:w w:val="100"/>
        </w:rPr>
        <w:t>会师</w:t>
      </w:r>
      <w:r>
        <w:rPr>
          <w:spacing w:val="-3"/>
          <w:w w:val="100"/>
        </w:rPr>
        <w:t>报</w:t>
      </w:r>
      <w:r>
        <w:rPr>
          <w:spacing w:val="-1"/>
          <w:w w:val="100"/>
        </w:rPr>
        <w:t>字</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17</w:t>
      </w:r>
      <w:r>
        <w:rPr>
          <w:rFonts w:ascii="Times New Roman" w:hAnsi="Times New Roman" w:cs="Times New Roman" w:eastAsia="Times New Roman" w:hint="default"/>
          <w:spacing w:val="-1"/>
          <w:w w:val="100"/>
        </w:rPr>
        <w:t>]</w:t>
      </w:r>
      <w:r>
        <w:rPr>
          <w:w w:val="100"/>
        </w:rPr>
        <w:t>第</w:t>
      </w:r>
      <w:r>
        <w:rPr>
          <w:spacing w:val="-55"/>
        </w:rPr>
        <w:t> </w:t>
      </w:r>
      <w:r>
        <w:rPr>
          <w:rFonts w:ascii="Times New Roman" w:hAnsi="Times New Roman" w:cs="Times New Roman" w:eastAsia="Times New Roman" w:hint="default"/>
          <w:w w:val="100"/>
        </w:rPr>
        <w:t>2493</w:t>
      </w:r>
      <w:r>
        <w:rPr>
          <w:rFonts w:ascii="Times New Roman" w:hAnsi="Times New Roman" w:cs="Times New Roman" w:eastAsia="Times New Roman" w:hint="default"/>
          <w:spacing w:val="-2"/>
        </w:rPr>
        <w:t> </w:t>
      </w:r>
      <w:r>
        <w:rPr>
          <w:spacing w:val="-22"/>
          <w:w w:val="100"/>
        </w:rPr>
        <w:t>号</w:t>
      </w:r>
      <w:r>
        <w:rPr>
          <w:w w:val="100"/>
        </w:rPr>
        <w:t>《验</w:t>
      </w:r>
      <w:r>
        <w:rPr>
          <w:spacing w:val="-3"/>
          <w:w w:val="100"/>
        </w:rPr>
        <w:t>资</w:t>
      </w:r>
      <w:r>
        <w:rPr>
          <w:w w:val="100"/>
        </w:rPr>
        <w:t>报告</w:t>
      </w:r>
      <w:r>
        <w:rPr>
          <w:spacing w:val="-108"/>
          <w:w w:val="100"/>
        </w:rPr>
        <w:t>》</w:t>
      </w:r>
      <w:r>
        <w:rPr>
          <w:spacing w:val="-20"/>
          <w:w w:val="100"/>
        </w:rPr>
        <w:t>。</w:t>
      </w:r>
      <w:r>
        <w:rPr>
          <w:spacing w:val="-3"/>
          <w:w w:val="100"/>
        </w:rPr>
        <w:t>发</w:t>
      </w:r>
      <w:r>
        <w:rPr>
          <w:w w:val="100"/>
        </w:rPr>
        <w:t>行后</w:t>
      </w:r>
      <w:r>
        <w:rPr>
          <w:spacing w:val="-22"/>
          <w:w w:val="100"/>
        </w:rPr>
        <w:t>，</w:t>
      </w:r>
      <w:r>
        <w:rPr>
          <w:spacing w:val="-3"/>
          <w:w w:val="100"/>
        </w:rPr>
        <w:t>公</w:t>
      </w:r>
      <w:r>
        <w:rPr>
          <w:w w:val="100"/>
        </w:rPr>
        <w:t>司总</w:t>
      </w:r>
      <w:r>
        <w:rPr>
          <w:spacing w:val="-3"/>
          <w:w w:val="100"/>
        </w:rPr>
        <w:t>股</w:t>
      </w:r>
      <w:r>
        <w:rPr>
          <w:w w:val="100"/>
        </w:rPr>
        <w:t>本</w:t>
      </w:r>
      <w:r>
        <w:rPr>
          <w:spacing w:val="-3"/>
          <w:w w:val="100"/>
        </w:rPr>
        <w:t>增加</w:t>
      </w:r>
      <w:r>
        <w:rPr>
          <w:w w:val="100"/>
        </w:rPr>
        <w:t>至</w:t>
      </w:r>
      <w:r>
        <w:rPr>
          <w:spacing w:val="-53"/>
        </w:rPr>
        <w:t> </w:t>
      </w:r>
      <w:r>
        <w:rPr>
          <w:rFonts w:ascii="Times New Roman" w:hAnsi="Times New Roman" w:cs="Times New Roman" w:eastAsia="Times New Roman" w:hint="default"/>
          <w:w w:val="100"/>
        </w:rPr>
        <w:t>61</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万股</w:t>
      </w:r>
      <w:r>
        <w:rPr>
          <w:spacing w:val="-20"/>
          <w:w w:val="100"/>
        </w:rPr>
        <w:t>，</w:t>
      </w:r>
      <w:r>
        <w:rPr>
          <w:w w:val="100"/>
        </w:rPr>
        <w:t>公</w:t>
      </w:r>
      <w:r>
        <w:rPr>
          <w:spacing w:val="-3"/>
          <w:w w:val="100"/>
        </w:rPr>
        <w:t>司</w:t>
      </w:r>
      <w:r>
        <w:rPr>
          <w:w w:val="100"/>
        </w:rPr>
        <w:t>股</w:t>
      </w:r>
      <w:r>
        <w:rPr>
          <w:spacing w:val="-3"/>
          <w:w w:val="100"/>
        </w:rPr>
        <w:t>票</w:t>
      </w:r>
      <w:r>
        <w:rPr>
          <w:w w:val="100"/>
        </w:rPr>
        <w:t>于</w:t>
      </w:r>
      <w:r>
        <w:rPr>
          <w:spacing w:val="-52"/>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17</w:t>
      </w:r>
    </w:p>
    <w:p>
      <w:pPr>
        <w:pStyle w:val="BodyText"/>
        <w:spacing w:line="281" w:lineRule="exact"/>
        <w:ind w:right="2465"/>
        <w:jc w:val="left"/>
      </w:pP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t>日在上海证券交易所挂牌交易。</w:t>
      </w:r>
    </w:p>
    <w:p>
      <w:pPr>
        <w:spacing w:line="240" w:lineRule="auto" w:before="8"/>
        <w:rPr>
          <w:rFonts w:ascii="宋体" w:hAnsi="宋体" w:cs="宋体" w:eastAsia="宋体" w:hint="default"/>
          <w:sz w:val="21"/>
          <w:szCs w:val="21"/>
        </w:rPr>
      </w:pPr>
    </w:p>
    <w:p>
      <w:pPr>
        <w:pStyle w:val="Heading2"/>
        <w:spacing w:line="240" w:lineRule="auto"/>
        <w:ind w:right="2465"/>
        <w:jc w:val="left"/>
        <w:rPr>
          <w:b w:val="0"/>
          <w:bCs w:val="0"/>
        </w:rPr>
      </w:pPr>
      <w:r>
        <w:rPr/>
        <w:t>（</w:t>
      </w:r>
      <w:r>
        <w:rPr>
          <w:rFonts w:ascii="宋体" w:hAnsi="宋体" w:cs="宋体" w:eastAsia="宋体" w:hint="default"/>
        </w:rPr>
        <w:t>50</w:t>
      </w:r>
      <w:r>
        <w:rPr/>
        <w:t>）</w:t>
      </w:r>
      <w:r>
        <w:rPr>
          <w:spacing w:val="-19"/>
        </w:rPr>
        <w:t> </w:t>
      </w:r>
      <w:r>
        <w:rPr/>
        <w:t>其他权益工具</w:t>
      </w:r>
      <w:r>
        <w:rPr>
          <w:b w:val="0"/>
          <w:bCs w:val="0"/>
        </w:rPr>
      </w:r>
    </w:p>
    <w:p>
      <w:pPr>
        <w:pStyle w:val="Heading2"/>
        <w:spacing w:line="240" w:lineRule="auto" w:before="59"/>
        <w:ind w:right="2465"/>
        <w:jc w:val="left"/>
        <w:rPr>
          <w:b w:val="0"/>
          <w:bCs w:val="0"/>
        </w:rPr>
      </w:pPr>
      <w:r>
        <w:rPr>
          <w:rFonts w:ascii="宋体" w:hAnsi="宋体" w:cs="宋体" w:eastAsia="宋体" w:hint="default"/>
        </w:rPr>
        <w:t>(1)</w:t>
      </w:r>
      <w:r>
        <w:rPr>
          <w:rFonts w:ascii="宋体" w:hAnsi="宋体" w:cs="宋体" w:eastAsia="宋体" w:hint="default"/>
          <w:spacing w:val="-2"/>
        </w:rPr>
        <w:t> </w:t>
      </w:r>
      <w:r>
        <w:rPr/>
        <w:t>期末发行在外的优先股、永续债等其他金融工具基本情况</w:t>
      </w:r>
      <w:r>
        <w:rPr>
          <w:b w:val="0"/>
          <w:bCs w:val="0"/>
        </w:rPr>
      </w:r>
    </w:p>
    <w:p>
      <w:pPr>
        <w:pStyle w:val="BodyText"/>
        <w:spacing w:line="240" w:lineRule="auto" w:before="56"/>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2"/>
        <w:spacing w:line="240" w:lineRule="auto" w:before="36"/>
        <w:ind w:left="138" w:right="146"/>
        <w:jc w:val="left"/>
        <w:rPr>
          <w:b w:val="0"/>
          <w:bCs w:val="0"/>
        </w:rPr>
      </w:pPr>
      <w:r>
        <w:rPr>
          <w:rFonts w:ascii="宋体" w:hAnsi="宋体" w:cs="宋体" w:eastAsia="宋体" w:hint="default"/>
        </w:rPr>
        <w:t>(2)</w:t>
      </w:r>
      <w:r>
        <w:rPr>
          <w:rFonts w:ascii="宋体" w:hAnsi="宋体" w:cs="宋体" w:eastAsia="宋体" w:hint="default"/>
          <w:spacing w:val="-2"/>
        </w:rPr>
        <w:t> </w:t>
      </w:r>
      <w:r>
        <w:rPr/>
        <w:t>期末发行在外的优先股、永续债等金融工具变动情况表</w:t>
      </w:r>
      <w:r>
        <w:rPr>
          <w:b w:val="0"/>
          <w:bCs w:val="0"/>
        </w:rPr>
      </w:r>
    </w:p>
    <w:p>
      <w:pPr>
        <w:pStyle w:val="BodyText"/>
        <w:spacing w:line="272" w:lineRule="exact" w:before="86"/>
        <w:ind w:left="138" w:right="64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spacing w:val="-2"/>
        </w:rPr>
        <w:t>其他权益工具本期增减变动情况、变动原因说明，以及相关会计处理的依据：</w:t>
      </w:r>
    </w:p>
    <w:p>
      <w:pPr>
        <w:pStyle w:val="BodyText"/>
        <w:spacing w:line="262" w:lineRule="exact"/>
        <w:ind w:left="138" w:right="14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17"/>
          <w:szCs w:val="17"/>
        </w:rPr>
      </w:pPr>
    </w:p>
    <w:p>
      <w:pPr>
        <w:pStyle w:val="BodyText"/>
        <w:spacing w:line="281" w:lineRule="exact"/>
        <w:ind w:left="138" w:right="146"/>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w:t>
      </w:r>
    </w:p>
    <w:p>
      <w:pPr>
        <w:pStyle w:val="BodyText"/>
        <w:spacing w:line="281" w:lineRule="exact"/>
        <w:ind w:left="138" w:right="14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61"/>
          <w:pgSz w:w="11910" w:h="16840"/>
          <w:pgMar w:footer="1195" w:header="882" w:top="1120" w:bottom="1380" w:left="1660" w:right="1120"/>
          <w:pgNumType w:start="126"/>
        </w:sectPr>
      </w:pPr>
    </w:p>
    <w:p>
      <w:pPr>
        <w:pStyle w:val="Heading2"/>
        <w:spacing w:line="240" w:lineRule="auto" w:before="36"/>
        <w:ind w:left="138" w:right="-18"/>
        <w:jc w:val="left"/>
        <w:rPr>
          <w:b w:val="0"/>
          <w:bCs w:val="0"/>
        </w:rPr>
      </w:pPr>
      <w:r>
        <w:rPr/>
        <w:t>（</w:t>
      </w:r>
      <w:r>
        <w:rPr>
          <w:rFonts w:ascii="宋体" w:hAnsi="宋体" w:cs="宋体" w:eastAsia="宋体" w:hint="default"/>
        </w:rPr>
        <w:t>51</w:t>
      </w:r>
      <w:r>
        <w:rPr/>
        <w:t>）</w:t>
      </w:r>
      <w:r>
        <w:rPr>
          <w:spacing w:val="-20"/>
        </w:rPr>
        <w:t> </w:t>
      </w:r>
      <w:r>
        <w:rPr/>
        <w:t>资本公积</w:t>
      </w:r>
      <w:r>
        <w:rPr>
          <w:b w:val="0"/>
          <w:bCs w:val="0"/>
        </w:rPr>
      </w:r>
    </w:p>
    <w:p>
      <w:pPr>
        <w:pStyle w:val="BodyText"/>
        <w:spacing w:line="240" w:lineRule="auto" w:before="58"/>
        <w:ind w:left="138"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120" w:bottom="1380" w:left="1660" w:right="1120"/>
          <w:cols w:num="2" w:equalWidth="0">
            <w:col w:w="1703" w:space="5030"/>
            <w:col w:w="239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78"/>
        <w:gridCol w:w="1786"/>
        <w:gridCol w:w="1822"/>
        <w:gridCol w:w="1805"/>
        <w:gridCol w:w="1805"/>
      </w:tblGrid>
      <w:tr>
        <w:trPr>
          <w:trHeight w:val="281"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资本溢价（股本溢</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52,760,912.68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75" w:right="0"/>
              <w:jc w:val="left"/>
              <w:rPr>
                <w:rFonts w:ascii="Times New Roman" w:hAnsi="Times New Roman" w:cs="Times New Roman" w:eastAsia="Times New Roman" w:hint="default"/>
                <w:sz w:val="21"/>
                <w:szCs w:val="21"/>
              </w:rPr>
            </w:pPr>
            <w:r>
              <w:rPr>
                <w:rFonts w:ascii="Times New Roman"/>
                <w:sz w:val="21"/>
              </w:rPr>
              <w:t>197,521,653.04</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250,282,565.72</w:t>
            </w:r>
          </w:p>
        </w:tc>
      </w:tr>
      <w:tr>
        <w:trPr>
          <w:trHeight w:val="283"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1,360.00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1,360.00</w:t>
            </w:r>
          </w:p>
        </w:tc>
      </w:tr>
      <w:tr>
        <w:trPr>
          <w:trHeight w:val="283"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52,762,272.68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75" w:right="0"/>
              <w:jc w:val="left"/>
              <w:rPr>
                <w:rFonts w:ascii="Times New Roman" w:hAnsi="Times New Roman" w:cs="Times New Roman" w:eastAsia="Times New Roman" w:hint="default"/>
                <w:sz w:val="21"/>
                <w:szCs w:val="21"/>
              </w:rPr>
            </w:pPr>
            <w:r>
              <w:rPr>
                <w:rFonts w:ascii="Times New Roman"/>
                <w:sz w:val="21"/>
              </w:rPr>
              <w:t>197,521,653.04</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250,283,925.72</w:t>
            </w:r>
          </w:p>
        </w:tc>
      </w:tr>
    </w:tbl>
    <w:p>
      <w:pPr>
        <w:spacing w:line="240" w:lineRule="auto" w:before="13"/>
        <w:rPr>
          <w:rFonts w:ascii="宋体" w:hAnsi="宋体" w:cs="宋体" w:eastAsia="宋体" w:hint="default"/>
          <w:sz w:val="12"/>
          <w:szCs w:val="12"/>
        </w:rPr>
      </w:pPr>
    </w:p>
    <w:p>
      <w:pPr>
        <w:pStyle w:val="BodyText"/>
        <w:spacing w:line="240" w:lineRule="auto" w:before="36"/>
        <w:ind w:left="138" w:right="3729"/>
        <w:jc w:val="left"/>
      </w:pPr>
      <w:r>
        <w:rPr>
          <w:spacing w:val="-2"/>
        </w:rPr>
        <w:t>其他说明，包括本期增减变动情况、变动原因说明：</w:t>
      </w:r>
      <w:r>
        <w:rPr>
          <w:spacing w:val="-62"/>
        </w:rPr>
        <w:t> </w:t>
      </w:r>
      <w:r>
        <w:rPr>
          <w:spacing w:val="-62"/>
        </w:rPr>
      </w:r>
      <w:r>
        <w:rPr/>
        <w:t>本期资本公积增加系发行新股溢价导致。</w:t>
      </w:r>
    </w:p>
    <w:p>
      <w:pPr>
        <w:spacing w:line="240" w:lineRule="auto" w:before="11"/>
        <w:rPr>
          <w:rFonts w:ascii="宋体" w:hAnsi="宋体" w:cs="宋体" w:eastAsia="宋体" w:hint="default"/>
          <w:sz w:val="22"/>
          <w:szCs w:val="22"/>
        </w:rPr>
      </w:pPr>
    </w:p>
    <w:p>
      <w:pPr>
        <w:pStyle w:val="Heading2"/>
        <w:spacing w:line="240" w:lineRule="auto"/>
        <w:ind w:left="138" w:right="146"/>
        <w:jc w:val="left"/>
        <w:rPr>
          <w:b w:val="0"/>
          <w:bCs w:val="0"/>
        </w:rPr>
      </w:pPr>
      <w:r>
        <w:rPr/>
        <w:t>（</w:t>
      </w:r>
      <w:r>
        <w:rPr>
          <w:rFonts w:ascii="宋体" w:hAnsi="宋体" w:cs="宋体" w:eastAsia="宋体" w:hint="default"/>
        </w:rPr>
        <w:t>52</w:t>
      </w:r>
      <w:r>
        <w:rPr/>
        <w:t>）</w:t>
      </w:r>
      <w:r>
        <w:rPr>
          <w:spacing w:val="-20"/>
        </w:rPr>
        <w:t> </w:t>
      </w:r>
      <w:r>
        <w:rPr/>
        <w:t>库存股</w:t>
      </w:r>
      <w:r>
        <w:rPr>
          <w:b w:val="0"/>
          <w:bCs w:val="0"/>
        </w:rPr>
      </w:r>
    </w:p>
    <w:p>
      <w:pPr>
        <w:pStyle w:val="BodyText"/>
        <w:spacing w:line="240" w:lineRule="auto" w:before="56"/>
        <w:ind w:left="138" w:right="14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8"/>
          <w:szCs w:val="18"/>
        </w:rPr>
      </w:pPr>
    </w:p>
    <w:p>
      <w:pPr>
        <w:pStyle w:val="Heading2"/>
        <w:spacing w:line="240" w:lineRule="auto"/>
        <w:ind w:left="138" w:right="146"/>
        <w:jc w:val="left"/>
        <w:rPr>
          <w:b w:val="0"/>
          <w:bCs w:val="0"/>
        </w:rPr>
      </w:pPr>
      <w:r>
        <w:rPr/>
        <w:t>（</w:t>
      </w:r>
      <w:r>
        <w:rPr>
          <w:rFonts w:ascii="宋体" w:hAnsi="宋体" w:cs="宋体" w:eastAsia="宋体" w:hint="default"/>
        </w:rPr>
        <w:t>53</w:t>
      </w:r>
      <w:r>
        <w:rPr/>
        <w:t>）</w:t>
      </w:r>
      <w:r>
        <w:rPr>
          <w:spacing w:val="-19"/>
        </w:rPr>
        <w:t> </w:t>
      </w:r>
      <w:r>
        <w:rPr/>
        <w:t>其他综合收益</w:t>
      </w:r>
      <w:r>
        <w:rPr>
          <w:b w:val="0"/>
          <w:bCs w:val="0"/>
        </w:rPr>
      </w:r>
    </w:p>
    <w:p>
      <w:pPr>
        <w:pStyle w:val="BodyText"/>
        <w:spacing w:line="240" w:lineRule="auto" w:before="58"/>
        <w:ind w:left="138" w:right="14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7"/>
          <w:szCs w:val="17"/>
        </w:rPr>
      </w:pPr>
    </w:p>
    <w:p>
      <w:pPr>
        <w:pStyle w:val="Heading2"/>
        <w:spacing w:line="240" w:lineRule="auto"/>
        <w:ind w:left="138" w:right="146"/>
        <w:jc w:val="left"/>
        <w:rPr>
          <w:b w:val="0"/>
          <w:bCs w:val="0"/>
        </w:rPr>
      </w:pPr>
      <w:r>
        <w:rPr/>
        <w:t>（</w:t>
      </w:r>
      <w:r>
        <w:rPr>
          <w:rFonts w:ascii="宋体" w:hAnsi="宋体" w:cs="宋体" w:eastAsia="宋体" w:hint="default"/>
        </w:rPr>
        <w:t>54</w:t>
      </w:r>
      <w:r>
        <w:rPr/>
        <w:t>）</w:t>
      </w:r>
      <w:r>
        <w:rPr>
          <w:spacing w:val="-20"/>
        </w:rPr>
        <w:t> </w:t>
      </w:r>
      <w:r>
        <w:rPr/>
        <w:t>专项储备</w:t>
      </w:r>
      <w:r>
        <w:rPr>
          <w:b w:val="0"/>
          <w:bCs w:val="0"/>
        </w:rPr>
      </w:r>
    </w:p>
    <w:p>
      <w:pPr>
        <w:pStyle w:val="BodyText"/>
        <w:spacing w:line="240" w:lineRule="auto" w:before="58"/>
        <w:ind w:left="138" w:right="14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660" w:right="1120"/>
        </w:sectPr>
      </w:pPr>
    </w:p>
    <w:p>
      <w:pPr>
        <w:pStyle w:val="Heading2"/>
        <w:spacing w:line="240" w:lineRule="auto" w:before="36"/>
        <w:ind w:left="138" w:right="-18"/>
        <w:jc w:val="left"/>
        <w:rPr>
          <w:b w:val="0"/>
          <w:bCs w:val="0"/>
        </w:rPr>
      </w:pPr>
      <w:r>
        <w:rPr/>
        <w:t>（</w:t>
      </w:r>
      <w:r>
        <w:rPr>
          <w:rFonts w:ascii="宋体" w:hAnsi="宋体" w:cs="宋体" w:eastAsia="宋体" w:hint="default"/>
        </w:rPr>
        <w:t>55</w:t>
      </w:r>
      <w:r>
        <w:rPr/>
        <w:t>）</w:t>
      </w:r>
      <w:r>
        <w:rPr>
          <w:spacing w:val="-20"/>
        </w:rPr>
        <w:t> </w:t>
      </w:r>
      <w:r>
        <w:rPr/>
        <w:t>盈余公积</w:t>
      </w:r>
      <w:r>
        <w:rPr>
          <w:b w:val="0"/>
          <w:bCs w:val="0"/>
        </w:rPr>
      </w:r>
    </w:p>
    <w:p>
      <w:pPr>
        <w:pStyle w:val="BodyText"/>
        <w:spacing w:line="240" w:lineRule="auto" w:before="57"/>
        <w:ind w:left="138"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120" w:bottom="1380" w:left="1660" w:right="1120"/>
          <w:cols w:num="2" w:equalWidth="0">
            <w:col w:w="1703" w:space="5030"/>
            <w:col w:w="239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spacing w:val="-1"/>
                <w:sz w:val="21"/>
              </w:rPr>
              <w:t>25,224,788.56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87" w:right="0"/>
              <w:jc w:val="left"/>
              <w:rPr>
                <w:rFonts w:ascii="Times New Roman" w:hAnsi="Times New Roman" w:cs="Times New Roman" w:eastAsia="Times New Roman" w:hint="default"/>
                <w:sz w:val="21"/>
                <w:szCs w:val="21"/>
              </w:rPr>
            </w:pPr>
            <w:r>
              <w:rPr>
                <w:rFonts w:ascii="Times New Roman"/>
                <w:sz w:val="21"/>
              </w:rPr>
              <w:t>3,369,030.68</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28,593,819.24</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spacing w:val="-1"/>
                <w:sz w:val="21"/>
              </w:rPr>
              <w:t>25,224,788.56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87" w:right="0"/>
              <w:jc w:val="left"/>
              <w:rPr>
                <w:rFonts w:ascii="Times New Roman" w:hAnsi="Times New Roman" w:cs="Times New Roman" w:eastAsia="Times New Roman" w:hint="default"/>
                <w:sz w:val="21"/>
                <w:szCs w:val="21"/>
              </w:rPr>
            </w:pPr>
            <w:r>
              <w:rPr>
                <w:rFonts w:ascii="Times New Roman"/>
                <w:sz w:val="21"/>
              </w:rPr>
              <w:t>3,369,030.68</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28,593,819.24</w:t>
            </w:r>
          </w:p>
        </w:tc>
      </w:tr>
    </w:tbl>
    <w:p>
      <w:pPr>
        <w:spacing w:line="240" w:lineRule="auto" w:before="7"/>
        <w:rPr>
          <w:rFonts w:ascii="宋体" w:hAnsi="宋体" w:cs="宋体" w:eastAsia="宋体" w:hint="default"/>
          <w:sz w:val="17"/>
          <w:szCs w:val="17"/>
        </w:rPr>
      </w:pPr>
    </w:p>
    <w:p>
      <w:pPr>
        <w:pStyle w:val="BodyText"/>
        <w:spacing w:line="290" w:lineRule="auto" w:before="36"/>
        <w:ind w:left="138" w:right="146"/>
        <w:jc w:val="left"/>
      </w:pPr>
      <w:r>
        <w:rPr>
          <w:spacing w:val="-2"/>
        </w:rPr>
        <w:t>盈余公积说明，包括本期增减变动情况、变动原因说明：</w:t>
      </w:r>
      <w:r>
        <w:rPr>
          <w:spacing w:val="-55"/>
        </w:rPr>
        <w:t> </w:t>
      </w:r>
      <w:r>
        <w:rPr>
          <w:spacing w:val="-55"/>
        </w:rPr>
      </w:r>
      <w:r>
        <w:rPr/>
        <w:t>盈余公积本期增加系计提法定盈余公积。</w:t>
      </w:r>
    </w:p>
    <w:p>
      <w:pPr>
        <w:pStyle w:val="Heading2"/>
        <w:spacing w:line="240" w:lineRule="auto" w:before="12"/>
        <w:ind w:left="138" w:right="146"/>
        <w:jc w:val="left"/>
        <w:rPr>
          <w:b w:val="0"/>
          <w:bCs w:val="0"/>
        </w:rPr>
      </w:pPr>
      <w:r>
        <w:rPr/>
        <w:t>（</w:t>
      </w:r>
      <w:r>
        <w:rPr>
          <w:rFonts w:ascii="宋体" w:hAnsi="宋体" w:cs="宋体" w:eastAsia="宋体" w:hint="default"/>
        </w:rPr>
        <w:t>56</w:t>
      </w:r>
      <w:r>
        <w:rPr/>
        <w:t>）</w:t>
      </w:r>
      <w:r>
        <w:rPr>
          <w:spacing w:val="-19"/>
        </w:rPr>
        <w:t> </w:t>
      </w:r>
      <w:r>
        <w:rPr/>
        <w:t>未分配利润</w:t>
      </w:r>
      <w:r>
        <w:rPr>
          <w:b w:val="0"/>
          <w:bCs w:val="0"/>
        </w:rPr>
      </w:r>
    </w:p>
    <w:p>
      <w:pPr>
        <w:pStyle w:val="BodyText"/>
        <w:spacing w:line="240" w:lineRule="auto" w:before="58"/>
        <w:ind w:left="138" w:right="146"/>
        <w:jc w:val="left"/>
      </w:pPr>
      <w:r>
        <w:rPr/>
        <w:t>√适用□不适用</w:t>
      </w:r>
    </w:p>
    <w:p>
      <w:pPr>
        <w:spacing w:after="0" w:line="240" w:lineRule="auto"/>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pStyle w:val="BodyText"/>
        <w:spacing w:line="240" w:lineRule="auto" w:before="36"/>
        <w:ind w:left="0" w:right="230"/>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3430"/>
        <w:gridCol w:w="2777"/>
        <w:gridCol w:w="2689"/>
      </w:tblGrid>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173,114,805.30</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127,628,993.95</w:t>
            </w:r>
          </w:p>
        </w:tc>
      </w:tr>
      <w:tr>
        <w:trPr>
          <w:trHeight w:val="55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调整期初未分配利润合计数（调增</w:t>
            </w:r>
            <w:r>
              <w:rPr>
                <w:rFonts w:ascii="Times New Roman" w:hAnsi="Times New Roman" w:cs="Times New Roman" w:eastAsia="Times New Roman" w:hint="default"/>
                <w:sz w:val="21"/>
                <w:szCs w:val="21"/>
              </w:rPr>
              <w:t>+</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0"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173,114,805.30</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127,628,993.95</w:t>
            </w:r>
          </w:p>
        </w:tc>
      </w:tr>
      <w:tr>
        <w:trPr>
          <w:trHeight w:val="55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70,245,557.09</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56,377,443.29</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3,369,030.68</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6,316,631.94</w:t>
            </w: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5,490,000.00</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4,575,000.00</w:t>
            </w: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234,501,331.71</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173,114,805.30</w:t>
            </w:r>
          </w:p>
        </w:tc>
      </w:tr>
    </w:tbl>
    <w:p>
      <w:pPr>
        <w:spacing w:line="240" w:lineRule="auto" w:before="10"/>
        <w:rPr>
          <w:rFonts w:ascii="宋体" w:hAnsi="宋体" w:cs="宋体" w:eastAsia="宋体" w:hint="default"/>
          <w:sz w:val="17"/>
          <w:szCs w:val="17"/>
        </w:rPr>
      </w:pPr>
    </w:p>
    <w:p>
      <w:pPr>
        <w:pStyle w:val="BodyText"/>
        <w:spacing w:line="240" w:lineRule="auto" w:before="36"/>
        <w:ind w:left="158" w:right="0"/>
        <w:jc w:val="left"/>
      </w:pPr>
      <w:r>
        <w:rPr/>
        <w:t>调整期初未分配利润明细：</w:t>
      </w:r>
    </w:p>
    <w:p>
      <w:pPr>
        <w:pStyle w:val="BodyText"/>
        <w:spacing w:line="282" w:lineRule="exact" w:before="56"/>
        <w:ind w:left="158"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spacing w:val="-3"/>
        </w:rPr>
        <w:t>元。</w:t>
      </w:r>
      <w:r>
        <w:rPr/>
      </w:r>
    </w:p>
    <w:p>
      <w:pPr>
        <w:pStyle w:val="BodyText"/>
        <w:spacing w:line="272" w:lineRule="exact"/>
        <w:ind w:left="158" w:right="0"/>
        <w:jc w:val="left"/>
      </w:pPr>
      <w:r>
        <w:rPr>
          <w:rFonts w:ascii="Times New Roman" w:hAnsi="Times New Roman" w:cs="Times New Roman" w:eastAsia="Times New Roman" w:hint="default"/>
        </w:rPr>
        <w:t>2</w:t>
      </w:r>
      <w:r>
        <w:rPr/>
        <w:t>、由于会计政策变更，影响期初未分配利润</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spacing w:val="-3"/>
        </w:rPr>
        <w:t>元。</w:t>
      </w:r>
      <w:r>
        <w:rPr/>
      </w:r>
    </w:p>
    <w:p>
      <w:pPr>
        <w:pStyle w:val="BodyText"/>
        <w:spacing w:line="272" w:lineRule="exact"/>
        <w:ind w:left="158" w:right="0"/>
        <w:jc w:val="left"/>
      </w:pPr>
      <w:r>
        <w:rPr>
          <w:rFonts w:ascii="Times New Roman" w:hAnsi="Times New Roman" w:cs="Times New Roman" w:eastAsia="Times New Roman" w:hint="default"/>
        </w:rPr>
        <w:t>3</w:t>
      </w:r>
      <w:r>
        <w:rPr/>
        <w:t>、由于重大会计差错更正，影响期初未分配利润</w:t>
      </w:r>
      <w:r>
        <w:rPr>
          <w:spacing w:val="-56"/>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pStyle w:val="BodyText"/>
        <w:spacing w:line="272" w:lineRule="exact"/>
        <w:ind w:left="158" w:right="0"/>
        <w:jc w:val="left"/>
      </w:pPr>
      <w:r>
        <w:rPr>
          <w:rFonts w:ascii="Times New Roman" w:hAnsi="Times New Roman" w:cs="Times New Roman" w:eastAsia="Times New Roman" w:hint="default"/>
        </w:rPr>
        <w:t>4</w:t>
      </w:r>
      <w:r>
        <w:rPr/>
        <w:t>、由于同一控制导致的合并范围变更，影响期初未分配利润</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t>元。</w:t>
      </w:r>
    </w:p>
    <w:p>
      <w:pPr>
        <w:pStyle w:val="BodyText"/>
        <w:spacing w:line="281" w:lineRule="exact"/>
        <w:ind w:left="158" w:right="0"/>
        <w:jc w:val="left"/>
      </w:pPr>
      <w:r>
        <w:rPr>
          <w:rFonts w:ascii="Times New Roman" w:hAnsi="Times New Roman" w:cs="Times New Roman" w:eastAsia="Times New Roman" w:hint="default"/>
        </w:rPr>
        <w:t>5</w:t>
      </w:r>
      <w:r>
        <w:rPr/>
        <w:t>、其他调整合计影响期初未分配利润</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spacing w:val="-3"/>
        </w:rPr>
        <w:t>元。</w:t>
      </w:r>
      <w:r>
        <w:rPr/>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640" w:right="1040"/>
        </w:sectPr>
      </w:pPr>
    </w:p>
    <w:p>
      <w:pPr>
        <w:pStyle w:val="Heading2"/>
        <w:spacing w:line="240" w:lineRule="auto" w:before="36"/>
        <w:ind w:left="158" w:right="-17"/>
        <w:jc w:val="left"/>
        <w:rPr>
          <w:b w:val="0"/>
          <w:bCs w:val="0"/>
        </w:rPr>
      </w:pPr>
      <w:r>
        <w:rPr/>
        <w:t>（</w:t>
      </w:r>
      <w:r>
        <w:rPr>
          <w:rFonts w:ascii="Calibri" w:hAnsi="Calibri" w:cs="Calibri" w:eastAsia="Calibri" w:hint="default"/>
        </w:rPr>
        <w:t>57</w:t>
      </w:r>
      <w:r>
        <w:rPr/>
        <w:t>）</w:t>
      </w:r>
      <w:r>
        <w:rPr>
          <w:spacing w:val="-20"/>
        </w:rPr>
        <w:t> </w:t>
      </w:r>
      <w:r>
        <w:rPr/>
        <w:t>营业收入和营业成本</w:t>
      </w:r>
      <w:r>
        <w:rPr>
          <w:b w:val="0"/>
          <w:bCs w:val="0"/>
        </w:rPr>
      </w:r>
    </w:p>
    <w:p>
      <w:pPr>
        <w:pStyle w:val="BodyText"/>
        <w:spacing w:line="240" w:lineRule="auto" w:before="32"/>
        <w:ind w:left="158" w:right="-17"/>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158" w:right="0"/>
        <w:jc w:val="left"/>
      </w:pPr>
      <w:r>
        <w:rPr/>
        <w:t>单位：元币种：人民币</w:t>
      </w:r>
    </w:p>
    <w:p>
      <w:pPr>
        <w:spacing w:after="0" w:line="240" w:lineRule="auto"/>
        <w:jc w:val="left"/>
        <w:sectPr>
          <w:type w:val="continuous"/>
          <w:pgSz w:w="11910" w:h="16840"/>
          <w:pgMar w:top="1120" w:bottom="1380" w:left="1640" w:right="1040"/>
          <w:cols w:num="2" w:equalWidth="0">
            <w:col w:w="2779" w:space="3954"/>
            <w:col w:w="2497"/>
          </w:cols>
        </w:sectPr>
      </w:pPr>
    </w:p>
    <w:p>
      <w:pPr>
        <w:spacing w:line="240" w:lineRule="auto" w:before="7"/>
        <w:rPr>
          <w:rFonts w:ascii="宋体" w:hAnsi="宋体" w:cs="宋体" w:eastAsia="宋体" w:hint="default"/>
          <w:sz w:val="2"/>
          <w:szCs w:val="2"/>
        </w:rPr>
      </w:pPr>
    </w:p>
    <w:tbl>
      <w:tblPr>
        <w:tblW w:w="0" w:type="auto"/>
        <w:jc w:val="left"/>
        <w:tblInd w:w="167"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281"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38"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271,653,609.75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108,458,165.97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232,062,988.83</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101,188,592.23</w:t>
            </w:r>
          </w:p>
        </w:tc>
      </w:tr>
      <w:tr>
        <w:trPr>
          <w:trHeight w:val="281"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9"/>
              <w:jc w:val="righ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271,653,609.75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108,458,165.97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232,062,988.83</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101,188,592.23</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640" w:right="1040"/>
        </w:sectPr>
      </w:pPr>
    </w:p>
    <w:p>
      <w:pPr>
        <w:pStyle w:val="Heading2"/>
        <w:spacing w:line="240" w:lineRule="auto" w:before="36"/>
        <w:ind w:left="158" w:right="-19"/>
        <w:jc w:val="left"/>
        <w:rPr>
          <w:b w:val="0"/>
          <w:bCs w:val="0"/>
        </w:rPr>
      </w:pPr>
      <w:r>
        <w:rPr/>
        <w:t>（</w:t>
      </w:r>
      <w:r>
        <w:rPr>
          <w:rFonts w:ascii="宋体" w:hAnsi="宋体" w:cs="宋体" w:eastAsia="宋体" w:hint="default"/>
        </w:rPr>
        <w:t>58</w:t>
      </w:r>
      <w:r>
        <w:rPr/>
        <w:t>）</w:t>
      </w:r>
      <w:r>
        <w:rPr>
          <w:spacing w:val="-19"/>
        </w:rPr>
        <w:t> </w:t>
      </w:r>
      <w:r>
        <w:rPr/>
        <w:t>税金及附加</w:t>
      </w:r>
      <w:r>
        <w:rPr>
          <w:b w:val="0"/>
          <w:bCs w:val="0"/>
        </w:rPr>
      </w:r>
    </w:p>
    <w:p>
      <w:pPr>
        <w:pStyle w:val="BodyText"/>
        <w:spacing w:line="240" w:lineRule="auto" w:before="56"/>
        <w:ind w:left="158" w:right="-19"/>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58" w:right="0"/>
        <w:jc w:val="left"/>
      </w:pPr>
      <w:r>
        <w:rPr/>
        <w:t>单位：元币种：人民币</w:t>
      </w:r>
    </w:p>
    <w:p>
      <w:pPr>
        <w:spacing w:after="0" w:line="240" w:lineRule="auto"/>
        <w:jc w:val="left"/>
        <w:sectPr>
          <w:type w:val="continuous"/>
          <w:pgSz w:w="11910" w:h="16840"/>
          <w:pgMar w:top="1120" w:bottom="1380" w:left="1640" w:right="1040"/>
          <w:cols w:num="2" w:equalWidth="0">
            <w:col w:w="1935" w:space="4798"/>
            <w:col w:w="249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859"/>
        <w:gridCol w:w="3017"/>
        <w:gridCol w:w="3020"/>
      </w:tblGrid>
      <w:tr>
        <w:trPr>
          <w:trHeight w:val="28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1,564,799.13</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927,897.33</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838,805.44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452,186.04</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389,453.68</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421,040.12</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4,753.50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2,376.75</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6,170.00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1,987.50</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311,149.54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78,980.73</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559,203.63</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301,457.36</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河道管理费</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25,764.06</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129,579.75</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3,700,098.98</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2,315,505.58</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64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before="36"/>
        <w:ind w:right="-18"/>
        <w:jc w:val="left"/>
        <w:rPr>
          <w:b w:val="0"/>
          <w:bCs w:val="0"/>
        </w:rPr>
      </w:pPr>
      <w:r>
        <w:rPr/>
        <w:t>（</w:t>
      </w:r>
      <w:r>
        <w:rPr>
          <w:rFonts w:ascii="宋体" w:hAnsi="宋体" w:cs="宋体" w:eastAsia="宋体" w:hint="default"/>
        </w:rPr>
        <w:t>59</w:t>
      </w:r>
      <w:r>
        <w:rPr/>
        <w:t>）</w:t>
      </w:r>
      <w:r>
        <w:rPr>
          <w:spacing w:val="-20"/>
        </w:rPr>
        <w:t> </w:t>
      </w:r>
      <w:r>
        <w:rPr/>
        <w:t>销售费用</w:t>
      </w:r>
      <w:r>
        <w:rPr>
          <w:b w:val="0"/>
          <w:bCs w:val="0"/>
        </w:rPr>
      </w:r>
    </w:p>
    <w:p>
      <w:pPr>
        <w:pStyle w:val="BodyText"/>
        <w:spacing w:line="240" w:lineRule="auto" w:before="58"/>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83" w:space="4738"/>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5,378,816.73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4,625,810.88</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1,890,761.27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1,526,285.62</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6,135,147.15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4,496,312.00</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3,400,105.67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2,999,363.22</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2"/>
                <w:sz w:val="21"/>
              </w:rPr>
              <w:t>2,110,833.41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920,678.70</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823,820.14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797,405.35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731,639.93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586,164.87</w:t>
            </w:r>
          </w:p>
        </w:tc>
      </w:tr>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20,471,124.30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15,952,020.64</w:t>
            </w:r>
          </w:p>
        </w:tc>
      </w:tr>
    </w:tbl>
    <w:p>
      <w:pPr>
        <w:spacing w:line="240" w:lineRule="auto" w:before="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17"/>
        <w:jc w:val="left"/>
        <w:rPr>
          <w:b w:val="0"/>
          <w:bCs w:val="0"/>
        </w:rPr>
      </w:pPr>
      <w:r>
        <w:rPr/>
        <w:t>（</w:t>
      </w:r>
      <w:r>
        <w:rPr>
          <w:rFonts w:ascii="Calibri" w:hAnsi="Calibri" w:cs="Calibri" w:eastAsia="Calibri" w:hint="default"/>
        </w:rPr>
        <w:t>60</w:t>
      </w:r>
      <w:r>
        <w:rPr/>
        <w:t>）</w:t>
      </w:r>
      <w:r>
        <w:rPr>
          <w:spacing w:val="-22"/>
        </w:rPr>
        <w:t> </w:t>
      </w:r>
      <w:r>
        <w:rPr/>
        <w:t>管理费用</w:t>
      </w:r>
      <w:r>
        <w:rPr>
          <w:b w:val="0"/>
          <w:bCs w:val="0"/>
        </w:rPr>
      </w:r>
    </w:p>
    <w:p>
      <w:pPr>
        <w:pStyle w:val="BodyText"/>
        <w:spacing w:line="240" w:lineRule="auto" w:before="32"/>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783" w:space="4950"/>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20,749,773.18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26,058,704.86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评估咨询费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1,783,680.41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653,346.68</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2,636,616.01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2,032,093.54</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摊销费用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2,316,496.39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1,469,302.68</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403,170.71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494,558.14</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4,967,434.27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3,253,278.49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40,571,496.81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2"/>
                <w:sz w:val="21"/>
              </w:rPr>
              <w:t>23,993,492.11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房租物业费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1,078,823.78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991,496.16</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428,626.96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423,224.47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4,295,516.47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2,969,091.30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79,231,634.99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62,338,588.43</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2"/>
        <w:spacing w:line="240" w:lineRule="auto" w:before="36"/>
        <w:ind w:right="-17"/>
        <w:jc w:val="left"/>
        <w:rPr>
          <w:b w:val="0"/>
          <w:bCs w:val="0"/>
        </w:rPr>
      </w:pPr>
      <w:r>
        <w:rPr/>
        <w:t>（</w:t>
      </w:r>
      <w:r>
        <w:rPr>
          <w:rFonts w:ascii="Calibri" w:hAnsi="Calibri" w:cs="Calibri" w:eastAsia="Calibri" w:hint="default"/>
        </w:rPr>
        <w:t>61</w:t>
      </w:r>
      <w:r>
        <w:rPr/>
        <w:t>）</w:t>
      </w:r>
      <w:r>
        <w:rPr>
          <w:spacing w:val="-22"/>
        </w:rPr>
        <w:t> </w:t>
      </w:r>
      <w:r>
        <w:rPr/>
        <w:t>财务费用</w:t>
      </w:r>
      <w:r>
        <w:rPr>
          <w:b w:val="0"/>
          <w:bCs w:val="0"/>
        </w:rPr>
      </w:r>
    </w:p>
    <w:p>
      <w:pPr>
        <w:pStyle w:val="BodyText"/>
        <w:spacing w:line="240" w:lineRule="auto" w:before="32"/>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783" w:space="4950"/>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184,381.65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402,472.63</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-2,008,829.26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-575,992.66</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29,887.28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32,788.33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-1,794,560.33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-140,731.70</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2"/>
        <w:spacing w:line="240" w:lineRule="auto" w:before="36"/>
        <w:ind w:right="-18"/>
        <w:jc w:val="left"/>
        <w:rPr>
          <w:b w:val="0"/>
          <w:bCs w:val="0"/>
        </w:rPr>
      </w:pPr>
      <w:r>
        <w:rPr/>
        <w:t>（</w:t>
      </w:r>
      <w:r>
        <w:rPr>
          <w:rFonts w:ascii="宋体" w:hAnsi="宋体" w:cs="宋体" w:eastAsia="宋体" w:hint="default"/>
        </w:rPr>
        <w:t>62</w:t>
      </w:r>
      <w:r>
        <w:rPr/>
        <w:t>）</w:t>
      </w:r>
      <w:r>
        <w:rPr>
          <w:spacing w:val="-19"/>
        </w:rPr>
        <w:t> </w:t>
      </w:r>
      <w:r>
        <w:rPr/>
        <w:t>资产减值损失</w:t>
      </w:r>
      <w:r>
        <w:rPr>
          <w:b w:val="0"/>
          <w:bCs w:val="0"/>
        </w:rPr>
      </w:r>
    </w:p>
    <w:p>
      <w:pPr>
        <w:pStyle w:val="BodyText"/>
        <w:spacing w:line="240" w:lineRule="auto" w:before="56"/>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206" w:space="4527"/>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58" w:right="0"/>
              <w:jc w:val="left"/>
              <w:rPr>
                <w:rFonts w:ascii="Times New Roman" w:hAnsi="Times New Roman" w:cs="Times New Roman" w:eastAsia="Times New Roman" w:hint="default"/>
                <w:sz w:val="21"/>
                <w:szCs w:val="21"/>
              </w:rPr>
            </w:pPr>
            <w:r>
              <w:rPr>
                <w:rFonts w:ascii="Times New Roman"/>
                <w:sz w:val="21"/>
              </w:rPr>
              <w:t>4,120,430.85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63" w:right="0"/>
              <w:jc w:val="left"/>
              <w:rPr>
                <w:rFonts w:ascii="Times New Roman" w:hAnsi="Times New Roman" w:cs="Times New Roman" w:eastAsia="Times New Roman" w:hint="default"/>
                <w:sz w:val="21"/>
                <w:szCs w:val="21"/>
              </w:rPr>
            </w:pPr>
            <w:r>
              <w:rPr>
                <w:rFonts w:ascii="Times New Roman"/>
                <w:sz w:val="21"/>
              </w:rPr>
              <w:t>1,184,519.56</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58" w:right="0"/>
              <w:jc w:val="left"/>
              <w:rPr>
                <w:rFonts w:ascii="Times New Roman" w:hAnsi="Times New Roman" w:cs="Times New Roman" w:eastAsia="Times New Roman" w:hint="default"/>
                <w:sz w:val="21"/>
                <w:szCs w:val="21"/>
              </w:rPr>
            </w:pPr>
            <w:r>
              <w:rPr>
                <w:rFonts w:ascii="Times New Roman"/>
                <w:sz w:val="21"/>
              </w:rPr>
              <w:t>4,120,430.85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63" w:right="0"/>
              <w:jc w:val="left"/>
              <w:rPr>
                <w:rFonts w:ascii="Times New Roman" w:hAnsi="Times New Roman" w:cs="Times New Roman" w:eastAsia="Times New Roman" w:hint="default"/>
                <w:sz w:val="21"/>
                <w:szCs w:val="21"/>
              </w:rPr>
            </w:pPr>
            <w:r>
              <w:rPr>
                <w:rFonts w:ascii="Times New Roman"/>
                <w:sz w:val="21"/>
              </w:rPr>
              <w:t>1,184,519.56</w:t>
            </w:r>
          </w:p>
        </w:tc>
      </w:tr>
    </w:tbl>
    <w:p>
      <w:pPr>
        <w:spacing w:line="240" w:lineRule="auto" w:before="4"/>
        <w:rPr>
          <w:rFonts w:ascii="宋体" w:hAnsi="宋体" w:cs="宋体" w:eastAsia="宋体" w:hint="default"/>
          <w:sz w:val="22"/>
          <w:szCs w:val="22"/>
        </w:rPr>
      </w:pPr>
    </w:p>
    <w:p>
      <w:pPr>
        <w:pStyle w:val="Heading2"/>
        <w:spacing w:line="240" w:lineRule="auto" w:before="36"/>
        <w:ind w:right="2465"/>
        <w:jc w:val="left"/>
        <w:rPr>
          <w:b w:val="0"/>
          <w:bCs w:val="0"/>
        </w:rPr>
      </w:pPr>
      <w:r>
        <w:rPr/>
        <w:t>（</w:t>
      </w:r>
      <w:r>
        <w:rPr>
          <w:rFonts w:ascii="宋体" w:hAnsi="宋体" w:cs="宋体" w:eastAsia="宋体" w:hint="default"/>
        </w:rPr>
        <w:t>63</w:t>
      </w:r>
      <w:r>
        <w:rPr/>
        <w:t>）</w:t>
      </w:r>
      <w:r>
        <w:rPr>
          <w:spacing w:val="-18"/>
        </w:rPr>
        <w:t> </w:t>
      </w:r>
      <w:r>
        <w:rPr/>
        <w:t>公允价值变动收益</w:t>
      </w:r>
      <w:r>
        <w:rPr>
          <w:b w:val="0"/>
          <w:bCs w:val="0"/>
        </w:rPr>
      </w:r>
    </w:p>
    <w:p>
      <w:pPr>
        <w:pStyle w:val="BodyText"/>
        <w:spacing w:line="240" w:lineRule="auto" w:before="57"/>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580" w:right="1040"/>
        </w:sectPr>
      </w:pPr>
    </w:p>
    <w:p>
      <w:pPr>
        <w:pStyle w:val="Heading2"/>
        <w:spacing w:line="240" w:lineRule="auto" w:before="36"/>
        <w:ind w:right="-18"/>
        <w:jc w:val="left"/>
        <w:rPr>
          <w:b w:val="0"/>
          <w:bCs w:val="0"/>
        </w:rPr>
      </w:pPr>
      <w:r>
        <w:rPr/>
        <w:t>（</w:t>
      </w:r>
      <w:r>
        <w:rPr>
          <w:rFonts w:ascii="宋体" w:hAnsi="宋体" w:cs="宋体" w:eastAsia="宋体" w:hint="default"/>
        </w:rPr>
        <w:t>64</w:t>
      </w:r>
      <w:r>
        <w:rPr/>
        <w:t>）</w:t>
      </w:r>
      <w:r>
        <w:rPr>
          <w:spacing w:val="-20"/>
        </w:rPr>
        <w:t> </w:t>
      </w:r>
      <w:r>
        <w:rPr/>
        <w:t>投资收益</w:t>
      </w:r>
      <w:r>
        <w:rPr>
          <w:b w:val="0"/>
          <w:bCs w:val="0"/>
        </w:rPr>
      </w:r>
    </w:p>
    <w:p>
      <w:pPr>
        <w:pStyle w:val="BodyText"/>
        <w:spacing w:line="240" w:lineRule="auto" w:before="58"/>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783" w:space="4950"/>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5,944,527.75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5,022,511.08</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损益的金融资产在持有期间的投资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当期损益的金融资产取得的投资收</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438,700.00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740,000.00</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366,513.01</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结构性存款利息</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3,108,858.83</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9,858,599.59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2"/>
                <w:sz w:val="21"/>
              </w:rPr>
              <w:t>5,762,511.08</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spacing w:line="290" w:lineRule="auto" w:before="36"/>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65</w:t>
      </w:r>
      <w:r>
        <w:rPr>
          <w:rFonts w:ascii="宋体" w:hAnsi="宋体" w:cs="宋体" w:eastAsia="宋体" w:hint="default"/>
          <w:b/>
          <w:bCs/>
          <w:sz w:val="21"/>
          <w:szCs w:val="21"/>
        </w:rPr>
        <w:t>）</w:t>
      </w:r>
      <w:r>
        <w:rPr>
          <w:rFonts w:ascii="宋体" w:hAnsi="宋体" w:cs="宋体" w:eastAsia="宋体" w:hint="default"/>
          <w:b/>
          <w:bCs/>
          <w:spacing w:val="-19"/>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spacing w:line="230" w:lineRule="exact"/>
        <w:ind w:right="-19"/>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995" w:space="4738"/>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2"/>
        <w:gridCol w:w="2304"/>
        <w:gridCol w:w="2316"/>
        <w:gridCol w:w="2317"/>
      </w:tblGrid>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112"/>
        <w:gridCol w:w="2304"/>
        <w:gridCol w:w="2316"/>
        <w:gridCol w:w="2317"/>
      </w:tblGrid>
      <w:tr>
        <w:trPr>
          <w:trHeight w:val="557"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6,191,108.48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11,092,232.83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6,191,108.48</w:t>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199,000.60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6,191,108.48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11,291,233.43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6,191,108.48</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2"/>
          <w:pgSz w:w="11910" w:h="16840"/>
          <w:pgMar w:footer="1195" w:header="882" w:top="1120" w:bottom="1380" w:left="1580" w:right="1040"/>
        </w:sectPr>
      </w:pPr>
    </w:p>
    <w:p>
      <w:pPr>
        <w:spacing w:line="240" w:lineRule="auto" w:before="3"/>
        <w:rPr>
          <w:rFonts w:ascii="宋体" w:hAnsi="宋体" w:cs="宋体" w:eastAsia="宋体" w:hint="default"/>
          <w:sz w:val="14"/>
          <w:szCs w:val="14"/>
        </w:rPr>
      </w:pPr>
    </w:p>
    <w:p>
      <w:pPr>
        <w:pStyle w:val="BodyText"/>
        <w:spacing w:line="275" w:lineRule="exact"/>
        <w:ind w:right="0"/>
        <w:jc w:val="left"/>
      </w:pPr>
      <w:r>
        <w:rPr>
          <w:spacing w:val="-2"/>
        </w:rPr>
        <w:t>计入当期损益的政府补助</w:t>
      </w:r>
    </w:p>
    <w:p>
      <w:pPr>
        <w:pStyle w:val="BodyText"/>
        <w:spacing w:line="275"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532" w:space="4201"/>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60"/>
        <w:gridCol w:w="2278"/>
        <w:gridCol w:w="2278"/>
        <w:gridCol w:w="2281"/>
      </w:tblGrid>
      <w:tr>
        <w:trPr>
          <w:trHeight w:val="56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04"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03"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02"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5"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Times New Roman" w:hAnsi="Times New Roman" w:cs="Times New Roman" w:eastAsia="Times New Roman" w:hint="default"/>
                <w:sz w:val="21"/>
                <w:szCs w:val="21"/>
              </w:rPr>
              <w:t>/</w:t>
            </w:r>
            <w:r>
              <w:rPr>
                <w:rFonts w:ascii="宋体" w:hAnsi="宋体" w:cs="宋体" w:eastAsia="宋体" w:hint="default"/>
                <w:sz w:val="21"/>
                <w:szCs w:val="21"/>
              </w:rPr>
              <w:t>与收益相关</w:t>
            </w:r>
          </w:p>
        </w:tc>
      </w:tr>
      <w:tr>
        <w:trPr>
          <w:trHeight w:val="2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上海市科学技术奖</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小巨人后补助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1,500,000.00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9"/>
                <w:sz w:val="21"/>
                <w:szCs w:val="21"/>
              </w:rPr>
              <w:t>高新技术成果转化项</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目扶持基金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283,000.00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411,000.00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市北工业园区扶持款</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2,100,000.00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1,750,000.00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9"/>
                <w:sz w:val="21"/>
                <w:szCs w:val="21"/>
              </w:rPr>
              <w:t>假冒网站的发现与阻</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断公共服务平台</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293,960.16</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9"/>
                <w:sz w:val="21"/>
                <w:szCs w:val="21"/>
              </w:rPr>
              <w:t>基于自主密码算法的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高性能安全认证</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2,057,403.27</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9"/>
                <w:sz w:val="21"/>
                <w:szCs w:val="21"/>
              </w:rPr>
              <w:t>下一代互联网网络安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全审计系统</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2,800,325.92</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基于 </w:t>
            </w:r>
            <w:r>
              <w:rPr>
                <w:rFonts w:ascii="Times New Roman" w:hAnsi="Times New Roman" w:cs="Times New Roman" w:eastAsia="Times New Roman" w:hint="default"/>
                <w:sz w:val="21"/>
                <w:szCs w:val="21"/>
              </w:rPr>
              <w:t>PKI</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云安全服务</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系统</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120,000.00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增值税退税款</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1,636,139.16</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9"/>
                <w:sz w:val="21"/>
                <w:szCs w:val="21"/>
              </w:rPr>
              <w:t>软件著作权登记费用</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资助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32,912.00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9,951.00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9"/>
                <w:sz w:val="21"/>
                <w:szCs w:val="21"/>
              </w:rPr>
              <w:t>格尔金融签名验签服</w:t>
            </w:r>
          </w:p>
          <w:p>
            <w:pPr>
              <w:pStyle w:val="TableParagraph"/>
              <w:spacing w:line="240" w:lineRule="auto"/>
              <w:ind w:left="26" w:right="21"/>
              <w:jc w:val="left"/>
              <w:rPr>
                <w:rFonts w:ascii="宋体" w:hAnsi="宋体" w:cs="宋体" w:eastAsia="宋体" w:hint="default"/>
                <w:sz w:val="21"/>
                <w:szCs w:val="21"/>
              </w:rPr>
            </w:pPr>
            <w:r>
              <w:rPr>
                <w:rFonts w:ascii="宋体" w:hAnsi="宋体" w:cs="宋体" w:eastAsia="宋体" w:hint="default"/>
                <w:spacing w:val="9"/>
                <w:sz w:val="21"/>
                <w:szCs w:val="21"/>
              </w:rPr>
              <w:t>务器研究与产业化项</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346,345.74</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1,963,453.32</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7"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9"/>
                <w:sz w:val="21"/>
                <w:szCs w:val="21"/>
              </w:rPr>
              <w:t>品牌发展产业升级专</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500,000.00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9"/>
                <w:sz w:val="21"/>
                <w:szCs w:val="21"/>
              </w:rPr>
              <w:t>基于国产密码算法的</w:t>
            </w:r>
          </w:p>
          <w:p>
            <w:pPr>
              <w:pStyle w:val="TableParagraph"/>
              <w:spacing w:line="240" w:lineRule="auto"/>
              <w:ind w:left="26" w:right="21"/>
              <w:jc w:val="left"/>
              <w:rPr>
                <w:rFonts w:ascii="宋体" w:hAnsi="宋体" w:cs="宋体" w:eastAsia="宋体" w:hint="default"/>
                <w:sz w:val="21"/>
                <w:szCs w:val="21"/>
              </w:rPr>
            </w:pPr>
            <w:r>
              <w:rPr>
                <w:rFonts w:ascii="宋体" w:hAnsi="宋体" w:cs="宋体" w:eastAsia="宋体" w:hint="default"/>
                <w:spacing w:val="9"/>
                <w:sz w:val="21"/>
                <w:szCs w:val="21"/>
              </w:rPr>
              <w:t>物联网关研发及其政</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务安全</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345,649.79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9"/>
                <w:sz w:val="21"/>
                <w:szCs w:val="21"/>
              </w:rPr>
              <w:t>智能网联汽车关键密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码应用</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21,500.95</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指静脉智能</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KEY</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的研</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制和应用</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130,000.00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9"/>
                <w:sz w:val="21"/>
                <w:szCs w:val="21"/>
              </w:rPr>
              <w:t>静安区人力资源和社</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会保障局表彰奖励</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7"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9"/>
                <w:sz w:val="21"/>
                <w:szCs w:val="21"/>
              </w:rPr>
              <w:t>中小企业服务中心专</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精特新补贴</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9"/>
                <w:sz w:val="21"/>
                <w:szCs w:val="21"/>
              </w:rPr>
              <w:t>上海智慧岛数据产业</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园企业入驻补助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678,000.00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060"/>
        <w:gridCol w:w="2278"/>
        <w:gridCol w:w="2278"/>
        <w:gridCol w:w="2281"/>
      </w:tblGrid>
      <w:tr>
        <w:trPr>
          <w:trHeight w:val="28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高新技术企业奖励</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200,000.00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知识产权奖励</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在孵</w:t>
            </w:r>
            <w:r>
              <w:rPr>
                <w:rFonts w:ascii="宋体" w:hAnsi="宋体" w:cs="宋体" w:eastAsia="宋体" w:hint="default"/>
                <w:spacing w:val="-3"/>
                <w:w w:val="100"/>
                <w:sz w:val="21"/>
                <w:szCs w:val="21"/>
              </w:rPr>
              <w:t>企</w:t>
            </w:r>
            <w:r>
              <w:rPr>
                <w:rFonts w:ascii="宋体" w:hAnsi="宋体" w:cs="宋体" w:eastAsia="宋体" w:hint="default"/>
                <w:spacing w:val="-104"/>
                <w:w w:val="100"/>
                <w:sz w:val="21"/>
                <w:szCs w:val="21"/>
              </w:rPr>
              <w:t>业</w:t>
            </w:r>
            <w:r>
              <w:rPr>
                <w:rFonts w:ascii="宋体" w:hAnsi="宋体" w:cs="宋体" w:eastAsia="宋体" w:hint="default"/>
                <w:w w:val="100"/>
                <w:sz w:val="21"/>
                <w:szCs w:val="21"/>
              </w:rPr>
              <w:t>（</w:t>
            </w:r>
            <w:r>
              <w:rPr>
                <w:rFonts w:ascii="宋体" w:hAnsi="宋体" w:cs="宋体" w:eastAsia="宋体" w:hint="default"/>
                <w:spacing w:val="-3"/>
                <w:w w:val="100"/>
                <w:sz w:val="21"/>
                <w:szCs w:val="21"/>
              </w:rPr>
              <w:t>创</w:t>
            </w:r>
            <w:r>
              <w:rPr>
                <w:rFonts w:ascii="宋体" w:hAnsi="宋体" w:cs="宋体" w:eastAsia="宋体" w:hint="default"/>
                <w:w w:val="100"/>
                <w:sz w:val="21"/>
                <w:szCs w:val="21"/>
              </w:rPr>
              <w:t>新</w:t>
            </w:r>
            <w:r>
              <w:rPr>
                <w:rFonts w:ascii="宋体" w:hAnsi="宋体" w:cs="宋体" w:eastAsia="宋体" w:hint="default"/>
                <w:spacing w:val="-3"/>
                <w:w w:val="100"/>
                <w:sz w:val="21"/>
                <w:szCs w:val="21"/>
              </w:rPr>
              <w:t>创</w:t>
            </w:r>
            <w:r>
              <w:rPr>
                <w:rFonts w:ascii="宋体" w:hAnsi="宋体" w:cs="宋体" w:eastAsia="宋体" w:hint="default"/>
                <w:w w:val="100"/>
                <w:sz w:val="21"/>
                <w:szCs w:val="21"/>
              </w:rPr>
              <w:t>业团</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队、创客）房租补贴</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33,700.00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6,191,108.48</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11,092,232.83</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240" w:lineRule="auto" w:before="36"/>
        <w:ind w:right="2465"/>
        <w:jc w:val="left"/>
      </w:pPr>
      <w:r>
        <w:rPr/>
        <w:t>其他说明：</w:t>
      </w:r>
    </w:p>
    <w:p>
      <w:pPr>
        <w:pStyle w:val="BodyText"/>
        <w:spacing w:line="240" w:lineRule="auto" w:before="145"/>
        <w:ind w:right="2465"/>
        <w:jc w:val="left"/>
      </w:pPr>
      <w:r>
        <w:rPr/>
        <w:t>□适用√不适用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63"/>
          <w:pgSz w:w="11910" w:h="16840"/>
          <w:pgMar w:footer="1195" w:header="882" w:top="1120" w:bottom="1380" w:left="1580" w:right="1040"/>
          <w:pgNumType w:start="131"/>
        </w:sectPr>
      </w:pPr>
    </w:p>
    <w:p>
      <w:pPr>
        <w:pStyle w:val="Heading2"/>
        <w:spacing w:line="240" w:lineRule="auto" w:before="36"/>
        <w:ind w:right="-19"/>
        <w:jc w:val="left"/>
        <w:rPr>
          <w:b w:val="0"/>
          <w:bCs w:val="0"/>
        </w:rPr>
      </w:pPr>
      <w:r>
        <w:rPr/>
        <w:t>（</w:t>
      </w:r>
      <w:r>
        <w:rPr>
          <w:rFonts w:ascii="宋体" w:hAnsi="宋体" w:cs="宋体" w:eastAsia="宋体" w:hint="default"/>
        </w:rPr>
        <w:t>66</w:t>
      </w:r>
      <w:r>
        <w:rPr/>
        <w:t>）</w:t>
      </w:r>
      <w:r>
        <w:rPr>
          <w:spacing w:val="-19"/>
        </w:rPr>
        <w:t> </w:t>
      </w:r>
      <w:r>
        <w:rPr/>
        <w:t>营业外支出</w:t>
      </w:r>
      <w:r>
        <w:rPr>
          <w:b w:val="0"/>
          <w:bCs w:val="0"/>
        </w:rPr>
      </w:r>
    </w:p>
    <w:p>
      <w:pPr>
        <w:pStyle w:val="BodyText"/>
        <w:spacing w:line="240" w:lineRule="auto" w:before="59"/>
        <w:ind w:right="-19"/>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995" w:space="4738"/>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非流动资产处置损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365,072.96</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84,181.95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-365,072.96</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365,072.96</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84,181.95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-365,072.96</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pacing w:val="-73"/>
                <w:sz w:val="21"/>
                <w:szCs w:val="21"/>
              </w:rPr>
              <w:t> </w:t>
            </w:r>
            <w:r>
              <w:rPr>
                <w:rFonts w:ascii="宋体" w:hAnsi="宋体" w:cs="宋体" w:eastAsia="宋体" w:hint="default"/>
                <w:sz w:val="21"/>
                <w:szCs w:val="21"/>
              </w:rPr>
              <w:t>形</w:t>
            </w:r>
            <w:r>
              <w:rPr>
                <w:rFonts w:ascii="宋体" w:hAnsi="宋体" w:cs="宋体" w:eastAsia="宋体" w:hint="default"/>
                <w:spacing w:val="-73"/>
                <w:sz w:val="21"/>
                <w:szCs w:val="21"/>
              </w:rPr>
              <w:t> </w:t>
            </w: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产</w:t>
            </w:r>
            <w:r>
              <w:rPr>
                <w:rFonts w:ascii="宋体" w:hAnsi="宋体" w:cs="宋体" w:eastAsia="宋体" w:hint="default"/>
                <w:spacing w:val="-73"/>
                <w:sz w:val="21"/>
                <w:szCs w:val="21"/>
              </w:rPr>
              <w:t> </w:t>
            </w:r>
            <w:r>
              <w:rPr>
                <w:rFonts w:ascii="宋体" w:hAnsi="宋体" w:cs="宋体" w:eastAsia="宋体" w:hint="default"/>
                <w:sz w:val="21"/>
                <w:szCs w:val="21"/>
              </w:rPr>
              <w:t>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非货币性资产交换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15.79</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138.23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-15.79</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365,088.75</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84,320.18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-365,088.75</w:t>
            </w:r>
          </w:p>
        </w:tc>
      </w:tr>
    </w:tbl>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90" w:lineRule="auto" w:before="36"/>
        <w:ind w:right="-19"/>
        <w:jc w:val="left"/>
        <w:rPr>
          <w:b w:val="0"/>
          <w:bCs w:val="0"/>
        </w:rPr>
      </w:pPr>
      <w:r>
        <w:rPr/>
        <w:t>（</w:t>
      </w:r>
      <w:r>
        <w:rPr>
          <w:rFonts w:ascii="宋体" w:hAnsi="宋体" w:cs="宋体" w:eastAsia="宋体" w:hint="default"/>
        </w:rPr>
        <w:t>67</w:t>
      </w:r>
      <w:r>
        <w:rPr/>
        <w:t>）</w:t>
      </w:r>
      <w:r>
        <w:rPr>
          <w:spacing w:val="-19"/>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pStyle w:val="BodyText"/>
        <w:spacing w:line="240" w:lineRule="auto" w:before="14"/>
        <w:ind w:right="-19"/>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995" w:space="4738"/>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59"/>
        <w:gridCol w:w="2876"/>
        <w:gridCol w:w="2861"/>
      </w:tblGrid>
      <w:tr>
        <w:trPr>
          <w:trHeight w:val="288"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64"/>
              <w:jc w:val="right"/>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4,130,487.88</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6"/>
              <w:jc w:val="right"/>
              <w:rPr>
                <w:rFonts w:ascii="Times New Roman" w:hAnsi="Times New Roman" w:cs="Times New Roman" w:eastAsia="Times New Roman" w:hint="default"/>
                <w:sz w:val="21"/>
                <w:szCs w:val="21"/>
              </w:rPr>
            </w:pPr>
            <w:r>
              <w:rPr>
                <w:rFonts w:ascii="Times New Roman"/>
                <w:spacing w:val="-1"/>
                <w:sz w:val="21"/>
              </w:rPr>
              <w:t>9,836,875.22</w:t>
            </w:r>
          </w:p>
        </w:tc>
      </w:tr>
      <w:tr>
        <w:trPr>
          <w:trHeight w:val="281"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pacing w:val="-1"/>
                <w:sz w:val="21"/>
              </w:rPr>
              <w:t>-565,803.85</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-232,943.99</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64"/>
              <w:jc w:val="righ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9"/>
              <w:jc w:val="right"/>
              <w:rPr>
                <w:rFonts w:ascii="Times New Roman" w:hAnsi="Times New Roman" w:cs="Times New Roman" w:eastAsia="Times New Roman" w:hint="default"/>
                <w:sz w:val="21"/>
                <w:szCs w:val="21"/>
              </w:rPr>
            </w:pPr>
            <w:r>
              <w:rPr>
                <w:rFonts w:ascii="Times New Roman"/>
                <w:spacing w:val="-1"/>
                <w:sz w:val="21"/>
              </w:rPr>
              <w:t>3,564,684.03</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pacing w:val="-1"/>
                <w:sz w:val="21"/>
              </w:rPr>
              <w:t>9,603,931.23</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(2)</w:t>
      </w:r>
      <w:r>
        <w:rPr>
          <w:rFonts w:ascii="宋体" w:hAnsi="宋体" w:cs="宋体" w:eastAsia="宋体" w:hint="default"/>
          <w:spacing w:val="1"/>
        </w:rPr>
        <w:t> </w:t>
      </w:r>
      <w:r>
        <w:rPr/>
        <w:t>会计利润与所得税费用调整过程：</w:t>
      </w:r>
      <w:r>
        <w:rPr>
          <w:b w:val="0"/>
          <w:bCs w:val="0"/>
        </w:rPr>
      </w:r>
    </w:p>
    <w:p>
      <w:pPr>
        <w:pStyle w:val="BodyText"/>
        <w:spacing w:line="240" w:lineRule="auto" w:before="56"/>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807" w:space="2926"/>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301"/>
        <w:gridCol w:w="4592"/>
      </w:tblGrid>
      <w:tr>
        <w:trPr>
          <w:trHeight w:val="283"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92"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2" w:type="dxa"/>
            <w:tcBorders>
              <w:top w:val="single" w:sz="4" w:space="0" w:color="000000"/>
              <w:left w:val="single" w:sz="4"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73,514,137.79</w:t>
            </w: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Times New Roman" w:hAnsi="Times New Roman" w:cs="Times New Roman" w:eastAsia="Times New Roman" w:hint="default"/>
                <w:sz w:val="21"/>
                <w:szCs w:val="21"/>
              </w:rPr>
              <w:t>/</w:t>
            </w:r>
            <w:r>
              <w:rPr>
                <w:rFonts w:ascii="宋体" w:hAnsi="宋体" w:cs="宋体" w:eastAsia="宋体" w:hint="default"/>
                <w:sz w:val="21"/>
                <w:szCs w:val="21"/>
              </w:rPr>
              <w:t>适用税率计算的所得税费用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11,027,120.67</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-5,232,152.44</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189,508.44</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-2,157,484.16</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1,139,897.83</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4301"/>
        <w:gridCol w:w="4592"/>
      </w:tblGrid>
      <w:tr>
        <w:trPr>
          <w:trHeight w:val="562"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55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-174,524.91</w:t>
            </w:r>
          </w:p>
        </w:tc>
      </w:tr>
      <w:tr>
        <w:trPr>
          <w:trHeight w:val="288" w:hRule="exact"/>
        </w:trPr>
        <w:tc>
          <w:tcPr>
            <w:tcW w:w="4301"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研发费用加计扣除</w:t>
            </w:r>
          </w:p>
        </w:tc>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-1,227,681.40</w:t>
            </w:r>
          </w:p>
        </w:tc>
      </w:tr>
      <w:tr>
        <w:trPr>
          <w:trHeight w:val="288" w:hRule="exact"/>
        </w:trPr>
        <w:tc>
          <w:tcPr>
            <w:tcW w:w="430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3,564,684.03</w:t>
            </w:r>
          </w:p>
        </w:tc>
      </w:tr>
    </w:tbl>
    <w:p>
      <w:pPr>
        <w:spacing w:line="240" w:lineRule="auto" w:before="7"/>
        <w:rPr>
          <w:rFonts w:ascii="宋体" w:hAnsi="宋体" w:cs="宋体" w:eastAsia="宋体" w:hint="default"/>
          <w:sz w:val="17"/>
          <w:szCs w:val="17"/>
        </w:rPr>
      </w:pPr>
    </w:p>
    <w:p>
      <w:pPr>
        <w:pStyle w:val="BodyText"/>
        <w:spacing w:line="240" w:lineRule="auto" w:before="36"/>
        <w:ind w:left="158" w:right="0"/>
        <w:jc w:val="left"/>
      </w:pPr>
      <w:r>
        <w:rPr/>
        <w:t>其他说明：</w:t>
      </w:r>
    </w:p>
    <w:p>
      <w:pPr>
        <w:pStyle w:val="BodyText"/>
        <w:spacing w:line="240" w:lineRule="auto" w:before="58"/>
        <w:ind w:left="158" w:right="0"/>
        <w:jc w:val="left"/>
      </w:pPr>
      <w:r>
        <w:rPr/>
        <w:t>□适用√不适用</w:t>
      </w:r>
    </w:p>
    <w:p>
      <w:pPr>
        <w:spacing w:line="240" w:lineRule="auto" w:before="5"/>
        <w:rPr>
          <w:rFonts w:ascii="宋体" w:hAnsi="宋体" w:cs="宋体" w:eastAsia="宋体" w:hint="default"/>
          <w:sz w:val="27"/>
          <w:szCs w:val="27"/>
        </w:rPr>
      </w:pPr>
    </w:p>
    <w:p>
      <w:pPr>
        <w:pStyle w:val="Heading2"/>
        <w:spacing w:line="240" w:lineRule="auto"/>
        <w:ind w:left="158" w:right="0"/>
        <w:jc w:val="left"/>
        <w:rPr>
          <w:b w:val="0"/>
          <w:bCs w:val="0"/>
        </w:rPr>
      </w:pPr>
      <w:r>
        <w:rPr/>
        <w:t>（</w:t>
      </w:r>
      <w:r>
        <w:rPr>
          <w:rFonts w:ascii="宋体" w:hAnsi="宋体" w:cs="宋体" w:eastAsia="宋体" w:hint="default"/>
        </w:rPr>
        <w:t>68</w:t>
      </w:r>
      <w:r>
        <w:rPr/>
        <w:t>）</w:t>
      </w:r>
      <w:r>
        <w:rPr>
          <w:spacing w:val="-19"/>
        </w:rPr>
        <w:t> </w:t>
      </w:r>
      <w:r>
        <w:rPr/>
        <w:t>其他综合收益</w:t>
      </w:r>
      <w:r>
        <w:rPr>
          <w:b w:val="0"/>
          <w:bCs w:val="0"/>
        </w:rPr>
      </w:r>
    </w:p>
    <w:p>
      <w:pPr>
        <w:pStyle w:val="BodyText"/>
        <w:spacing w:line="240" w:lineRule="auto" w:before="57"/>
        <w:ind w:left="15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640" w:right="1120"/>
        </w:sectPr>
      </w:pPr>
    </w:p>
    <w:p>
      <w:pPr>
        <w:pStyle w:val="Heading2"/>
        <w:spacing w:line="240" w:lineRule="auto" w:before="36"/>
        <w:ind w:left="158" w:right="-2"/>
        <w:jc w:val="left"/>
        <w:rPr>
          <w:b w:val="0"/>
          <w:bCs w:val="0"/>
        </w:rPr>
      </w:pPr>
      <w:r>
        <w:rPr/>
        <w:t>（</w:t>
      </w:r>
      <w:r>
        <w:rPr>
          <w:rFonts w:ascii="宋体" w:hAnsi="宋体" w:cs="宋体" w:eastAsia="宋体" w:hint="default"/>
        </w:rPr>
        <w:t>69</w:t>
      </w:r>
      <w:r>
        <w:rPr/>
        <w:t>）</w:t>
      </w:r>
      <w:r>
        <w:rPr>
          <w:spacing w:val="-19"/>
        </w:rPr>
        <w:t> </w:t>
      </w:r>
      <w:r>
        <w:rPr/>
        <w:t>现金流量表项目</w:t>
      </w:r>
      <w:r>
        <w:rPr>
          <w:b w:val="0"/>
          <w:bCs w:val="0"/>
        </w:rPr>
      </w:r>
    </w:p>
    <w:p>
      <w:pPr>
        <w:pStyle w:val="Heading2"/>
        <w:tabs>
          <w:tab w:pos="858" w:val="left" w:leader="none"/>
        </w:tabs>
        <w:spacing w:line="240" w:lineRule="auto" w:before="58"/>
        <w:ind w:left="158"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pStyle w:val="BodyText"/>
        <w:spacing w:line="240" w:lineRule="auto" w:before="56"/>
        <w:ind w:left="158" w:right="-2"/>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158" w:right="0"/>
        <w:jc w:val="left"/>
      </w:pPr>
      <w:r>
        <w:rPr/>
        <w:t>单位：元币种：人民币</w:t>
      </w:r>
    </w:p>
    <w:p>
      <w:pPr>
        <w:spacing w:after="0" w:line="240" w:lineRule="auto"/>
        <w:jc w:val="left"/>
        <w:sectPr>
          <w:type w:val="continuous"/>
          <w:pgSz w:w="11910" w:h="16840"/>
          <w:pgMar w:top="1120" w:bottom="1380" w:left="1640" w:right="1120"/>
          <w:cols w:num="2" w:equalWidth="0">
            <w:col w:w="4234" w:space="2499"/>
            <w:col w:w="2417"/>
          </w:cols>
        </w:sectPr>
      </w:pPr>
    </w:p>
    <w:p>
      <w:pPr>
        <w:spacing w:line="240" w:lineRule="auto" w:before="4"/>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3349"/>
        <w:gridCol w:w="2780"/>
        <w:gridCol w:w="2768"/>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存款利息收入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4"/>
              <w:jc w:val="right"/>
              <w:rPr>
                <w:rFonts w:ascii="Times New Roman" w:hAnsi="Times New Roman" w:cs="Times New Roman" w:eastAsia="Times New Roman" w:hint="default"/>
                <w:sz w:val="21"/>
                <w:szCs w:val="21"/>
              </w:rPr>
            </w:pPr>
            <w:r>
              <w:rPr>
                <w:rFonts w:ascii="Times New Roman"/>
                <w:spacing w:val="-1"/>
                <w:sz w:val="21"/>
              </w:rPr>
              <w:t>2,008,829.26</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575,992.66</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收到的政府补助</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4"/>
              <w:jc w:val="right"/>
              <w:rPr>
                <w:rFonts w:ascii="Times New Roman" w:hAnsi="Times New Roman" w:cs="Times New Roman" w:eastAsia="Times New Roman" w:hint="default"/>
                <w:sz w:val="21"/>
                <w:szCs w:val="21"/>
              </w:rPr>
            </w:pPr>
            <w:r>
              <w:rPr>
                <w:rFonts w:ascii="Times New Roman"/>
                <w:spacing w:val="-1"/>
                <w:sz w:val="21"/>
              </w:rPr>
              <w:t>5,722,612.00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2,840,951.00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收到的往来款</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4"/>
              <w:jc w:val="right"/>
              <w:rPr>
                <w:rFonts w:ascii="Times New Roman" w:hAnsi="Times New Roman" w:cs="Times New Roman" w:eastAsia="Times New Roman" w:hint="default"/>
                <w:sz w:val="21"/>
                <w:szCs w:val="21"/>
              </w:rPr>
            </w:pPr>
            <w:r>
              <w:rPr>
                <w:rFonts w:ascii="Times New Roman"/>
                <w:spacing w:val="-2"/>
                <w:sz w:val="21"/>
              </w:rPr>
              <w:t>2,160,411.12</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1,344,885.75</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4"/>
              <w:jc w:val="right"/>
              <w:rPr>
                <w:rFonts w:ascii="Times New Roman" w:hAnsi="Times New Roman" w:cs="Times New Roman" w:eastAsia="Times New Roman" w:hint="default"/>
                <w:sz w:val="21"/>
                <w:szCs w:val="21"/>
              </w:rPr>
            </w:pPr>
            <w:r>
              <w:rPr>
                <w:rFonts w:ascii="Times New Roman"/>
                <w:spacing w:val="-1"/>
                <w:sz w:val="21"/>
              </w:rPr>
              <w:t>9,891,852.38</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4,761,829.41</w:t>
            </w:r>
          </w:p>
        </w:tc>
      </w:tr>
    </w:tbl>
    <w:p>
      <w:pPr>
        <w:spacing w:line="240" w:lineRule="auto" w:before="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40" w:right="1120"/>
        </w:sectPr>
      </w:pPr>
    </w:p>
    <w:p>
      <w:pPr>
        <w:pStyle w:val="Heading2"/>
        <w:tabs>
          <w:tab w:pos="858" w:val="left" w:leader="none"/>
        </w:tabs>
        <w:spacing w:line="240" w:lineRule="auto" w:before="36"/>
        <w:ind w:left="158" w:right="-2"/>
        <w:jc w:val="left"/>
        <w:rPr>
          <w:b w:val="0"/>
          <w:bCs w:val="0"/>
        </w:rPr>
      </w:pPr>
      <w:r>
        <w:rPr>
          <w:rFonts w:ascii="宋体" w:hAnsi="宋体" w:cs="宋体" w:eastAsia="宋体" w:hint="default"/>
          <w:w w:val="95"/>
        </w:rPr>
        <w:t>(2).</w:t>
        <w:tab/>
      </w:r>
      <w:r>
        <w:rPr>
          <w:spacing w:val="-1"/>
        </w:rPr>
        <w:t>支付的其他与经营活动有关的现金：</w:t>
      </w:r>
      <w:r>
        <w:rPr>
          <w:b w:val="0"/>
          <w:bCs w:val="0"/>
          <w:spacing w:val="-1"/>
        </w:rPr>
      </w:r>
    </w:p>
    <w:p>
      <w:pPr>
        <w:pStyle w:val="BodyText"/>
        <w:spacing w:line="240" w:lineRule="auto" w:before="58"/>
        <w:ind w:left="158" w:right="-2"/>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58" w:right="0"/>
        <w:jc w:val="left"/>
      </w:pPr>
      <w:r>
        <w:rPr/>
        <w:t>单位：元币种：人民币</w:t>
      </w:r>
    </w:p>
    <w:p>
      <w:pPr>
        <w:spacing w:after="0" w:line="240" w:lineRule="auto"/>
        <w:jc w:val="left"/>
        <w:sectPr>
          <w:type w:val="continuous"/>
          <w:pgSz w:w="11910" w:h="16840"/>
          <w:pgMar w:top="1120" w:bottom="1380" w:left="1640" w:right="1120"/>
          <w:cols w:num="2" w:equalWidth="0">
            <w:col w:w="4234" w:space="2499"/>
            <w:col w:w="2417"/>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3349"/>
        <w:gridCol w:w="2760"/>
        <w:gridCol w:w="2787"/>
      </w:tblGrid>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支付的往来款</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4,011,526.89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3,738,862.12</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支付的租赁费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3,185,801.25</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2,517,781.78</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支付的会务费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403,170.71</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494,558.14</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支付的手续费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26,339.05</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32,788.33</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支付的咨询费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1,680,016.30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653,346.68</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支付的研发费用</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3,560,256.30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1,078,075.63</w:t>
            </w:r>
          </w:p>
        </w:tc>
      </w:tr>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支付的广告费和业务宣传费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2"/>
                <w:sz w:val="21"/>
              </w:rPr>
              <w:t>2,110,833.41</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920,678.70</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支付的业务招待费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8,367,539.94</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6,252,641.71</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支付的差旅费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5,907,358.59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5,535,089.04</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支付的办公费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1,255,841.10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1,220,629.82</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支付的其他销售管理费用</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1,743,931.74</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2,013,411.19</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32,252,615.28</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24,457,863.14</w:t>
            </w:r>
          </w:p>
        </w:tc>
      </w:tr>
    </w:tbl>
    <w:p>
      <w:pPr>
        <w:spacing w:line="240" w:lineRule="auto" w:before="4"/>
        <w:rPr>
          <w:rFonts w:ascii="宋体" w:hAnsi="宋体" w:cs="宋体" w:eastAsia="宋体" w:hint="default"/>
          <w:sz w:val="22"/>
          <w:szCs w:val="22"/>
        </w:rPr>
      </w:pPr>
    </w:p>
    <w:p>
      <w:pPr>
        <w:pStyle w:val="Heading2"/>
        <w:tabs>
          <w:tab w:pos="885" w:val="left" w:leader="none"/>
        </w:tabs>
        <w:spacing w:line="240" w:lineRule="auto" w:before="36"/>
        <w:ind w:left="158" w:right="0"/>
        <w:jc w:val="left"/>
        <w:rPr>
          <w:b w:val="0"/>
          <w:bCs w:val="0"/>
        </w:rPr>
      </w:pPr>
      <w:r>
        <w:rPr>
          <w:rFonts w:ascii="宋体" w:hAnsi="宋体" w:cs="宋体" w:eastAsia="宋体" w:hint="default"/>
          <w:w w:val="95"/>
        </w:rPr>
        <w:t>(3).</w:t>
        <w:tab/>
      </w:r>
      <w:r>
        <w:rPr/>
        <w:t>收到的其他与投资活动有关的现金</w:t>
      </w:r>
      <w:r>
        <w:rPr>
          <w:b w:val="0"/>
          <w:bCs w:val="0"/>
        </w:rPr>
      </w:r>
    </w:p>
    <w:p>
      <w:pPr>
        <w:pStyle w:val="BodyText"/>
        <w:spacing w:line="240" w:lineRule="auto" w:before="56"/>
        <w:ind w:left="158" w:right="0"/>
        <w:jc w:val="left"/>
      </w:pPr>
      <w:r>
        <w:rPr/>
        <w:t>□适用√不适用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2"/>
        <w:tabs>
          <w:tab w:pos="885" w:val="left" w:leader="none"/>
        </w:tabs>
        <w:spacing w:line="240" w:lineRule="auto"/>
        <w:ind w:left="158" w:right="0"/>
        <w:jc w:val="left"/>
        <w:rPr>
          <w:b w:val="0"/>
          <w:bCs w:val="0"/>
        </w:rPr>
      </w:pPr>
      <w:r>
        <w:rPr>
          <w:rFonts w:ascii="宋体" w:hAnsi="宋体" w:cs="宋体" w:eastAsia="宋体" w:hint="default"/>
          <w:w w:val="95"/>
        </w:rPr>
        <w:t>(4).</w:t>
        <w:tab/>
      </w:r>
      <w:r>
        <w:rPr/>
        <w:t>支付的其他与投资活动有关的现金</w:t>
      </w:r>
      <w:r>
        <w:rPr>
          <w:b w:val="0"/>
          <w:bCs w:val="0"/>
        </w:rPr>
      </w:r>
    </w:p>
    <w:p>
      <w:pPr>
        <w:pStyle w:val="BodyText"/>
        <w:spacing w:line="240" w:lineRule="auto" w:before="56"/>
        <w:ind w:left="158" w:right="0"/>
        <w:jc w:val="left"/>
      </w:pPr>
      <w:r>
        <w:rPr/>
        <w:t>□适用√不适用</w:t>
      </w:r>
    </w:p>
    <w:p>
      <w:pPr>
        <w:spacing w:after="0" w:line="240" w:lineRule="auto"/>
        <w:jc w:val="left"/>
        <w:sectPr>
          <w:type w:val="continuous"/>
          <w:pgSz w:w="11910" w:h="16840"/>
          <w:pgMar w:top="1120" w:bottom="1380" w:left="1640" w:right="11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2"/>
        <w:tabs>
          <w:tab w:pos="1057" w:val="left" w:leader="none"/>
        </w:tabs>
        <w:spacing w:line="240" w:lineRule="auto" w:before="36"/>
        <w:ind w:right="2465"/>
        <w:jc w:val="left"/>
        <w:rPr>
          <w:b w:val="0"/>
          <w:bCs w:val="0"/>
        </w:rPr>
      </w:pPr>
      <w:r>
        <w:rPr>
          <w:rFonts w:ascii="宋体" w:hAnsi="宋体" w:cs="宋体" w:eastAsia="宋体" w:hint="default"/>
          <w:w w:val="95"/>
        </w:rPr>
        <w:t>(5).</w:t>
        <w:tab/>
      </w:r>
      <w:r>
        <w:rPr/>
        <w:t>收到的其他与筹资活动有关的现金</w:t>
      </w:r>
      <w:r>
        <w:rPr>
          <w:b w:val="0"/>
          <w:bCs w:val="0"/>
        </w:rPr>
      </w:r>
    </w:p>
    <w:p>
      <w:pPr>
        <w:pStyle w:val="BodyText"/>
        <w:spacing w:line="240" w:lineRule="auto" w:before="58"/>
        <w:ind w:right="2465"/>
        <w:jc w:val="left"/>
      </w:pPr>
      <w:r>
        <w:rPr/>
        <w:t>□适用√不适用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80" w:right="1040"/>
        </w:sectPr>
      </w:pPr>
    </w:p>
    <w:p>
      <w:pPr>
        <w:pStyle w:val="Heading2"/>
        <w:tabs>
          <w:tab w:pos="1057" w:val="left" w:leader="none"/>
        </w:tabs>
        <w:spacing w:line="240" w:lineRule="auto" w:before="36"/>
        <w:ind w:right="-3"/>
        <w:jc w:val="left"/>
        <w:rPr>
          <w:b w:val="0"/>
          <w:bCs w:val="0"/>
        </w:rPr>
      </w:pPr>
      <w:r>
        <w:rPr>
          <w:rFonts w:ascii="宋体" w:hAnsi="宋体" w:cs="宋体" w:eastAsia="宋体" w:hint="default"/>
          <w:w w:val="95"/>
        </w:rPr>
        <w:t>(6).</w:t>
        <w:tab/>
      </w:r>
      <w:r>
        <w:rPr>
          <w:spacing w:val="-1"/>
        </w:rPr>
        <w:t>支付的其他与筹资活动有关的现金</w:t>
      </w:r>
      <w:r>
        <w:rPr>
          <w:b w:val="0"/>
          <w:bCs w:val="0"/>
          <w:spacing w:val="-1"/>
        </w:rPr>
      </w:r>
    </w:p>
    <w:p>
      <w:pPr>
        <w:pStyle w:val="BodyText"/>
        <w:spacing w:line="240" w:lineRule="auto" w:before="58"/>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4222" w:space="2511"/>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349"/>
        <w:gridCol w:w="2864"/>
        <w:gridCol w:w="2684"/>
      </w:tblGrid>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上市费用</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14,354,166.75</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14,354,166.75</w:t>
            </w:r>
          </w:p>
        </w:tc>
        <w:tc>
          <w:tcPr>
            <w:tcW w:w="26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66" w:lineRule="auto" w:before="36"/>
        <w:ind w:right="-17"/>
        <w:jc w:val="left"/>
        <w:rPr>
          <w:b w:val="0"/>
          <w:bCs w:val="0"/>
        </w:rPr>
      </w:pPr>
      <w:r>
        <w:rPr/>
        <w:t>（</w:t>
      </w:r>
      <w:r>
        <w:rPr>
          <w:rFonts w:ascii="Calibri" w:hAnsi="Calibri" w:cs="Calibri" w:eastAsia="Calibri" w:hint="default"/>
        </w:rPr>
        <w:t>70</w:t>
      </w:r>
      <w:r>
        <w:rPr/>
        <w:t>）</w:t>
      </w:r>
      <w:r>
        <w:rPr>
          <w:spacing w:val="-21"/>
        </w:rPr>
        <w:t> </w:t>
      </w:r>
      <w:r>
        <w:rPr/>
        <w:t>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pStyle w:val="BodyText"/>
        <w:spacing w:line="240" w:lineRule="auto" w:before="33"/>
        <w:ind w:right="-17"/>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628" w:space="4105"/>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69,949,453.76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56,621,337.19</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4,120,430.85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1,184,519.56</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7,908,139.93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10,886,922.71</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4,289,128.39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2,743,105.12</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1,001,867.55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1,029,092.36</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-31,350.00</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ind w:left="103" w:right="101"/>
              <w:jc w:val="left"/>
              <w:rPr>
                <w:rFonts w:ascii="宋体" w:hAnsi="宋体" w:cs="宋体" w:eastAsia="宋体" w:hint="default"/>
                <w:sz w:val="21"/>
                <w:szCs w:val="21"/>
              </w:rPr>
            </w:pPr>
            <w:r>
              <w:rPr>
                <w:rFonts w:ascii="宋体" w:hAnsi="宋体" w:cs="宋体" w:eastAsia="宋体" w:hint="default"/>
                <w:spacing w:val="-6"/>
                <w:sz w:val="21"/>
                <w:szCs w:val="21"/>
              </w:rPr>
              <w:t>固定资产报废损失（收益以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w:t>
            </w:r>
            <w:r>
              <w:rPr>
                <w:rFonts w:ascii="宋体" w:hAnsi="宋体" w:cs="宋体" w:eastAsia="宋体" w:hint="default"/>
                <w:spacing w:val="-79"/>
                <w:sz w:val="21"/>
                <w:szCs w:val="21"/>
              </w:rPr>
              <w:t> </w:t>
            </w:r>
            <w:r>
              <w:rPr>
                <w:rFonts w:ascii="宋体" w:hAnsi="宋体" w:cs="宋体" w:eastAsia="宋体" w:hint="default"/>
                <w:sz w:val="21"/>
                <w:szCs w:val="21"/>
              </w:rPr>
              <w:t>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365,072.96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84,181.95</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公允价值变动损失（收益以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184,381.65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402,472.63</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-9,858,599.59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2"/>
                <w:sz w:val="21"/>
              </w:rPr>
              <w:t>-5,762,511.08</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递延所得税资产减少（增加以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-565,803.85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-232,943.99</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递延所得税负债增加（减少以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3,345,520.56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-4,390,514.52</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ind w:left="103" w:right="98"/>
              <w:jc w:val="left"/>
              <w:rPr>
                <w:rFonts w:ascii="宋体" w:hAnsi="宋体" w:cs="宋体" w:eastAsia="宋体" w:hint="default"/>
                <w:sz w:val="21"/>
                <w:szCs w:val="21"/>
              </w:rPr>
            </w:pPr>
            <w:r>
              <w:rPr>
                <w:rFonts w:ascii="宋体" w:hAnsi="宋体" w:cs="宋体" w:eastAsia="宋体" w:hint="default"/>
                <w:spacing w:val="-6"/>
                <w:sz w:val="21"/>
                <w:szCs w:val="21"/>
              </w:rPr>
              <w:t>经营性应收项目的减少（增加以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-99,002,401.59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-13,003,612.74</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经营性应付项目的增加（减少以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37,449,261.27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-7,598,783.45</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19,186,451.89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41,931,915.74</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82,424,007.70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115,101,927.98</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115,101,927.98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87,701,019.41</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-32,677,920.28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27,400,908.57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40" w:lineRule="auto" w:before="36"/>
        <w:ind w:right="2465"/>
        <w:jc w:val="left"/>
        <w:rPr>
          <w:b w:val="0"/>
          <w:bCs w:val="0"/>
        </w:rPr>
      </w:pPr>
      <w:r>
        <w:rPr>
          <w:rFonts w:ascii="宋体" w:hAnsi="宋体" w:cs="宋体" w:eastAsia="宋体" w:hint="default"/>
        </w:rPr>
        <w:t>(2)</w:t>
      </w:r>
      <w:r>
        <w:rPr>
          <w:rFonts w:ascii="宋体" w:hAnsi="宋体" w:cs="宋体" w:eastAsia="宋体" w:hint="default"/>
          <w:spacing w:val="1"/>
        </w:rPr>
        <w:t> </w:t>
      </w:r>
      <w:r>
        <w:rPr/>
        <w:t>本期支付的取得子公司的现金净额</w:t>
      </w:r>
      <w:r>
        <w:rPr>
          <w:b w:val="0"/>
          <w:bCs w:val="0"/>
        </w:rPr>
      </w:r>
    </w:p>
    <w:p>
      <w:pPr>
        <w:pStyle w:val="BodyText"/>
        <w:spacing w:line="240" w:lineRule="auto" w:before="56"/>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8"/>
          <w:szCs w:val="18"/>
        </w:rPr>
      </w:pPr>
    </w:p>
    <w:p>
      <w:pPr>
        <w:pStyle w:val="Heading2"/>
        <w:spacing w:line="240" w:lineRule="auto"/>
        <w:ind w:right="2465"/>
        <w:jc w:val="left"/>
        <w:rPr>
          <w:b w:val="0"/>
          <w:bCs w:val="0"/>
        </w:rPr>
      </w:pPr>
      <w:r>
        <w:rPr>
          <w:rFonts w:ascii="宋体" w:hAnsi="宋体" w:cs="宋体" w:eastAsia="宋体" w:hint="default"/>
        </w:rPr>
        <w:t>(3)</w:t>
      </w:r>
      <w:r>
        <w:rPr>
          <w:rFonts w:ascii="宋体" w:hAnsi="宋体" w:cs="宋体" w:eastAsia="宋体" w:hint="default"/>
          <w:spacing w:val="1"/>
        </w:rPr>
        <w:t> </w:t>
      </w:r>
      <w:r>
        <w:rPr/>
        <w:t>本期收到的处置子公司的现金净额</w:t>
      </w:r>
      <w:r>
        <w:rPr>
          <w:b w:val="0"/>
          <w:bCs w:val="0"/>
        </w:rPr>
      </w:r>
    </w:p>
    <w:p>
      <w:pPr>
        <w:pStyle w:val="BodyText"/>
        <w:spacing w:line="240" w:lineRule="auto" w:before="58"/>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80" w:right="1040"/>
        </w:sectPr>
      </w:pPr>
    </w:p>
    <w:p>
      <w:pPr>
        <w:pStyle w:val="Heading2"/>
        <w:spacing w:line="240" w:lineRule="auto" w:before="36"/>
        <w:ind w:right="-19"/>
        <w:jc w:val="left"/>
        <w:rPr>
          <w:b w:val="0"/>
          <w:bCs w:val="0"/>
        </w:rPr>
      </w:pPr>
      <w:r>
        <w:rPr>
          <w:rFonts w:ascii="宋体" w:hAnsi="宋体" w:cs="宋体" w:eastAsia="宋体" w:hint="default"/>
        </w:rPr>
        <w:t>(4)</w:t>
      </w:r>
      <w:r>
        <w:rPr>
          <w:rFonts w:ascii="宋体" w:hAnsi="宋体" w:cs="宋体" w:eastAsia="宋体" w:hint="default"/>
          <w:spacing w:val="2"/>
        </w:rPr>
        <w:t> </w:t>
      </w:r>
      <w:r>
        <w:rPr/>
        <w:t>现金和现金等价物的构成</w:t>
      </w:r>
      <w:r>
        <w:rPr>
          <w:b w:val="0"/>
          <w:bCs w:val="0"/>
        </w:rPr>
      </w:r>
    </w:p>
    <w:p>
      <w:pPr>
        <w:pStyle w:val="BodyText"/>
        <w:spacing w:line="240" w:lineRule="auto" w:before="56"/>
        <w:ind w:right="-19"/>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965" w:space="3768"/>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82,424,007.70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115,101,927.98</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69,573.86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31,650.75</w:t>
            </w:r>
          </w:p>
        </w:tc>
      </w:tr>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82,354,433.84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115,070,277.23</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7"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7"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82,424,007.70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115,101,927.98</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BodyText"/>
        <w:spacing w:line="240" w:lineRule="auto" w:before="36"/>
        <w:ind w:right="2465"/>
        <w:jc w:val="left"/>
      </w:pPr>
      <w:r>
        <w:rPr/>
        <w:t>其他说明：</w:t>
      </w:r>
    </w:p>
    <w:p>
      <w:pPr>
        <w:pStyle w:val="BodyText"/>
        <w:spacing w:line="240" w:lineRule="auto" w:before="56"/>
        <w:ind w:right="2465"/>
        <w:jc w:val="left"/>
      </w:pPr>
      <w:r>
        <w:rPr/>
        <w:t>□适用√不适用</w:t>
      </w:r>
    </w:p>
    <w:p>
      <w:pPr>
        <w:spacing w:line="240" w:lineRule="auto" w:before="5"/>
        <w:rPr>
          <w:rFonts w:ascii="宋体" w:hAnsi="宋体" w:cs="宋体" w:eastAsia="宋体" w:hint="default"/>
          <w:sz w:val="27"/>
          <w:szCs w:val="27"/>
        </w:rPr>
      </w:pPr>
    </w:p>
    <w:p>
      <w:pPr>
        <w:spacing w:line="290" w:lineRule="auto" w:before="0"/>
        <w:ind w:left="218" w:right="246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71</w:t>
      </w:r>
      <w:r>
        <w:rPr>
          <w:rFonts w:ascii="宋体" w:hAnsi="宋体" w:cs="宋体" w:eastAsia="宋体" w:hint="default"/>
          <w:b/>
          <w:bCs/>
          <w:sz w:val="21"/>
          <w:szCs w:val="21"/>
        </w:rPr>
        <w:t>）</w:t>
      </w:r>
      <w:r>
        <w:rPr>
          <w:rFonts w:ascii="宋体" w:hAnsi="宋体" w:cs="宋体" w:eastAsia="宋体" w:hint="default"/>
          <w:b/>
          <w:bCs/>
          <w:spacing w:val="-21"/>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43" w:lineRule="exact"/>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2"/>
        <w:spacing w:line="240" w:lineRule="auto" w:before="36"/>
        <w:ind w:right="-17"/>
        <w:jc w:val="left"/>
        <w:rPr>
          <w:b w:val="0"/>
          <w:bCs w:val="0"/>
        </w:rPr>
      </w:pPr>
      <w:r>
        <w:rPr/>
        <w:t>（</w:t>
      </w:r>
      <w:r>
        <w:rPr>
          <w:rFonts w:ascii="宋体" w:hAnsi="宋体" w:cs="宋体" w:eastAsia="宋体" w:hint="default"/>
        </w:rPr>
        <w:t>72</w:t>
      </w:r>
      <w:r>
        <w:rPr/>
        <w:t>）</w:t>
      </w:r>
      <w:r>
        <w:rPr>
          <w:spacing w:val="-22"/>
        </w:rPr>
        <w:t> </w:t>
      </w:r>
      <w:r>
        <w:rPr/>
        <w:t>所有权或使用权受到限制的资产</w:t>
      </w:r>
      <w:r>
        <w:rPr>
          <w:b w:val="0"/>
          <w:bCs w:val="0"/>
        </w:rPr>
      </w:r>
    </w:p>
    <w:p>
      <w:pPr>
        <w:pStyle w:val="BodyText"/>
        <w:spacing w:line="240" w:lineRule="auto" w:before="58"/>
        <w:ind w:right="-17"/>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91" w:space="2631"/>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57"/>
        <w:gridCol w:w="3046"/>
        <w:gridCol w:w="2693"/>
      </w:tblGrid>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9"/>
              <w:jc w:val="right"/>
              <w:rPr>
                <w:rFonts w:ascii="宋体" w:hAnsi="宋体" w:cs="宋体" w:eastAsia="宋体" w:hint="default"/>
                <w:sz w:val="21"/>
                <w:szCs w:val="21"/>
              </w:rPr>
            </w:pPr>
            <w:r>
              <w:rPr>
                <w:rFonts w:ascii="宋体" w:hAnsi="宋体" w:cs="宋体" w:eastAsia="宋体" w:hint="default"/>
                <w:spacing w:val="-1"/>
                <w:sz w:val="21"/>
                <w:szCs w:val="21"/>
              </w:rPr>
              <w:t>受限原因</w:t>
            </w: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823,390.00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75"/>
              <w:jc w:val="right"/>
              <w:rPr>
                <w:rFonts w:ascii="宋体" w:hAnsi="宋体" w:cs="宋体" w:eastAsia="宋体" w:hint="default"/>
                <w:sz w:val="21"/>
                <w:szCs w:val="21"/>
              </w:rPr>
            </w:pPr>
            <w:r>
              <w:rPr>
                <w:rFonts w:ascii="宋体" w:hAnsi="宋体" w:cs="宋体" w:eastAsia="宋体" w:hint="default"/>
                <w:spacing w:val="-2"/>
                <w:sz w:val="21"/>
                <w:szCs w:val="21"/>
              </w:rPr>
              <w:t>票据及保函保证金</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3157"/>
        <w:gridCol w:w="3046"/>
        <w:gridCol w:w="2693"/>
      </w:tblGrid>
      <w:tr>
        <w:trPr>
          <w:trHeight w:val="284"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46" w:type="dxa"/>
            <w:tcBorders>
              <w:top w:val="single" w:sz="4" w:space="0" w:color="000000"/>
              <w:left w:val="single" w:sz="4" w:space="0" w:color="000000"/>
              <w:bottom w:val="single" w:sz="6" w:space="0" w:color="000000"/>
              <w:right w:val="single" w:sz="4" w:space="0" w:color="000000"/>
            </w:tcBorders>
          </w:tcPr>
          <w:p>
            <w:pPr/>
          </w:p>
        </w:tc>
        <w:tc>
          <w:tcPr>
            <w:tcW w:w="2693" w:type="dxa"/>
            <w:tcBorders>
              <w:top w:val="single" w:sz="4" w:space="0" w:color="000000"/>
              <w:left w:val="single" w:sz="4" w:space="0" w:color="000000"/>
              <w:bottom w:val="single" w:sz="6" w:space="0" w:color="000000"/>
              <w:right w:val="single" w:sz="4" w:space="0" w:color="000000"/>
            </w:tcBorders>
          </w:tcPr>
          <w:p>
            <w:pPr/>
          </w:p>
        </w:tc>
      </w:tr>
      <w:tr>
        <w:trPr>
          <w:trHeight w:val="288"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823,390.00</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4"/>
        <w:rPr>
          <w:rFonts w:ascii="宋体" w:hAnsi="宋体" w:cs="宋体" w:eastAsia="宋体" w:hint="default"/>
          <w:sz w:val="22"/>
          <w:szCs w:val="22"/>
        </w:rPr>
      </w:pPr>
    </w:p>
    <w:p>
      <w:pPr>
        <w:pStyle w:val="Heading2"/>
        <w:tabs>
          <w:tab w:pos="918" w:val="left" w:leader="none"/>
        </w:tabs>
        <w:spacing w:line="290" w:lineRule="auto" w:before="36"/>
        <w:ind w:right="6675"/>
        <w:jc w:val="left"/>
        <w:rPr>
          <w:rFonts w:ascii="宋体" w:hAnsi="宋体" w:cs="宋体" w:eastAsia="宋体" w:hint="default"/>
          <w:b w:val="0"/>
          <w:bCs w:val="0"/>
        </w:rPr>
      </w:pPr>
      <w:r>
        <w:rPr/>
        <w:t>（</w:t>
      </w:r>
      <w:r>
        <w:rPr>
          <w:rFonts w:ascii="宋体" w:hAnsi="宋体" w:cs="宋体" w:eastAsia="宋体" w:hint="default"/>
        </w:rPr>
        <w:t>73</w:t>
      </w:r>
      <w:r>
        <w:rPr/>
        <w:t>）</w:t>
      </w:r>
      <w:r>
        <w:rPr>
          <w:spacing w:val="-20"/>
        </w:rPr>
        <w:t> </w:t>
      </w:r>
      <w:r>
        <w:rPr/>
        <w:t>外币货币性项目</w:t>
      </w:r>
      <w:r>
        <w:rPr>
          <w:w w:val="100"/>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pStyle w:val="BodyText"/>
        <w:spacing w:line="240" w:lineRule="auto" w:before="14"/>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18"/>
          <w:szCs w:val="18"/>
        </w:rPr>
      </w:pPr>
    </w:p>
    <w:p>
      <w:pPr>
        <w:pStyle w:val="Heading2"/>
        <w:tabs>
          <w:tab w:pos="918" w:val="left" w:leader="none"/>
        </w:tabs>
        <w:spacing w:line="240" w:lineRule="auto"/>
        <w:ind w:left="638" w:right="228"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w:t>
      </w:r>
      <w:r>
        <w:rPr>
          <w:spacing w:val="-79"/>
        </w:rPr>
        <w:t> </w:t>
      </w:r>
      <w:r>
        <w:rPr>
          <w:spacing w:val="-79"/>
        </w:rPr>
      </w:r>
      <w:r>
        <w:rPr/>
        <w:t>币及选择依据，记账本位币发生变化的还应披露原因。</w:t>
      </w:r>
      <w:r>
        <w:rPr>
          <w:b w:val="0"/>
          <w:bCs w:val="0"/>
        </w:rPr>
      </w:r>
    </w:p>
    <w:p>
      <w:pPr>
        <w:pStyle w:val="BodyText"/>
        <w:spacing w:line="240" w:lineRule="auto" w:before="56"/>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right="2465"/>
        <w:jc w:val="left"/>
        <w:rPr>
          <w:b w:val="0"/>
          <w:bCs w:val="0"/>
        </w:rPr>
      </w:pPr>
      <w:r>
        <w:rPr/>
        <w:t>（</w:t>
      </w:r>
      <w:r>
        <w:rPr>
          <w:rFonts w:ascii="宋体" w:hAnsi="宋体" w:cs="宋体" w:eastAsia="宋体" w:hint="default"/>
        </w:rPr>
        <w:t>74</w:t>
      </w:r>
      <w:r>
        <w:rPr/>
        <w:t>）</w:t>
      </w:r>
      <w:r>
        <w:rPr>
          <w:spacing w:val="-20"/>
        </w:rPr>
        <w:t> </w:t>
      </w:r>
      <w:r>
        <w:rPr/>
        <w:t>套期</w:t>
      </w:r>
      <w:r>
        <w:rPr>
          <w:b w:val="0"/>
          <w:bCs w:val="0"/>
        </w:rPr>
      </w:r>
    </w:p>
    <w:p>
      <w:pPr>
        <w:pStyle w:val="BodyText"/>
        <w:spacing w:line="240" w:lineRule="auto" w:before="58"/>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580" w:right="1040"/>
        </w:sectPr>
      </w:pPr>
    </w:p>
    <w:p>
      <w:pPr>
        <w:pStyle w:val="Heading2"/>
        <w:spacing w:line="240" w:lineRule="auto" w:before="36"/>
        <w:ind w:right="-16"/>
        <w:jc w:val="left"/>
        <w:rPr>
          <w:b w:val="0"/>
          <w:bCs w:val="0"/>
        </w:rPr>
      </w:pPr>
      <w:r>
        <w:rPr/>
        <w:t>（</w:t>
      </w:r>
      <w:r>
        <w:rPr>
          <w:rFonts w:ascii="Calibri" w:hAnsi="Calibri" w:cs="Calibri" w:eastAsia="Calibri" w:hint="default"/>
        </w:rPr>
        <w:t>75</w:t>
      </w:r>
      <w:r>
        <w:rPr/>
        <w:t>）</w:t>
      </w:r>
      <w:r>
        <w:rPr>
          <w:spacing w:val="-22"/>
        </w:rPr>
        <w:t> </w:t>
      </w:r>
      <w:r>
        <w:rPr/>
        <w:t>政府补助</w:t>
      </w:r>
      <w:r>
        <w:rPr>
          <w:b w:val="0"/>
          <w:bCs w:val="0"/>
        </w:rPr>
      </w:r>
    </w:p>
    <w:p>
      <w:pPr>
        <w:pStyle w:val="Heading2"/>
        <w:tabs>
          <w:tab w:pos="642" w:val="left" w:leader="none"/>
        </w:tabs>
        <w:spacing w:line="240" w:lineRule="auto" w:before="32"/>
        <w:ind w:right="-17"/>
        <w:jc w:val="left"/>
        <w:rPr>
          <w:b w:val="0"/>
          <w:bCs w:val="0"/>
        </w:rPr>
      </w:pPr>
      <w:r>
        <w:rPr>
          <w:rFonts w:ascii="宋体" w:hAnsi="宋体" w:cs="宋体" w:eastAsia="宋体" w:hint="default"/>
          <w:w w:val="95"/>
        </w:rPr>
        <w:t>1.</w:t>
        <w:tab/>
      </w:r>
      <w:r>
        <w:rPr/>
        <w:t>政府补助基本情况</w:t>
      </w:r>
      <w:r>
        <w:rPr>
          <w:b w:val="0"/>
          <w:bCs w:val="0"/>
        </w:rPr>
      </w:r>
    </w:p>
    <w:p>
      <w:pPr>
        <w:pStyle w:val="BodyText"/>
        <w:spacing w:line="240" w:lineRule="auto" w:before="56"/>
        <w:ind w:right="-16"/>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333" w:space="4400"/>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5"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小巨人后补助</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1,500,000.00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1,500,000.00</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高新技术成果转化项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目扶持基金</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283,000.00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283,000.00</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市北工业园区扶持款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2,100,000.00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2,100,000.00</w:t>
            </w:r>
          </w:p>
        </w:tc>
      </w:tr>
      <w:tr>
        <w:trPr>
          <w:trHeight w:val="55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软件著作权登记费用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资助</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32,912.00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32,912.00</w:t>
            </w:r>
          </w:p>
        </w:tc>
      </w:tr>
      <w:tr>
        <w:trPr>
          <w:trHeight w:val="82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格尔金融签名验签服</w:t>
            </w:r>
          </w:p>
          <w:p>
            <w:pPr>
              <w:pStyle w:val="TableParagraph"/>
              <w:spacing w:line="240" w:lineRule="auto"/>
              <w:ind w:left="103" w:right="255"/>
              <w:jc w:val="left"/>
              <w:rPr>
                <w:rFonts w:ascii="宋体" w:hAnsi="宋体" w:cs="宋体" w:eastAsia="宋体" w:hint="default"/>
                <w:sz w:val="21"/>
                <w:szCs w:val="21"/>
              </w:rPr>
            </w:pPr>
            <w:r>
              <w:rPr>
                <w:rFonts w:ascii="宋体" w:hAnsi="宋体" w:cs="宋体" w:eastAsia="宋体" w:hint="default"/>
                <w:sz w:val="21"/>
                <w:szCs w:val="21"/>
              </w:rPr>
              <w:t>务器研究与产业化项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346,345.74</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346,345.74</w:t>
            </w:r>
          </w:p>
        </w:tc>
      </w:tr>
      <w:tr>
        <w:trPr>
          <w:trHeight w:val="55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品牌发展产业升级专</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500,000.00</w:t>
            </w:r>
          </w:p>
        </w:tc>
      </w:tr>
      <w:tr>
        <w:trPr>
          <w:trHeight w:val="828"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基于国产密码算法的</w:t>
            </w:r>
          </w:p>
          <w:p>
            <w:pPr>
              <w:pStyle w:val="TableParagraph"/>
              <w:spacing w:line="272" w:lineRule="exact" w:before="27"/>
              <w:ind w:left="103" w:right="255"/>
              <w:jc w:val="left"/>
              <w:rPr>
                <w:rFonts w:ascii="宋体" w:hAnsi="宋体" w:cs="宋体" w:eastAsia="宋体" w:hint="default"/>
                <w:sz w:val="21"/>
                <w:szCs w:val="21"/>
              </w:rPr>
            </w:pPr>
            <w:r>
              <w:rPr>
                <w:rFonts w:ascii="宋体" w:hAnsi="宋体" w:cs="宋体" w:eastAsia="宋体" w:hint="default"/>
                <w:sz w:val="21"/>
                <w:szCs w:val="21"/>
              </w:rPr>
              <w:t>物联网关研发及其政</w:t>
            </w:r>
            <w:r>
              <w:rPr>
                <w:rFonts w:ascii="宋体" w:hAnsi="宋体" w:cs="宋体" w:eastAsia="宋体" w:hint="default"/>
                <w:w w:val="100"/>
                <w:sz w:val="21"/>
                <w:szCs w:val="21"/>
              </w:rPr>
              <w:t> </w:t>
            </w:r>
            <w:r>
              <w:rPr>
                <w:rFonts w:ascii="宋体" w:hAnsi="宋体" w:cs="宋体" w:eastAsia="宋体" w:hint="default"/>
                <w:sz w:val="21"/>
                <w:szCs w:val="21"/>
              </w:rPr>
              <w:t>务安全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345,649.79</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345,649.79</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智能网联汽车关键密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码应用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21,500.95</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21,500.95</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指静脉智能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KEY</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的研</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制和应用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130,000.00</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静安区人力资源和社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会保障局表彰奖励</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10,000.00</w:t>
            </w:r>
          </w:p>
        </w:tc>
      </w:tr>
      <w:tr>
        <w:trPr>
          <w:trHeight w:val="55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中小企业服务中心专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精特新补贴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1,000.00</w:t>
            </w:r>
          </w:p>
        </w:tc>
      </w:tr>
      <w:tr>
        <w:trPr>
          <w:trHeight w:val="55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上海智慧岛数据产业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园企业入驻补助</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678,000.00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678,000.00</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高新技术企业奖励</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200,000.00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200,000.00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知识产权奖励</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9,000.00</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在孵企业（创新创业团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队、创客）房租补贴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33,700.00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33,700.00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增值税退税款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362,803.48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362,803.48</w:t>
            </w:r>
          </w:p>
        </w:tc>
      </w:tr>
    </w:tbl>
    <w:p>
      <w:pPr>
        <w:spacing w:line="240" w:lineRule="auto" w:before="7"/>
        <w:rPr>
          <w:rFonts w:ascii="宋体" w:hAnsi="宋体" w:cs="宋体" w:eastAsia="宋体" w:hint="default"/>
          <w:sz w:val="17"/>
          <w:szCs w:val="17"/>
        </w:rPr>
      </w:pPr>
    </w:p>
    <w:p>
      <w:pPr>
        <w:pStyle w:val="Heading2"/>
        <w:tabs>
          <w:tab w:pos="642" w:val="left" w:leader="none"/>
        </w:tabs>
        <w:spacing w:line="240" w:lineRule="auto" w:before="36"/>
        <w:ind w:right="2465"/>
        <w:jc w:val="left"/>
        <w:rPr>
          <w:b w:val="0"/>
          <w:bCs w:val="0"/>
        </w:rPr>
      </w:pPr>
      <w:r>
        <w:rPr>
          <w:rFonts w:ascii="宋体" w:hAnsi="宋体" w:cs="宋体" w:eastAsia="宋体" w:hint="default"/>
          <w:w w:val="95"/>
        </w:rPr>
        <w:t>2.</w:t>
        <w:tab/>
      </w:r>
      <w:r>
        <w:rPr/>
        <w:t>政府补助退回情况</w:t>
      </w:r>
      <w:r>
        <w:rPr>
          <w:b w:val="0"/>
          <w:bCs w:val="0"/>
        </w:rPr>
      </w:r>
    </w:p>
    <w:p>
      <w:pPr>
        <w:pStyle w:val="BodyText"/>
        <w:spacing w:line="240" w:lineRule="auto" w:before="58"/>
        <w:ind w:right="2465"/>
        <w:jc w:val="left"/>
      </w:pPr>
      <w:r>
        <w:rPr/>
        <w:t>□适用√不适用</w:t>
      </w:r>
    </w:p>
    <w:p>
      <w:pPr>
        <w:pStyle w:val="Heading2"/>
        <w:spacing w:line="240" w:lineRule="auto" w:before="56"/>
        <w:ind w:right="2465"/>
        <w:jc w:val="left"/>
        <w:rPr>
          <w:b w:val="0"/>
          <w:bCs w:val="0"/>
        </w:rPr>
      </w:pPr>
      <w:r>
        <w:rPr/>
        <w:t>（</w:t>
      </w:r>
      <w:r>
        <w:rPr>
          <w:rFonts w:ascii="Calibri" w:hAnsi="Calibri" w:cs="Calibri" w:eastAsia="Calibri" w:hint="default"/>
        </w:rPr>
        <w:t>76</w:t>
      </w:r>
      <w:r>
        <w:rPr/>
        <w:t>）</w:t>
      </w:r>
      <w:r>
        <w:rPr>
          <w:spacing w:val="-23"/>
        </w:rPr>
        <w:t> </w:t>
      </w:r>
      <w:r>
        <w:rPr/>
        <w:t>其他</w:t>
      </w:r>
      <w:r>
        <w:rPr>
          <w:b w:val="0"/>
          <w:bCs w:val="0"/>
        </w:rPr>
      </w:r>
    </w:p>
    <w:p>
      <w:pPr>
        <w:pStyle w:val="BodyText"/>
        <w:spacing w:line="240" w:lineRule="auto" w:before="32"/>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p>
      <w:pPr>
        <w:pStyle w:val="Heading2"/>
        <w:spacing w:line="240" w:lineRule="auto"/>
        <w:ind w:right="2465"/>
        <w:jc w:val="left"/>
        <w:rPr>
          <w:b w:val="0"/>
          <w:bCs w:val="0"/>
        </w:rPr>
      </w:pPr>
      <w:r>
        <w:rPr/>
        <w:t>八、合并范围的变更</w:t>
      </w:r>
      <w:r>
        <w:rPr>
          <w:b w:val="0"/>
          <w:bCs w:val="0"/>
        </w:rPr>
      </w:r>
    </w:p>
    <w:p>
      <w:pPr>
        <w:pStyle w:val="Heading2"/>
        <w:spacing w:line="240" w:lineRule="auto" w:before="56"/>
        <w:ind w:right="2465"/>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8"/>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right="2465"/>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6"/>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right="2465"/>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8"/>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pgSz w:w="11910" w:h="16840"/>
          <w:pgMar w:header="882" w:footer="1195" w:top="1120" w:bottom="1380" w:left="1580" w:right="1040"/>
        </w:sectPr>
      </w:pPr>
    </w:p>
    <w:p>
      <w:pPr>
        <w:spacing w:before="20"/>
        <w:ind w:left="6397" w:right="6393"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spacing w:line="290" w:lineRule="auto" w:before="36"/>
        <w:ind w:left="144" w:right="7756"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34" w:lineRule="exact"/>
        <w:ind w:left="144" w:right="107"/>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64" w:lineRule="exact"/>
        <w:ind w:left="144" w:right="107"/>
        <w:jc w:val="left"/>
      </w:pPr>
      <w:r>
        <w:rPr/>
        <w:t>其他说明：</w:t>
      </w:r>
    </w:p>
    <w:p>
      <w:pPr>
        <w:pStyle w:val="BodyText"/>
        <w:spacing w:line="289" w:lineRule="exact"/>
        <w:ind w:left="144" w:right="107"/>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4" w:lineRule="exact"/>
        <w:ind w:left="144" w:right="107"/>
        <w:jc w:val="left"/>
      </w:pPr>
      <w:r>
        <w:rPr/>
        <w:t>是否存在通过多次交易分步处置对子公司投资且在本期丧失控制权的情形</w:t>
      </w:r>
    </w:p>
    <w:p>
      <w:pPr>
        <w:pStyle w:val="BodyText"/>
        <w:spacing w:line="274" w:lineRule="exact"/>
        <w:ind w:left="144" w:right="107"/>
        <w:jc w:val="left"/>
      </w:pPr>
      <w:r>
        <w:rPr/>
        <w:t>□适用√不适用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line="290" w:lineRule="auto" w:before="0"/>
        <w:ind w:left="144" w:right="4434"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45" w:lineRule="exact"/>
        <w:ind w:left="144" w:right="107"/>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2"/>
          <w:szCs w:val="22"/>
        </w:rPr>
      </w:pPr>
    </w:p>
    <w:p>
      <w:pPr>
        <w:pStyle w:val="Heading2"/>
        <w:spacing w:line="240" w:lineRule="auto"/>
        <w:ind w:left="144" w:right="107"/>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spacing w:line="240" w:lineRule="auto" w:before="58"/>
        <w:ind w:left="144" w:right="107"/>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before="63"/>
        <w:ind w:left="6397" w:right="6376" w:firstLine="0"/>
        <w:jc w:val="center"/>
        <w:rPr>
          <w:rFonts w:ascii="Calibri" w:hAnsi="Calibri" w:cs="Calibri" w:eastAsia="Calibri" w:hint="default"/>
          <w:sz w:val="18"/>
          <w:szCs w:val="18"/>
        </w:rPr>
      </w:pPr>
      <w:r>
        <w:rPr>
          <w:rFonts w:ascii="Calibri"/>
          <w:b/>
          <w:sz w:val="18"/>
        </w:rPr>
        <w:t>137 </w:t>
      </w:r>
      <w:r>
        <w:rPr>
          <w:rFonts w:ascii="Calibri"/>
          <w:sz w:val="18"/>
        </w:rPr>
        <w:t>/</w:t>
      </w:r>
      <w:r>
        <w:rPr>
          <w:rFonts w:ascii="Calibri"/>
          <w:spacing w:val="-5"/>
          <w:sz w:val="18"/>
        </w:rPr>
        <w:t> </w:t>
      </w:r>
      <w:r>
        <w:rPr>
          <w:rFonts w:ascii="Calibri"/>
          <w:b/>
          <w:sz w:val="18"/>
        </w:rPr>
        <w:t>155</w:t>
      </w:r>
      <w:r>
        <w:rPr>
          <w:rFonts w:ascii="Calibri"/>
          <w:sz w:val="18"/>
        </w:rPr>
      </w:r>
    </w:p>
    <w:p>
      <w:pPr>
        <w:spacing w:after="0"/>
        <w:jc w:val="center"/>
        <w:rPr>
          <w:rFonts w:ascii="Calibri" w:hAnsi="Calibri" w:cs="Calibri" w:eastAsia="Calibri" w:hint="default"/>
          <w:sz w:val="18"/>
          <w:szCs w:val="18"/>
        </w:rPr>
        <w:sectPr>
          <w:headerReference w:type="default" r:id="rId64"/>
          <w:footerReference w:type="default" r:id="rId65"/>
          <w:pgSz w:w="16840" w:h="11910" w:orient="landscape"/>
          <w:pgMar w:header="0" w:footer="0" w:top="800" w:bottom="280" w:left="1380" w:right="132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pStyle w:val="Heading2"/>
        <w:tabs>
          <w:tab w:pos="861" w:val="left" w:leader="none"/>
        </w:tabs>
        <w:spacing w:line="290" w:lineRule="auto" w:before="179"/>
        <w:ind w:right="6740"/>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w w:val="95"/>
        </w:rPr>
        <w:t>(1).</w:t>
        <w:tab/>
      </w:r>
      <w:r>
        <w:rPr/>
        <w:t>企业集团的构成</w:t>
      </w:r>
      <w:r>
        <w:rPr>
          <w:b w:val="0"/>
          <w:bCs w:val="0"/>
        </w:rPr>
      </w:r>
    </w:p>
    <w:p>
      <w:pPr>
        <w:pStyle w:val="BodyText"/>
        <w:spacing w:line="240" w:lineRule="auto" w:before="12"/>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1200"/>
        <w:gridCol w:w="1289"/>
        <w:gridCol w:w="1270"/>
        <w:gridCol w:w="1301"/>
        <w:gridCol w:w="1286"/>
        <w:gridCol w:w="1287"/>
        <w:gridCol w:w="1416"/>
      </w:tblGrid>
      <w:tr>
        <w:trPr>
          <w:trHeight w:val="283" w:hRule="exact"/>
        </w:trPr>
        <w:tc>
          <w:tcPr>
            <w:tcW w:w="1200" w:type="dxa"/>
            <w:vMerge w:val="restart"/>
            <w:tcBorders>
              <w:top w:val="single" w:sz="4" w:space="0" w:color="000000"/>
              <w:left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289" w:type="dxa"/>
            <w:vMerge w:val="restart"/>
            <w:tcBorders>
              <w:top w:val="single" w:sz="4" w:space="0" w:color="000000"/>
              <w:left w:val="single" w:sz="4" w:space="0" w:color="000000"/>
              <w:right w:val="single" w:sz="4" w:space="0" w:color="000000"/>
            </w:tcBorders>
          </w:tcPr>
          <w:p>
            <w:pPr>
              <w:pStyle w:val="TableParagraph"/>
              <w:spacing w:line="240" w:lineRule="auto" w:before="110"/>
              <w:ind w:left="112"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110"/>
              <w:ind w:left="31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before="110"/>
              <w:ind w:left="223"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5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p>
        </w:tc>
        <w:tc>
          <w:tcPr>
            <w:tcW w:w="1416" w:type="dxa"/>
            <w:vMerge w:val="restart"/>
            <w:tcBorders>
              <w:top w:val="single" w:sz="4" w:space="0" w:color="000000"/>
              <w:left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取得</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方式</w:t>
            </w:r>
          </w:p>
        </w:tc>
      </w:tr>
      <w:tr>
        <w:trPr>
          <w:trHeight w:val="288" w:hRule="exact"/>
        </w:trPr>
        <w:tc>
          <w:tcPr>
            <w:tcW w:w="1200" w:type="dxa"/>
            <w:vMerge/>
            <w:tcBorders>
              <w:left w:val="single" w:sz="4" w:space="0" w:color="000000"/>
              <w:bottom w:val="single" w:sz="4" w:space="0" w:color="000000"/>
              <w:right w:val="single" w:sz="4" w:space="0" w:color="000000"/>
            </w:tcBorders>
          </w:tcPr>
          <w:p>
            <w:pPr/>
          </w:p>
        </w:tc>
        <w:tc>
          <w:tcPr>
            <w:tcW w:w="1289"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416" w:type="dxa"/>
            <w:vMerge/>
            <w:tcBorders>
              <w:left w:val="single" w:sz="4" w:space="0" w:color="000000"/>
              <w:bottom w:val="single" w:sz="4" w:space="0" w:color="000000"/>
              <w:right w:val="single" w:sz="4" w:space="0" w:color="000000"/>
            </w:tcBorders>
          </w:tcPr>
          <w:p>
            <w:pP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57"/>
                <w:sz w:val="21"/>
                <w:szCs w:val="21"/>
              </w:rPr>
              <w:t> </w:t>
            </w:r>
            <w:r>
              <w:rPr>
                <w:rFonts w:ascii="宋体" w:hAnsi="宋体" w:cs="宋体" w:eastAsia="宋体" w:hint="default"/>
                <w:sz w:val="21"/>
                <w:szCs w:val="21"/>
              </w:rPr>
              <w:t>海</w:t>
            </w:r>
            <w:r>
              <w:rPr>
                <w:rFonts w:ascii="宋体" w:hAnsi="宋体" w:cs="宋体" w:eastAsia="宋体" w:hint="default"/>
                <w:spacing w:val="-57"/>
                <w:sz w:val="21"/>
                <w:szCs w:val="21"/>
              </w:rPr>
              <w:t> </w:t>
            </w:r>
            <w:r>
              <w:rPr>
                <w:rFonts w:ascii="宋体" w:hAnsi="宋体" w:cs="宋体" w:eastAsia="宋体" w:hint="default"/>
                <w:sz w:val="21"/>
                <w:szCs w:val="21"/>
              </w:rPr>
              <w:t>格</w:t>
            </w:r>
            <w:r>
              <w:rPr>
                <w:rFonts w:ascii="宋体" w:hAnsi="宋体" w:cs="宋体" w:eastAsia="宋体" w:hint="default"/>
                <w:spacing w:val="-59"/>
                <w:sz w:val="21"/>
                <w:szCs w:val="21"/>
              </w:rPr>
              <w:t> </w:t>
            </w:r>
            <w:r>
              <w:rPr>
                <w:rFonts w:ascii="宋体" w:hAnsi="宋体" w:cs="宋体" w:eastAsia="宋体" w:hint="default"/>
                <w:sz w:val="21"/>
                <w:szCs w:val="21"/>
              </w:rPr>
              <w:t>尔</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安</w:t>
            </w:r>
            <w:r>
              <w:rPr>
                <w:rFonts w:ascii="宋体" w:hAnsi="宋体" w:cs="宋体" w:eastAsia="宋体" w:hint="default"/>
                <w:spacing w:val="-57"/>
                <w:sz w:val="21"/>
                <w:szCs w:val="21"/>
              </w:rPr>
              <w:t> </w:t>
            </w:r>
            <w:r>
              <w:rPr>
                <w:rFonts w:ascii="宋体" w:hAnsi="宋体" w:cs="宋体" w:eastAsia="宋体" w:hint="default"/>
                <w:sz w:val="21"/>
                <w:szCs w:val="21"/>
              </w:rPr>
              <w:t>全</w:t>
            </w:r>
            <w:r>
              <w:rPr>
                <w:rFonts w:ascii="宋体" w:hAnsi="宋体" w:cs="宋体" w:eastAsia="宋体" w:hint="default"/>
                <w:spacing w:val="-57"/>
                <w:sz w:val="21"/>
                <w:szCs w:val="21"/>
              </w:rPr>
              <w:t> </w:t>
            </w:r>
            <w:r>
              <w:rPr>
                <w:rFonts w:ascii="宋体" w:hAnsi="宋体" w:cs="宋体" w:eastAsia="宋体" w:hint="default"/>
                <w:sz w:val="21"/>
                <w:szCs w:val="21"/>
              </w:rPr>
              <w:t>科</w:t>
            </w:r>
            <w:r>
              <w:rPr>
                <w:rFonts w:ascii="宋体" w:hAnsi="宋体" w:cs="宋体" w:eastAsia="宋体" w:hint="default"/>
                <w:spacing w:val="-59"/>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信息安全产</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品研发</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57"/>
                <w:sz w:val="21"/>
                <w:szCs w:val="21"/>
              </w:rPr>
              <w:t> </w:t>
            </w:r>
            <w:r>
              <w:rPr>
                <w:rFonts w:ascii="宋体" w:hAnsi="宋体" w:cs="宋体" w:eastAsia="宋体" w:hint="default"/>
                <w:sz w:val="21"/>
                <w:szCs w:val="21"/>
              </w:rPr>
              <w:t>京</w:t>
            </w:r>
            <w:r>
              <w:rPr>
                <w:rFonts w:ascii="宋体" w:hAnsi="宋体" w:cs="宋体" w:eastAsia="宋体" w:hint="default"/>
                <w:spacing w:val="-57"/>
                <w:sz w:val="21"/>
                <w:szCs w:val="21"/>
              </w:rPr>
              <w:t> </w:t>
            </w:r>
            <w:r>
              <w:rPr>
                <w:rFonts w:ascii="宋体" w:hAnsi="宋体" w:cs="宋体" w:eastAsia="宋体" w:hint="default"/>
                <w:sz w:val="21"/>
                <w:szCs w:val="21"/>
              </w:rPr>
              <w:t>格</w:t>
            </w:r>
            <w:r>
              <w:rPr>
                <w:rFonts w:ascii="宋体" w:hAnsi="宋体" w:cs="宋体" w:eastAsia="宋体" w:hint="default"/>
                <w:spacing w:val="-59"/>
                <w:sz w:val="21"/>
                <w:szCs w:val="21"/>
              </w:rPr>
              <w:t> </w:t>
            </w:r>
            <w:r>
              <w:rPr>
                <w:rFonts w:ascii="宋体" w:hAnsi="宋体" w:cs="宋体" w:eastAsia="宋体" w:hint="default"/>
                <w:sz w:val="21"/>
                <w:szCs w:val="21"/>
              </w:rPr>
              <w:t>尔</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57"/>
                <w:sz w:val="21"/>
                <w:szCs w:val="21"/>
              </w:rPr>
              <w:t> </w:t>
            </w:r>
            <w:r>
              <w:rPr>
                <w:rFonts w:ascii="宋体" w:hAnsi="宋体" w:cs="宋体" w:eastAsia="宋体" w:hint="default"/>
                <w:sz w:val="21"/>
                <w:szCs w:val="21"/>
              </w:rPr>
              <w:t>信</w:t>
            </w:r>
            <w:r>
              <w:rPr>
                <w:rFonts w:ascii="宋体" w:hAnsi="宋体" w:cs="宋体" w:eastAsia="宋体" w:hint="default"/>
                <w:spacing w:val="-57"/>
                <w:sz w:val="21"/>
                <w:szCs w:val="21"/>
              </w:rPr>
              <w:t> </w:t>
            </w:r>
            <w:r>
              <w:rPr>
                <w:rFonts w:ascii="宋体" w:hAnsi="宋体" w:cs="宋体" w:eastAsia="宋体" w:hint="default"/>
                <w:sz w:val="21"/>
                <w:szCs w:val="21"/>
              </w:rPr>
              <w:t>科</w:t>
            </w:r>
            <w:r>
              <w:rPr>
                <w:rFonts w:ascii="宋体" w:hAnsi="宋体" w:cs="宋体" w:eastAsia="宋体" w:hint="default"/>
                <w:spacing w:val="-59"/>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商用密码等</w:t>
            </w:r>
            <w:r>
              <w:rPr>
                <w:rFonts w:ascii="宋体" w:hAnsi="宋体" w:cs="宋体" w:eastAsia="宋体" w:hint="default"/>
                <w:sz w:val="21"/>
                <w:szCs w:val="21"/>
              </w:rPr>
            </w:r>
          </w:p>
          <w:p>
            <w:pPr>
              <w:pStyle w:val="TableParagraph"/>
              <w:spacing w:line="237" w:lineRule="auto" w:before="2"/>
              <w:ind w:left="103" w:right="94"/>
              <w:jc w:val="both"/>
              <w:rPr>
                <w:rFonts w:ascii="宋体" w:hAnsi="宋体" w:cs="宋体" w:eastAsia="宋体" w:hint="default"/>
                <w:sz w:val="21"/>
                <w:szCs w:val="21"/>
              </w:rPr>
            </w:pPr>
            <w:r>
              <w:rPr>
                <w:rFonts w:ascii="宋体" w:hAnsi="宋体" w:cs="宋体" w:eastAsia="宋体" w:hint="default"/>
                <w:spacing w:val="6"/>
                <w:sz w:val="21"/>
                <w:szCs w:val="21"/>
              </w:rPr>
              <w:t>信息安全产</w:t>
            </w:r>
            <w:r>
              <w:rPr>
                <w:rFonts w:ascii="宋体" w:hAnsi="宋体" w:cs="宋体" w:eastAsia="宋体" w:hint="default"/>
                <w:spacing w:val="-95"/>
                <w:sz w:val="21"/>
                <w:szCs w:val="21"/>
              </w:rPr>
              <w:t> </w:t>
            </w:r>
            <w:r>
              <w:rPr>
                <w:rFonts w:ascii="宋体" w:hAnsi="宋体" w:cs="宋体" w:eastAsia="宋体" w:hint="default"/>
                <w:spacing w:val="6"/>
                <w:sz w:val="21"/>
                <w:szCs w:val="21"/>
              </w:rPr>
              <w:t>品的研发、</w:t>
            </w:r>
            <w:r>
              <w:rPr>
                <w:rFonts w:ascii="宋体" w:hAnsi="宋体" w:cs="宋体" w:eastAsia="宋体" w:hint="default"/>
                <w:spacing w:val="-95"/>
                <w:sz w:val="21"/>
                <w:szCs w:val="21"/>
              </w:rPr>
              <w:t> </w:t>
            </w:r>
            <w:r>
              <w:rPr>
                <w:rFonts w:ascii="宋体" w:hAnsi="宋体" w:cs="宋体" w:eastAsia="宋体" w:hint="default"/>
                <w:sz w:val="21"/>
                <w:szCs w:val="21"/>
              </w:rPr>
              <w:t>生产和销售</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郑</w:t>
            </w:r>
            <w:r>
              <w:rPr>
                <w:rFonts w:ascii="宋体" w:hAnsi="宋体" w:cs="宋体" w:eastAsia="宋体" w:hint="default"/>
                <w:spacing w:val="-57"/>
                <w:sz w:val="21"/>
                <w:szCs w:val="21"/>
              </w:rPr>
              <w:t> </w:t>
            </w:r>
            <w:r>
              <w:rPr>
                <w:rFonts w:ascii="宋体" w:hAnsi="宋体" w:cs="宋体" w:eastAsia="宋体" w:hint="default"/>
                <w:sz w:val="21"/>
                <w:szCs w:val="21"/>
              </w:rPr>
              <w:t>州</w:t>
            </w:r>
            <w:r>
              <w:rPr>
                <w:rFonts w:ascii="宋体" w:hAnsi="宋体" w:cs="宋体" w:eastAsia="宋体" w:hint="default"/>
                <w:spacing w:val="-57"/>
                <w:sz w:val="21"/>
                <w:szCs w:val="21"/>
              </w:rPr>
              <w:t> </w:t>
            </w:r>
            <w:r>
              <w:rPr>
                <w:rFonts w:ascii="宋体" w:hAnsi="宋体" w:cs="宋体" w:eastAsia="宋体" w:hint="default"/>
                <w:sz w:val="21"/>
                <w:szCs w:val="21"/>
              </w:rPr>
              <w:t>信</w:t>
            </w:r>
            <w:r>
              <w:rPr>
                <w:rFonts w:ascii="宋体" w:hAnsi="宋体" w:cs="宋体" w:eastAsia="宋体" w:hint="default"/>
                <w:spacing w:val="-59"/>
                <w:sz w:val="21"/>
                <w:szCs w:val="21"/>
              </w:rPr>
              <w:t> </w:t>
            </w:r>
            <w:r>
              <w:rPr>
                <w:rFonts w:ascii="宋体" w:hAnsi="宋体" w:cs="宋体" w:eastAsia="宋体" w:hint="default"/>
                <w:sz w:val="21"/>
                <w:szCs w:val="21"/>
              </w:rPr>
              <w:t>领</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57"/>
                <w:sz w:val="21"/>
                <w:szCs w:val="21"/>
              </w:rPr>
              <w:t> </w:t>
            </w:r>
            <w:r>
              <w:rPr>
                <w:rFonts w:ascii="宋体" w:hAnsi="宋体" w:cs="宋体" w:eastAsia="宋体" w:hint="default"/>
                <w:sz w:val="21"/>
                <w:szCs w:val="21"/>
              </w:rPr>
              <w:t>件</w:t>
            </w:r>
            <w:r>
              <w:rPr>
                <w:rFonts w:ascii="宋体" w:hAnsi="宋体" w:cs="宋体" w:eastAsia="宋体" w:hint="default"/>
                <w:spacing w:val="-57"/>
                <w:sz w:val="21"/>
                <w:szCs w:val="21"/>
              </w:rPr>
              <w:t> </w:t>
            </w:r>
            <w:r>
              <w:rPr>
                <w:rFonts w:ascii="宋体" w:hAnsi="宋体" w:cs="宋体" w:eastAsia="宋体" w:hint="default"/>
                <w:sz w:val="21"/>
                <w:szCs w:val="21"/>
              </w:rPr>
              <w:t>有</w:t>
            </w:r>
            <w:r>
              <w:rPr>
                <w:rFonts w:ascii="宋体" w:hAnsi="宋体" w:cs="宋体" w:eastAsia="宋体" w:hint="default"/>
                <w:spacing w:val="-59"/>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郑州市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信息安全产</w:t>
            </w:r>
            <w:r>
              <w:rPr>
                <w:rFonts w:ascii="宋体" w:hAnsi="宋体" w:cs="宋体" w:eastAsia="宋体" w:hint="default"/>
                <w:sz w:val="21"/>
                <w:szCs w:val="21"/>
              </w:rPr>
            </w:r>
          </w:p>
          <w:p>
            <w:pPr>
              <w:pStyle w:val="TableParagraph"/>
              <w:spacing w:line="237" w:lineRule="auto" w:before="2"/>
              <w:ind w:left="103" w:right="94"/>
              <w:jc w:val="both"/>
              <w:rPr>
                <w:rFonts w:ascii="宋体" w:hAnsi="宋体" w:cs="宋体" w:eastAsia="宋体" w:hint="default"/>
                <w:sz w:val="21"/>
                <w:szCs w:val="21"/>
              </w:rPr>
            </w:pPr>
            <w:r>
              <w:rPr>
                <w:rFonts w:ascii="宋体" w:hAnsi="宋体" w:cs="宋体" w:eastAsia="宋体" w:hint="default"/>
                <w:spacing w:val="6"/>
                <w:sz w:val="21"/>
                <w:szCs w:val="21"/>
              </w:rPr>
              <w:t>品的研发、</w:t>
            </w:r>
            <w:r>
              <w:rPr>
                <w:rFonts w:ascii="宋体" w:hAnsi="宋体" w:cs="宋体" w:eastAsia="宋体" w:hint="default"/>
                <w:spacing w:val="-95"/>
                <w:sz w:val="21"/>
                <w:szCs w:val="21"/>
              </w:rPr>
              <w:t> </w:t>
            </w:r>
            <w:r>
              <w:rPr>
                <w:rFonts w:ascii="宋体" w:hAnsi="宋体" w:cs="宋体" w:eastAsia="宋体" w:hint="default"/>
                <w:spacing w:val="6"/>
                <w:sz w:val="21"/>
                <w:szCs w:val="21"/>
              </w:rPr>
              <w:t>生产、销售</w:t>
            </w:r>
            <w:r>
              <w:rPr>
                <w:rFonts w:ascii="宋体" w:hAnsi="宋体" w:cs="宋体" w:eastAsia="宋体" w:hint="default"/>
                <w:spacing w:val="-95"/>
                <w:sz w:val="21"/>
                <w:szCs w:val="21"/>
              </w:rPr>
              <w:t> </w:t>
            </w:r>
            <w:r>
              <w:rPr>
                <w:rFonts w:ascii="宋体" w:hAnsi="宋体" w:cs="宋体" w:eastAsia="宋体" w:hint="default"/>
                <w:sz w:val="21"/>
                <w:szCs w:val="21"/>
              </w:rPr>
              <w:t>和技术服务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z w:val="21"/>
              </w:rPr>
              <w:t>54.00%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66"/>
          <w:pgSz w:w="11910" w:h="16840"/>
          <w:pgMar w:footer="1195" w:header="0" w:top="1120" w:bottom="1380" w:left="1580" w:right="1040"/>
          <w:pgNumType w:start="138"/>
        </w:sectPr>
      </w:pPr>
    </w:p>
    <w:p>
      <w:pPr>
        <w:pStyle w:val="Heading2"/>
        <w:tabs>
          <w:tab w:pos="861" w:val="left" w:leader="none"/>
        </w:tabs>
        <w:spacing w:line="240" w:lineRule="auto" w:before="36"/>
        <w:ind w:right="-17"/>
        <w:jc w:val="left"/>
        <w:rPr>
          <w:b w:val="0"/>
          <w:bCs w:val="0"/>
        </w:rPr>
      </w:pPr>
      <w:r>
        <w:rPr>
          <w:rFonts w:ascii="宋体" w:hAnsi="宋体" w:cs="宋体" w:eastAsia="宋体" w:hint="default"/>
          <w:w w:val="95"/>
        </w:rPr>
        <w:t>(2).</w:t>
        <w:tab/>
      </w:r>
      <w:r>
        <w:rPr/>
        <w:t>重要的非全资子公司</w:t>
      </w:r>
      <w:r>
        <w:rPr>
          <w:b w:val="0"/>
          <w:bCs w:val="0"/>
        </w:rPr>
      </w:r>
    </w:p>
    <w:p>
      <w:pPr>
        <w:pStyle w:val="BodyText"/>
        <w:spacing w:line="240" w:lineRule="auto" w:before="58"/>
        <w:ind w:right="-17"/>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7"/>
          <w:szCs w:val="27"/>
        </w:rPr>
      </w:pPr>
    </w:p>
    <w:p>
      <w:pPr>
        <w:pStyle w:val="BodyText"/>
        <w:spacing w:line="240" w:lineRule="auto"/>
        <w:ind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2" w:equalWidth="0">
            <w:col w:w="2763" w:space="4273"/>
            <w:col w:w="2254"/>
          </w:cols>
        </w:sectPr>
      </w:pPr>
    </w:p>
    <w:tbl>
      <w:tblPr>
        <w:tblW w:w="0" w:type="auto"/>
        <w:jc w:val="left"/>
        <w:tblInd w:w="105" w:type="dxa"/>
        <w:tblLayout w:type="fixed"/>
        <w:tblCellMar>
          <w:top w:w="0" w:type="dxa"/>
          <w:left w:w="0" w:type="dxa"/>
          <w:bottom w:w="0" w:type="dxa"/>
          <w:right w:w="0" w:type="dxa"/>
        </w:tblCellMar>
        <w:tblLook w:val="01E0"/>
      </w:tblPr>
      <w:tblGrid>
        <w:gridCol w:w="1613"/>
        <w:gridCol w:w="1815"/>
        <w:gridCol w:w="1935"/>
        <w:gridCol w:w="1945"/>
        <w:gridCol w:w="1742"/>
      </w:tblGrid>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3" w:lineRule="exact"/>
              <w:ind w:left="19"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郑州信领软件</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1" w:right="0"/>
              <w:jc w:val="left"/>
              <w:rPr>
                <w:rFonts w:ascii="Times New Roman" w:hAnsi="Times New Roman" w:cs="Times New Roman" w:eastAsia="Times New Roman" w:hint="default"/>
                <w:sz w:val="21"/>
                <w:szCs w:val="21"/>
              </w:rPr>
            </w:pPr>
            <w:r>
              <w:rPr>
                <w:rFonts w:ascii="Times New Roman"/>
                <w:sz w:val="21"/>
              </w:rPr>
              <w:t>46.00%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58" w:right="0"/>
              <w:jc w:val="left"/>
              <w:rPr>
                <w:rFonts w:ascii="Times New Roman" w:hAnsi="Times New Roman" w:cs="Times New Roman" w:eastAsia="Times New Roman" w:hint="default"/>
                <w:sz w:val="22"/>
                <w:szCs w:val="22"/>
              </w:rPr>
            </w:pPr>
            <w:r>
              <w:rPr>
                <w:rFonts w:ascii="Times New Roman"/>
                <w:sz w:val="22"/>
              </w:rPr>
              <w:t>-296,103.33</w:t>
            </w:r>
          </w:p>
        </w:tc>
        <w:tc>
          <w:tcPr>
            <w:tcW w:w="1945"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638" w:right="0"/>
              <w:jc w:val="left"/>
              <w:rPr>
                <w:rFonts w:ascii="Times New Roman" w:hAnsi="Times New Roman" w:cs="Times New Roman" w:eastAsia="Times New Roman" w:hint="default"/>
                <w:sz w:val="22"/>
                <w:szCs w:val="22"/>
              </w:rPr>
            </w:pPr>
            <w:r>
              <w:rPr>
                <w:rFonts w:ascii="Times New Roman"/>
                <w:sz w:val="22"/>
              </w:rPr>
              <w:t>460,565.05</w:t>
            </w:r>
          </w:p>
        </w:tc>
      </w:tr>
    </w:tbl>
    <w:p>
      <w:pPr>
        <w:pStyle w:val="BodyText"/>
        <w:spacing w:line="257" w:lineRule="exact"/>
        <w:ind w:right="2465"/>
        <w:jc w:val="left"/>
      </w:pPr>
      <w:r>
        <w:rPr/>
        <w:t>子公司少数股东的持股比例不同于表决权比例的说明：</w:t>
      </w:r>
    </w:p>
    <w:p>
      <w:pPr>
        <w:pStyle w:val="BodyText"/>
        <w:spacing w:line="290" w:lineRule="exact"/>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3" w:lineRule="exact"/>
        <w:ind w:right="2465"/>
        <w:jc w:val="left"/>
      </w:pPr>
      <w:r>
        <w:rPr/>
        <w:t>其他说明：</w:t>
      </w:r>
    </w:p>
    <w:p>
      <w:pPr>
        <w:pStyle w:val="BodyText"/>
        <w:spacing w:line="289" w:lineRule="exact"/>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2"/>
        <w:tabs>
          <w:tab w:pos="861" w:val="left" w:leader="none"/>
        </w:tabs>
        <w:spacing w:line="240" w:lineRule="auto" w:before="36"/>
        <w:ind w:right="-4"/>
        <w:jc w:val="left"/>
        <w:rPr>
          <w:b w:val="0"/>
          <w:bCs w:val="0"/>
        </w:rPr>
      </w:pPr>
      <w:r>
        <w:rPr>
          <w:rFonts w:ascii="宋体" w:hAnsi="宋体" w:cs="宋体" w:eastAsia="宋体" w:hint="default"/>
          <w:w w:val="95"/>
        </w:rPr>
        <w:t>(3).</w:t>
        <w:tab/>
      </w:r>
      <w:r>
        <w:rPr>
          <w:spacing w:val="-1"/>
        </w:rPr>
        <w:t>重要非全资子公司的主要财务信息</w:t>
      </w:r>
      <w:r>
        <w:rPr>
          <w:b w:val="0"/>
          <w:bCs w:val="0"/>
          <w:spacing w:val="-1"/>
        </w:rPr>
      </w:r>
    </w:p>
    <w:p>
      <w:pPr>
        <w:pStyle w:val="BodyText"/>
        <w:spacing w:line="240" w:lineRule="auto" w:before="59"/>
        <w:ind w:right="-4"/>
        <w:jc w:val="left"/>
      </w:pPr>
      <w:r>
        <w:rPr/>
        <w:t>√适用□不适用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7"/>
          <w:szCs w:val="27"/>
        </w:rPr>
      </w:pPr>
    </w:p>
    <w:p>
      <w:pPr>
        <w:pStyle w:val="BodyText"/>
        <w:spacing w:line="240" w:lineRule="auto"/>
        <w:ind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2" w:equalWidth="0">
            <w:col w:w="4025" w:space="3010"/>
            <w:col w:w="2255"/>
          </w:cols>
        </w:sectPr>
      </w:pPr>
    </w:p>
    <w:tbl>
      <w:tblPr>
        <w:tblW w:w="0" w:type="auto"/>
        <w:jc w:val="left"/>
        <w:tblInd w:w="105" w:type="dxa"/>
        <w:tblLayout w:type="fixed"/>
        <w:tblCellMar>
          <w:top w:w="0" w:type="dxa"/>
          <w:left w:w="0" w:type="dxa"/>
          <w:bottom w:w="0" w:type="dxa"/>
          <w:right w:w="0" w:type="dxa"/>
        </w:tblCellMar>
        <w:tblLook w:val="01E0"/>
      </w:tblPr>
      <w:tblGrid>
        <w:gridCol w:w="338"/>
        <w:gridCol w:w="888"/>
        <w:gridCol w:w="730"/>
        <w:gridCol w:w="891"/>
        <w:gridCol w:w="794"/>
        <w:gridCol w:w="259"/>
        <w:gridCol w:w="792"/>
        <w:gridCol w:w="890"/>
        <w:gridCol w:w="730"/>
        <w:gridCol w:w="891"/>
        <w:gridCol w:w="794"/>
        <w:gridCol w:w="259"/>
        <w:gridCol w:w="792"/>
      </w:tblGrid>
      <w:tr>
        <w:trPr>
          <w:trHeight w:val="281" w:hRule="exact"/>
        </w:trPr>
        <w:tc>
          <w:tcPr>
            <w:tcW w:w="338" w:type="dxa"/>
            <w:vMerge w:val="restart"/>
            <w:tcBorders>
              <w:top w:val="single" w:sz="4" w:space="0" w:color="000000"/>
              <w:left w:val="single" w:sz="4" w:space="0" w:color="000000"/>
              <w:right w:val="single" w:sz="4" w:space="0" w:color="000000"/>
            </w:tcBorders>
          </w:tcPr>
          <w:p>
            <w:pPr>
              <w:pStyle w:val="TableParagraph"/>
              <w:spacing w:line="237" w:lineRule="auto" w:before="110"/>
              <w:ind w:left="103" w:right="12"/>
              <w:jc w:val="both"/>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435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5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373" w:hRule="exact"/>
        </w:trPr>
        <w:tc>
          <w:tcPr>
            <w:tcW w:w="338" w:type="dxa"/>
            <w:vMerge/>
            <w:tcBorders>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33" w:right="120" w:hanging="212"/>
              <w:jc w:val="left"/>
              <w:rPr>
                <w:rFonts w:ascii="宋体" w:hAnsi="宋体" w:cs="宋体" w:eastAsia="宋体" w:hint="default"/>
                <w:sz w:val="21"/>
                <w:szCs w:val="21"/>
              </w:rPr>
            </w:pPr>
            <w:r>
              <w:rPr>
                <w:rFonts w:ascii="宋体" w:hAnsi="宋体" w:cs="宋体" w:eastAsia="宋体" w:hint="default"/>
                <w:sz w:val="21"/>
                <w:szCs w:val="21"/>
              </w:rPr>
              <w:t>流动资</w:t>
            </w:r>
            <w:r>
              <w:rPr>
                <w:rFonts w:ascii="宋体" w:hAnsi="宋体" w:cs="宋体" w:eastAsia="宋体" w:hint="default"/>
                <w:spacing w:val="-102"/>
                <w:sz w:val="21"/>
                <w:szCs w:val="21"/>
              </w:rPr>
              <w:t> </w:t>
            </w:r>
            <w:r>
              <w:rPr>
                <w:rFonts w:ascii="宋体" w:hAnsi="宋体" w:cs="宋体" w:eastAsia="宋体" w:hint="default"/>
                <w:sz w:val="21"/>
                <w:szCs w:val="21"/>
              </w:rPr>
              <w:t>产</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77" w:right="12"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34" w:right="122" w:hanging="210"/>
              <w:jc w:val="left"/>
              <w:rPr>
                <w:rFonts w:ascii="宋体" w:hAnsi="宋体" w:cs="宋体" w:eastAsia="宋体" w:hint="default"/>
                <w:sz w:val="21"/>
                <w:szCs w:val="21"/>
              </w:rPr>
            </w:pPr>
            <w:r>
              <w:rPr>
                <w:rFonts w:ascii="宋体" w:hAnsi="宋体" w:cs="宋体" w:eastAsia="宋体" w:hint="default"/>
                <w:sz w:val="21"/>
                <w:szCs w:val="21"/>
              </w:rPr>
              <w:t>资产合</w:t>
            </w:r>
            <w:r>
              <w:rPr>
                <w:rFonts w:ascii="宋体" w:hAnsi="宋体" w:cs="宋体" w:eastAsia="宋体" w:hint="default"/>
                <w:spacing w:val="-102"/>
                <w:sz w:val="21"/>
                <w:szCs w:val="21"/>
              </w:rPr>
              <w:t> </w:t>
            </w:r>
            <w:r>
              <w:rPr>
                <w:rFonts w:ascii="宋体" w:hAnsi="宋体" w:cs="宋体" w:eastAsia="宋体" w:hint="default"/>
                <w:sz w:val="21"/>
                <w:szCs w:val="21"/>
              </w:rPr>
              <w:t>计</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82" w:right="179"/>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ind w:left="59" w:right="-22"/>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79" w:right="178"/>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33" w:right="120" w:hanging="209"/>
              <w:jc w:val="left"/>
              <w:rPr>
                <w:rFonts w:ascii="宋体" w:hAnsi="宋体" w:cs="宋体" w:eastAsia="宋体" w:hint="default"/>
                <w:sz w:val="21"/>
                <w:szCs w:val="21"/>
              </w:rPr>
            </w:pPr>
            <w:r>
              <w:rPr>
                <w:rFonts w:ascii="宋体" w:hAnsi="宋体" w:cs="宋体" w:eastAsia="宋体" w:hint="default"/>
                <w:sz w:val="21"/>
                <w:szCs w:val="21"/>
              </w:rPr>
              <w:t>流动资</w:t>
            </w:r>
            <w:r>
              <w:rPr>
                <w:rFonts w:ascii="宋体" w:hAnsi="宋体" w:cs="宋体" w:eastAsia="宋体" w:hint="default"/>
                <w:spacing w:val="-102"/>
                <w:sz w:val="21"/>
                <w:szCs w:val="21"/>
              </w:rPr>
              <w:t> </w:t>
            </w:r>
            <w:r>
              <w:rPr>
                <w:rFonts w:ascii="宋体" w:hAnsi="宋体" w:cs="宋体" w:eastAsia="宋体" w:hint="default"/>
                <w:sz w:val="21"/>
                <w:szCs w:val="21"/>
              </w:rPr>
              <w:t>产</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77" w:right="12"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33" w:right="122" w:hanging="209"/>
              <w:jc w:val="left"/>
              <w:rPr>
                <w:rFonts w:ascii="宋体" w:hAnsi="宋体" w:cs="宋体" w:eastAsia="宋体" w:hint="default"/>
                <w:sz w:val="21"/>
                <w:szCs w:val="21"/>
              </w:rPr>
            </w:pPr>
            <w:r>
              <w:rPr>
                <w:rFonts w:ascii="宋体" w:hAnsi="宋体" w:cs="宋体" w:eastAsia="宋体" w:hint="default"/>
                <w:sz w:val="21"/>
                <w:szCs w:val="21"/>
              </w:rPr>
              <w:t>资产合</w:t>
            </w:r>
            <w:r>
              <w:rPr>
                <w:rFonts w:ascii="宋体" w:hAnsi="宋体" w:cs="宋体" w:eastAsia="宋体" w:hint="default"/>
                <w:spacing w:val="-102"/>
                <w:sz w:val="21"/>
                <w:szCs w:val="21"/>
              </w:rPr>
              <w:t> </w:t>
            </w:r>
            <w:r>
              <w:rPr>
                <w:rFonts w:ascii="宋体" w:hAnsi="宋体" w:cs="宋体" w:eastAsia="宋体" w:hint="default"/>
                <w:sz w:val="21"/>
                <w:szCs w:val="21"/>
              </w:rPr>
              <w:t>计</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82" w:right="179"/>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ind w:left="59" w:right="-22"/>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80" w:right="179"/>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p>
        </w:tc>
      </w:tr>
      <w:tr>
        <w:trPr>
          <w:trHeight w:val="1644" w:hRule="exact"/>
        </w:trPr>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郑</w:t>
            </w:r>
          </w:p>
          <w:p>
            <w:pPr>
              <w:pStyle w:val="TableParagraph"/>
              <w:spacing w:line="237" w:lineRule="auto" w:before="2"/>
              <w:ind w:left="103" w:right="12"/>
              <w:jc w:val="both"/>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w w:val="100"/>
                <w:sz w:val="21"/>
                <w:szCs w:val="21"/>
              </w:rPr>
              <w:t> </w:t>
            </w: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领</w:t>
            </w:r>
            <w:r>
              <w:rPr>
                <w:rFonts w:ascii="宋体" w:hAnsi="宋体" w:cs="宋体" w:eastAsia="宋体" w:hint="default"/>
                <w:w w:val="100"/>
                <w:sz w:val="21"/>
                <w:szCs w:val="21"/>
              </w:rPr>
              <w:t> </w:t>
            </w:r>
            <w:r>
              <w:rPr>
                <w:rFonts w:ascii="宋体" w:hAnsi="宋体" w:cs="宋体" w:eastAsia="宋体" w:hint="default"/>
                <w:sz w:val="21"/>
                <w:szCs w:val="21"/>
              </w:rPr>
              <w:t>软</w:t>
            </w:r>
            <w:r>
              <w:rPr>
                <w:rFonts w:ascii="宋体" w:hAnsi="宋体" w:cs="宋体" w:eastAsia="宋体" w:hint="default"/>
                <w:w w:val="100"/>
                <w:sz w:val="21"/>
                <w:szCs w:val="21"/>
              </w:rPr>
              <w:t> </w:t>
            </w:r>
            <w:r>
              <w:rPr>
                <w:rFonts w:ascii="宋体" w:hAnsi="宋体" w:cs="宋体" w:eastAsia="宋体" w:hint="default"/>
                <w:sz w:val="21"/>
                <w:szCs w:val="21"/>
              </w:rPr>
              <w:t>件</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4" w:right="0"/>
              <w:jc w:val="center"/>
              <w:rPr>
                <w:rFonts w:ascii="Times New Roman" w:hAnsi="Times New Roman" w:cs="Times New Roman" w:eastAsia="Times New Roman" w:hint="default"/>
                <w:sz w:val="22"/>
                <w:szCs w:val="22"/>
              </w:rPr>
            </w:pPr>
            <w:r>
              <w:rPr>
                <w:rFonts w:ascii="Times New Roman"/>
                <w:sz w:val="22"/>
              </w:rPr>
              <w:t>1,193,6</w:t>
            </w:r>
          </w:p>
          <w:p>
            <w:pPr>
              <w:pStyle w:val="TableParagraph"/>
              <w:spacing w:line="240" w:lineRule="auto" w:before="1"/>
              <w:ind w:left="180" w:right="0"/>
              <w:jc w:val="center"/>
              <w:rPr>
                <w:rFonts w:ascii="Times New Roman" w:hAnsi="Times New Roman" w:cs="Times New Roman" w:eastAsia="Times New Roman" w:hint="default"/>
                <w:sz w:val="22"/>
                <w:szCs w:val="22"/>
              </w:rPr>
            </w:pPr>
            <w:r>
              <w:rPr>
                <w:rFonts w:ascii="Times New Roman"/>
                <w:sz w:val="22"/>
              </w:rPr>
              <w:t>20.04</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1" w:right="0"/>
              <w:jc w:val="center"/>
              <w:rPr>
                <w:rFonts w:ascii="Times New Roman" w:hAnsi="Times New Roman" w:cs="Times New Roman" w:eastAsia="Times New Roman" w:hint="default"/>
                <w:sz w:val="22"/>
                <w:szCs w:val="22"/>
              </w:rPr>
            </w:pPr>
            <w:r>
              <w:rPr>
                <w:rFonts w:ascii="Times New Roman"/>
                <w:sz w:val="22"/>
              </w:rPr>
              <w:t>26,51</w:t>
            </w:r>
          </w:p>
          <w:p>
            <w:pPr>
              <w:pStyle w:val="TableParagraph"/>
              <w:spacing w:line="240" w:lineRule="auto" w:before="1"/>
              <w:ind w:left="132" w:right="0"/>
              <w:jc w:val="center"/>
              <w:rPr>
                <w:rFonts w:ascii="Times New Roman" w:hAnsi="Times New Roman" w:cs="Times New Roman" w:eastAsia="Times New Roman" w:hint="default"/>
                <w:sz w:val="22"/>
                <w:szCs w:val="22"/>
              </w:rPr>
            </w:pPr>
            <w:r>
              <w:rPr>
                <w:rFonts w:ascii="Times New Roman"/>
                <w:sz w:val="22"/>
              </w:rPr>
              <w:t>6.50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6" w:right="0"/>
              <w:jc w:val="center"/>
              <w:rPr>
                <w:rFonts w:ascii="Times New Roman" w:hAnsi="Times New Roman" w:cs="Times New Roman" w:eastAsia="Times New Roman" w:hint="default"/>
                <w:sz w:val="22"/>
                <w:szCs w:val="22"/>
              </w:rPr>
            </w:pPr>
            <w:r>
              <w:rPr>
                <w:rFonts w:ascii="Times New Roman"/>
                <w:sz w:val="22"/>
              </w:rPr>
              <w:t>1,220,1</w:t>
            </w:r>
          </w:p>
          <w:p>
            <w:pPr>
              <w:pStyle w:val="TableParagraph"/>
              <w:spacing w:line="240" w:lineRule="auto" w:before="1"/>
              <w:ind w:left="182" w:right="0"/>
              <w:jc w:val="center"/>
              <w:rPr>
                <w:rFonts w:ascii="Times New Roman" w:hAnsi="Times New Roman" w:cs="Times New Roman" w:eastAsia="Times New Roman" w:hint="default"/>
                <w:sz w:val="22"/>
                <w:szCs w:val="22"/>
              </w:rPr>
            </w:pPr>
            <w:r>
              <w:rPr>
                <w:rFonts w:ascii="Times New Roman"/>
                <w:sz w:val="22"/>
              </w:rPr>
              <w:t>36.54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87" w:right="0"/>
              <w:jc w:val="left"/>
              <w:rPr>
                <w:rFonts w:ascii="Times New Roman" w:hAnsi="Times New Roman" w:cs="Times New Roman" w:eastAsia="Times New Roman" w:hint="default"/>
                <w:sz w:val="22"/>
                <w:szCs w:val="22"/>
              </w:rPr>
            </w:pPr>
            <w:r>
              <w:rPr>
                <w:rFonts w:ascii="Times New Roman"/>
                <w:sz w:val="22"/>
              </w:rPr>
              <w:t>218,9</w:t>
            </w:r>
          </w:p>
          <w:p>
            <w:pPr>
              <w:pStyle w:val="TableParagraph"/>
              <w:spacing w:line="240" w:lineRule="auto" w:before="1"/>
              <w:ind w:left="187" w:right="0"/>
              <w:jc w:val="left"/>
              <w:rPr>
                <w:rFonts w:ascii="Times New Roman" w:hAnsi="Times New Roman" w:cs="Times New Roman" w:eastAsia="Times New Roman" w:hint="default"/>
                <w:sz w:val="22"/>
                <w:szCs w:val="22"/>
              </w:rPr>
            </w:pPr>
            <w:r>
              <w:rPr>
                <w:rFonts w:ascii="Times New Roman"/>
                <w:sz w:val="22"/>
              </w:rPr>
              <w:t>08.17</w:t>
            </w:r>
          </w:p>
        </w:tc>
        <w:tc>
          <w:tcPr>
            <w:tcW w:w="25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84" w:right="0"/>
              <w:jc w:val="left"/>
              <w:rPr>
                <w:rFonts w:ascii="Times New Roman" w:hAnsi="Times New Roman" w:cs="Times New Roman" w:eastAsia="Times New Roman" w:hint="default"/>
                <w:sz w:val="22"/>
                <w:szCs w:val="22"/>
              </w:rPr>
            </w:pPr>
            <w:r>
              <w:rPr>
                <w:rFonts w:ascii="Times New Roman"/>
                <w:sz w:val="22"/>
              </w:rPr>
              <w:t>218,9</w:t>
            </w:r>
          </w:p>
          <w:p>
            <w:pPr>
              <w:pStyle w:val="TableParagraph"/>
              <w:spacing w:line="240" w:lineRule="auto" w:before="1"/>
              <w:ind w:left="184" w:right="0"/>
              <w:jc w:val="left"/>
              <w:rPr>
                <w:rFonts w:ascii="Times New Roman" w:hAnsi="Times New Roman" w:cs="Times New Roman" w:eastAsia="Times New Roman" w:hint="default"/>
                <w:sz w:val="22"/>
                <w:szCs w:val="22"/>
              </w:rPr>
            </w:pPr>
            <w:r>
              <w:rPr>
                <w:rFonts w:ascii="Times New Roman"/>
                <w:sz w:val="22"/>
              </w:rPr>
              <w:t>08.17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6" w:right="0"/>
              <w:jc w:val="center"/>
              <w:rPr>
                <w:rFonts w:ascii="Times New Roman" w:hAnsi="Times New Roman" w:cs="Times New Roman" w:eastAsia="Times New Roman" w:hint="default"/>
                <w:sz w:val="22"/>
                <w:szCs w:val="22"/>
              </w:rPr>
            </w:pPr>
            <w:r>
              <w:rPr>
                <w:rFonts w:ascii="Times New Roman"/>
                <w:sz w:val="22"/>
              </w:rPr>
              <w:t>2,071,7</w:t>
            </w:r>
          </w:p>
          <w:p>
            <w:pPr>
              <w:pStyle w:val="TableParagraph"/>
              <w:spacing w:line="240" w:lineRule="auto" w:before="1"/>
              <w:ind w:left="182" w:right="0"/>
              <w:jc w:val="center"/>
              <w:rPr>
                <w:rFonts w:ascii="Times New Roman" w:hAnsi="Times New Roman" w:cs="Times New Roman" w:eastAsia="Times New Roman" w:hint="default"/>
                <w:sz w:val="22"/>
                <w:szCs w:val="22"/>
              </w:rPr>
            </w:pPr>
            <w:r>
              <w:rPr>
                <w:rFonts w:ascii="Times New Roman"/>
                <w:sz w:val="22"/>
              </w:rPr>
              <w:t>98.09</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1" w:right="0"/>
              <w:jc w:val="center"/>
              <w:rPr>
                <w:rFonts w:ascii="Times New Roman" w:hAnsi="Times New Roman" w:cs="Times New Roman" w:eastAsia="Times New Roman" w:hint="default"/>
                <w:sz w:val="22"/>
                <w:szCs w:val="22"/>
              </w:rPr>
            </w:pPr>
            <w:r>
              <w:rPr>
                <w:rFonts w:ascii="Times New Roman"/>
                <w:sz w:val="22"/>
              </w:rPr>
              <w:t>57,42</w:t>
            </w:r>
          </w:p>
          <w:p>
            <w:pPr>
              <w:pStyle w:val="TableParagraph"/>
              <w:spacing w:line="240" w:lineRule="auto" w:before="1"/>
              <w:ind w:left="131" w:right="0"/>
              <w:jc w:val="center"/>
              <w:rPr>
                <w:rFonts w:ascii="Times New Roman" w:hAnsi="Times New Roman" w:cs="Times New Roman" w:eastAsia="Times New Roman" w:hint="default"/>
                <w:sz w:val="22"/>
                <w:szCs w:val="22"/>
              </w:rPr>
            </w:pPr>
            <w:r>
              <w:rPr>
                <w:rFonts w:ascii="Times New Roman"/>
                <w:sz w:val="22"/>
              </w:rPr>
              <w:t>1.87</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6" w:right="0"/>
              <w:jc w:val="center"/>
              <w:rPr>
                <w:rFonts w:ascii="Times New Roman" w:hAnsi="Times New Roman" w:cs="Times New Roman" w:eastAsia="Times New Roman" w:hint="default"/>
                <w:sz w:val="22"/>
                <w:szCs w:val="22"/>
              </w:rPr>
            </w:pPr>
            <w:r>
              <w:rPr>
                <w:rFonts w:ascii="Times New Roman"/>
                <w:sz w:val="22"/>
              </w:rPr>
              <w:t>2,129,2</w:t>
            </w:r>
          </w:p>
          <w:p>
            <w:pPr>
              <w:pStyle w:val="TableParagraph"/>
              <w:spacing w:line="240" w:lineRule="auto" w:before="1"/>
              <w:ind w:left="181" w:right="0"/>
              <w:jc w:val="center"/>
              <w:rPr>
                <w:rFonts w:ascii="Times New Roman" w:hAnsi="Times New Roman" w:cs="Times New Roman" w:eastAsia="Times New Roman" w:hint="default"/>
                <w:sz w:val="22"/>
                <w:szCs w:val="22"/>
              </w:rPr>
            </w:pPr>
            <w:r>
              <w:rPr>
                <w:rFonts w:ascii="Times New Roman"/>
                <w:sz w:val="22"/>
              </w:rPr>
              <w:t>19.96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87" w:right="0"/>
              <w:jc w:val="left"/>
              <w:rPr>
                <w:rFonts w:ascii="Times New Roman" w:hAnsi="Times New Roman" w:cs="Times New Roman" w:eastAsia="Times New Roman" w:hint="default"/>
                <w:sz w:val="22"/>
                <w:szCs w:val="22"/>
              </w:rPr>
            </w:pPr>
            <w:r>
              <w:rPr>
                <w:rFonts w:ascii="Times New Roman"/>
                <w:sz w:val="22"/>
              </w:rPr>
              <w:t>484,2</w:t>
            </w:r>
          </w:p>
          <w:p>
            <w:pPr>
              <w:pStyle w:val="TableParagraph"/>
              <w:spacing w:line="240" w:lineRule="auto" w:before="1"/>
              <w:ind w:left="187" w:right="0"/>
              <w:jc w:val="left"/>
              <w:rPr>
                <w:rFonts w:ascii="Times New Roman" w:hAnsi="Times New Roman" w:cs="Times New Roman" w:eastAsia="Times New Roman" w:hint="default"/>
                <w:sz w:val="22"/>
                <w:szCs w:val="22"/>
              </w:rPr>
            </w:pPr>
            <w:r>
              <w:rPr>
                <w:rFonts w:ascii="Times New Roman"/>
                <w:sz w:val="22"/>
              </w:rPr>
              <w:t>88.70</w:t>
            </w:r>
          </w:p>
        </w:tc>
        <w:tc>
          <w:tcPr>
            <w:tcW w:w="25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84" w:right="0"/>
              <w:jc w:val="left"/>
              <w:rPr>
                <w:rFonts w:ascii="Times New Roman" w:hAnsi="Times New Roman" w:cs="Times New Roman" w:eastAsia="Times New Roman" w:hint="default"/>
                <w:sz w:val="22"/>
                <w:szCs w:val="22"/>
              </w:rPr>
            </w:pPr>
            <w:r>
              <w:rPr>
                <w:rFonts w:ascii="Times New Roman"/>
                <w:sz w:val="22"/>
              </w:rPr>
              <w:t>484,2</w:t>
            </w:r>
          </w:p>
          <w:p>
            <w:pPr>
              <w:pStyle w:val="TableParagraph"/>
              <w:spacing w:line="240" w:lineRule="auto" w:before="1"/>
              <w:ind w:left="184" w:right="0"/>
              <w:jc w:val="left"/>
              <w:rPr>
                <w:rFonts w:ascii="Times New Roman" w:hAnsi="Times New Roman" w:cs="Times New Roman" w:eastAsia="Times New Roman" w:hint="default"/>
                <w:sz w:val="22"/>
                <w:szCs w:val="22"/>
              </w:rPr>
            </w:pPr>
            <w:r>
              <w:rPr>
                <w:rFonts w:ascii="Times New Roman"/>
                <w:sz w:val="22"/>
              </w:rPr>
              <w:t>88.70</w:t>
            </w:r>
          </w:p>
        </w:tc>
      </w:tr>
    </w:tbl>
    <w:p>
      <w:pPr>
        <w:spacing w:after="0" w:line="240" w:lineRule="auto"/>
        <w:jc w:val="left"/>
        <w:rPr>
          <w:rFonts w:ascii="Times New Roman" w:hAnsi="Times New Roman" w:cs="Times New Roman" w:eastAsia="Times New Roman" w:hint="default"/>
          <w:sz w:val="22"/>
          <w:szCs w:val="22"/>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8"/>
        <w:gridCol w:w="888"/>
        <w:gridCol w:w="730"/>
        <w:gridCol w:w="891"/>
        <w:gridCol w:w="794"/>
        <w:gridCol w:w="259"/>
        <w:gridCol w:w="792"/>
        <w:gridCol w:w="890"/>
        <w:gridCol w:w="730"/>
        <w:gridCol w:w="891"/>
        <w:gridCol w:w="794"/>
        <w:gridCol w:w="259"/>
        <w:gridCol w:w="792"/>
      </w:tblGrid>
      <w:tr>
        <w:trPr>
          <w:trHeight w:val="1102" w:hRule="exact"/>
        </w:trPr>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有</w:t>
            </w:r>
          </w:p>
          <w:p>
            <w:pPr>
              <w:pStyle w:val="TableParagraph"/>
              <w:spacing w:line="237" w:lineRule="auto"/>
              <w:ind w:left="103" w:right="12"/>
              <w:jc w:val="both"/>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88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394"/>
        <w:gridCol w:w="1054"/>
        <w:gridCol w:w="1114"/>
        <w:gridCol w:w="1114"/>
        <w:gridCol w:w="1073"/>
        <w:gridCol w:w="1183"/>
        <w:gridCol w:w="1054"/>
        <w:gridCol w:w="1052"/>
        <w:gridCol w:w="1013"/>
      </w:tblGrid>
      <w:tr>
        <w:trPr>
          <w:trHeight w:val="324" w:hRule="exact"/>
        </w:trPr>
        <w:tc>
          <w:tcPr>
            <w:tcW w:w="394"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子</w:t>
            </w:r>
          </w:p>
          <w:p>
            <w:pPr>
              <w:pStyle w:val="TableParagraph"/>
              <w:spacing w:line="273" w:lineRule="auto" w:before="39"/>
              <w:ind w:left="103" w:right="67"/>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435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3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253" w:hRule="exact"/>
        </w:trPr>
        <w:tc>
          <w:tcPr>
            <w:tcW w:w="394" w:type="dxa"/>
            <w:vMerge/>
            <w:tcBorders>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73" w:lineRule="auto"/>
              <w:ind w:left="415" w:right="204" w:hanging="212"/>
              <w:jc w:val="left"/>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23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73" w:lineRule="auto"/>
              <w:ind w:left="338" w:right="129" w:hanging="209"/>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73" w:lineRule="auto"/>
              <w:ind w:left="110" w:right="108"/>
              <w:jc w:val="left"/>
              <w:rPr>
                <w:rFonts w:ascii="宋体" w:hAnsi="宋体" w:cs="宋体" w:eastAsia="宋体" w:hint="default"/>
                <w:sz w:val="21"/>
                <w:szCs w:val="21"/>
              </w:rPr>
            </w:pPr>
            <w:r>
              <w:rPr>
                <w:rFonts w:ascii="宋体" w:hAnsi="宋体" w:cs="宋体" w:eastAsia="宋体" w:hint="default"/>
                <w:sz w:val="21"/>
                <w:szCs w:val="21"/>
              </w:rPr>
              <w:t>经营活动</w:t>
            </w:r>
            <w:r>
              <w:rPr>
                <w:rFonts w:ascii="宋体" w:hAnsi="宋体" w:cs="宋体" w:eastAsia="宋体" w:hint="default"/>
                <w:w w:val="100"/>
                <w:sz w:val="21"/>
                <w:szCs w:val="21"/>
              </w:rPr>
              <w:t> </w:t>
            </w:r>
            <w:r>
              <w:rPr>
                <w:rFonts w:ascii="宋体" w:hAnsi="宋体" w:cs="宋体" w:eastAsia="宋体" w:hint="default"/>
                <w:sz w:val="21"/>
                <w:szCs w:val="21"/>
              </w:rPr>
              <w:t>现金流量</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16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2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73" w:lineRule="auto"/>
              <w:ind w:left="202" w:right="204"/>
              <w:jc w:val="left"/>
              <w:rPr>
                <w:rFonts w:ascii="宋体" w:hAnsi="宋体" w:cs="宋体" w:eastAsia="宋体" w:hint="default"/>
                <w:sz w:val="21"/>
                <w:szCs w:val="21"/>
              </w:rPr>
            </w:pPr>
            <w:r>
              <w:rPr>
                <w:rFonts w:ascii="宋体" w:hAnsi="宋体" w:cs="宋体" w:eastAsia="宋体" w:hint="default"/>
                <w:sz w:val="21"/>
                <w:szCs w:val="21"/>
              </w:rPr>
              <w:t>综合收</w:t>
            </w:r>
            <w:r>
              <w:rPr>
                <w:rFonts w:ascii="宋体" w:hAnsi="宋体" w:cs="宋体" w:eastAsia="宋体" w:hint="default"/>
                <w:spacing w:val="-102"/>
                <w:sz w:val="21"/>
                <w:szCs w:val="21"/>
              </w:rPr>
              <w:t> </w:t>
            </w:r>
            <w:r>
              <w:rPr>
                <w:rFonts w:ascii="宋体" w:hAnsi="宋体" w:cs="宋体" w:eastAsia="宋体" w:hint="default"/>
                <w:sz w:val="21"/>
                <w:szCs w:val="21"/>
              </w:rPr>
              <w:t>益总额</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17"/>
              <w:ind w:left="184" w:right="182"/>
              <w:jc w:val="both"/>
              <w:rPr>
                <w:rFonts w:ascii="宋体" w:hAnsi="宋体" w:cs="宋体" w:eastAsia="宋体" w:hint="default"/>
                <w:sz w:val="21"/>
                <w:szCs w:val="21"/>
              </w:rPr>
            </w:pPr>
            <w:r>
              <w:rPr>
                <w:rFonts w:ascii="宋体" w:hAnsi="宋体" w:cs="宋体" w:eastAsia="宋体" w:hint="default"/>
                <w:sz w:val="21"/>
                <w:szCs w:val="21"/>
              </w:rPr>
              <w:t>经营活</w:t>
            </w:r>
            <w:r>
              <w:rPr>
                <w:rFonts w:ascii="宋体" w:hAnsi="宋体" w:cs="宋体" w:eastAsia="宋体" w:hint="default"/>
                <w:spacing w:val="-102"/>
                <w:sz w:val="21"/>
                <w:szCs w:val="21"/>
              </w:rPr>
              <w:t> </w:t>
            </w:r>
            <w:r>
              <w:rPr>
                <w:rFonts w:ascii="宋体" w:hAnsi="宋体" w:cs="宋体" w:eastAsia="宋体" w:hint="default"/>
                <w:sz w:val="21"/>
                <w:szCs w:val="21"/>
              </w:rPr>
              <w:t>动现金</w:t>
            </w:r>
            <w:r>
              <w:rPr>
                <w:rFonts w:ascii="宋体" w:hAnsi="宋体" w:cs="宋体" w:eastAsia="宋体" w:hint="default"/>
                <w:spacing w:val="-102"/>
                <w:sz w:val="21"/>
                <w:szCs w:val="21"/>
              </w:rPr>
              <w:t> </w:t>
            </w:r>
            <w:r>
              <w:rPr>
                <w:rFonts w:ascii="宋体" w:hAnsi="宋体" w:cs="宋体" w:eastAsia="宋体" w:hint="default"/>
                <w:sz w:val="21"/>
                <w:szCs w:val="21"/>
              </w:rPr>
              <w:t>流量</w:t>
            </w:r>
          </w:p>
        </w:tc>
      </w:tr>
      <w:tr>
        <w:trPr>
          <w:trHeight w:val="3142" w:hRule="exact"/>
        </w:trPr>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郑</w:t>
            </w:r>
          </w:p>
          <w:p>
            <w:pPr>
              <w:pStyle w:val="TableParagraph"/>
              <w:spacing w:line="273" w:lineRule="auto" w:before="40"/>
              <w:ind w:left="103" w:right="67"/>
              <w:jc w:val="both"/>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w w:val="100"/>
                <w:sz w:val="21"/>
                <w:szCs w:val="21"/>
              </w:rPr>
              <w:t> </w:t>
            </w: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领</w:t>
            </w:r>
            <w:r>
              <w:rPr>
                <w:rFonts w:ascii="宋体" w:hAnsi="宋体" w:cs="宋体" w:eastAsia="宋体" w:hint="default"/>
                <w:w w:val="100"/>
                <w:sz w:val="21"/>
                <w:szCs w:val="21"/>
              </w:rPr>
              <w:t> </w:t>
            </w:r>
            <w:r>
              <w:rPr>
                <w:rFonts w:ascii="宋体" w:hAnsi="宋体" w:cs="宋体" w:eastAsia="宋体" w:hint="default"/>
                <w:sz w:val="21"/>
                <w:szCs w:val="21"/>
              </w:rPr>
              <w:t>软</w:t>
            </w:r>
            <w:r>
              <w:rPr>
                <w:rFonts w:ascii="宋体" w:hAnsi="宋体" w:cs="宋体" w:eastAsia="宋体" w:hint="default"/>
                <w:w w:val="100"/>
                <w:sz w:val="21"/>
                <w:szCs w:val="21"/>
              </w:rPr>
              <w:t> </w:t>
            </w:r>
            <w:r>
              <w:rPr>
                <w:rFonts w:ascii="宋体" w:hAnsi="宋体" w:cs="宋体" w:eastAsia="宋体" w:hint="default"/>
                <w:sz w:val="21"/>
                <w:szCs w:val="21"/>
              </w:rPr>
              <w:t>件</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sz w:val="22"/>
              </w:rPr>
              <w:t>465,372.</w:t>
            </w:r>
          </w:p>
          <w:p>
            <w:pPr>
              <w:pStyle w:val="TableParagraph"/>
              <w:spacing w:line="240" w:lineRule="auto"/>
              <w:ind w:right="103"/>
              <w:jc w:val="right"/>
              <w:rPr>
                <w:rFonts w:ascii="Times New Roman" w:hAnsi="Times New Roman" w:cs="Times New Roman" w:eastAsia="Times New Roman" w:hint="default"/>
                <w:sz w:val="22"/>
                <w:szCs w:val="22"/>
              </w:rPr>
            </w:pPr>
            <w:r>
              <w:rPr>
                <w:rFonts w:ascii="Times New Roman"/>
                <w:sz w:val="22"/>
              </w:rPr>
              <w:t>31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4"/>
              <w:jc w:val="right"/>
              <w:rPr>
                <w:rFonts w:ascii="Times New Roman" w:hAnsi="Times New Roman" w:cs="Times New Roman" w:eastAsia="Times New Roman" w:hint="default"/>
                <w:sz w:val="22"/>
                <w:szCs w:val="22"/>
              </w:rPr>
            </w:pPr>
            <w:r>
              <w:rPr>
                <w:rFonts w:ascii="Times New Roman"/>
                <w:spacing w:val="-1"/>
                <w:sz w:val="22"/>
              </w:rPr>
              <w:t>-643,546.</w:t>
            </w:r>
          </w:p>
          <w:p>
            <w:pPr>
              <w:pStyle w:val="TableParagraph"/>
              <w:spacing w:line="240" w:lineRule="auto" w:before="38"/>
              <w:ind w:right="103"/>
              <w:jc w:val="right"/>
              <w:rPr>
                <w:rFonts w:ascii="Times New Roman" w:hAnsi="Times New Roman" w:cs="Times New Roman" w:eastAsia="Times New Roman" w:hint="default"/>
                <w:sz w:val="22"/>
                <w:szCs w:val="22"/>
              </w:rPr>
            </w:pPr>
            <w:r>
              <w:rPr>
                <w:rFonts w:ascii="Times New Roman"/>
                <w:sz w:val="22"/>
              </w:rPr>
              <w:t>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3"/>
              <w:jc w:val="right"/>
              <w:rPr>
                <w:rFonts w:ascii="Times New Roman" w:hAnsi="Times New Roman" w:cs="Times New Roman" w:eastAsia="Times New Roman" w:hint="default"/>
                <w:sz w:val="22"/>
                <w:szCs w:val="22"/>
              </w:rPr>
            </w:pPr>
            <w:r>
              <w:rPr>
                <w:rFonts w:ascii="Times New Roman"/>
                <w:spacing w:val="-1"/>
                <w:sz w:val="22"/>
              </w:rPr>
              <w:t>-643,546.</w:t>
            </w:r>
          </w:p>
          <w:p>
            <w:pPr>
              <w:pStyle w:val="TableParagraph"/>
              <w:spacing w:line="240" w:lineRule="auto" w:before="38"/>
              <w:ind w:right="103"/>
              <w:jc w:val="right"/>
              <w:rPr>
                <w:rFonts w:ascii="Times New Roman" w:hAnsi="Times New Roman" w:cs="Times New Roman" w:eastAsia="Times New Roman" w:hint="default"/>
                <w:sz w:val="22"/>
                <w:szCs w:val="22"/>
              </w:rPr>
            </w:pPr>
            <w:r>
              <w:rPr>
                <w:rFonts w:ascii="Times New Roman"/>
                <w:sz w:val="22"/>
              </w:rPr>
              <w:t>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-401,936.</w:t>
            </w:r>
          </w:p>
          <w:p>
            <w:pPr>
              <w:pStyle w:val="TableParagraph"/>
              <w:spacing w:line="240" w:lineRule="auto" w:before="37"/>
              <w:ind w:right="101"/>
              <w:jc w:val="right"/>
              <w:rPr>
                <w:rFonts w:ascii="Times New Roman" w:hAnsi="Times New Roman" w:cs="Times New Roman" w:eastAsia="Times New Roman" w:hint="default"/>
                <w:sz w:val="21"/>
                <w:szCs w:val="21"/>
              </w:rPr>
            </w:pPr>
            <w:r>
              <w:rPr>
                <w:rFonts w:ascii="Times New Roman"/>
                <w:sz w:val="21"/>
              </w:rPr>
              <w:t>56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8"/>
              <w:jc w:val="right"/>
              <w:rPr>
                <w:rFonts w:ascii="Times New Roman" w:hAnsi="Times New Roman" w:cs="Times New Roman" w:eastAsia="Times New Roman" w:hint="default"/>
                <w:sz w:val="22"/>
                <w:szCs w:val="22"/>
              </w:rPr>
            </w:pPr>
            <w:r>
              <w:rPr>
                <w:rFonts w:ascii="Times New Roman"/>
                <w:spacing w:val="-2"/>
                <w:sz w:val="22"/>
              </w:rPr>
              <w:t>3,347,611.</w:t>
            </w:r>
          </w:p>
          <w:p>
            <w:pPr>
              <w:pStyle w:val="TableParagraph"/>
              <w:spacing w:line="240" w:lineRule="auto"/>
              <w:ind w:right="101"/>
              <w:jc w:val="right"/>
              <w:rPr>
                <w:rFonts w:ascii="Times New Roman" w:hAnsi="Times New Roman" w:cs="Times New Roman" w:eastAsia="Times New Roman" w:hint="default"/>
                <w:sz w:val="22"/>
                <w:szCs w:val="22"/>
              </w:rPr>
            </w:pPr>
            <w:r>
              <w:rPr>
                <w:rFonts w:ascii="Times New Roman"/>
                <w:sz w:val="22"/>
              </w:rPr>
              <w:t>39</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sz w:val="22"/>
              </w:rPr>
              <w:t>530,204.</w:t>
            </w:r>
          </w:p>
          <w:p>
            <w:pPr>
              <w:pStyle w:val="TableParagraph"/>
              <w:spacing w:line="240" w:lineRule="auto" w:before="38"/>
              <w:ind w:right="103"/>
              <w:jc w:val="right"/>
              <w:rPr>
                <w:rFonts w:ascii="Times New Roman" w:hAnsi="Times New Roman" w:cs="Times New Roman" w:eastAsia="Times New Roman" w:hint="default"/>
                <w:sz w:val="22"/>
                <w:szCs w:val="22"/>
              </w:rPr>
            </w:pPr>
            <w:r>
              <w:rPr>
                <w:rFonts w:ascii="Times New Roman"/>
                <w:sz w:val="22"/>
              </w:rPr>
              <w:t>14</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sz w:val="22"/>
              </w:rPr>
              <w:t>530,204.</w:t>
            </w:r>
          </w:p>
          <w:p>
            <w:pPr>
              <w:pStyle w:val="TableParagraph"/>
              <w:spacing w:line="240" w:lineRule="auto" w:before="38"/>
              <w:ind w:right="103"/>
              <w:jc w:val="right"/>
              <w:rPr>
                <w:rFonts w:ascii="Times New Roman" w:hAnsi="Times New Roman" w:cs="Times New Roman" w:eastAsia="Times New Roman" w:hint="default"/>
                <w:sz w:val="22"/>
                <w:szCs w:val="22"/>
              </w:rPr>
            </w:pPr>
            <w:r>
              <w:rPr>
                <w:rFonts w:ascii="Times New Roman"/>
                <w:sz w:val="22"/>
              </w:rPr>
              <w:t>14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805,649.</w:t>
            </w:r>
          </w:p>
          <w:p>
            <w:pPr>
              <w:pStyle w:val="TableParagraph"/>
              <w:spacing w:line="240" w:lineRule="auto" w:before="37"/>
              <w:ind w:right="101"/>
              <w:jc w:val="right"/>
              <w:rPr>
                <w:rFonts w:ascii="Times New Roman" w:hAnsi="Times New Roman" w:cs="Times New Roman" w:eastAsia="Times New Roman" w:hint="default"/>
                <w:sz w:val="21"/>
                <w:szCs w:val="21"/>
              </w:rPr>
            </w:pPr>
            <w:r>
              <w:rPr>
                <w:rFonts w:ascii="Times New Roman"/>
                <w:sz w:val="21"/>
              </w:rPr>
              <w:t>63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tabs>
          <w:tab w:pos="861" w:val="left" w:leader="none"/>
        </w:tabs>
        <w:spacing w:line="240" w:lineRule="auto" w:before="36"/>
        <w:ind w:right="2465"/>
        <w:jc w:val="left"/>
        <w:rPr>
          <w:b w:val="0"/>
          <w:bCs w:val="0"/>
        </w:rPr>
      </w:pPr>
      <w:r>
        <w:rPr>
          <w:rFonts w:ascii="宋体" w:hAnsi="宋体" w:cs="宋体" w:eastAsia="宋体" w:hint="default"/>
          <w:w w:val="95"/>
        </w:rPr>
        <w:t>(4).</w:t>
        <w:tab/>
      </w:r>
      <w:r>
        <w:rPr/>
        <w:t>使用企业集团资产和清偿企业集团债务的重大限制：</w:t>
      </w:r>
      <w:r>
        <w:rPr>
          <w:b w:val="0"/>
          <w:bCs w:val="0"/>
        </w:rPr>
      </w:r>
    </w:p>
    <w:p>
      <w:pPr>
        <w:pStyle w:val="BodyText"/>
        <w:spacing w:line="240" w:lineRule="auto" w:before="58"/>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tabs>
          <w:tab w:pos="861" w:val="left" w:leader="none"/>
        </w:tabs>
        <w:spacing w:line="240" w:lineRule="auto"/>
        <w:ind w:right="227"/>
        <w:jc w:val="left"/>
        <w:rPr>
          <w:b w:val="0"/>
          <w:bCs w:val="0"/>
        </w:rPr>
      </w:pPr>
      <w:r>
        <w:rPr>
          <w:rFonts w:ascii="宋体" w:hAnsi="宋体" w:cs="宋体" w:eastAsia="宋体" w:hint="default"/>
          <w:w w:val="95"/>
        </w:rPr>
        <w:t>(5).</w:t>
        <w:tab/>
      </w:r>
      <w:r>
        <w:rPr/>
        <w:t>向纳入合并财务报表范围的结构化主体提供的财务支持或其他支持：</w:t>
      </w:r>
      <w:r>
        <w:rPr>
          <w:b w:val="0"/>
          <w:bCs w:val="0"/>
        </w:rPr>
      </w:r>
    </w:p>
    <w:p>
      <w:pPr>
        <w:pStyle w:val="BodyText"/>
        <w:spacing w:line="240" w:lineRule="auto" w:before="58"/>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3" w:lineRule="exact"/>
        <w:ind w:right="2465"/>
        <w:jc w:val="left"/>
      </w:pPr>
      <w:r>
        <w:rPr/>
        <w:t>其他说明：</w:t>
      </w:r>
    </w:p>
    <w:p>
      <w:pPr>
        <w:pStyle w:val="BodyText"/>
        <w:spacing w:line="289" w:lineRule="exact"/>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right="2465"/>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8"/>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6"/>
        <w:ind w:right="-18"/>
        <w:jc w:val="left"/>
      </w:pPr>
      <w:r>
        <w:rPr/>
        <w:t>□适用</w:t>
      </w:r>
      <w:r>
        <w:rPr>
          <w:rFonts w:ascii="Times New Roman" w:hAnsi="Times New Roman" w:cs="Times New Roman" w:eastAsia="Times New Roman" w:hint="default"/>
        </w:rPr>
        <w:t>□</w:t>
      </w:r>
      <w:r>
        <w:rPr/>
        <w:t>不适用</w:t>
      </w:r>
    </w:p>
    <w:p>
      <w:pPr>
        <w:pStyle w:val="Heading2"/>
        <w:tabs>
          <w:tab w:pos="849" w:val="left" w:leader="none"/>
        </w:tabs>
        <w:spacing w:line="240" w:lineRule="auto" w:before="43"/>
        <w:ind w:right="-18"/>
        <w:jc w:val="left"/>
        <w:rPr>
          <w:b w:val="0"/>
          <w:bCs w:val="0"/>
        </w:rPr>
      </w:pPr>
      <w:r>
        <w:rPr>
          <w:rFonts w:ascii="宋体" w:hAnsi="宋体" w:cs="宋体" w:eastAsia="宋体" w:hint="default"/>
          <w:w w:val="95"/>
        </w:rPr>
        <w:t>(1).</w:t>
        <w:tab/>
      </w:r>
      <w:r>
        <w:rPr/>
        <w:t>重要的合营企业或联营企业</w:t>
      </w:r>
      <w:r>
        <w:rPr>
          <w:b w:val="0"/>
          <w:bCs w:val="0"/>
        </w:rPr>
      </w:r>
    </w:p>
    <w:p>
      <w:pPr>
        <w:pStyle w:val="BodyText"/>
        <w:spacing w:line="240" w:lineRule="auto" w:before="56"/>
        <w:ind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spacing w:line="240" w:lineRule="auto" w:before="154"/>
        <w:ind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2" w:equalWidth="0">
            <w:col w:w="3591" w:space="3445"/>
            <w:col w:w="2254"/>
          </w:cols>
        </w:sectPr>
      </w:pPr>
    </w:p>
    <w:tbl>
      <w:tblPr>
        <w:tblW w:w="0" w:type="auto"/>
        <w:jc w:val="left"/>
        <w:tblInd w:w="105" w:type="dxa"/>
        <w:tblLayout w:type="fixed"/>
        <w:tblCellMar>
          <w:top w:w="0" w:type="dxa"/>
          <w:left w:w="0" w:type="dxa"/>
          <w:bottom w:w="0" w:type="dxa"/>
          <w:right w:w="0" w:type="dxa"/>
        </w:tblCellMar>
        <w:tblLook w:val="01E0"/>
      </w:tblPr>
      <w:tblGrid>
        <w:gridCol w:w="1207"/>
        <w:gridCol w:w="1330"/>
        <w:gridCol w:w="1250"/>
        <w:gridCol w:w="1294"/>
        <w:gridCol w:w="1061"/>
        <w:gridCol w:w="1093"/>
        <w:gridCol w:w="1814"/>
      </w:tblGrid>
      <w:tr>
        <w:trPr>
          <w:trHeight w:val="461" w:hRule="exact"/>
        </w:trPr>
        <w:tc>
          <w:tcPr>
            <w:tcW w:w="1207" w:type="dxa"/>
            <w:vMerge w:val="restart"/>
            <w:tcBorders>
              <w:top w:val="single" w:sz="4" w:space="0" w:color="000000"/>
              <w:left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合营企业</w:t>
            </w:r>
          </w:p>
          <w:p>
            <w:pPr>
              <w:pStyle w:val="TableParagraph"/>
              <w:spacing w:line="272" w:lineRule="exact" w:before="27"/>
              <w:ind w:left="283" w:right="175" w:hanging="106"/>
              <w:jc w:val="left"/>
              <w:rPr>
                <w:rFonts w:ascii="宋体" w:hAnsi="宋体" w:cs="宋体" w:eastAsia="宋体" w:hint="default"/>
                <w:sz w:val="21"/>
                <w:szCs w:val="21"/>
              </w:rPr>
            </w:pPr>
            <w:r>
              <w:rPr>
                <w:rFonts w:ascii="宋体" w:hAnsi="宋体" w:cs="宋体" w:eastAsia="宋体" w:hint="default"/>
                <w:sz w:val="21"/>
                <w:szCs w:val="21"/>
              </w:rPr>
              <w:t>或联营企</w:t>
            </w:r>
            <w:r>
              <w:rPr>
                <w:rFonts w:ascii="宋体" w:hAnsi="宋体" w:cs="宋体" w:eastAsia="宋体" w:hint="default"/>
                <w:w w:val="100"/>
                <w:sz w:val="21"/>
                <w:szCs w:val="21"/>
              </w:rPr>
              <w:t> </w:t>
            </w:r>
            <w:r>
              <w:rPr>
                <w:rFonts w:ascii="宋体" w:hAnsi="宋体" w:cs="宋体" w:eastAsia="宋体" w:hint="default"/>
                <w:sz w:val="21"/>
                <w:szCs w:val="21"/>
              </w:rPr>
              <w:t>业名称</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29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9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p>
        </w:tc>
        <w:tc>
          <w:tcPr>
            <w:tcW w:w="1814" w:type="dxa"/>
            <w:vMerge w:val="restart"/>
            <w:tcBorders>
              <w:top w:val="single" w:sz="4" w:space="0" w:color="000000"/>
              <w:left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72" w:lineRule="exact" w:before="27"/>
              <w:ind w:left="376" w:right="163"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p>
        </w:tc>
      </w:tr>
      <w:tr>
        <w:trPr>
          <w:trHeight w:val="367" w:hRule="exact"/>
        </w:trPr>
        <w:tc>
          <w:tcPr>
            <w:tcW w:w="1207"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11"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28"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814" w:type="dxa"/>
            <w:vMerge/>
            <w:tcBorders>
              <w:left w:val="single" w:sz="4" w:space="0" w:color="000000"/>
              <w:bottom w:val="single" w:sz="4" w:space="0" w:color="000000"/>
              <w:right w:val="single" w:sz="4" w:space="0" w:color="000000"/>
            </w:tcBorders>
          </w:tcPr>
          <w:p>
            <w:pPr/>
          </w:p>
        </w:tc>
      </w:tr>
      <w:tr>
        <w:trPr>
          <w:trHeight w:val="110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54"/>
                <w:sz w:val="21"/>
                <w:szCs w:val="21"/>
              </w:rPr>
              <w:t> </w:t>
            </w:r>
            <w:r>
              <w:rPr>
                <w:rFonts w:ascii="宋体" w:hAnsi="宋体" w:cs="宋体" w:eastAsia="宋体" w:hint="default"/>
                <w:sz w:val="21"/>
                <w:szCs w:val="21"/>
              </w:rPr>
              <w:t>钞</w:t>
            </w:r>
            <w:r>
              <w:rPr>
                <w:rFonts w:ascii="宋体" w:hAnsi="宋体" w:cs="宋体" w:eastAsia="宋体" w:hint="default"/>
                <w:spacing w:val="-54"/>
                <w:sz w:val="21"/>
                <w:szCs w:val="21"/>
              </w:rPr>
              <w:t> </w:t>
            </w:r>
            <w:r>
              <w:rPr>
                <w:rFonts w:ascii="宋体" w:hAnsi="宋体" w:cs="宋体" w:eastAsia="宋体" w:hint="default"/>
                <w:sz w:val="21"/>
                <w:szCs w:val="21"/>
              </w:rPr>
              <w:t>格</w:t>
            </w:r>
            <w:r>
              <w:rPr>
                <w:rFonts w:ascii="宋体" w:hAnsi="宋体" w:cs="宋体" w:eastAsia="宋体" w:hint="default"/>
                <w:spacing w:val="-57"/>
                <w:sz w:val="21"/>
                <w:szCs w:val="21"/>
              </w:rPr>
              <w:t> </w:t>
            </w:r>
            <w:r>
              <w:rPr>
                <w:rFonts w:ascii="宋体" w:hAnsi="宋体" w:cs="宋体" w:eastAsia="宋体" w:hint="default"/>
                <w:sz w:val="21"/>
                <w:szCs w:val="21"/>
              </w:rPr>
              <w:t>尔</w:t>
            </w:r>
          </w:p>
          <w:p>
            <w:pPr>
              <w:pStyle w:val="TableParagraph"/>
              <w:spacing w:line="237" w:lineRule="auto"/>
              <w:ind w:left="103" w:right="40"/>
              <w:jc w:val="both"/>
              <w:rPr>
                <w:rFonts w:ascii="宋体" w:hAnsi="宋体" w:cs="宋体" w:eastAsia="宋体" w:hint="default"/>
                <w:sz w:val="21"/>
                <w:szCs w:val="21"/>
              </w:rPr>
            </w:pPr>
            <w:r>
              <w:rPr>
                <w:rFonts w:ascii="宋体" w:hAnsi="宋体" w:cs="宋体" w:eastAsia="宋体" w:hint="default"/>
                <w:sz w:val="21"/>
                <w:szCs w:val="21"/>
              </w:rPr>
              <w:t>智</w:t>
            </w:r>
            <w:r>
              <w:rPr>
                <w:rFonts w:ascii="宋体" w:hAnsi="宋体" w:cs="宋体" w:eastAsia="宋体" w:hint="default"/>
                <w:spacing w:val="-54"/>
                <w:sz w:val="21"/>
                <w:szCs w:val="21"/>
              </w:rPr>
              <w:t> </w:t>
            </w:r>
            <w:r>
              <w:rPr>
                <w:rFonts w:ascii="宋体" w:hAnsi="宋体" w:cs="宋体" w:eastAsia="宋体" w:hint="default"/>
                <w:sz w:val="21"/>
                <w:szCs w:val="21"/>
              </w:rPr>
              <w:t>能</w:t>
            </w:r>
            <w:r>
              <w:rPr>
                <w:rFonts w:ascii="宋体" w:hAnsi="宋体" w:cs="宋体" w:eastAsia="宋体" w:hint="default"/>
                <w:spacing w:val="-54"/>
                <w:sz w:val="21"/>
                <w:szCs w:val="21"/>
              </w:rPr>
              <w:t> </w:t>
            </w:r>
            <w:r>
              <w:rPr>
                <w:rFonts w:ascii="宋体" w:hAnsi="宋体" w:cs="宋体" w:eastAsia="宋体" w:hint="default"/>
                <w:sz w:val="21"/>
                <w:szCs w:val="21"/>
              </w:rPr>
              <w:t>卡</w:t>
            </w:r>
            <w:r>
              <w:rPr>
                <w:rFonts w:ascii="宋体" w:hAnsi="宋体" w:cs="宋体" w:eastAsia="宋体" w:hint="default"/>
                <w:spacing w:val="-57"/>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技（上海）</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IC </w:t>
            </w:r>
            <w:r>
              <w:rPr>
                <w:rFonts w:ascii="Times New Roman" w:hAnsi="Times New Roman" w:cs="Times New Roman" w:eastAsia="Times New Roman" w:hint="default"/>
                <w:spacing w:val="47"/>
                <w:sz w:val="21"/>
                <w:szCs w:val="21"/>
              </w:rPr>
              <w:t> </w:t>
            </w:r>
            <w:r>
              <w:rPr>
                <w:rFonts w:ascii="宋体" w:hAnsi="宋体" w:cs="宋体" w:eastAsia="宋体" w:hint="default"/>
                <w:spacing w:val="28"/>
                <w:sz w:val="21"/>
                <w:szCs w:val="21"/>
              </w:rPr>
              <w:t>卡产品</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37" w:lineRule="auto"/>
              <w:ind w:left="103" w:right="102"/>
              <w:jc w:val="both"/>
              <w:rPr>
                <w:rFonts w:ascii="宋体" w:hAnsi="宋体" w:cs="宋体" w:eastAsia="宋体" w:hint="default"/>
                <w:sz w:val="21"/>
                <w:szCs w:val="21"/>
              </w:rPr>
            </w:pPr>
            <w:r>
              <w:rPr>
                <w:rFonts w:ascii="宋体" w:hAnsi="宋体" w:cs="宋体" w:eastAsia="宋体" w:hint="default"/>
                <w:sz w:val="21"/>
                <w:szCs w:val="21"/>
              </w:rPr>
              <w:t>研</w:t>
            </w:r>
            <w:r>
              <w:rPr>
                <w:rFonts w:ascii="宋体" w:hAnsi="宋体" w:cs="宋体" w:eastAsia="宋体" w:hint="default"/>
                <w:spacing w:val="-25"/>
                <w:sz w:val="21"/>
                <w:szCs w:val="21"/>
              </w:rPr>
              <w:t> </w:t>
            </w:r>
            <w:r>
              <w:rPr>
                <w:rFonts w:ascii="宋体" w:hAnsi="宋体" w:cs="宋体" w:eastAsia="宋体" w:hint="default"/>
                <w:sz w:val="21"/>
                <w:szCs w:val="21"/>
              </w:rPr>
              <w:t>发</w:t>
            </w:r>
            <w:r>
              <w:rPr>
                <w:rFonts w:ascii="宋体" w:hAnsi="宋体" w:cs="宋体" w:eastAsia="宋体" w:hint="default"/>
                <w:spacing w:val="-28"/>
                <w:sz w:val="21"/>
                <w:szCs w:val="21"/>
              </w:rPr>
              <w:t> </w:t>
            </w:r>
            <w:r>
              <w:rPr>
                <w:rFonts w:ascii="宋体" w:hAnsi="宋体" w:cs="宋体" w:eastAsia="宋体" w:hint="default"/>
                <w:sz w:val="21"/>
                <w:szCs w:val="21"/>
              </w:rPr>
              <w:t>与</w:t>
            </w:r>
            <w:r>
              <w:rPr>
                <w:rFonts w:ascii="宋体" w:hAnsi="宋体" w:cs="宋体" w:eastAsia="宋体" w:hint="default"/>
                <w:spacing w:val="-28"/>
                <w:sz w:val="21"/>
                <w:szCs w:val="21"/>
              </w:rPr>
              <w:t> </w:t>
            </w:r>
            <w:r>
              <w:rPr>
                <w:rFonts w:ascii="宋体" w:hAnsi="宋体" w:cs="宋体" w:eastAsia="宋体" w:hint="default"/>
                <w:sz w:val="21"/>
                <w:szCs w:val="21"/>
              </w:rPr>
              <w:t>生</w:t>
            </w:r>
            <w:r>
              <w:rPr>
                <w:rFonts w:ascii="宋体" w:hAnsi="宋体" w:cs="宋体" w:eastAsia="宋体" w:hint="default"/>
                <w:w w:val="100"/>
                <w:sz w:val="21"/>
                <w:szCs w:val="21"/>
              </w:rPr>
              <w:t> </w:t>
            </w:r>
            <w:r>
              <w:rPr>
                <w:rFonts w:ascii="宋体" w:hAnsi="宋体" w:cs="宋体" w:eastAsia="宋体" w:hint="default"/>
                <w:spacing w:val="2"/>
                <w:sz w:val="21"/>
                <w:szCs w:val="21"/>
              </w:rPr>
              <w:t>产、个人化</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发卡等相关</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7" w:right="0"/>
              <w:jc w:val="left"/>
              <w:rPr>
                <w:rFonts w:ascii="Times New Roman" w:hAnsi="Times New Roman" w:cs="Times New Roman" w:eastAsia="Times New Roman" w:hint="default"/>
                <w:sz w:val="21"/>
                <w:szCs w:val="21"/>
              </w:rPr>
            </w:pPr>
            <w:r>
              <w:rPr>
                <w:rFonts w:ascii="Times New Roman"/>
                <w:sz w:val="21"/>
              </w:rPr>
              <w:t>49.00%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07"/>
        <w:gridCol w:w="1330"/>
        <w:gridCol w:w="1250"/>
        <w:gridCol w:w="1294"/>
        <w:gridCol w:w="1061"/>
        <w:gridCol w:w="1093"/>
        <w:gridCol w:w="1814"/>
      </w:tblGrid>
      <w:tr>
        <w:trPr>
          <w:trHeight w:val="1373" w:hRule="exact"/>
        </w:trPr>
        <w:tc>
          <w:tcPr>
            <w:tcW w:w="120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业务，并提</w:t>
            </w:r>
          </w:p>
          <w:p>
            <w:pPr>
              <w:pStyle w:val="TableParagraph"/>
              <w:spacing w:line="232" w:lineRule="auto" w:before="5"/>
              <w:ind w:left="103" w:right="93"/>
              <w:jc w:val="both"/>
              <w:rPr>
                <w:rFonts w:ascii="宋体" w:hAnsi="宋体" w:cs="宋体" w:eastAsia="宋体" w:hint="default"/>
                <w:sz w:val="21"/>
                <w:szCs w:val="21"/>
              </w:rPr>
            </w:pPr>
            <w:r>
              <w:rPr>
                <w:rFonts w:ascii="宋体" w:hAnsi="宋体" w:cs="宋体" w:eastAsia="宋体" w:hint="default"/>
                <w:sz w:val="21"/>
                <w:szCs w:val="21"/>
              </w:rPr>
              <w:t>供 </w:t>
            </w:r>
            <w:r>
              <w:rPr>
                <w:rFonts w:ascii="Times New Roman" w:hAnsi="Times New Roman" w:cs="Times New Roman" w:eastAsia="Times New Roman" w:hint="default"/>
                <w:sz w:val="21"/>
                <w:szCs w:val="21"/>
              </w:rPr>
              <w:t>IC</w:t>
            </w:r>
            <w:r>
              <w:rPr>
                <w:rFonts w:ascii="Times New Roman" w:hAnsi="Times New Roman" w:cs="Times New Roman" w:eastAsia="Times New Roman" w:hint="default"/>
                <w:spacing w:val="17"/>
                <w:sz w:val="21"/>
                <w:szCs w:val="21"/>
              </w:rPr>
              <w:t> </w:t>
            </w:r>
            <w:r>
              <w:rPr>
                <w:rFonts w:ascii="宋体" w:hAnsi="宋体" w:cs="宋体" w:eastAsia="宋体" w:hint="default"/>
                <w:spacing w:val="8"/>
                <w:sz w:val="21"/>
                <w:szCs w:val="21"/>
              </w:rPr>
              <w:t>卡应</w:t>
            </w:r>
            <w:r>
              <w:rPr>
                <w:rFonts w:ascii="宋体" w:hAnsi="宋体" w:cs="宋体" w:eastAsia="宋体" w:hint="default"/>
                <w:spacing w:val="9"/>
                <w:w w:val="100"/>
                <w:sz w:val="21"/>
                <w:szCs w:val="21"/>
              </w:rPr>
              <w:t> </w:t>
            </w:r>
            <w:r>
              <w:rPr>
                <w:rFonts w:ascii="宋体" w:hAnsi="宋体" w:cs="宋体" w:eastAsia="宋体" w:hint="default"/>
                <w:spacing w:val="2"/>
                <w:sz w:val="21"/>
                <w:szCs w:val="21"/>
              </w:rPr>
              <w:t>用所必需的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支撑系统服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务。</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54"/>
                <w:sz w:val="21"/>
                <w:szCs w:val="21"/>
              </w:rPr>
              <w:t> </w:t>
            </w:r>
            <w:r>
              <w:rPr>
                <w:rFonts w:ascii="宋体" w:hAnsi="宋体" w:cs="宋体" w:eastAsia="宋体" w:hint="default"/>
                <w:sz w:val="21"/>
                <w:szCs w:val="21"/>
              </w:rPr>
              <w:t>疆</w:t>
            </w:r>
            <w:r>
              <w:rPr>
                <w:rFonts w:ascii="宋体" w:hAnsi="宋体" w:cs="宋体" w:eastAsia="宋体" w:hint="default"/>
                <w:spacing w:val="-54"/>
                <w:sz w:val="21"/>
                <w:szCs w:val="21"/>
              </w:rPr>
              <w:t> </w:t>
            </w:r>
            <w:r>
              <w:rPr>
                <w:rFonts w:ascii="宋体" w:hAnsi="宋体" w:cs="宋体" w:eastAsia="宋体" w:hint="default"/>
                <w:sz w:val="21"/>
                <w:szCs w:val="21"/>
              </w:rPr>
              <w:t>数</w:t>
            </w:r>
            <w:r>
              <w:rPr>
                <w:rFonts w:ascii="宋体" w:hAnsi="宋体" w:cs="宋体" w:eastAsia="宋体" w:hint="default"/>
                <w:spacing w:val="-57"/>
                <w:sz w:val="21"/>
                <w:szCs w:val="21"/>
              </w:rPr>
              <w:t> </w:t>
            </w:r>
            <w:r>
              <w:rPr>
                <w:rFonts w:ascii="宋体" w:hAnsi="宋体" w:cs="宋体" w:eastAsia="宋体" w:hint="default"/>
                <w:sz w:val="21"/>
                <w:szCs w:val="21"/>
              </w:rPr>
              <w:t>字</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证</w:t>
            </w:r>
            <w:r>
              <w:rPr>
                <w:rFonts w:ascii="宋体" w:hAnsi="宋体" w:cs="宋体" w:eastAsia="宋体" w:hint="default"/>
                <w:spacing w:val="-54"/>
                <w:sz w:val="21"/>
                <w:szCs w:val="21"/>
              </w:rPr>
              <w:t> </w:t>
            </w:r>
            <w:r>
              <w:rPr>
                <w:rFonts w:ascii="宋体" w:hAnsi="宋体" w:cs="宋体" w:eastAsia="宋体" w:hint="default"/>
                <w:sz w:val="21"/>
                <w:szCs w:val="21"/>
              </w:rPr>
              <w:t>书</w:t>
            </w:r>
            <w:r>
              <w:rPr>
                <w:rFonts w:ascii="宋体" w:hAnsi="宋体" w:cs="宋体" w:eastAsia="宋体" w:hint="default"/>
                <w:spacing w:val="-54"/>
                <w:sz w:val="21"/>
                <w:szCs w:val="21"/>
              </w:rPr>
              <w:t> </w:t>
            </w:r>
            <w:r>
              <w:rPr>
                <w:rFonts w:ascii="宋体" w:hAnsi="宋体" w:cs="宋体" w:eastAsia="宋体" w:hint="default"/>
                <w:sz w:val="21"/>
                <w:szCs w:val="21"/>
              </w:rPr>
              <w:t>认</w:t>
            </w:r>
            <w:r>
              <w:rPr>
                <w:rFonts w:ascii="宋体" w:hAnsi="宋体" w:cs="宋体" w:eastAsia="宋体" w:hint="default"/>
                <w:spacing w:val="-57"/>
                <w:sz w:val="21"/>
                <w:szCs w:val="21"/>
              </w:rPr>
              <w:t> </w:t>
            </w:r>
            <w:r>
              <w:rPr>
                <w:rFonts w:ascii="宋体" w:hAnsi="宋体" w:cs="宋体" w:eastAsia="宋体" w:hint="default"/>
                <w:sz w:val="21"/>
                <w:szCs w:val="21"/>
              </w:rPr>
              <w:t>证</w:t>
            </w:r>
            <w:r>
              <w:rPr>
                <w:rFonts w:ascii="宋体" w:hAnsi="宋体" w:cs="宋体" w:eastAsia="宋体" w:hint="default"/>
                <w:w w:val="100"/>
                <w:sz w:val="21"/>
                <w:szCs w:val="21"/>
              </w:rPr>
              <w:t> </w:t>
            </w:r>
            <w:r>
              <w:rPr>
                <w:rFonts w:ascii="宋体" w:hAnsi="宋体" w:cs="宋体" w:eastAsia="宋体" w:hint="default"/>
                <w:spacing w:val="-13"/>
                <w:sz w:val="21"/>
                <w:szCs w:val="21"/>
              </w:rPr>
              <w:t>中心（有限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乌鲁木齐市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乌</w:t>
            </w:r>
            <w:r>
              <w:rPr>
                <w:rFonts w:ascii="宋体" w:hAnsi="宋体" w:cs="宋体" w:eastAsia="宋体" w:hint="default"/>
                <w:spacing w:val="-40"/>
                <w:sz w:val="21"/>
                <w:szCs w:val="21"/>
              </w:rPr>
              <w:t> </w:t>
            </w:r>
            <w:r>
              <w:rPr>
                <w:rFonts w:ascii="宋体" w:hAnsi="宋体" w:cs="宋体" w:eastAsia="宋体" w:hint="default"/>
                <w:sz w:val="21"/>
                <w:szCs w:val="21"/>
              </w:rPr>
              <w:t>鲁</w:t>
            </w:r>
            <w:r>
              <w:rPr>
                <w:rFonts w:ascii="宋体" w:hAnsi="宋体" w:cs="宋体" w:eastAsia="宋体" w:hint="default"/>
                <w:spacing w:val="-40"/>
                <w:sz w:val="21"/>
                <w:szCs w:val="21"/>
              </w:rPr>
              <w:t> </w:t>
            </w:r>
            <w:r>
              <w:rPr>
                <w:rFonts w:ascii="宋体" w:hAnsi="宋体" w:cs="宋体" w:eastAsia="宋体" w:hint="default"/>
                <w:sz w:val="21"/>
                <w:szCs w:val="21"/>
              </w:rPr>
              <w:t>木</w:t>
            </w:r>
            <w:r>
              <w:rPr>
                <w:rFonts w:ascii="宋体" w:hAnsi="宋体" w:cs="宋体" w:eastAsia="宋体" w:hint="default"/>
                <w:spacing w:val="-42"/>
                <w:sz w:val="21"/>
                <w:szCs w:val="21"/>
              </w:rPr>
              <w:t> </w:t>
            </w:r>
            <w:r>
              <w:rPr>
                <w:rFonts w:ascii="宋体" w:hAnsi="宋体" w:cs="宋体" w:eastAsia="宋体" w:hint="default"/>
                <w:sz w:val="21"/>
                <w:szCs w:val="21"/>
              </w:rPr>
              <w:t>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网上合法身</w:t>
            </w:r>
          </w:p>
          <w:p>
            <w:pPr>
              <w:pStyle w:val="TableParagraph"/>
              <w:spacing w:line="237" w:lineRule="auto" w:before="2"/>
              <w:ind w:left="103" w:right="102"/>
              <w:jc w:val="both"/>
              <w:rPr>
                <w:rFonts w:ascii="宋体" w:hAnsi="宋体" w:cs="宋体" w:eastAsia="宋体" w:hint="default"/>
                <w:sz w:val="21"/>
                <w:szCs w:val="21"/>
              </w:rPr>
            </w:pPr>
            <w:r>
              <w:rPr>
                <w:rFonts w:ascii="宋体" w:hAnsi="宋体" w:cs="宋体" w:eastAsia="宋体" w:hint="default"/>
                <w:spacing w:val="2"/>
                <w:sz w:val="21"/>
                <w:szCs w:val="21"/>
              </w:rPr>
              <w:t>份认证、电</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子签名等电</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子</w:t>
            </w:r>
            <w:r>
              <w:rPr>
                <w:rFonts w:ascii="宋体" w:hAnsi="宋体" w:cs="宋体" w:eastAsia="宋体" w:hint="default"/>
                <w:spacing w:val="-25"/>
                <w:sz w:val="21"/>
                <w:szCs w:val="21"/>
              </w:rPr>
              <w:t> </w:t>
            </w:r>
            <w:r>
              <w:rPr>
                <w:rFonts w:ascii="宋体" w:hAnsi="宋体" w:cs="宋体" w:eastAsia="宋体" w:hint="default"/>
                <w:sz w:val="21"/>
                <w:szCs w:val="21"/>
              </w:rPr>
              <w:t>认</w:t>
            </w:r>
            <w:r>
              <w:rPr>
                <w:rFonts w:ascii="宋体" w:hAnsi="宋体" w:cs="宋体" w:eastAsia="宋体" w:hint="default"/>
                <w:spacing w:val="-28"/>
                <w:sz w:val="21"/>
                <w:szCs w:val="21"/>
              </w:rPr>
              <w:t> </w:t>
            </w:r>
            <w:r>
              <w:rPr>
                <w:rFonts w:ascii="宋体" w:hAnsi="宋体" w:cs="宋体" w:eastAsia="宋体" w:hint="default"/>
                <w:sz w:val="21"/>
                <w:szCs w:val="21"/>
              </w:rPr>
              <w:t>证</w:t>
            </w:r>
            <w:r>
              <w:rPr>
                <w:rFonts w:ascii="宋体" w:hAnsi="宋体" w:cs="宋体" w:eastAsia="宋体" w:hint="default"/>
                <w:spacing w:val="-28"/>
                <w:sz w:val="21"/>
                <w:szCs w:val="21"/>
              </w:rPr>
              <w:t> </w:t>
            </w:r>
            <w:r>
              <w:rPr>
                <w:rFonts w:ascii="宋体" w:hAnsi="宋体" w:cs="宋体" w:eastAsia="宋体" w:hint="default"/>
                <w:sz w:val="21"/>
                <w:szCs w:val="21"/>
              </w:rPr>
              <w:t>服</w:t>
            </w:r>
            <w:r>
              <w:rPr>
                <w:rFonts w:ascii="宋体" w:hAnsi="宋体" w:cs="宋体" w:eastAsia="宋体" w:hint="default"/>
                <w:w w:val="100"/>
                <w:sz w:val="21"/>
                <w:szCs w:val="21"/>
              </w:rPr>
              <w:t> </w:t>
            </w:r>
            <w:r>
              <w:rPr>
                <w:rFonts w:ascii="宋体" w:hAnsi="宋体" w:cs="宋体" w:eastAsia="宋体" w:hint="default"/>
                <w:sz w:val="21"/>
                <w:szCs w:val="21"/>
              </w:rPr>
              <w:t>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7" w:right="0"/>
              <w:jc w:val="left"/>
              <w:rPr>
                <w:rFonts w:ascii="Times New Roman" w:hAnsi="Times New Roman" w:cs="Times New Roman" w:eastAsia="Times New Roman" w:hint="default"/>
                <w:sz w:val="21"/>
                <w:szCs w:val="21"/>
              </w:rPr>
            </w:pPr>
            <w:r>
              <w:rPr>
                <w:rFonts w:ascii="Times New Roman"/>
                <w:sz w:val="21"/>
              </w:rPr>
              <w:t>21.90%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spacing w:line="240" w:lineRule="auto" w:before="7"/>
        <w:rPr>
          <w:rFonts w:ascii="宋体" w:hAnsi="宋体" w:cs="宋体" w:eastAsia="宋体" w:hint="default"/>
          <w:sz w:val="17"/>
          <w:szCs w:val="17"/>
        </w:rPr>
      </w:pPr>
    </w:p>
    <w:p>
      <w:pPr>
        <w:pStyle w:val="Heading2"/>
        <w:tabs>
          <w:tab w:pos="849" w:val="left" w:leader="none"/>
        </w:tabs>
        <w:spacing w:line="240" w:lineRule="auto" w:before="36"/>
        <w:ind w:right="2465"/>
        <w:jc w:val="left"/>
        <w:rPr>
          <w:b w:val="0"/>
          <w:bCs w:val="0"/>
        </w:rPr>
      </w:pPr>
      <w:r>
        <w:rPr>
          <w:rFonts w:ascii="宋体" w:hAnsi="宋体" w:cs="宋体" w:eastAsia="宋体" w:hint="default"/>
          <w:w w:val="95"/>
        </w:rPr>
        <w:t>(2).</w:t>
        <w:tab/>
      </w:r>
      <w:r>
        <w:rPr/>
        <w:t>重要合营企业的主要财务信息</w:t>
      </w:r>
      <w:r>
        <w:rPr>
          <w:b w:val="0"/>
          <w:bCs w:val="0"/>
        </w:rPr>
      </w:r>
    </w:p>
    <w:p>
      <w:pPr>
        <w:pStyle w:val="BodyText"/>
        <w:spacing w:line="240" w:lineRule="auto" w:before="59"/>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67"/>
          <w:pgSz w:w="11910" w:h="16840"/>
          <w:pgMar w:footer="1195" w:header="0" w:top="1120" w:bottom="1380" w:left="1580" w:right="1040"/>
        </w:sectPr>
      </w:pPr>
    </w:p>
    <w:p>
      <w:pPr>
        <w:pStyle w:val="Heading2"/>
        <w:tabs>
          <w:tab w:pos="849" w:val="left" w:leader="none"/>
        </w:tabs>
        <w:spacing w:line="240" w:lineRule="auto" w:before="36"/>
        <w:ind w:right="-7"/>
        <w:jc w:val="left"/>
        <w:rPr>
          <w:b w:val="0"/>
          <w:bCs w:val="0"/>
        </w:rPr>
      </w:pPr>
      <w:r>
        <w:rPr>
          <w:rFonts w:ascii="宋体" w:hAnsi="宋体" w:cs="宋体" w:eastAsia="宋体" w:hint="default"/>
          <w:w w:val="95"/>
        </w:rPr>
        <w:t>(3).</w:t>
        <w:tab/>
      </w:r>
      <w:r>
        <w:rPr>
          <w:spacing w:val="-1"/>
        </w:rPr>
        <w:t>重要联营企业的主要财务信息</w:t>
      </w:r>
      <w:r>
        <w:rPr>
          <w:b w:val="0"/>
          <w:bCs w:val="0"/>
          <w:spacing w:val="-1"/>
        </w:rPr>
      </w:r>
    </w:p>
    <w:p>
      <w:pPr>
        <w:pStyle w:val="BodyText"/>
        <w:spacing w:line="240" w:lineRule="auto" w:before="58"/>
        <w:ind w:right="-18"/>
        <w:jc w:val="left"/>
      </w:pP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591" w:space="3142"/>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9"/>
        <w:gridCol w:w="1531"/>
        <w:gridCol w:w="1534"/>
        <w:gridCol w:w="1529"/>
        <w:gridCol w:w="1526"/>
      </w:tblGrid>
      <w:tr>
        <w:trPr>
          <w:trHeight w:val="286" w:hRule="exact"/>
        </w:trPr>
        <w:tc>
          <w:tcPr>
            <w:tcW w:w="2929" w:type="dxa"/>
            <w:vMerge w:val="restart"/>
            <w:tcBorders>
              <w:top w:val="single" w:sz="4" w:space="0" w:color="000000"/>
              <w:left w:val="single" w:sz="4" w:space="0" w:color="000000"/>
              <w:right w:val="single" w:sz="6" w:space="0" w:color="000000"/>
            </w:tcBorders>
          </w:tcPr>
          <w:p>
            <w:pPr/>
          </w:p>
        </w:tc>
        <w:tc>
          <w:tcPr>
            <w:tcW w:w="3065" w:type="dxa"/>
            <w:gridSpan w:val="2"/>
            <w:tcBorders>
              <w:top w:val="single" w:sz="4" w:space="0" w:color="000000"/>
              <w:left w:val="single" w:sz="6" w:space="0" w:color="000000"/>
              <w:bottom w:val="single" w:sz="6" w:space="0" w:color="000000"/>
              <w:right w:val="single" w:sz="6" w:space="0" w:color="000000"/>
            </w:tcBorders>
          </w:tcPr>
          <w:p>
            <w:pPr>
              <w:pStyle w:val="TableParagraph"/>
              <w:spacing w:line="257" w:lineRule="exact"/>
              <w:ind w:left="49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  </w:t>
            </w:r>
            <w:r>
              <w:rPr>
                <w:rFonts w:ascii="宋体" w:hAnsi="宋体" w:cs="宋体" w:eastAsia="宋体" w:hint="default"/>
                <w:sz w:val="21"/>
                <w:szCs w:val="21"/>
              </w:rPr>
              <w:t>本期发生额</w:t>
            </w:r>
          </w:p>
        </w:tc>
        <w:tc>
          <w:tcPr>
            <w:tcW w:w="3056" w:type="dxa"/>
            <w:gridSpan w:val="2"/>
            <w:tcBorders>
              <w:top w:val="single" w:sz="4" w:space="0" w:color="000000"/>
              <w:left w:val="single" w:sz="6" w:space="0" w:color="000000"/>
              <w:bottom w:val="single" w:sz="6" w:space="0" w:color="000000"/>
              <w:right w:val="single" w:sz="6" w:space="0" w:color="000000"/>
            </w:tcBorders>
          </w:tcPr>
          <w:p>
            <w:pPr>
              <w:pStyle w:val="TableParagraph"/>
              <w:spacing w:line="257" w:lineRule="exact"/>
              <w:ind w:left="49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上期发生额</w:t>
            </w:r>
          </w:p>
        </w:tc>
      </w:tr>
      <w:tr>
        <w:trPr>
          <w:trHeight w:val="286" w:hRule="exact"/>
        </w:trPr>
        <w:tc>
          <w:tcPr>
            <w:tcW w:w="2929" w:type="dxa"/>
            <w:vMerge/>
            <w:tcBorders>
              <w:left w:val="single" w:sz="4"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6" w:right="0"/>
              <w:jc w:val="left"/>
              <w:rPr>
                <w:rFonts w:ascii="宋体" w:hAnsi="宋体" w:cs="宋体" w:eastAsia="宋体" w:hint="default"/>
                <w:sz w:val="21"/>
                <w:szCs w:val="21"/>
              </w:rPr>
            </w:pPr>
            <w:r>
              <w:rPr>
                <w:rFonts w:ascii="宋体" w:hAnsi="宋体" w:cs="宋体" w:eastAsia="宋体" w:hint="default"/>
                <w:sz w:val="21"/>
                <w:szCs w:val="21"/>
              </w:rPr>
              <w:t>中钞格尔</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新疆数字</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6" w:right="0"/>
              <w:jc w:val="left"/>
              <w:rPr>
                <w:rFonts w:ascii="宋体" w:hAnsi="宋体" w:cs="宋体" w:eastAsia="宋体" w:hint="default"/>
                <w:sz w:val="21"/>
                <w:szCs w:val="21"/>
              </w:rPr>
            </w:pPr>
            <w:r>
              <w:rPr>
                <w:rFonts w:ascii="宋体" w:hAnsi="宋体" w:cs="宋体" w:eastAsia="宋体" w:hint="default"/>
                <w:sz w:val="21"/>
                <w:szCs w:val="21"/>
              </w:rPr>
              <w:t>中钞格尔</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5" w:right="0"/>
              <w:jc w:val="left"/>
              <w:rPr>
                <w:rFonts w:ascii="宋体" w:hAnsi="宋体" w:cs="宋体" w:eastAsia="宋体" w:hint="default"/>
                <w:sz w:val="21"/>
                <w:szCs w:val="21"/>
              </w:rPr>
            </w:pPr>
            <w:r>
              <w:rPr>
                <w:rFonts w:ascii="宋体" w:hAnsi="宋体" w:cs="宋体" w:eastAsia="宋体" w:hint="default"/>
                <w:sz w:val="21"/>
                <w:szCs w:val="21"/>
              </w:rPr>
              <w:t>新疆数字</w:t>
            </w: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36,468,450.27</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55,995,245.09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37,504,896.79</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55,550,680.32</w:t>
            </w: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90,088.27</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15,555,418.29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132,445.06</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12,989,276.04</w:t>
            </w:r>
          </w:p>
        </w:tc>
      </w:tr>
      <w:tr>
        <w:trPr>
          <w:trHeight w:val="286"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36,558,538.54</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71,550,663.38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37,637,341.85</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68,539,956.36</w:t>
            </w: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3,445,421.94</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6,968,344.44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5,850,064.36</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6,270,776.58</w:t>
            </w: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492,946.97</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492,946.97</w:t>
            </w: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3,445,421.94</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7,461,291.41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5,850,064.36</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6,763,723.55</w:t>
            </w:r>
          </w:p>
        </w:tc>
      </w:tr>
      <w:tr>
        <w:trPr>
          <w:trHeight w:val="286"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2"/>
                <w:sz w:val="21"/>
              </w:rPr>
              <w:t>33,113,116.60</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64,089,371.97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31,787,277.49</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61,776,232.81</w:t>
            </w:r>
          </w:p>
        </w:tc>
      </w:tr>
      <w:tr>
        <w:trPr>
          <w:trHeight w:val="559"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按持股比例计算的净资产份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16,225,427.13</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14,035,572.46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15,575,765.97</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13,528,994.99</w:t>
            </w: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商誉</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内部交易未实现利润</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对联营企业权益投资的账面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16,225,427.13</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14,035,572.46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15,613,246.65</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13,083,225.19</w:t>
            </w:r>
          </w:p>
        </w:tc>
      </w:tr>
      <w:tr>
        <w:trPr>
          <w:trHeight w:val="562"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存在公开报价的联营企业权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益投资的公允价值</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19,330,003.03</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66,917,483.02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21,380,380.77</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56,408,900.04</w:t>
            </w: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2"/>
                <w:sz w:val="21"/>
              </w:rPr>
              <w:t>1,325,839.11</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22,313,139.16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992,217.81</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20,713,809.80</w:t>
            </w: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1,325,839.11</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22,313,139.16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992,217.81</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20,713,809.80</w:t>
            </w:r>
          </w:p>
        </w:tc>
      </w:tr>
      <w:tr>
        <w:trPr>
          <w:trHeight w:val="559" w:hRule="exact"/>
        </w:trPr>
        <w:tc>
          <w:tcPr>
            <w:tcW w:w="2929"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本年度收到的来自联营企业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w:t>
            </w:r>
          </w:p>
        </w:tc>
        <w:tc>
          <w:tcPr>
            <w:tcW w:w="1531" w:type="dxa"/>
            <w:tcBorders>
              <w:top w:val="single" w:sz="6" w:space="0" w:color="000000"/>
              <w:left w:val="single" w:sz="6" w:space="0" w:color="000000"/>
              <w:bottom w:val="single" w:sz="4" w:space="0" w:color="000000"/>
              <w:right w:val="single" w:sz="6" w:space="0" w:color="000000"/>
            </w:tcBorders>
          </w:tcPr>
          <w:p>
            <w:pPr/>
          </w:p>
        </w:tc>
        <w:tc>
          <w:tcPr>
            <w:tcW w:w="1534"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4,380,000.00</w:t>
            </w:r>
          </w:p>
        </w:tc>
        <w:tc>
          <w:tcPr>
            <w:tcW w:w="1529" w:type="dxa"/>
            <w:tcBorders>
              <w:top w:val="single" w:sz="6" w:space="0" w:color="000000"/>
              <w:left w:val="single" w:sz="6" w:space="0" w:color="000000"/>
              <w:bottom w:val="single" w:sz="4" w:space="0" w:color="000000"/>
              <w:right w:val="single" w:sz="6" w:space="0" w:color="000000"/>
            </w:tcBorders>
          </w:tcPr>
          <w:p>
            <w:pPr/>
          </w:p>
        </w:tc>
        <w:tc>
          <w:tcPr>
            <w:tcW w:w="1526"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1,971,000.00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tabs>
          <w:tab w:pos="769" w:val="left" w:leader="none"/>
        </w:tabs>
        <w:spacing w:line="240" w:lineRule="auto" w:before="36"/>
        <w:ind w:left="138" w:right="0"/>
        <w:jc w:val="left"/>
        <w:rPr>
          <w:b w:val="0"/>
          <w:bCs w:val="0"/>
        </w:rPr>
      </w:pPr>
      <w:r>
        <w:rPr>
          <w:rFonts w:ascii="宋体" w:hAnsi="宋体" w:cs="宋体" w:eastAsia="宋体" w:hint="default"/>
          <w:w w:val="95"/>
        </w:rPr>
        <w:t>(4).</w:t>
        <w:tab/>
      </w:r>
      <w:r>
        <w:rPr/>
        <w:t>不重要的合营企业和联营企业的汇总财务信息</w:t>
      </w:r>
      <w:r>
        <w:rPr>
          <w:b w:val="0"/>
          <w:bCs w:val="0"/>
        </w:rPr>
      </w:r>
    </w:p>
    <w:p>
      <w:pPr>
        <w:pStyle w:val="BodyText"/>
        <w:spacing w:line="240" w:lineRule="auto" w:before="58"/>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8"/>
          <w:szCs w:val="18"/>
        </w:rPr>
      </w:pPr>
    </w:p>
    <w:p>
      <w:pPr>
        <w:pStyle w:val="Heading2"/>
        <w:tabs>
          <w:tab w:pos="769" w:val="left" w:leader="none"/>
        </w:tabs>
        <w:spacing w:line="240" w:lineRule="auto"/>
        <w:ind w:left="138" w:right="0"/>
        <w:jc w:val="left"/>
        <w:rPr>
          <w:b w:val="0"/>
          <w:bCs w:val="0"/>
        </w:rPr>
      </w:pPr>
      <w:r>
        <w:rPr>
          <w:rFonts w:ascii="宋体" w:hAnsi="宋体" w:cs="宋体" w:eastAsia="宋体" w:hint="default"/>
          <w:w w:val="95"/>
        </w:rPr>
        <w:t>(5).</w:t>
        <w:tab/>
      </w:r>
      <w:r>
        <w:rPr/>
        <w:t>合营企业或联营企业向本公司转移资金的能力存在重大限制的说明：</w:t>
      </w:r>
      <w:r>
        <w:rPr>
          <w:b w:val="0"/>
          <w:bCs w:val="0"/>
        </w:rPr>
      </w:r>
    </w:p>
    <w:p>
      <w:pPr>
        <w:pStyle w:val="BodyText"/>
        <w:spacing w:line="240" w:lineRule="auto" w:before="56"/>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tabs>
          <w:tab w:pos="769" w:val="left" w:leader="none"/>
        </w:tabs>
        <w:spacing w:line="240" w:lineRule="auto"/>
        <w:ind w:left="138" w:right="0"/>
        <w:jc w:val="left"/>
        <w:rPr>
          <w:b w:val="0"/>
          <w:bCs w:val="0"/>
        </w:rPr>
      </w:pPr>
      <w:r>
        <w:rPr>
          <w:rFonts w:ascii="宋体" w:hAnsi="宋体" w:cs="宋体" w:eastAsia="宋体" w:hint="default"/>
          <w:w w:val="95"/>
        </w:rPr>
        <w:t>(6).</w:t>
        <w:tab/>
      </w:r>
      <w:r>
        <w:rPr/>
        <w:t>合营企业或联营企业发生的超额亏损</w:t>
      </w:r>
      <w:r>
        <w:rPr>
          <w:b w:val="0"/>
          <w:bCs w:val="0"/>
        </w:rPr>
      </w:r>
    </w:p>
    <w:p>
      <w:pPr>
        <w:pStyle w:val="BodyText"/>
        <w:spacing w:line="240" w:lineRule="auto" w:before="58"/>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18"/>
          <w:szCs w:val="18"/>
        </w:rPr>
      </w:pPr>
    </w:p>
    <w:p>
      <w:pPr>
        <w:pStyle w:val="Heading2"/>
        <w:tabs>
          <w:tab w:pos="769" w:val="left" w:leader="none"/>
        </w:tabs>
        <w:spacing w:line="240" w:lineRule="auto"/>
        <w:ind w:left="138" w:right="0"/>
        <w:jc w:val="left"/>
        <w:rPr>
          <w:b w:val="0"/>
          <w:bCs w:val="0"/>
        </w:rPr>
      </w:pPr>
      <w:r>
        <w:rPr>
          <w:rFonts w:ascii="宋体" w:hAnsi="宋体" w:cs="宋体" w:eastAsia="宋体" w:hint="default"/>
          <w:w w:val="95"/>
        </w:rPr>
        <w:t>(7).</w:t>
        <w:tab/>
      </w:r>
      <w:r>
        <w:rPr/>
        <w:t>与合营企业投资相关的未确认承诺</w:t>
      </w:r>
      <w:r>
        <w:rPr>
          <w:b w:val="0"/>
          <w:bCs w:val="0"/>
        </w:rPr>
      </w:r>
    </w:p>
    <w:p>
      <w:pPr>
        <w:pStyle w:val="BodyText"/>
        <w:spacing w:line="240" w:lineRule="auto" w:before="58"/>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tabs>
          <w:tab w:pos="769" w:val="left" w:leader="none"/>
        </w:tabs>
        <w:spacing w:line="240" w:lineRule="auto"/>
        <w:ind w:left="138" w:right="0"/>
        <w:jc w:val="left"/>
        <w:rPr>
          <w:b w:val="0"/>
          <w:bCs w:val="0"/>
        </w:rPr>
      </w:pPr>
      <w:r>
        <w:rPr>
          <w:rFonts w:ascii="宋体" w:hAnsi="宋体" w:cs="宋体" w:eastAsia="宋体" w:hint="default"/>
          <w:w w:val="95"/>
        </w:rPr>
        <w:t>(8).</w:t>
        <w:tab/>
      </w:r>
      <w:r>
        <w:rPr/>
        <w:t>与合营企业或联营企业投资相关的或有负债</w:t>
      </w:r>
      <w:r>
        <w:rPr>
          <w:b w:val="0"/>
          <w:bCs w:val="0"/>
        </w:rPr>
      </w:r>
    </w:p>
    <w:p>
      <w:pPr>
        <w:pStyle w:val="BodyText"/>
        <w:spacing w:line="240" w:lineRule="auto" w:before="56"/>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138" w:right="0"/>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8"/>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8"/>
          <w:szCs w:val="18"/>
        </w:rPr>
      </w:pPr>
    </w:p>
    <w:p>
      <w:pPr>
        <w:spacing w:line="290" w:lineRule="auto" w:before="0"/>
        <w:ind w:left="138" w:right="38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45" w:lineRule="exact"/>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138" w:right="0"/>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spacing w:line="240" w:lineRule="auto" w:before="56"/>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138" w:right="0"/>
        <w:jc w:val="left"/>
        <w:rPr>
          <w:b w:val="0"/>
          <w:bCs w:val="0"/>
        </w:rPr>
      </w:pPr>
      <w:r>
        <w:rPr/>
        <w:t>十、与金融工具相关的风险</w:t>
      </w:r>
      <w:r>
        <w:rPr>
          <w:b w:val="0"/>
          <w:bCs w:val="0"/>
        </w:rPr>
      </w:r>
    </w:p>
    <w:p>
      <w:pPr>
        <w:pStyle w:val="BodyText"/>
        <w:spacing w:line="240" w:lineRule="auto" w:before="58"/>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tabs>
          <w:tab w:pos="977" w:val="left" w:leader="none"/>
        </w:tabs>
        <w:spacing w:line="240" w:lineRule="auto"/>
        <w:ind w:left="138" w:right="0"/>
        <w:jc w:val="left"/>
        <w:rPr>
          <w:b w:val="0"/>
          <w:bCs w:val="0"/>
        </w:rPr>
      </w:pPr>
      <w:r>
        <w:rPr/>
        <w:t>十一、</w:t>
        <w:tab/>
        <w:t>公允价值的披露</w:t>
      </w:r>
      <w:r>
        <w:rPr>
          <w:b w:val="0"/>
          <w:bCs w:val="0"/>
        </w:rPr>
      </w:r>
    </w:p>
    <w:p>
      <w:pPr>
        <w:pStyle w:val="Heading2"/>
        <w:spacing w:line="240" w:lineRule="auto" w:before="56"/>
        <w:ind w:left="138" w:right="0"/>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9"/>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2"/>
        <w:spacing w:line="240" w:lineRule="auto" w:before="40"/>
        <w:ind w:left="138" w:right="0"/>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spacing w:line="240" w:lineRule="auto" w:before="58"/>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138"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40" w:lineRule="auto" w:before="56"/>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138" w:right="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spacing w:line="240" w:lineRule="auto" w:before="58"/>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3"/>
          <w:szCs w:val="23"/>
        </w:rPr>
      </w:pPr>
    </w:p>
    <w:p>
      <w:pPr>
        <w:pStyle w:val="Heading2"/>
        <w:spacing w:line="272" w:lineRule="exact"/>
        <w:ind w:left="562" w:right="1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spacing w:line="240" w:lineRule="auto" w:before="34"/>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footerReference w:type="default" r:id="rId68"/>
          <w:pgSz w:w="11910" w:h="16840"/>
          <w:pgMar w:footer="1195" w:header="0" w:top="1120" w:bottom="1380" w:left="1660" w:right="1140"/>
          <w:pgNumType w:start="141"/>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2"/>
        <w:spacing w:line="240" w:lineRule="auto" w:before="36"/>
        <w:ind w:left="642" w:right="2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spacing w:line="240" w:lineRule="auto" w:before="56"/>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right="2465"/>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spacing w:line="240" w:lineRule="auto" w:before="58"/>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right="2465"/>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spacing w:line="240" w:lineRule="auto" w:before="56"/>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580" w:right="1040"/>
        </w:sectPr>
      </w:pPr>
    </w:p>
    <w:p>
      <w:pPr>
        <w:pStyle w:val="Heading2"/>
        <w:spacing w:line="240" w:lineRule="auto" w:before="36"/>
        <w:ind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spacing w:line="240" w:lineRule="auto" w:before="58"/>
        <w:ind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2"/>
        <w:tabs>
          <w:tab w:pos="1057" w:val="left" w:leader="none"/>
        </w:tabs>
        <w:spacing w:line="290" w:lineRule="auto" w:before="40"/>
        <w:ind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spacing w:line="240" w:lineRule="auto" w:before="12"/>
        <w:ind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ind w:right="0"/>
        <w:jc w:val="left"/>
      </w:pPr>
      <w:r>
        <w:rPr/>
        <w:t>单位：万元币种：人民币</w:t>
      </w:r>
    </w:p>
    <w:p>
      <w:pPr>
        <w:spacing w:after="0" w:line="240" w:lineRule="auto"/>
        <w:jc w:val="left"/>
        <w:sectPr>
          <w:type w:val="continuous"/>
          <w:pgSz w:w="11910" w:h="16840"/>
          <w:pgMar w:top="1120" w:bottom="1380" w:left="1580" w:right="1040"/>
          <w:cols w:num="2" w:equalWidth="0">
            <w:col w:w="2748" w:space="377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3"/>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ind w:left="206" w:right="202"/>
              <w:jc w:val="center"/>
              <w:rPr>
                <w:rFonts w:ascii="Times New Roman" w:hAnsi="Times New Roman" w:cs="Times New Roman" w:eastAsia="Times New Roman"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15" w:right="113" w:firstLine="52"/>
              <w:jc w:val="left"/>
              <w:rPr>
                <w:rFonts w:ascii="Times New Roman" w:hAnsi="Times New Roman" w:cs="Times New Roman" w:eastAsia="Times New Roman"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z w:val="21"/>
                <w:szCs w:val="21"/>
              </w:rPr>
              <w:t>的表决权比例</w:t>
            </w:r>
            <w:r>
              <w:rPr>
                <w:rFonts w:ascii="Times New Roman" w:hAnsi="Times New Roman" w:cs="Times New Roman" w:eastAsia="Times New Roman" w:hint="default"/>
                <w:sz w:val="21"/>
                <w:szCs w:val="21"/>
              </w:rPr>
              <w:t>(%)</w:t>
            </w:r>
          </w:p>
        </w:tc>
      </w:tr>
      <w:tr>
        <w:trPr>
          <w:trHeight w:val="283"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孔令钢</w:t>
            </w:r>
          </w:p>
        </w:tc>
        <w:tc>
          <w:tcPr>
            <w:tcW w:w="123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14.56%</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14.56%</w:t>
            </w:r>
          </w:p>
        </w:tc>
      </w:tr>
      <w:tr>
        <w:trPr>
          <w:trHeight w:val="283"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陆海天</w:t>
            </w:r>
          </w:p>
        </w:tc>
        <w:tc>
          <w:tcPr>
            <w:tcW w:w="123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10.03%</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10.03%</w:t>
            </w:r>
          </w:p>
        </w:tc>
      </w:tr>
    </w:tbl>
    <w:p>
      <w:pPr>
        <w:spacing w:line="240" w:lineRule="auto" w:before="13"/>
        <w:rPr>
          <w:rFonts w:ascii="宋体" w:hAnsi="宋体" w:cs="宋体" w:eastAsia="宋体" w:hint="default"/>
          <w:sz w:val="12"/>
          <w:szCs w:val="12"/>
        </w:rPr>
      </w:pPr>
    </w:p>
    <w:p>
      <w:pPr>
        <w:pStyle w:val="BodyText"/>
        <w:spacing w:line="274" w:lineRule="exact" w:before="36"/>
        <w:ind w:right="0"/>
        <w:jc w:val="both"/>
      </w:pPr>
      <w:r>
        <w:rPr/>
        <w:t>本企业的母公司情况的说明</w:t>
      </w:r>
    </w:p>
    <w:p>
      <w:pPr>
        <w:pStyle w:val="BodyText"/>
        <w:spacing w:line="232" w:lineRule="auto" w:before="6"/>
        <w:ind w:right="228"/>
        <w:jc w:val="both"/>
      </w:pPr>
      <w:r>
        <w:rPr>
          <w:spacing w:val="-3"/>
        </w:rPr>
        <w:t>公司实际控制人为孔令钢先生、陆海天先生，二人合计控制公司 </w:t>
      </w:r>
      <w:r>
        <w:rPr>
          <w:rFonts w:ascii="Times New Roman" w:hAnsi="Times New Roman" w:cs="Times New Roman" w:eastAsia="Times New Roman" w:hint="default"/>
          <w:spacing w:val="-3"/>
        </w:rPr>
        <w:t>34.43%</w:t>
      </w:r>
      <w:r>
        <w:rPr>
          <w:spacing w:val="-3"/>
        </w:rPr>
        <w:t>的股份。其中，孔令钢先</w:t>
      </w:r>
      <w:r>
        <w:rPr>
          <w:spacing w:val="-84"/>
        </w:rPr>
        <w:t> </w:t>
      </w:r>
      <w:r>
        <w:rPr>
          <w:spacing w:val="-84"/>
        </w:rPr>
      </w:r>
      <w:r>
        <w:rPr/>
        <w:t>生直接持有公司 </w:t>
      </w:r>
      <w:r>
        <w:rPr>
          <w:rFonts w:ascii="Times New Roman" w:hAnsi="Times New Roman" w:cs="Times New Roman" w:eastAsia="Times New Roman" w:hint="default"/>
        </w:rPr>
        <w:t>14.56%</w:t>
      </w:r>
      <w:r>
        <w:rPr/>
        <w:t>的股份，陆海天先生直接持有公司</w:t>
      </w:r>
      <w:r>
        <w:rPr>
          <w:spacing w:val="-29"/>
        </w:rPr>
        <w:t> </w:t>
      </w:r>
      <w:r>
        <w:rPr>
          <w:rFonts w:ascii="Times New Roman" w:hAnsi="Times New Roman" w:cs="Times New Roman" w:eastAsia="Times New Roman" w:hint="default"/>
        </w:rPr>
        <w:t>10.03%</w:t>
      </w:r>
      <w:r>
        <w:rPr/>
        <w:t>的股份；同时，二人通过格尔</w:t>
      </w:r>
      <w:r>
        <w:rPr>
          <w:w w:val="100"/>
        </w:rPr>
        <w:t> </w:t>
      </w:r>
      <w:r>
        <w:rPr/>
        <w:t>实业间接控制公司</w:t>
      </w:r>
      <w:r>
        <w:rPr>
          <w:spacing w:val="-39"/>
        </w:rPr>
        <w:t> </w:t>
      </w:r>
      <w:r>
        <w:rPr>
          <w:rFonts w:ascii="Times New Roman" w:hAnsi="Times New Roman" w:cs="Times New Roman" w:eastAsia="Times New Roman" w:hint="default"/>
          <w:spacing w:val="-5"/>
        </w:rPr>
        <w:t>9.84%</w:t>
      </w:r>
      <w:r>
        <w:rPr>
          <w:spacing w:val="-5"/>
        </w:rPr>
        <w:t>的股份。</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10"/>
        </w:rPr>
        <w:t> </w:t>
      </w:r>
      <w:r>
        <w:rPr/>
        <w:t>年</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spacing w:val="-5"/>
        </w:rPr>
        <w:t>月，孔令钢先生与陆海天先生签署了《一致行动人协</w:t>
      </w:r>
      <w:r>
        <w:rPr>
          <w:spacing w:val="-99"/>
        </w:rPr>
        <w:t> </w:t>
      </w:r>
      <w:r>
        <w:rPr>
          <w:spacing w:val="-99"/>
        </w:rPr>
      </w:r>
      <w:r>
        <w:rPr>
          <w:spacing w:val="-6"/>
          <w:w w:val="100"/>
        </w:rPr>
        <w:t>议》，协议约定：双方作为一致行动人行使股东权利、承担股东义务，参与公司的重大决策；在决</w:t>
      </w:r>
      <w:r>
        <w:rPr>
          <w:w w:val="100"/>
        </w:rPr>
        <w:t> </w:t>
      </w:r>
      <w:r>
        <w:rPr>
          <w:spacing w:val="-1"/>
        </w:rPr>
        <w:t>定公司日常运营管理事项时，共同行使公司股东权利，特别是行使提案权、表决权时采取一致行</w:t>
      </w:r>
      <w:r>
        <w:rPr>
          <w:spacing w:val="-55"/>
        </w:rPr>
        <w:t> </w:t>
      </w:r>
      <w:r>
        <w:rPr>
          <w:spacing w:val="-55"/>
        </w:rPr>
      </w:r>
      <w:r>
        <w:rPr>
          <w:spacing w:val="-7"/>
        </w:rPr>
        <w:t>动。若双方无法就该等一致行动事项达成一致，则在最终投票表决、实际作出决定及对外公开时，</w:t>
      </w:r>
      <w:r>
        <w:rPr>
          <w:spacing w:val="-12"/>
        </w:rPr>
        <w:t> </w:t>
      </w:r>
      <w:r>
        <w:rPr>
          <w:spacing w:val="-12"/>
        </w:rPr>
      </w:r>
      <w:r>
        <w:rPr>
          <w:spacing w:val="-1"/>
        </w:rPr>
        <w:t>应以孔令钢先生的意见为准。因此，孔令钢先生与陆海天先生互为一致行动人，为公司实际控制</w:t>
      </w:r>
      <w:r>
        <w:rPr>
          <w:spacing w:val="-55"/>
        </w:rPr>
        <w:t> </w:t>
      </w:r>
      <w:r>
        <w:rPr>
          <w:spacing w:val="-55"/>
        </w:rPr>
      </w:r>
      <w:r>
        <w:rPr/>
        <w:t>人。</w:t>
      </w:r>
    </w:p>
    <w:p>
      <w:pPr>
        <w:spacing w:line="574" w:lineRule="exact" w:before="25"/>
        <w:ind w:left="218" w:right="5673" w:firstLine="0"/>
        <w:jc w:val="left"/>
        <w:rPr>
          <w:rFonts w:ascii="宋体" w:hAnsi="宋体" w:cs="宋体" w:eastAsia="宋体" w:hint="default"/>
          <w:sz w:val="21"/>
          <w:szCs w:val="21"/>
        </w:rPr>
      </w:pPr>
      <w:r>
        <w:rPr>
          <w:rFonts w:ascii="宋体" w:hAnsi="宋体" w:cs="宋体" w:eastAsia="宋体" w:hint="default"/>
          <w:spacing w:val="-2"/>
          <w:sz w:val="21"/>
          <w:szCs w:val="21"/>
        </w:rPr>
        <w:t>本企业最终控制方是孔令钢、陆海天</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pStyle w:val="BodyText"/>
        <w:tabs>
          <w:tab w:pos="1163" w:val="left" w:leader="none"/>
        </w:tabs>
        <w:spacing w:line="272" w:lineRule="exact" w:before="1"/>
        <w:ind w:right="6116"/>
        <w:jc w:val="left"/>
      </w:pPr>
      <w:r>
        <w:rPr/>
        <w:t>√适用</w:t>
        <w:tab/>
        <w:t>□不适用</w:t>
      </w:r>
      <w:r>
        <w:rPr>
          <w:w w:val="100"/>
        </w:rPr>
        <w:t> </w:t>
      </w:r>
      <w:r>
        <w:rPr/>
        <w:t>本企业子公司的情况详见附注</w:t>
      </w:r>
    </w:p>
    <w:p>
      <w:pPr>
        <w:spacing w:line="240" w:lineRule="auto" w:before="12"/>
        <w:rPr>
          <w:rFonts w:ascii="宋体" w:hAnsi="宋体" w:cs="宋体" w:eastAsia="宋体" w:hint="default"/>
          <w:sz w:val="20"/>
          <w:szCs w:val="20"/>
        </w:rPr>
      </w:pPr>
    </w:p>
    <w:p>
      <w:pPr>
        <w:spacing w:line="290" w:lineRule="auto" w:before="0"/>
        <w:ind w:left="218" w:right="5269"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spacing w:line="234" w:lineRule="exact"/>
        <w:ind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72" w:lineRule="exact" w:before="19"/>
        <w:ind w:right="227"/>
        <w:jc w:val="left"/>
      </w:pPr>
      <w:r>
        <w:rPr>
          <w:spacing w:val="-1"/>
        </w:rPr>
        <w:t>期与本公司发生关联方交易，或前期与本公司发生关联方交易形成余额的其他合营或联营企业情</w:t>
      </w:r>
      <w:r>
        <w:rPr>
          <w:spacing w:val="-55"/>
        </w:rPr>
        <w:t> </w:t>
      </w:r>
      <w:r>
        <w:rPr>
          <w:spacing w:val="-55"/>
        </w:rPr>
      </w:r>
      <w:r>
        <w:rPr/>
        <w:t>况如下</w:t>
      </w:r>
    </w:p>
    <w:p>
      <w:pPr>
        <w:pStyle w:val="BodyText"/>
        <w:spacing w:line="272" w:lineRule="exact" w:before="1"/>
        <w:ind w:right="7770"/>
        <w:jc w:val="left"/>
      </w:pPr>
      <w:r>
        <w:rPr>
          <w:rFonts w:ascii="Times New Roman" w:hAnsi="Times New Roman" w:cs="Times New Roman" w:eastAsia="Times New Roman" w:hint="default"/>
          <w:spacing w:val="-2"/>
        </w:rPr>
        <w:t>□</w:t>
      </w:r>
      <w:r>
        <w:rPr>
          <w:spacing w:val="-2"/>
        </w:rPr>
        <w:t>适用</w:t>
      </w:r>
      <w:r>
        <w:rPr>
          <w:rFonts w:ascii="Times New Roman" w:hAnsi="Times New Roman" w:cs="Times New Roman" w:eastAsia="Times New Roman" w:hint="default"/>
          <w:spacing w:val="-2"/>
        </w:rPr>
        <w:t>√</w:t>
      </w:r>
      <w:r>
        <w:rPr>
          <w:spacing w:val="-2"/>
        </w:rPr>
        <w:t>不适用</w:t>
      </w:r>
      <w:r>
        <w:rPr>
          <w:spacing w:val="-93"/>
        </w:rPr>
        <w:t> </w:t>
      </w:r>
      <w:r>
        <w:rPr>
          <w:spacing w:val="-93"/>
        </w:rPr>
      </w:r>
      <w:r>
        <w:rPr/>
        <w:t>其他说明</w:t>
      </w:r>
    </w:p>
    <w:p>
      <w:pPr>
        <w:pStyle w:val="BodyText"/>
        <w:spacing w:line="265" w:lineRule="exact"/>
        <w:ind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65" w:lineRule="exact"/>
        <w:jc w:val="both"/>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right="2465"/>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上海格尔实业发展有限公司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公司股东，受同一最终控制人控制</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上海格尔汽车科技发展有限公司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受同一最终控制人控制</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上海格尔汽车金属制品有限公司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受同一最终控制人控制</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上海禄伯艾特机器人系统有限公司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受同一最终控制人控制</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上海东芙格尔冷锻制造有限公司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受同一最终控制人控制</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上海格尔存浩机械制造有限公司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受同一最终控制人控制</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上海格尔华渊金属处理有限公司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受同一最终控制人控制</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烟台格尔汽车附件有限公司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受同一最终控制人控制</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上海中进永逸投资管理有限公司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受同一最终控制人控制</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上海格尔恒精材料科技有限公司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控股股东投资参股的公司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浙江省数字安全证书管理有限公司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全资子公司参股公司</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1195"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spacing w:line="290" w:lineRule="auto" w:before="58"/>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7"/>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100"/>
          <w:sz w:val="21"/>
          <w:szCs w:val="21"/>
        </w:rPr>
        <w:t> </w:t>
      </w:r>
      <w:r>
        <w:rPr>
          <w:rFonts w:ascii="宋体" w:hAnsi="宋体" w:cs="宋体" w:eastAsia="宋体" w:hint="default"/>
          <w:sz w:val="21"/>
          <w:szCs w:val="21"/>
        </w:rPr>
        <w:t>采购商品</w:t>
      </w:r>
      <w:r>
        <w:rPr>
          <w:rFonts w:ascii="Times New Roman" w:hAnsi="Times New Roman" w:cs="Times New Roman" w:eastAsia="Times New Roman" w:hint="default"/>
          <w:sz w:val="21"/>
          <w:szCs w:val="21"/>
        </w:rPr>
        <w:t>/</w:t>
      </w:r>
      <w:r>
        <w:rPr>
          <w:rFonts w:ascii="宋体" w:hAnsi="宋体" w:cs="宋体" w:eastAsia="宋体" w:hint="default"/>
          <w:sz w:val="21"/>
          <w:szCs w:val="21"/>
        </w:rPr>
        <w:t>接受劳务情况表</w:t>
      </w:r>
    </w:p>
    <w:p>
      <w:pPr>
        <w:pStyle w:val="BodyText"/>
        <w:spacing w:line="207" w:lineRule="exact"/>
        <w:ind w:right="-18"/>
        <w:jc w:val="left"/>
      </w:pPr>
      <w:r>
        <w:rPr/>
        <w:t>□适用√不适用</w:t>
      </w:r>
    </w:p>
    <w:p>
      <w:pPr>
        <w:pStyle w:val="BodyText"/>
        <w:spacing w:line="280" w:lineRule="exact"/>
        <w:ind w:right="-18"/>
        <w:jc w:val="left"/>
      </w:pPr>
      <w:r>
        <w:rPr/>
        <w:t>出售商品</w:t>
      </w:r>
      <w:r>
        <w:rPr>
          <w:rFonts w:ascii="Times New Roman" w:hAnsi="Times New Roman" w:cs="Times New Roman" w:eastAsia="Times New Roman" w:hint="default"/>
        </w:rPr>
        <w:t>/</w:t>
      </w:r>
      <w:r>
        <w:rPr/>
        <w:t>提供劳务情况表</w:t>
      </w:r>
    </w:p>
    <w:p>
      <w:pPr>
        <w:pStyle w:val="BodyText"/>
        <w:spacing w:line="266" w:lineRule="exact"/>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4421" w:space="2312"/>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17"/>
        <w:gridCol w:w="2122"/>
        <w:gridCol w:w="2177"/>
        <w:gridCol w:w="2180"/>
      </w:tblGrid>
      <w:tr>
        <w:trPr>
          <w:trHeight w:val="28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76"/>
                <w:sz w:val="21"/>
                <w:szCs w:val="21"/>
              </w:rPr>
              <w:t> </w:t>
            </w:r>
            <w:r>
              <w:rPr>
                <w:rFonts w:ascii="宋体" w:hAnsi="宋体" w:cs="宋体" w:eastAsia="宋体" w:hint="default"/>
                <w:sz w:val="21"/>
                <w:szCs w:val="21"/>
              </w:rPr>
              <w:t>疆</w:t>
            </w:r>
            <w:r>
              <w:rPr>
                <w:rFonts w:ascii="宋体" w:hAnsi="宋体" w:cs="宋体" w:eastAsia="宋体" w:hint="default"/>
                <w:spacing w:val="-78"/>
                <w:sz w:val="21"/>
                <w:szCs w:val="21"/>
              </w:rPr>
              <w:t> </w:t>
            </w:r>
            <w:r>
              <w:rPr>
                <w:rFonts w:ascii="宋体" w:hAnsi="宋体" w:cs="宋体" w:eastAsia="宋体" w:hint="default"/>
                <w:sz w:val="21"/>
                <w:szCs w:val="21"/>
              </w:rPr>
              <w:t>数</w:t>
            </w:r>
            <w:r>
              <w:rPr>
                <w:rFonts w:ascii="宋体" w:hAnsi="宋体" w:cs="宋体" w:eastAsia="宋体" w:hint="default"/>
                <w:spacing w:val="-78"/>
                <w:sz w:val="21"/>
                <w:szCs w:val="21"/>
              </w:rPr>
              <w:t> </w:t>
            </w:r>
            <w:r>
              <w:rPr>
                <w:rFonts w:ascii="宋体" w:hAnsi="宋体" w:cs="宋体" w:eastAsia="宋体" w:hint="default"/>
                <w:sz w:val="21"/>
                <w:szCs w:val="21"/>
              </w:rPr>
              <w:t>字</w:t>
            </w:r>
            <w:r>
              <w:rPr>
                <w:rFonts w:ascii="宋体" w:hAnsi="宋体" w:cs="宋体" w:eastAsia="宋体" w:hint="default"/>
                <w:spacing w:val="-76"/>
                <w:sz w:val="21"/>
                <w:szCs w:val="21"/>
              </w:rPr>
              <w:t> </w:t>
            </w:r>
            <w:r>
              <w:rPr>
                <w:rFonts w:ascii="宋体" w:hAnsi="宋体" w:cs="宋体" w:eastAsia="宋体" w:hint="default"/>
                <w:sz w:val="21"/>
                <w:szCs w:val="21"/>
              </w:rPr>
              <w:t>证</w:t>
            </w:r>
            <w:r>
              <w:rPr>
                <w:rFonts w:ascii="宋体" w:hAnsi="宋体" w:cs="宋体" w:eastAsia="宋体" w:hint="default"/>
                <w:spacing w:val="-78"/>
                <w:sz w:val="21"/>
                <w:szCs w:val="21"/>
              </w:rPr>
              <w:t> </w:t>
            </w:r>
            <w:r>
              <w:rPr>
                <w:rFonts w:ascii="宋体" w:hAnsi="宋体" w:cs="宋体" w:eastAsia="宋体" w:hint="default"/>
                <w:sz w:val="21"/>
                <w:szCs w:val="21"/>
              </w:rPr>
              <w:t>书</w:t>
            </w:r>
            <w:r>
              <w:rPr>
                <w:rFonts w:ascii="宋体" w:hAnsi="宋体" w:cs="宋体" w:eastAsia="宋体" w:hint="default"/>
                <w:spacing w:val="-78"/>
                <w:sz w:val="21"/>
                <w:szCs w:val="21"/>
              </w:rPr>
              <w:t> </w:t>
            </w:r>
            <w:r>
              <w:rPr>
                <w:rFonts w:ascii="宋体" w:hAnsi="宋体" w:cs="宋体" w:eastAsia="宋体" w:hint="default"/>
                <w:sz w:val="21"/>
                <w:szCs w:val="21"/>
              </w:rPr>
              <w:t>认</w:t>
            </w:r>
            <w:r>
              <w:rPr>
                <w:rFonts w:ascii="宋体" w:hAnsi="宋体" w:cs="宋体" w:eastAsia="宋体" w:hint="default"/>
                <w:spacing w:val="-76"/>
                <w:sz w:val="21"/>
                <w:szCs w:val="21"/>
              </w:rPr>
              <w:t> </w:t>
            </w:r>
            <w:r>
              <w:rPr>
                <w:rFonts w:ascii="宋体" w:hAnsi="宋体" w:cs="宋体" w:eastAsia="宋体" w:hint="default"/>
                <w:sz w:val="21"/>
                <w:szCs w:val="21"/>
              </w:rPr>
              <w:t>证</w:t>
            </w:r>
            <w:r>
              <w:rPr>
                <w:rFonts w:ascii="宋体" w:hAnsi="宋体" w:cs="宋体" w:eastAsia="宋体" w:hint="default"/>
                <w:spacing w:val="-78"/>
                <w:sz w:val="21"/>
                <w:szCs w:val="21"/>
              </w:rPr>
              <w:t> </w:t>
            </w:r>
            <w:r>
              <w:rPr>
                <w:rFonts w:ascii="宋体" w:hAnsi="宋体" w:cs="宋体" w:eastAsia="宋体" w:hint="default"/>
                <w:sz w:val="21"/>
                <w:szCs w:val="21"/>
              </w:rPr>
              <w:t>中</w:t>
            </w:r>
            <w:r>
              <w:rPr>
                <w:rFonts w:ascii="宋体" w:hAnsi="宋体" w:cs="宋体" w:eastAsia="宋体" w:hint="default"/>
                <w:spacing w:val="-78"/>
                <w:sz w:val="21"/>
                <w:szCs w:val="21"/>
              </w:rPr>
              <w:t> </w:t>
            </w:r>
            <w:r>
              <w:rPr>
                <w:rFonts w:ascii="宋体" w:hAnsi="宋体" w:cs="宋体" w:eastAsia="宋体" w:hint="default"/>
                <w:sz w:val="21"/>
                <w:szCs w:val="21"/>
              </w:rPr>
              <w:t>心</w:t>
            </w:r>
          </w:p>
          <w:p>
            <w:pPr>
              <w:pStyle w:val="TableParagraph"/>
              <w:spacing w:line="289" w:lineRule="exact"/>
              <w:ind w:left="2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r>
              <w:rPr>
                <w:rFonts w:ascii="Times New Roman" w:hAnsi="Times New Roman" w:cs="Times New Roman" w:eastAsia="Times New Roman" w:hint="default"/>
                <w:sz w:val="21"/>
                <w:szCs w:val="21"/>
              </w:rPr>
              <w:t>)</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软件销售</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242,307.69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98" w:right="0"/>
              <w:jc w:val="left"/>
              <w:rPr>
                <w:rFonts w:ascii="Times New Roman" w:hAnsi="Times New Roman" w:cs="Times New Roman" w:eastAsia="Times New Roman" w:hint="default"/>
                <w:sz w:val="21"/>
                <w:szCs w:val="21"/>
              </w:rPr>
            </w:pPr>
            <w:r>
              <w:rPr>
                <w:rFonts w:ascii="Times New Roman"/>
                <w:sz w:val="21"/>
              </w:rPr>
              <w:t>191,452.93</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浙江省数字安全证书管理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软件销售</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34,188.03</w:t>
            </w:r>
          </w:p>
        </w:tc>
        <w:tc>
          <w:tcPr>
            <w:tcW w:w="21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73" w:lineRule="exact" w:before="36"/>
        <w:ind w:right="2465"/>
        <w:jc w:val="left"/>
      </w:pPr>
      <w:r>
        <w:rPr/>
        <w:t>购销商品、提供和接受劳务的关联交易说明</w:t>
      </w:r>
    </w:p>
    <w:p>
      <w:pPr>
        <w:pStyle w:val="BodyText"/>
        <w:spacing w:line="273" w:lineRule="exact"/>
        <w:ind w:right="2465"/>
        <w:jc w:val="left"/>
      </w:pPr>
      <w:r>
        <w:rPr/>
        <w:t>□适用√不适用</w:t>
      </w:r>
    </w:p>
    <w:p>
      <w:pPr>
        <w:spacing w:line="240" w:lineRule="auto" w:before="11"/>
        <w:rPr>
          <w:rFonts w:ascii="宋体" w:hAnsi="宋体" w:cs="宋体" w:eastAsia="宋体" w:hint="default"/>
          <w:sz w:val="22"/>
          <w:szCs w:val="22"/>
        </w:rPr>
      </w:pPr>
    </w:p>
    <w:p>
      <w:pPr>
        <w:spacing w:line="273" w:lineRule="auto" w:before="0"/>
        <w:ind w:left="218" w:right="463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9"/>
          <w:sz w:val="21"/>
          <w:szCs w:val="21"/>
        </w:rPr>
        <w:t> </w:t>
      </w:r>
      <w:r>
        <w:rPr>
          <w:rFonts w:ascii="宋体" w:hAnsi="宋体" w:cs="宋体" w:eastAsia="宋体" w:hint="default"/>
          <w:b/>
          <w:bCs/>
          <w:sz w:val="21"/>
          <w:szCs w:val="21"/>
        </w:rPr>
        <w:t>关联受托管理</w:t>
      </w:r>
      <w:r>
        <w:rPr>
          <w:rFonts w:ascii="Cambria" w:hAnsi="Cambria" w:cs="Cambria" w:eastAsia="Cambria" w:hint="default"/>
          <w:b/>
          <w:bCs/>
          <w:sz w:val="21"/>
          <w:szCs w:val="21"/>
        </w:rPr>
        <w:t>/</w:t>
      </w:r>
      <w:r>
        <w:rPr>
          <w:rFonts w:ascii="宋体" w:hAnsi="宋体" w:cs="宋体" w:eastAsia="宋体" w:hint="default"/>
          <w:b/>
          <w:bCs/>
          <w:sz w:val="21"/>
          <w:szCs w:val="21"/>
        </w:rPr>
        <w:t>承包及委托管理</w:t>
      </w:r>
      <w:r>
        <w:rPr>
          <w:rFonts w:ascii="Cambria" w:hAnsi="Cambria" w:cs="Cambria" w:eastAsia="Cambria"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Times New Roman" w:hAnsi="Times New Roman" w:cs="Times New Roman" w:eastAsia="Times New Roman" w:hint="default"/>
          <w:sz w:val="21"/>
          <w:szCs w:val="21"/>
        </w:rPr>
        <w:t>/</w:t>
      </w:r>
      <w:r>
        <w:rPr>
          <w:rFonts w:ascii="宋体" w:hAnsi="宋体" w:cs="宋体" w:eastAsia="宋体" w:hint="default"/>
          <w:sz w:val="21"/>
          <w:szCs w:val="21"/>
        </w:rPr>
        <w:t>承包情况表：</w:t>
      </w:r>
    </w:p>
    <w:p>
      <w:pPr>
        <w:pStyle w:val="BodyText"/>
        <w:spacing w:line="223" w:lineRule="exact"/>
        <w:ind w:right="2465"/>
        <w:jc w:val="left"/>
      </w:pPr>
      <w:r>
        <w:rPr/>
        <w:t>□适用√不适用</w:t>
      </w:r>
    </w:p>
    <w:p>
      <w:pPr>
        <w:pStyle w:val="BodyText"/>
        <w:spacing w:line="280" w:lineRule="exact"/>
        <w:ind w:right="2465"/>
        <w:jc w:val="left"/>
      </w:pPr>
      <w:r>
        <w:rPr/>
        <w:t>关联托管</w:t>
      </w:r>
      <w:r>
        <w:rPr>
          <w:rFonts w:ascii="Times New Roman" w:hAnsi="Times New Roman" w:cs="Times New Roman" w:eastAsia="Times New Roman" w:hint="default"/>
        </w:rPr>
        <w:t>/</w:t>
      </w:r>
      <w:r>
        <w:rPr/>
        <w:t>承包情况说明</w:t>
      </w:r>
    </w:p>
    <w:p>
      <w:pPr>
        <w:pStyle w:val="BodyText"/>
        <w:spacing w:line="265" w:lineRule="exact"/>
        <w:ind w:right="2465"/>
        <w:jc w:val="left"/>
      </w:pPr>
      <w:r>
        <w:rPr/>
        <w:t>□适用√不适用</w:t>
      </w:r>
    </w:p>
    <w:p>
      <w:pPr>
        <w:spacing w:line="240" w:lineRule="auto" w:before="3"/>
        <w:rPr>
          <w:rFonts w:ascii="宋体" w:hAnsi="宋体" w:cs="宋体" w:eastAsia="宋体" w:hint="default"/>
          <w:sz w:val="18"/>
          <w:szCs w:val="18"/>
        </w:rPr>
      </w:pPr>
    </w:p>
    <w:p>
      <w:pPr>
        <w:pStyle w:val="BodyText"/>
        <w:spacing w:line="282" w:lineRule="exact"/>
        <w:ind w:right="2465"/>
        <w:jc w:val="left"/>
      </w:pPr>
      <w:r>
        <w:rPr/>
        <w:t>本公司委托管理</w:t>
      </w:r>
      <w:r>
        <w:rPr>
          <w:rFonts w:ascii="Times New Roman" w:hAnsi="Times New Roman" w:cs="Times New Roman" w:eastAsia="Times New Roman" w:hint="default"/>
        </w:rPr>
        <w:t>/</w:t>
      </w:r>
      <w:r>
        <w:rPr/>
        <w:t>出包情况表：</w:t>
      </w:r>
    </w:p>
    <w:p>
      <w:pPr>
        <w:pStyle w:val="BodyText"/>
        <w:spacing w:line="272" w:lineRule="exact" w:before="19"/>
        <w:ind w:right="6323"/>
        <w:jc w:val="left"/>
      </w:pPr>
      <w:r>
        <w:rPr/>
        <w:t>□适用√不适用</w:t>
      </w:r>
      <w:r>
        <w:rPr>
          <w:spacing w:val="-103"/>
        </w:rPr>
        <w:t> </w:t>
      </w:r>
      <w:r>
        <w:rPr>
          <w:spacing w:val="-103"/>
        </w:rPr>
      </w:r>
      <w:r>
        <w:rPr>
          <w:spacing w:val="-2"/>
        </w:rPr>
        <w:t>关联管理</w:t>
      </w:r>
      <w:r>
        <w:rPr>
          <w:rFonts w:ascii="Times New Roman" w:hAnsi="Times New Roman" w:cs="Times New Roman" w:eastAsia="Times New Roman" w:hint="default"/>
          <w:spacing w:val="-2"/>
        </w:rPr>
        <w:t>/</w:t>
      </w:r>
      <w:r>
        <w:rPr>
          <w:spacing w:val="-2"/>
        </w:rPr>
        <w:t>出包情况说明</w:t>
      </w:r>
    </w:p>
    <w:p>
      <w:pPr>
        <w:pStyle w:val="BodyText"/>
        <w:spacing w:line="249" w:lineRule="exact"/>
        <w:ind w:right="2465"/>
        <w:jc w:val="left"/>
      </w:pPr>
      <w:r>
        <w:rPr/>
        <w:t>□适用√不适用</w:t>
      </w:r>
    </w:p>
    <w:p>
      <w:pPr>
        <w:spacing w:line="240" w:lineRule="auto" w:before="11"/>
        <w:rPr>
          <w:rFonts w:ascii="宋体" w:hAnsi="宋体" w:cs="宋体" w:eastAsia="宋体" w:hint="default"/>
          <w:sz w:val="22"/>
          <w:szCs w:val="22"/>
        </w:rPr>
      </w:pPr>
    </w:p>
    <w:p>
      <w:pPr>
        <w:spacing w:line="290" w:lineRule="auto" w:before="0"/>
        <w:ind w:left="218" w:right="7165"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9"/>
          <w:sz w:val="21"/>
          <w:szCs w:val="21"/>
        </w:rPr>
        <w:t> </w:t>
      </w:r>
      <w:r>
        <w:rPr>
          <w:rFonts w:ascii="宋体" w:hAnsi="宋体" w:cs="宋体" w:eastAsia="宋体" w:hint="default"/>
          <w:b/>
          <w:bCs/>
          <w:sz w:val="21"/>
          <w:szCs w:val="21"/>
        </w:rPr>
        <w:t>关联租赁情况</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本公司作为出租方：</w:t>
      </w:r>
    </w:p>
    <w:p>
      <w:pPr>
        <w:pStyle w:val="BodyText"/>
        <w:spacing w:line="228" w:lineRule="exact"/>
        <w:ind w:right="2465"/>
        <w:jc w:val="left"/>
      </w:pPr>
      <w:r>
        <w:rPr/>
        <w:t>□适用√不适用</w:t>
      </w:r>
    </w:p>
    <w:p>
      <w:pPr>
        <w:pStyle w:val="BodyText"/>
        <w:spacing w:line="273" w:lineRule="exact"/>
        <w:ind w:right="2465"/>
        <w:jc w:val="left"/>
      </w:pPr>
      <w:r>
        <w:rPr/>
        <w:t>本公司作为承租方：</w:t>
      </w:r>
    </w:p>
    <w:p>
      <w:pPr>
        <w:pStyle w:val="BodyText"/>
        <w:spacing w:line="272" w:lineRule="exact" w:before="27"/>
        <w:ind w:right="632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spacing w:val="-2"/>
        </w:rPr>
        <w:t>关联租赁情况说明</w:t>
      </w:r>
    </w:p>
    <w:p>
      <w:pPr>
        <w:spacing w:after="0" w:line="272"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spacing w:line="290" w:lineRule="auto" w:before="0"/>
        <w:ind w:left="218" w:right="7165"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89"/>
          <w:sz w:val="21"/>
          <w:szCs w:val="21"/>
        </w:rPr>
        <w:t> </w:t>
      </w:r>
      <w:r>
        <w:rPr>
          <w:rFonts w:ascii="宋体" w:hAnsi="宋体" w:cs="宋体" w:eastAsia="宋体" w:hint="default"/>
          <w:b/>
          <w:bCs/>
          <w:sz w:val="21"/>
          <w:szCs w:val="21"/>
        </w:rPr>
        <w:t>关联担保情况</w:t>
      </w:r>
      <w:r>
        <w:rPr>
          <w:rFonts w:ascii="宋体" w:hAnsi="宋体" w:cs="宋体" w:eastAsia="宋体" w:hint="default"/>
          <w:b/>
          <w:bCs/>
          <w:w w:val="100"/>
          <w:sz w:val="21"/>
          <w:szCs w:val="21"/>
        </w:rPr>
        <w:t> </w:t>
      </w:r>
      <w:r>
        <w:rPr>
          <w:rFonts w:ascii="宋体" w:hAnsi="宋体" w:cs="宋体" w:eastAsia="宋体" w:hint="default"/>
          <w:sz w:val="21"/>
          <w:szCs w:val="21"/>
        </w:rPr>
        <w:t>本公司作为担保方</w:t>
      </w:r>
    </w:p>
    <w:p>
      <w:pPr>
        <w:pStyle w:val="BodyText"/>
        <w:spacing w:line="234" w:lineRule="exact"/>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64" w:lineRule="exact"/>
        <w:ind w:right="2465"/>
        <w:jc w:val="left"/>
      </w:pPr>
      <w:r>
        <w:rPr/>
        <w:t>本公司作为被担保方</w:t>
      </w:r>
    </w:p>
    <w:p>
      <w:pPr>
        <w:pStyle w:val="BodyText"/>
        <w:spacing w:line="274" w:lineRule="exact" w:before="24"/>
        <w:ind w:right="632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spacing w:val="-2"/>
        </w:rPr>
        <w:t>关联担保情况说明</w:t>
      </w:r>
    </w:p>
    <w:p>
      <w:pPr>
        <w:pStyle w:val="BodyText"/>
        <w:spacing w:line="262" w:lineRule="exact"/>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(5).</w:t>
      </w:r>
      <w:r>
        <w:rPr>
          <w:rFonts w:ascii="宋体" w:hAnsi="宋体" w:cs="宋体" w:eastAsia="宋体" w:hint="default"/>
          <w:spacing w:val="89"/>
        </w:rPr>
        <w:t> </w:t>
      </w:r>
      <w:r>
        <w:rPr/>
        <w:t>关联方资金拆借</w:t>
      </w:r>
      <w:r>
        <w:rPr>
          <w:b w:val="0"/>
          <w:bCs w:val="0"/>
        </w:rPr>
      </w:r>
    </w:p>
    <w:p>
      <w:pPr>
        <w:pStyle w:val="BodyText"/>
        <w:spacing w:line="240" w:lineRule="auto" w:before="57"/>
        <w:ind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2"/>
        <w:spacing w:line="240" w:lineRule="auto" w:before="40"/>
        <w:ind w:right="-18"/>
        <w:jc w:val="left"/>
        <w:rPr>
          <w:b w:val="0"/>
          <w:bCs w:val="0"/>
        </w:rPr>
      </w:pPr>
      <w:r>
        <w:rPr>
          <w:rFonts w:ascii="宋体" w:hAnsi="宋体" w:cs="宋体" w:eastAsia="宋体" w:hint="default"/>
        </w:rPr>
        <w:t>(6).</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8"/>
        <w:ind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2"/>
        <w:spacing w:line="240" w:lineRule="auto" w:before="40"/>
        <w:ind w:right="-18"/>
        <w:jc w:val="left"/>
        <w:rPr>
          <w:b w:val="0"/>
          <w:bCs w:val="0"/>
        </w:rPr>
      </w:pPr>
      <w:r>
        <w:rPr>
          <w:rFonts w:ascii="宋体" w:hAnsi="宋体" w:cs="宋体" w:eastAsia="宋体" w:hint="default"/>
        </w:rPr>
        <w:t>(7).</w:t>
      </w:r>
      <w:r>
        <w:rPr>
          <w:rFonts w:ascii="宋体" w:hAnsi="宋体" w:cs="宋体" w:eastAsia="宋体" w:hint="default"/>
          <w:spacing w:val="90"/>
        </w:rPr>
        <w:t> </w:t>
      </w:r>
      <w:r>
        <w:rPr/>
        <w:t>关键管理人员报酬</w:t>
      </w:r>
      <w:r>
        <w:rPr>
          <w:b w:val="0"/>
          <w:bCs w:val="0"/>
        </w:rPr>
      </w:r>
    </w:p>
    <w:p>
      <w:pPr>
        <w:pStyle w:val="BodyText"/>
        <w:spacing w:line="240" w:lineRule="auto" w:before="58"/>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6"/>
        <w:ind w:right="0"/>
        <w:jc w:val="left"/>
      </w:pPr>
      <w:r>
        <w:rPr/>
        <w:t>单位：万元币种：人民币</w:t>
      </w:r>
    </w:p>
    <w:p>
      <w:pPr>
        <w:spacing w:after="0" w:line="240" w:lineRule="auto"/>
        <w:jc w:val="left"/>
        <w:sectPr>
          <w:type w:val="continuous"/>
          <w:pgSz w:w="11910" w:h="16840"/>
          <w:pgMar w:top="1120" w:bottom="1380" w:left="1580" w:right="1040"/>
          <w:cols w:num="2" w:equalWidth="0">
            <w:col w:w="3787" w:space="2734"/>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490.80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453.74</w:t>
            </w:r>
          </w:p>
        </w:tc>
      </w:tr>
    </w:tbl>
    <w:p>
      <w:pPr>
        <w:spacing w:line="240" w:lineRule="auto" w:before="10"/>
        <w:rPr>
          <w:rFonts w:ascii="宋体" w:hAnsi="宋体" w:cs="宋体" w:eastAsia="宋体" w:hint="default"/>
          <w:sz w:val="17"/>
          <w:szCs w:val="17"/>
        </w:rPr>
      </w:pPr>
    </w:p>
    <w:p>
      <w:pPr>
        <w:pStyle w:val="Heading2"/>
        <w:spacing w:line="240" w:lineRule="auto" w:before="36"/>
        <w:ind w:right="2465"/>
        <w:jc w:val="left"/>
        <w:rPr>
          <w:b w:val="0"/>
          <w:bCs w:val="0"/>
        </w:rPr>
      </w:pPr>
      <w:r>
        <w:rPr>
          <w:rFonts w:ascii="宋体" w:hAnsi="宋体" w:cs="宋体" w:eastAsia="宋体" w:hint="default"/>
        </w:rPr>
        <w:t>(8).</w:t>
      </w:r>
      <w:r>
        <w:rPr>
          <w:rFonts w:ascii="宋体" w:hAnsi="宋体" w:cs="宋体" w:eastAsia="宋体" w:hint="default"/>
          <w:spacing w:val="89"/>
        </w:rPr>
        <w:t> </w:t>
      </w:r>
      <w:r>
        <w:rPr/>
        <w:t>其他关联交易</w:t>
      </w:r>
      <w:r>
        <w:rPr>
          <w:b w:val="0"/>
          <w:bCs w:val="0"/>
        </w:rPr>
      </w:r>
    </w:p>
    <w:p>
      <w:pPr>
        <w:pStyle w:val="BodyText"/>
        <w:spacing w:line="240" w:lineRule="auto" w:before="56"/>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21"/>
          <w:szCs w:val="21"/>
        </w:rPr>
      </w:pPr>
    </w:p>
    <w:p>
      <w:pPr>
        <w:pStyle w:val="Heading2"/>
        <w:spacing w:line="290" w:lineRule="auto"/>
        <w:ind w:right="6723"/>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rFonts w:ascii="宋体" w:hAnsi="宋体" w:cs="宋体" w:eastAsia="宋体" w:hint="default"/>
          <w:spacing w:val="88"/>
        </w:rPr>
        <w:t> </w:t>
      </w:r>
      <w:r>
        <w:rPr/>
        <w:t>应收项目</w:t>
      </w:r>
      <w:r>
        <w:rPr>
          <w:b w:val="0"/>
          <w:bCs w:val="0"/>
        </w:rPr>
      </w:r>
    </w:p>
    <w:p>
      <w:pPr>
        <w:pStyle w:val="BodyText"/>
        <w:spacing w:line="240" w:lineRule="auto" w:before="12"/>
        <w:ind w:right="2465"/>
        <w:jc w:val="left"/>
      </w:pPr>
      <w:r>
        <w:rPr/>
        <w:t>√适用□不适用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10"/>
        <w:gridCol w:w="1508"/>
        <w:gridCol w:w="1507"/>
        <w:gridCol w:w="1510"/>
        <w:gridCol w:w="1508"/>
        <w:gridCol w:w="1507"/>
      </w:tblGrid>
      <w:tr>
        <w:trPr>
          <w:trHeight w:val="283" w:hRule="exact"/>
        </w:trPr>
        <w:tc>
          <w:tcPr>
            <w:tcW w:w="1510" w:type="dxa"/>
            <w:vMerge w:val="restart"/>
            <w:tcBorders>
              <w:top w:val="single" w:sz="4" w:space="0" w:color="000000"/>
              <w:left w:val="single" w:sz="4" w:space="0" w:color="000000"/>
              <w:right w:val="single" w:sz="4" w:space="0" w:color="000000"/>
            </w:tcBorders>
          </w:tcPr>
          <w:p>
            <w:pPr>
              <w:pStyle w:val="TableParagraph"/>
              <w:spacing w:line="240" w:lineRule="auto" w:before="107"/>
              <w:ind w:left="32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08" w:type="dxa"/>
            <w:vMerge w:val="restart"/>
            <w:tcBorders>
              <w:top w:val="single" w:sz="4" w:space="0" w:color="000000"/>
              <w:left w:val="single" w:sz="4" w:space="0" w:color="000000"/>
              <w:right w:val="single" w:sz="4" w:space="0" w:color="000000"/>
            </w:tcBorders>
          </w:tcPr>
          <w:p>
            <w:pPr>
              <w:pStyle w:val="TableParagraph"/>
              <w:spacing w:line="240" w:lineRule="auto" w:before="107"/>
              <w:ind w:left="431"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0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1510" w:type="dxa"/>
            <w:vMerge/>
            <w:tcBorders>
              <w:left w:val="single" w:sz="4" w:space="0" w:color="000000"/>
              <w:bottom w:val="single" w:sz="4" w:space="0" w:color="000000"/>
              <w:right w:val="single" w:sz="4" w:space="0" w:color="000000"/>
            </w:tcBorders>
          </w:tcPr>
          <w:p>
            <w:pPr/>
          </w:p>
        </w:tc>
        <w:tc>
          <w:tcPr>
            <w:tcW w:w="1508" w:type="dxa"/>
            <w:vMerge/>
            <w:tcBorders>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28"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浙江省数字安</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2"/>
                <w:sz w:val="21"/>
                <w:szCs w:val="21"/>
              </w:rPr>
              <w:t>全证书管理有</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40,000.00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1,200.00</w:t>
            </w:r>
          </w:p>
        </w:tc>
        <w:tc>
          <w:tcPr>
            <w:tcW w:w="150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2"/>
        <w:spacing w:line="240" w:lineRule="auto" w:before="36"/>
        <w:ind w:right="-19"/>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spacing w:line="240" w:lineRule="auto" w:before="58"/>
        <w:ind w:right="-19"/>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spacing w:line="240" w:lineRule="auto"/>
        <w:ind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2" w:equalWidth="0">
            <w:col w:w="1680" w:space="5355"/>
            <w:col w:w="2255"/>
          </w:cols>
        </w:sectPr>
      </w:pPr>
    </w:p>
    <w:tbl>
      <w:tblPr>
        <w:tblW w:w="0" w:type="auto"/>
        <w:jc w:val="left"/>
        <w:tblInd w:w="182" w:type="dxa"/>
        <w:tblLayout w:type="fixed"/>
        <w:tblCellMar>
          <w:top w:w="0" w:type="dxa"/>
          <w:left w:w="0" w:type="dxa"/>
          <w:bottom w:w="0" w:type="dxa"/>
          <w:right w:w="0" w:type="dxa"/>
        </w:tblCellMar>
        <w:tblLook w:val="01E0"/>
      </w:tblPr>
      <w:tblGrid>
        <w:gridCol w:w="2129"/>
        <w:gridCol w:w="2047"/>
        <w:gridCol w:w="2048"/>
        <w:gridCol w:w="2672"/>
      </w:tblGrid>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新疆数字证书认证中</w:t>
            </w:r>
          </w:p>
          <w:p>
            <w:pPr>
              <w:pStyle w:val="TableParagraph"/>
              <w:spacing w:line="290"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心</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r>
              <w:rPr>
                <w:rFonts w:ascii="Times New Roman" w:hAnsi="Times New Roman" w:cs="Times New Roman" w:eastAsia="Times New Roman" w:hint="default"/>
                <w:sz w:val="21"/>
                <w:szCs w:val="21"/>
              </w:rPr>
              <w:t>)</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785,000.00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92" w:right="0"/>
              <w:jc w:val="left"/>
              <w:rPr>
                <w:rFonts w:ascii="Times New Roman" w:hAnsi="Times New Roman" w:cs="Times New Roman" w:eastAsia="Times New Roman" w:hint="default"/>
                <w:sz w:val="21"/>
                <w:szCs w:val="21"/>
              </w:rPr>
            </w:pPr>
            <w:r>
              <w:rPr>
                <w:rFonts w:ascii="Times New Roman"/>
                <w:sz w:val="21"/>
              </w:rPr>
              <w:t>619,000.00</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浙江省数字安全证书</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82,500.00</w:t>
            </w:r>
          </w:p>
        </w:tc>
        <w:tc>
          <w:tcPr>
            <w:tcW w:w="26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2"/>
        <w:spacing w:line="240" w:lineRule="auto" w:before="36"/>
        <w:ind w:right="2465"/>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spacing w:line="240" w:lineRule="auto" w:before="56"/>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before="36"/>
        <w:ind w:left="218" w:right="0" w:firstLine="0"/>
        <w:jc w:val="both"/>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58"/>
        <w:ind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r>
        <w:rPr/>
        <w:t>十三、</w:t>
      </w:r>
      <w:r>
        <w:rPr>
          <w:spacing w:val="102"/>
        </w:rPr>
        <w:t> </w:t>
      </w:r>
      <w:r>
        <w:rPr/>
        <w:t>股份支付</w:t>
      </w:r>
      <w:r>
        <w:rPr>
          <w:b w:val="0"/>
          <w:bCs w:val="0"/>
        </w:rPr>
      </w:r>
    </w:p>
    <w:p>
      <w:pPr>
        <w:pStyle w:val="Heading2"/>
        <w:spacing w:line="240" w:lineRule="auto" w:before="56"/>
        <w:ind w:right="0"/>
        <w:jc w:val="both"/>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8"/>
        <w:ind w:right="0"/>
        <w:jc w:val="both"/>
      </w:pPr>
      <w:r>
        <w:rPr/>
        <w:t>□适用√不适用</w:t>
      </w:r>
    </w:p>
    <w:p>
      <w:pPr>
        <w:spacing w:line="240" w:lineRule="auto" w:before="11"/>
        <w:rPr>
          <w:rFonts w:ascii="宋体" w:hAnsi="宋体" w:cs="宋体" w:eastAsia="宋体" w:hint="default"/>
          <w:sz w:val="22"/>
          <w:szCs w:val="22"/>
        </w:rPr>
      </w:pPr>
    </w:p>
    <w:p>
      <w:pPr>
        <w:pStyle w:val="Heading2"/>
        <w:spacing w:line="240" w:lineRule="auto"/>
        <w:ind w:right="0"/>
        <w:jc w:val="both"/>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8"/>
        <w:ind w:right="0"/>
        <w:jc w:val="both"/>
      </w:pPr>
      <w:r>
        <w:rPr/>
        <w:t>□适用√不适用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2"/>
        <w:spacing w:line="240" w:lineRule="auto"/>
        <w:ind w:right="0"/>
        <w:jc w:val="both"/>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8"/>
        <w:ind w:right="0"/>
        <w:jc w:val="both"/>
      </w:pPr>
      <w:r>
        <w:rPr/>
        <w:t>□适用√不适用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2"/>
        <w:spacing w:line="240" w:lineRule="auto"/>
        <w:ind w:right="0"/>
        <w:jc w:val="both"/>
        <w:rPr>
          <w:b w:val="0"/>
          <w:bCs w:val="0"/>
        </w:rPr>
      </w:pPr>
      <w:r>
        <w:rPr>
          <w:rFonts w:ascii="宋体" w:hAnsi="宋体" w:cs="宋体" w:eastAsia="宋体" w:hint="default"/>
        </w:rPr>
        <w:t>4</w:t>
      </w:r>
      <w:r>
        <w:rPr/>
        <w:t>、 股份支付的修改、终止情况</w:t>
      </w:r>
      <w:r>
        <w:rPr>
          <w:b w:val="0"/>
          <w:bCs w:val="0"/>
        </w:rPr>
      </w:r>
    </w:p>
    <w:p>
      <w:pPr>
        <w:pStyle w:val="BodyText"/>
        <w:spacing w:line="240" w:lineRule="auto" w:before="58"/>
        <w:ind w:right="0"/>
        <w:jc w:val="both"/>
      </w:pPr>
      <w:r>
        <w:rPr/>
        <w:t>□适用√不适用</w:t>
      </w:r>
    </w:p>
    <w:p>
      <w:pPr>
        <w:spacing w:line="240" w:lineRule="auto" w:before="11"/>
        <w:rPr>
          <w:rFonts w:ascii="宋体" w:hAnsi="宋体" w:cs="宋体" w:eastAsia="宋体" w:hint="default"/>
          <w:sz w:val="22"/>
          <w:szCs w:val="22"/>
        </w:rPr>
      </w:pPr>
    </w:p>
    <w:p>
      <w:pPr>
        <w:pStyle w:val="Heading2"/>
        <w:spacing w:line="240" w:lineRule="auto"/>
        <w:ind w:right="0"/>
        <w:jc w:val="both"/>
        <w:rPr>
          <w:b w:val="0"/>
          <w:bCs w:val="0"/>
        </w:rPr>
      </w:pPr>
      <w:r>
        <w:rPr>
          <w:rFonts w:ascii="宋体" w:hAnsi="宋体" w:cs="宋体" w:eastAsia="宋体" w:hint="default"/>
        </w:rPr>
        <w:t>5</w:t>
      </w:r>
      <w:r>
        <w:rPr/>
        <w:t>、</w:t>
      </w:r>
      <w:r>
        <w:rPr>
          <w:spacing w:val="2"/>
        </w:rPr>
        <w:t> </w:t>
      </w:r>
      <w:r>
        <w:rPr/>
        <w:t>其他</w:t>
      </w:r>
      <w:r>
        <w:rPr>
          <w:b w:val="0"/>
          <w:bCs w:val="0"/>
        </w:rPr>
      </w:r>
    </w:p>
    <w:p>
      <w:pPr>
        <w:pStyle w:val="BodyText"/>
        <w:spacing w:line="240" w:lineRule="auto" w:before="56"/>
        <w:ind w:right="0"/>
        <w:jc w:val="both"/>
      </w:pPr>
      <w:r>
        <w:rPr/>
        <w:t>□适用√不适用</w:t>
      </w:r>
    </w:p>
    <w:p>
      <w:pPr>
        <w:spacing w:line="240" w:lineRule="auto" w:before="0"/>
        <w:rPr>
          <w:rFonts w:ascii="宋体" w:hAnsi="宋体" w:cs="宋体" w:eastAsia="宋体" w:hint="default"/>
          <w:sz w:val="23"/>
          <w:szCs w:val="23"/>
        </w:rPr>
      </w:pPr>
    </w:p>
    <w:p>
      <w:pPr>
        <w:pStyle w:val="Heading2"/>
        <w:tabs>
          <w:tab w:pos="1057" w:val="left" w:leader="none"/>
        </w:tabs>
        <w:spacing w:line="290" w:lineRule="auto"/>
        <w:ind w:right="674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74" w:lineRule="exact" w:before="12"/>
        <w:ind w:right="0"/>
        <w:jc w:val="both"/>
      </w:pPr>
      <w:r>
        <w:rPr/>
        <w:t>√适用□不适用</w:t>
      </w:r>
    </w:p>
    <w:p>
      <w:pPr>
        <w:pStyle w:val="BodyText"/>
        <w:spacing w:line="225" w:lineRule="auto" w:before="14"/>
        <w:ind w:right="228"/>
        <w:jc w:val="both"/>
        <w:rPr>
          <w:rFonts w:ascii="Times New Roman" w:hAnsi="Times New Roman" w:cs="Times New Roman" w:eastAsia="Times New Roman" w:hint="default"/>
        </w:rPr>
      </w:pPr>
      <w:r>
        <w:rPr/>
        <w:t>经中国证券监督管理委员会证监许可</w:t>
      </w:r>
      <w:r>
        <w:rPr>
          <w:rFonts w:ascii="Times New Roman" w:hAnsi="Times New Roman" w:cs="Times New Roman" w:eastAsia="Times New Roman" w:hint="default"/>
        </w:rPr>
        <w:t>[2017]431 </w:t>
      </w:r>
      <w:r>
        <w:rPr>
          <w:spacing w:val="-5"/>
        </w:rPr>
        <w:t>号《关于上海格尔软件股份有限公司首次公开发行</w:t>
      </w:r>
      <w:r>
        <w:rPr>
          <w:spacing w:val="-79"/>
        </w:rPr>
        <w:t> </w:t>
      </w:r>
      <w:r>
        <w:rPr>
          <w:spacing w:val="-79"/>
        </w:rPr>
      </w:r>
      <w:r>
        <w:rPr/>
        <w:t>股票的批复》核准，公司向社会公开发行人民币普通股（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1,525.00</w:t>
      </w:r>
      <w:r>
        <w:rPr>
          <w:rFonts w:ascii="Times New Roman" w:hAnsi="Times New Roman" w:cs="Times New Roman" w:eastAsia="Times New Roman" w:hint="default"/>
          <w:spacing w:val="10"/>
        </w:rPr>
        <w:t> </w:t>
      </w:r>
      <w:r>
        <w:rPr/>
        <w:t>万股，募集资金净额为</w:t>
      </w:r>
      <w:r>
        <w:rPr>
          <w:w w:val="100"/>
        </w:rPr>
        <w:t> </w:t>
      </w:r>
      <w:r>
        <w:rPr>
          <w:rFonts w:ascii="Times New Roman" w:hAnsi="Times New Roman" w:cs="Times New Roman" w:eastAsia="Times New Roman" w:hint="default"/>
        </w:rPr>
        <w:t>21,277.17</w:t>
      </w:r>
      <w:r>
        <w:rPr>
          <w:rFonts w:ascii="Times New Roman" w:hAnsi="Times New Roman" w:cs="Times New Roman" w:eastAsia="Times New Roman" w:hint="default"/>
          <w:spacing w:val="-4"/>
        </w:rPr>
        <w:t> </w:t>
      </w:r>
      <w:r>
        <w:rPr/>
        <w:t>万元。募集资金投向使用情况如下：</w:t>
      </w:r>
      <w:r>
        <w:rPr>
          <w:rFonts w:ascii="Times New Roman" w:hAnsi="Times New Roman" w:cs="Times New Roman" w:eastAsia="Times New Roman" w:hint="default"/>
        </w:rPr>
        <w:t>(</w:t>
      </w:r>
      <w:r>
        <w:rPr/>
        <w:t>万元</w:t>
      </w:r>
      <w:r>
        <w:rPr>
          <w:rFonts w:ascii="Times New Roman" w:hAnsi="Times New Roman" w:cs="Times New Roman" w:eastAsia="Times New Roman" w:hint="default"/>
        </w:rPr>
        <w:t>)</w:t>
      </w: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73" w:right="0"/>
              <w:jc w:val="left"/>
              <w:rPr>
                <w:rFonts w:ascii="宋体" w:hAnsi="宋体" w:cs="宋体" w:eastAsia="宋体" w:hint="default"/>
                <w:sz w:val="21"/>
                <w:szCs w:val="21"/>
              </w:rPr>
            </w:pPr>
            <w:r>
              <w:rPr>
                <w:rFonts w:ascii="宋体" w:hAnsi="宋体" w:cs="宋体" w:eastAsia="宋体" w:hint="default"/>
                <w:sz w:val="21"/>
                <w:szCs w:val="21"/>
              </w:rPr>
              <w:t>承诺投资项目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71" w:right="0"/>
              <w:jc w:val="left"/>
              <w:rPr>
                <w:rFonts w:ascii="宋体" w:hAnsi="宋体" w:cs="宋体" w:eastAsia="宋体" w:hint="default"/>
                <w:sz w:val="21"/>
                <w:szCs w:val="21"/>
              </w:rPr>
            </w:pPr>
            <w:r>
              <w:rPr>
                <w:rFonts w:ascii="宋体" w:hAnsi="宋体" w:cs="宋体" w:eastAsia="宋体" w:hint="default"/>
                <w:sz w:val="21"/>
                <w:szCs w:val="21"/>
              </w:rPr>
              <w:t>承诺投资金额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73" w:right="0"/>
              <w:jc w:val="left"/>
              <w:rPr>
                <w:rFonts w:ascii="宋体" w:hAnsi="宋体" w:cs="宋体" w:eastAsia="宋体" w:hint="default"/>
                <w:sz w:val="21"/>
                <w:szCs w:val="21"/>
              </w:rPr>
            </w:pPr>
            <w:r>
              <w:rPr>
                <w:rFonts w:ascii="宋体" w:hAnsi="宋体" w:cs="宋体" w:eastAsia="宋体" w:hint="default"/>
                <w:sz w:val="21"/>
                <w:szCs w:val="21"/>
              </w:rPr>
              <w:t>实际投资金额</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55"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PKI</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的应用安全支撑平台</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产业化项目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7,050.00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1,890.87</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hAnsi="宋体" w:cs="宋体" w:eastAsia="宋体" w:hint="default"/>
                <w:sz w:val="21"/>
                <w:szCs w:val="21"/>
              </w:rPr>
              <w:t>高性能身份管理系统技术升级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改造项目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5,230.00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577.45</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hAnsi="宋体" w:cs="宋体" w:eastAsia="宋体" w:hint="default"/>
                <w:sz w:val="21"/>
                <w:szCs w:val="21"/>
              </w:rPr>
              <w:t>移动安全管理平台产业化项目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1,002.15</w:t>
            </w:r>
          </w:p>
        </w:tc>
      </w:tr>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hAnsi="宋体" w:cs="宋体" w:eastAsia="宋体" w:hint="default"/>
                <w:sz w:val="21"/>
                <w:szCs w:val="21"/>
              </w:rPr>
              <w:t>技术研发中心扩建项目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3,200.00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2,231.04</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21,280.00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5,701.51</w:t>
            </w:r>
          </w:p>
        </w:tc>
      </w:tr>
    </w:tbl>
    <w:p>
      <w:pPr>
        <w:spacing w:line="240" w:lineRule="auto" w:before="8"/>
        <w:rPr>
          <w:rFonts w:ascii="Times New Roman" w:hAnsi="Times New Roman" w:cs="Times New Roman" w:eastAsia="Times New Roman" w:hint="default"/>
          <w:sz w:val="21"/>
          <w:szCs w:val="21"/>
        </w:rPr>
      </w:pPr>
    </w:p>
    <w:p>
      <w:pPr>
        <w:pStyle w:val="Heading2"/>
        <w:spacing w:line="240" w:lineRule="auto" w:before="36"/>
        <w:ind w:right="2465"/>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Heading2"/>
        <w:spacing w:line="240" w:lineRule="auto" w:before="56"/>
        <w:ind w:right="2465"/>
        <w:jc w:val="left"/>
        <w:rPr>
          <w:b w:val="0"/>
          <w:bCs w:val="0"/>
        </w:rPr>
      </w:pPr>
      <w:r>
        <w:rPr>
          <w:rFonts w:ascii="宋体" w:hAnsi="宋体" w:cs="宋体" w:eastAsia="宋体" w:hint="default"/>
        </w:rPr>
        <w:t>(1).</w:t>
      </w:r>
      <w:r>
        <w:rPr>
          <w:rFonts w:ascii="宋体" w:hAnsi="宋体" w:cs="宋体" w:eastAsia="宋体" w:hint="default"/>
          <w:spacing w:val="86"/>
        </w:rPr>
        <w:t> </w:t>
      </w:r>
      <w:r>
        <w:rPr/>
        <w:t>资产负债表日存在的重要或有事项</w:t>
      </w:r>
      <w:r>
        <w:rPr>
          <w:b w:val="0"/>
          <w:bCs w:val="0"/>
        </w:rPr>
      </w:r>
    </w:p>
    <w:p>
      <w:pPr>
        <w:pStyle w:val="BodyText"/>
        <w:spacing w:line="240" w:lineRule="auto" w:before="58"/>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83"/>
        </w:rPr>
        <w:t> </w:t>
      </w:r>
      <w:r>
        <w:rPr/>
        <w:t>公司没有需要披露的重要或有事项，也应予以说明：</w:t>
      </w:r>
      <w:r>
        <w:rPr>
          <w:b w:val="0"/>
          <w:bCs w:val="0"/>
        </w:rPr>
      </w:r>
    </w:p>
    <w:p>
      <w:pPr>
        <w:pStyle w:val="BodyText"/>
        <w:spacing w:line="240" w:lineRule="auto" w:before="58"/>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2"/>
          <w:szCs w:val="22"/>
        </w:rPr>
      </w:pPr>
    </w:p>
    <w:p>
      <w:pPr>
        <w:pStyle w:val="Heading2"/>
        <w:spacing w:line="240" w:lineRule="auto"/>
        <w:ind w:right="2465"/>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spacing w:line="240" w:lineRule="auto" w:before="56"/>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pgSz w:w="11910" w:h="16840"/>
          <w:pgMar w:header="0" w:footer="1195" w:top="1120" w:bottom="1380" w:left="1580" w:right="1040"/>
        </w:sectPr>
      </w:pPr>
    </w:p>
    <w:p>
      <w:pPr>
        <w:spacing w:line="240" w:lineRule="auto" w:before="1"/>
        <w:rPr>
          <w:rFonts w:ascii="宋体" w:hAnsi="宋体" w:cs="宋体" w:eastAsia="宋体" w:hint="default"/>
          <w:sz w:val="25"/>
          <w:szCs w:val="25"/>
        </w:rPr>
      </w:pPr>
    </w:p>
    <w:p>
      <w:pPr>
        <w:pStyle w:val="Heading2"/>
        <w:tabs>
          <w:tab w:pos="1057" w:val="left" w:leader="none"/>
        </w:tabs>
        <w:spacing w:line="240" w:lineRule="auto" w:before="36"/>
        <w:ind w:right="2465"/>
        <w:jc w:val="left"/>
        <w:rPr>
          <w:b w:val="0"/>
          <w:bCs w:val="0"/>
        </w:rPr>
      </w:pPr>
      <w:r>
        <w:rPr/>
        <w:t>十五、</w:t>
        <w:tab/>
        <w:t>资产负债表日后事项</w:t>
      </w:r>
      <w:r>
        <w:rPr>
          <w:b w:val="0"/>
          <w:bCs w:val="0"/>
        </w:rPr>
      </w:r>
    </w:p>
    <w:p>
      <w:pPr>
        <w:spacing w:line="240" w:lineRule="auto" w:before="11"/>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0" w:footer="1195" w:top="1120" w:bottom="1380" w:left="1580" w:right="1040"/>
        </w:sectPr>
      </w:pPr>
    </w:p>
    <w:p>
      <w:pPr>
        <w:pStyle w:val="Heading2"/>
        <w:spacing w:line="240" w:lineRule="auto" w:before="36"/>
        <w:ind w:right="-19"/>
        <w:jc w:val="left"/>
        <w:rPr>
          <w:b w:val="0"/>
          <w:bCs w:val="0"/>
        </w:rPr>
      </w:pPr>
      <w:r>
        <w:rPr>
          <w:rFonts w:ascii="Calibri" w:hAnsi="Calibri" w:cs="Calibri" w:eastAsia="Calibri" w:hint="default"/>
        </w:rPr>
        <w:t>1</w:t>
      </w:r>
      <w:r>
        <w:rPr/>
        <w:t>、</w:t>
      </w:r>
      <w:r>
        <w:rPr>
          <w:spacing w:val="3"/>
        </w:rPr>
        <w:t> </w:t>
      </w:r>
      <w:r>
        <w:rPr/>
        <w:t>利润分配情况</w:t>
      </w:r>
      <w:r>
        <w:rPr>
          <w:b w:val="0"/>
          <w:bCs w:val="0"/>
        </w:rPr>
      </w:r>
    </w:p>
    <w:p>
      <w:pPr>
        <w:pStyle w:val="BodyText"/>
        <w:spacing w:line="240" w:lineRule="auto" w:before="29"/>
        <w:ind w:right="-19"/>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911" w:space="4822"/>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9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拟分配的利润或股利</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24,400,000.00</w:t>
            </w:r>
          </w:p>
        </w:tc>
      </w:tr>
      <w:tr>
        <w:trPr>
          <w:trHeight w:val="29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经审议批准宣告发放的利润或股利</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0.00</w:t>
            </w:r>
          </w:p>
        </w:tc>
      </w:tr>
    </w:tbl>
    <w:p>
      <w:pPr>
        <w:pStyle w:val="BodyText"/>
        <w:spacing w:line="248" w:lineRule="exact"/>
        <w:ind w:right="65"/>
        <w:jc w:val="left"/>
      </w:pPr>
      <w:r>
        <w:rPr>
          <w:w w:val="100"/>
        </w:rPr>
        <w:t>经公司</w:t>
      </w:r>
      <w:r>
        <w:rPr>
          <w:spacing w:val="-3"/>
          <w:w w:val="100"/>
        </w:rPr>
        <w:t>第</w:t>
      </w:r>
      <w:r>
        <w:rPr>
          <w:w w:val="100"/>
        </w:rPr>
        <w:t>六届</w:t>
      </w:r>
      <w:r>
        <w:rPr>
          <w:spacing w:val="-3"/>
          <w:w w:val="100"/>
        </w:rPr>
        <w:t>董</w:t>
      </w:r>
      <w:r>
        <w:rPr>
          <w:w w:val="100"/>
        </w:rPr>
        <w:t>事</w:t>
      </w:r>
      <w:r>
        <w:rPr>
          <w:spacing w:val="-3"/>
          <w:w w:val="100"/>
        </w:rPr>
        <w:t>会</w:t>
      </w:r>
      <w:r>
        <w:rPr>
          <w:w w:val="100"/>
        </w:rPr>
        <w:t>第</w:t>
      </w:r>
      <w:r>
        <w:rPr>
          <w:spacing w:val="-3"/>
          <w:w w:val="100"/>
        </w:rPr>
        <w:t>九</w:t>
      </w:r>
      <w:r>
        <w:rPr>
          <w:w w:val="100"/>
        </w:rPr>
        <w:t>次会议</w:t>
      </w:r>
      <w:r>
        <w:rPr>
          <w:spacing w:val="-3"/>
          <w:w w:val="100"/>
        </w:rPr>
        <w:t>审</w:t>
      </w:r>
      <w:r>
        <w:rPr>
          <w:w w:val="100"/>
        </w:rPr>
        <w:t>议通</w:t>
      </w:r>
      <w:r>
        <w:rPr>
          <w:spacing w:val="-3"/>
          <w:w w:val="100"/>
        </w:rPr>
        <w:t>过</w:t>
      </w:r>
      <w:r>
        <w:rPr>
          <w:w w:val="100"/>
        </w:rPr>
        <w:t>的《</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017</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年度利</w:t>
      </w:r>
      <w:r>
        <w:rPr>
          <w:spacing w:val="-3"/>
          <w:w w:val="100"/>
        </w:rPr>
        <w:t>润</w:t>
      </w:r>
      <w:r>
        <w:rPr>
          <w:w w:val="100"/>
        </w:rPr>
        <w:t>分</w:t>
      </w:r>
      <w:r>
        <w:rPr>
          <w:spacing w:val="-3"/>
          <w:w w:val="100"/>
        </w:rPr>
        <w:t>配</w:t>
      </w:r>
      <w:r>
        <w:rPr>
          <w:w w:val="100"/>
        </w:rPr>
        <w:t>暨资</w:t>
      </w:r>
      <w:r>
        <w:rPr>
          <w:spacing w:val="-3"/>
          <w:w w:val="100"/>
        </w:rPr>
        <w:t>本</w:t>
      </w:r>
      <w:r>
        <w:rPr>
          <w:w w:val="100"/>
        </w:rPr>
        <w:t>公</w:t>
      </w:r>
      <w:r>
        <w:rPr>
          <w:spacing w:val="-3"/>
          <w:w w:val="100"/>
        </w:rPr>
        <w:t>积</w:t>
      </w:r>
      <w:r>
        <w:rPr>
          <w:w w:val="100"/>
        </w:rPr>
        <w:t>转增股</w:t>
      </w:r>
      <w:r>
        <w:rPr>
          <w:spacing w:val="-3"/>
          <w:w w:val="100"/>
        </w:rPr>
        <w:t>本</w:t>
      </w:r>
      <w:r>
        <w:rPr>
          <w:w w:val="100"/>
        </w:rPr>
        <w:t>的</w:t>
      </w:r>
      <w:r>
        <w:rPr>
          <w:spacing w:val="-3"/>
          <w:w w:val="100"/>
        </w:rPr>
        <w:t>预</w:t>
      </w:r>
      <w:r>
        <w:rPr>
          <w:w w:val="100"/>
        </w:rPr>
        <w:t>案</w:t>
      </w:r>
      <w:r>
        <w:rPr>
          <w:spacing w:val="-106"/>
          <w:w w:val="100"/>
        </w:rPr>
        <w:t>》</w:t>
      </w:r>
      <w:r>
        <w:rPr>
          <w:w w:val="100"/>
        </w:rPr>
        <w:t>，</w:t>
      </w:r>
    </w:p>
    <w:p>
      <w:pPr>
        <w:pStyle w:val="BodyText"/>
        <w:spacing w:line="264" w:lineRule="exact"/>
        <w:ind w:right="65"/>
        <w:jc w:val="left"/>
      </w:pPr>
      <w:r>
        <w:rPr>
          <w:w w:val="100"/>
        </w:rPr>
        <w:t>拟以</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3"/>
          <w:w w:val="100"/>
        </w:rPr>
        <w:t>底</w:t>
      </w:r>
      <w:r>
        <w:rPr>
          <w:w w:val="100"/>
        </w:rPr>
        <w:t>公</w:t>
      </w:r>
      <w:r>
        <w:rPr>
          <w:spacing w:val="-3"/>
          <w:w w:val="100"/>
        </w:rPr>
        <w:t>司</w:t>
      </w:r>
      <w:r>
        <w:rPr>
          <w:w w:val="100"/>
        </w:rPr>
        <w:t>股本</w:t>
      </w:r>
      <w:r>
        <w:rPr>
          <w:spacing w:val="-55"/>
        </w:rPr>
        <w:t> </w:t>
      </w:r>
      <w:r>
        <w:rPr>
          <w:rFonts w:ascii="宋体" w:hAnsi="宋体" w:cs="宋体" w:eastAsia="宋体" w:hint="default"/>
          <w:spacing w:val="-3"/>
          <w:w w:val="100"/>
        </w:rPr>
        <w:t>6</w:t>
      </w:r>
      <w:r>
        <w:rPr>
          <w:rFonts w:ascii="宋体" w:hAnsi="宋体" w:cs="宋体" w:eastAsia="宋体" w:hint="default"/>
          <w:w w:val="100"/>
        </w:rPr>
        <w:t>1,000</w:t>
      </w:r>
      <w:r>
        <w:rPr>
          <w:rFonts w:ascii="宋体" w:hAnsi="宋体" w:cs="宋体" w:eastAsia="宋体" w:hint="default"/>
          <w:spacing w:val="-3"/>
          <w:w w:val="100"/>
        </w:rPr>
        <w:t>,</w:t>
      </w:r>
      <w:r>
        <w:rPr>
          <w:rFonts w:ascii="宋体" w:hAnsi="宋体" w:cs="宋体" w:eastAsia="宋体" w:hint="default"/>
          <w:w w:val="100"/>
        </w:rPr>
        <w:t>000</w:t>
      </w:r>
      <w:r>
        <w:rPr>
          <w:rFonts w:ascii="宋体" w:hAnsi="宋体" w:cs="宋体" w:eastAsia="宋体" w:hint="default"/>
          <w:spacing w:val="-55"/>
        </w:rPr>
        <w:t> </w:t>
      </w:r>
      <w:r>
        <w:rPr>
          <w:w w:val="100"/>
        </w:rPr>
        <w:t>股</w:t>
      </w:r>
      <w:r>
        <w:rPr>
          <w:spacing w:val="-3"/>
          <w:w w:val="100"/>
        </w:rPr>
        <w:t>为</w:t>
      </w:r>
      <w:r>
        <w:rPr>
          <w:w w:val="100"/>
        </w:rPr>
        <w:t>基</w:t>
      </w:r>
      <w:r>
        <w:rPr>
          <w:spacing w:val="-3"/>
          <w:w w:val="100"/>
        </w:rPr>
        <w:t>数</w:t>
      </w:r>
      <w:r>
        <w:rPr>
          <w:spacing w:val="-99"/>
          <w:w w:val="100"/>
        </w:rPr>
        <w:t>，</w:t>
      </w:r>
      <w:r>
        <w:rPr>
          <w:spacing w:val="-3"/>
          <w:w w:val="100"/>
        </w:rPr>
        <w:t>向全</w:t>
      </w:r>
      <w:r>
        <w:rPr>
          <w:w w:val="100"/>
        </w:rPr>
        <w:t>体股</w:t>
      </w:r>
      <w:r>
        <w:rPr>
          <w:spacing w:val="-3"/>
          <w:w w:val="100"/>
        </w:rPr>
        <w:t>东按</w:t>
      </w:r>
      <w:r>
        <w:rPr>
          <w:w w:val="100"/>
        </w:rPr>
        <w:t>每</w:t>
      </w:r>
      <w:r>
        <w:rPr>
          <w:spacing w:val="-53"/>
        </w:rPr>
        <w:t> </w:t>
      </w:r>
      <w:r>
        <w:rPr>
          <w:rFonts w:ascii="宋体" w:hAnsi="宋体" w:cs="宋体" w:eastAsia="宋体" w:hint="default"/>
          <w:w w:val="100"/>
        </w:rPr>
        <w:t>10</w:t>
      </w:r>
      <w:r>
        <w:rPr>
          <w:rFonts w:ascii="宋体" w:hAnsi="宋体" w:cs="宋体" w:eastAsia="宋体" w:hint="default"/>
          <w:spacing w:val="-55"/>
        </w:rPr>
        <w:t> </w:t>
      </w:r>
      <w:r>
        <w:rPr>
          <w:w w:val="100"/>
        </w:rPr>
        <w:t>股</w:t>
      </w:r>
      <w:r>
        <w:rPr>
          <w:spacing w:val="-3"/>
          <w:w w:val="100"/>
        </w:rPr>
        <w:t>派</w:t>
      </w:r>
      <w:r>
        <w:rPr>
          <w:w w:val="100"/>
        </w:rPr>
        <w:t>发</w:t>
      </w:r>
      <w:r>
        <w:rPr>
          <w:spacing w:val="-3"/>
          <w:w w:val="100"/>
        </w:rPr>
        <w:t>现金</w:t>
      </w:r>
      <w:r>
        <w:rPr>
          <w:w w:val="100"/>
        </w:rPr>
        <w:t>红利</w:t>
      </w:r>
      <w:r>
        <w:rPr>
          <w:spacing w:val="-52"/>
        </w:rPr>
        <w:t> </w:t>
      </w:r>
      <w:r>
        <w:rPr>
          <w:rFonts w:ascii="宋体" w:hAnsi="宋体" w:cs="宋体" w:eastAsia="宋体" w:hint="default"/>
          <w:w w:val="100"/>
        </w:rPr>
        <w:t>4</w:t>
      </w:r>
      <w:r>
        <w:rPr>
          <w:rFonts w:ascii="宋体" w:hAnsi="宋体" w:cs="宋体" w:eastAsia="宋体" w:hint="default"/>
          <w:spacing w:val="-55"/>
        </w:rPr>
        <w:t> </w:t>
      </w:r>
      <w:r>
        <w:rPr>
          <w:spacing w:val="-101"/>
          <w:w w:val="100"/>
        </w:rPr>
        <w:t>元</w:t>
      </w:r>
      <w:r>
        <w:rPr>
          <w:w w:val="100"/>
        </w:rPr>
        <w:t>（含</w:t>
      </w:r>
      <w:r>
        <w:rPr>
          <w:spacing w:val="-3"/>
          <w:w w:val="100"/>
        </w:rPr>
        <w:t>税</w:t>
      </w:r>
      <w:r>
        <w:rPr>
          <w:spacing w:val="-106"/>
          <w:w w:val="100"/>
        </w:rPr>
        <w:t>）</w:t>
      </w:r>
      <w:r>
        <w:rPr>
          <w:w w:val="100"/>
        </w:rPr>
        <w:t>，</w:t>
      </w:r>
    </w:p>
    <w:p>
      <w:pPr>
        <w:pStyle w:val="BodyText"/>
        <w:spacing w:line="272" w:lineRule="exact"/>
        <w:ind w:right="65"/>
        <w:jc w:val="left"/>
      </w:pPr>
      <w:r>
        <w:rPr/>
        <w:t>共计</w:t>
      </w:r>
      <w:r>
        <w:rPr>
          <w:spacing w:val="-48"/>
        </w:rPr>
        <w:t> </w:t>
      </w:r>
      <w:r>
        <w:rPr>
          <w:rFonts w:ascii="宋体" w:hAnsi="宋体" w:cs="宋体" w:eastAsia="宋体" w:hint="default"/>
        </w:rPr>
        <w:t>24,400,000</w:t>
      </w:r>
      <w:r>
        <w:rPr>
          <w:rFonts w:ascii="宋体" w:hAnsi="宋体" w:cs="宋体" w:eastAsia="宋体" w:hint="default"/>
          <w:spacing w:val="-48"/>
        </w:rPr>
        <w:t> </w:t>
      </w:r>
      <w:r>
        <w:rPr>
          <w:spacing w:val="-6"/>
        </w:rPr>
        <w:t>元，结余未分配利润结转至以后年度；同时拟以</w:t>
      </w:r>
      <w:r>
        <w:rPr>
          <w:spacing w:val="-47"/>
        </w:rPr>
        <w:t> </w:t>
      </w:r>
      <w:r>
        <w:rPr>
          <w:rFonts w:ascii="宋体" w:hAnsi="宋体" w:cs="宋体" w:eastAsia="宋体" w:hint="default"/>
        </w:rPr>
        <w:t>2017</w:t>
      </w:r>
      <w:r>
        <w:rPr>
          <w:rFonts w:ascii="宋体" w:hAnsi="宋体" w:cs="宋体" w:eastAsia="宋体" w:hint="default"/>
          <w:spacing w:val="-51"/>
        </w:rPr>
        <w:t> </w:t>
      </w:r>
      <w:r>
        <w:rPr/>
        <w:t>年末股本</w:t>
      </w:r>
      <w:r>
        <w:rPr>
          <w:spacing w:val="-47"/>
        </w:rPr>
        <w:t> </w:t>
      </w:r>
      <w:r>
        <w:rPr>
          <w:rFonts w:ascii="宋体" w:hAnsi="宋体" w:cs="宋体" w:eastAsia="宋体" w:hint="default"/>
        </w:rPr>
        <w:t>61,000,000</w:t>
      </w:r>
      <w:r>
        <w:rPr>
          <w:rFonts w:ascii="宋体" w:hAnsi="宋体" w:cs="宋体" w:eastAsia="宋体" w:hint="default"/>
          <w:spacing w:val="-51"/>
        </w:rPr>
        <w:t> </w:t>
      </w:r>
      <w:r>
        <w:rPr/>
        <w:t>股为</w:t>
      </w:r>
    </w:p>
    <w:p>
      <w:pPr>
        <w:pStyle w:val="BodyText"/>
        <w:spacing w:line="273" w:lineRule="exact"/>
        <w:ind w:right="65"/>
        <w:jc w:val="left"/>
      </w:pPr>
      <w:r>
        <w:rPr/>
        <w:t>基数，用资本公积（股本溢价）按每</w:t>
      </w:r>
      <w:r>
        <w:rPr>
          <w:spacing w:val="-51"/>
        </w:rPr>
        <w:t> </w:t>
      </w:r>
      <w:r>
        <w:rPr>
          <w:rFonts w:ascii="宋体" w:hAnsi="宋体" w:cs="宋体" w:eastAsia="宋体" w:hint="default"/>
        </w:rPr>
        <w:t>10</w:t>
      </w:r>
      <w:r>
        <w:rPr>
          <w:rFonts w:ascii="宋体" w:hAnsi="宋体" w:cs="宋体" w:eastAsia="宋体" w:hint="default"/>
          <w:spacing w:val="-54"/>
        </w:rPr>
        <w:t> </w:t>
      </w:r>
      <w:r>
        <w:rPr/>
        <w:t>股转增</w:t>
      </w:r>
      <w:r>
        <w:rPr>
          <w:spacing w:val="-54"/>
        </w:rPr>
        <w:t> </w:t>
      </w:r>
      <w:r>
        <w:rPr>
          <w:rFonts w:ascii="宋体" w:hAnsi="宋体" w:cs="宋体" w:eastAsia="宋体" w:hint="default"/>
        </w:rPr>
        <w:t>4</w:t>
      </w:r>
      <w:r>
        <w:rPr>
          <w:rFonts w:ascii="宋体" w:hAnsi="宋体" w:cs="宋体" w:eastAsia="宋体" w:hint="default"/>
          <w:spacing w:val="-51"/>
        </w:rPr>
        <w:t> </w:t>
      </w:r>
      <w:r>
        <w:rPr/>
        <w:t>股的比例转增股本，共计</w:t>
      </w:r>
      <w:r>
        <w:rPr>
          <w:spacing w:val="-51"/>
        </w:rPr>
        <w:t> </w:t>
      </w:r>
      <w:r>
        <w:rPr>
          <w:rFonts w:ascii="宋体" w:hAnsi="宋体" w:cs="宋体" w:eastAsia="宋体" w:hint="default"/>
        </w:rPr>
        <w:t>24,400,000</w:t>
      </w:r>
      <w:r>
        <w:rPr>
          <w:rFonts w:ascii="宋体" w:hAnsi="宋体" w:cs="宋体" w:eastAsia="宋体" w:hint="default"/>
          <w:spacing w:val="-53"/>
        </w:rPr>
        <w:t> </w:t>
      </w:r>
      <w:r>
        <w:rPr/>
        <w:t>元，经本</w:t>
      </w:r>
    </w:p>
    <w:p>
      <w:pPr>
        <w:pStyle w:val="BodyText"/>
        <w:spacing w:line="273" w:lineRule="exact"/>
        <w:ind w:right="65"/>
        <w:jc w:val="left"/>
      </w:pPr>
      <w:r>
        <w:rPr/>
        <w:t>次转增后，结余资本公积结转至以后年度。公司总股本由</w:t>
      </w:r>
      <w:r>
        <w:rPr>
          <w:spacing w:val="-49"/>
        </w:rPr>
        <w:t> </w:t>
      </w:r>
      <w:r>
        <w:rPr>
          <w:rFonts w:ascii="宋体" w:hAnsi="宋体" w:cs="宋体" w:eastAsia="宋体" w:hint="default"/>
        </w:rPr>
        <w:t>61,000,000</w:t>
      </w:r>
      <w:r>
        <w:rPr>
          <w:rFonts w:ascii="宋体" w:hAnsi="宋体" w:cs="宋体" w:eastAsia="宋体" w:hint="default"/>
          <w:spacing w:val="-52"/>
        </w:rPr>
        <w:t> </w:t>
      </w:r>
      <w:r>
        <w:rPr/>
        <w:t>股增加至</w:t>
      </w:r>
      <w:r>
        <w:rPr>
          <w:spacing w:val="-49"/>
        </w:rPr>
        <w:t> </w:t>
      </w:r>
      <w:r>
        <w:rPr>
          <w:rFonts w:ascii="宋体" w:hAnsi="宋体" w:cs="宋体" w:eastAsia="宋体" w:hint="default"/>
        </w:rPr>
        <w:t>85,400,000</w:t>
      </w:r>
      <w:r>
        <w:rPr>
          <w:rFonts w:ascii="宋体" w:hAnsi="宋体" w:cs="宋体" w:eastAsia="宋体" w:hint="default"/>
          <w:spacing w:val="-52"/>
        </w:rPr>
        <w:t> </w:t>
      </w:r>
      <w:r>
        <w:rPr>
          <w:spacing w:val="-3"/>
        </w:rPr>
        <w:t>股。</w:t>
      </w:r>
      <w:r>
        <w:rPr/>
      </w:r>
    </w:p>
    <w:p>
      <w:pPr>
        <w:pStyle w:val="BodyText"/>
        <w:spacing w:line="274" w:lineRule="exact"/>
        <w:ind w:right="227"/>
        <w:jc w:val="left"/>
      </w:pPr>
      <w:r>
        <w:rPr/>
        <w:t>公司</w:t>
      </w:r>
      <w:r>
        <w:rPr>
          <w:spacing w:val="-55"/>
        </w:rPr>
        <w:t> </w:t>
      </w:r>
      <w:r>
        <w:rPr>
          <w:rFonts w:ascii="宋体" w:hAnsi="宋体" w:cs="宋体" w:eastAsia="宋体" w:hint="default"/>
        </w:rPr>
        <w:t>2017</w:t>
      </w:r>
      <w:r>
        <w:rPr>
          <w:rFonts w:ascii="宋体" w:hAnsi="宋体" w:cs="宋体" w:eastAsia="宋体" w:hint="default"/>
          <w:spacing w:val="-57"/>
        </w:rPr>
        <w:t> </w:t>
      </w:r>
      <w:r>
        <w:rPr/>
        <w:t>年度利润分配暨公积金转增股方案尚需公司股东大会审议批准。</w:t>
      </w:r>
    </w:p>
    <w:p>
      <w:pPr>
        <w:pStyle w:val="Heading2"/>
        <w:spacing w:line="240" w:lineRule="auto" w:before="56"/>
        <w:ind w:right="2465"/>
        <w:jc w:val="left"/>
        <w:rPr>
          <w:b w:val="0"/>
          <w:bCs w:val="0"/>
        </w:rPr>
      </w:pPr>
      <w:r>
        <w:rPr>
          <w:rFonts w:ascii="Calibri" w:hAnsi="Calibri" w:cs="Calibri" w:eastAsia="Calibri" w:hint="default"/>
        </w:rPr>
        <w:t>2</w:t>
      </w:r>
      <w:r>
        <w:rPr/>
        <w:t>、</w:t>
      </w:r>
      <w:r>
        <w:rPr>
          <w:spacing w:val="2"/>
        </w:rPr>
        <w:t> </w:t>
      </w:r>
      <w:r>
        <w:rPr/>
        <w:t>销售退回</w:t>
      </w:r>
      <w:r>
        <w:rPr>
          <w:b w:val="0"/>
          <w:bCs w:val="0"/>
        </w:rPr>
      </w:r>
    </w:p>
    <w:p>
      <w:pPr>
        <w:pStyle w:val="BodyText"/>
        <w:spacing w:line="240" w:lineRule="auto" w:before="32"/>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right="2465"/>
        <w:jc w:val="left"/>
        <w:rPr>
          <w:b w:val="0"/>
          <w:bCs w:val="0"/>
        </w:rPr>
      </w:pPr>
      <w:r>
        <w:rPr>
          <w:rFonts w:ascii="Calibri" w:hAnsi="Calibri" w:cs="Calibri" w:eastAsia="Calibri" w:hint="default"/>
        </w:rPr>
        <w:t>3</w:t>
      </w:r>
      <w:r>
        <w:rPr/>
        <w:t>、</w:t>
      </w:r>
      <w:r>
        <w:rPr>
          <w:spacing w:val="-1"/>
        </w:rPr>
        <w:t> </w:t>
      </w:r>
      <w:r>
        <w:rPr/>
        <w:t>其他资产负债表日后事项说明</w:t>
      </w:r>
      <w:r>
        <w:rPr>
          <w:b w:val="0"/>
          <w:bCs w:val="0"/>
        </w:rPr>
      </w:r>
    </w:p>
    <w:p>
      <w:pPr>
        <w:pStyle w:val="BodyText"/>
        <w:spacing w:line="235" w:lineRule="auto" w:before="34"/>
        <w:ind w:right="1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t>重要的非调整事项：上海格尔软件股份有限公司与苏州沃宁安全技术有限公司共同成立江苏恒澄</w:t>
      </w:r>
      <w:r>
        <w:rPr>
          <w:spacing w:val="-97"/>
        </w:rPr>
        <w:t> </w:t>
      </w:r>
      <w:r>
        <w:rPr>
          <w:spacing w:val="-97"/>
        </w:rPr>
      </w:r>
      <w:r>
        <w:rPr>
          <w:spacing w:val="-6"/>
          <w:w w:val="100"/>
        </w:rPr>
        <w:t>交科信息科技股份有限公司（以下简称“江苏恒澄交科”）开展水运水文监测管理、水运安全和水</w:t>
      </w:r>
      <w:r>
        <w:rPr>
          <w:w w:val="100"/>
        </w:rPr>
        <w:t> </w:t>
      </w:r>
      <w:r>
        <w:rPr/>
        <w:t>体环境保护行业有关信息安全领域的业务。根据相关投资协议，计划通过两轮出资后，江苏恒澄</w:t>
      </w:r>
      <w:r>
        <w:rPr>
          <w:spacing w:val="-97"/>
        </w:rPr>
        <w:t> </w:t>
      </w:r>
      <w:r>
        <w:rPr>
          <w:spacing w:val="-97"/>
        </w:rPr>
      </w:r>
      <w:r>
        <w:rPr/>
        <w:t>交科注册资本为人民币 </w:t>
      </w:r>
      <w:r>
        <w:rPr>
          <w:rFonts w:ascii="Times New Roman" w:hAnsi="Times New Roman" w:cs="Times New Roman" w:eastAsia="Times New Roman" w:hint="default"/>
        </w:rPr>
        <w:t>3,000 </w:t>
      </w:r>
      <w:r>
        <w:rPr/>
        <w:t>万元，其中本公司拟认缴注册资本 </w:t>
      </w:r>
      <w:r>
        <w:rPr>
          <w:rFonts w:ascii="Times New Roman" w:hAnsi="Times New Roman" w:cs="Times New Roman" w:eastAsia="Times New Roman" w:hint="default"/>
        </w:rPr>
        <w:t>450 </w:t>
      </w:r>
      <w:r>
        <w:rPr/>
        <w:t>万元，持股比例为</w:t>
      </w:r>
      <w:r>
        <w:rPr>
          <w:spacing w:val="-65"/>
        </w:rPr>
        <w:t> </w:t>
      </w:r>
      <w:r>
        <w:rPr>
          <w:rFonts w:ascii="Times New Roman" w:hAnsi="Times New Roman" w:cs="Times New Roman" w:eastAsia="Times New Roman" w:hint="default"/>
        </w:rPr>
        <w:t>15.00%</w:t>
      </w:r>
      <w:r>
        <w:rPr/>
        <w:t>。</w:t>
      </w:r>
    </w:p>
    <w:p>
      <w:pPr>
        <w:pStyle w:val="BodyText"/>
        <w:spacing w:line="273" w:lineRule="exact"/>
        <w:ind w:right="2465"/>
        <w:jc w:val="left"/>
      </w:pPr>
      <w:r>
        <w:rPr/>
        <w:t>截止报告日，公司已完成首期出资</w:t>
      </w:r>
      <w:r>
        <w:rPr>
          <w:spacing w:val="-54"/>
        </w:rPr>
        <w:t> </w:t>
      </w:r>
      <w:r>
        <w:rPr>
          <w:rFonts w:ascii="Times New Roman" w:hAnsi="Times New Roman" w:cs="Times New Roman" w:eastAsia="Times New Roman" w:hint="default"/>
        </w:rPr>
        <w:t>150</w:t>
      </w:r>
      <w:r>
        <w:rPr>
          <w:rFonts w:ascii="Times New Roman" w:hAnsi="Times New Roman" w:cs="Times New Roman" w:eastAsia="Times New Roman" w:hint="default"/>
          <w:spacing w:val="-1"/>
        </w:rPr>
        <w:t> </w:t>
      </w:r>
      <w:r>
        <w:rPr/>
        <w:t>万元。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2"/>
        <w:spacing w:line="290" w:lineRule="auto" w:before="192"/>
        <w:ind w:right="695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rFonts w:ascii="宋体" w:hAnsi="宋体" w:cs="宋体" w:eastAsia="宋体" w:hint="default"/>
          <w:spacing w:val="74"/>
        </w:rPr>
        <w:t> </w:t>
      </w:r>
      <w:r>
        <w:rPr/>
        <w:t>追溯重述法</w:t>
      </w:r>
      <w:r>
        <w:rPr>
          <w:b w:val="0"/>
          <w:bCs w:val="0"/>
        </w:rPr>
      </w:r>
    </w:p>
    <w:p>
      <w:pPr>
        <w:spacing w:line="276" w:lineRule="auto" w:before="12"/>
        <w:ind w:left="218" w:right="739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74"/>
          <w:sz w:val="21"/>
          <w:szCs w:val="21"/>
        </w:rPr>
        <w:t> </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76" w:lineRule="auto" w:before="25"/>
        <w:ind w:left="218" w:right="7770"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适用</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不适用</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40" w:lineRule="auto" w:before="25"/>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right="2465"/>
        <w:jc w:val="left"/>
        <w:rPr>
          <w:b w:val="0"/>
          <w:bCs w:val="0"/>
        </w:rPr>
      </w:pPr>
      <w:r>
        <w:rPr>
          <w:rFonts w:ascii="宋体" w:hAnsi="宋体" w:cs="宋体" w:eastAsia="宋体" w:hint="default"/>
        </w:rPr>
        <w:t>3</w:t>
      </w:r>
      <w:r>
        <w:rPr/>
        <w:t>、</w:t>
      </w:r>
      <w:r>
        <w:rPr>
          <w:spacing w:val="3"/>
        </w:rPr>
        <w:t> </w:t>
      </w:r>
      <w:r>
        <w:rPr/>
        <w:t>资产置换</w:t>
      </w:r>
      <w:r>
        <w:rPr>
          <w:b w:val="0"/>
          <w:bCs w:val="0"/>
        </w:rPr>
      </w:r>
    </w:p>
    <w:p>
      <w:pPr>
        <w:pStyle w:val="Heading2"/>
        <w:tabs>
          <w:tab w:pos="861" w:val="left" w:leader="none"/>
        </w:tabs>
        <w:spacing w:line="240" w:lineRule="auto" w:before="58"/>
        <w:ind w:right="2465"/>
        <w:jc w:val="left"/>
        <w:rPr>
          <w:b w:val="0"/>
          <w:bCs w:val="0"/>
        </w:rPr>
      </w:pPr>
      <w:r>
        <w:rPr>
          <w:rFonts w:ascii="宋体" w:hAnsi="宋体" w:cs="宋体" w:eastAsia="宋体" w:hint="default"/>
          <w:w w:val="95"/>
        </w:rPr>
        <w:t>(1).</w:t>
        <w:tab/>
      </w:r>
      <w:r>
        <w:rPr/>
        <w:t>非货币性资产交换</w:t>
      </w:r>
      <w:r>
        <w:rPr>
          <w:b w:val="0"/>
          <w:bCs w:val="0"/>
        </w:rPr>
      </w:r>
    </w:p>
    <w:p>
      <w:pPr>
        <w:pStyle w:val="BodyText"/>
        <w:spacing w:line="240" w:lineRule="auto" w:before="133"/>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7"/>
        <w:rPr>
          <w:rFonts w:ascii="宋体" w:hAnsi="宋体" w:cs="宋体" w:eastAsia="宋体" w:hint="default"/>
          <w:sz w:val="22"/>
          <w:szCs w:val="22"/>
        </w:rPr>
      </w:pPr>
    </w:p>
    <w:p>
      <w:pPr>
        <w:pStyle w:val="Heading2"/>
        <w:tabs>
          <w:tab w:pos="861" w:val="left" w:leader="none"/>
        </w:tabs>
        <w:spacing w:line="240" w:lineRule="auto"/>
        <w:ind w:right="2465"/>
        <w:jc w:val="left"/>
        <w:rPr>
          <w:b w:val="0"/>
          <w:bCs w:val="0"/>
        </w:rPr>
      </w:pPr>
      <w:r>
        <w:rPr>
          <w:rFonts w:ascii="宋体" w:hAnsi="宋体" w:cs="宋体" w:eastAsia="宋体" w:hint="default"/>
          <w:w w:val="95"/>
        </w:rPr>
        <w:t>(2).</w:t>
        <w:tab/>
      </w:r>
      <w:r>
        <w:rPr/>
        <w:t>其他资产置换</w:t>
      </w:r>
      <w:r>
        <w:rPr>
          <w:b w:val="0"/>
          <w:bCs w:val="0"/>
        </w:rPr>
      </w:r>
    </w:p>
    <w:p>
      <w:pPr>
        <w:pStyle w:val="BodyText"/>
        <w:spacing w:line="240" w:lineRule="auto" w:before="56"/>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right="2465"/>
        <w:jc w:val="left"/>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9"/>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right="2465"/>
        <w:jc w:val="left"/>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8"/>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8"/>
          <w:szCs w:val="18"/>
        </w:rPr>
      </w:pPr>
    </w:p>
    <w:p>
      <w:pPr>
        <w:pStyle w:val="Heading2"/>
        <w:spacing w:line="240" w:lineRule="auto"/>
        <w:ind w:right="2465"/>
        <w:jc w:val="left"/>
        <w:rPr>
          <w:b w:val="0"/>
          <w:bCs w:val="0"/>
        </w:rPr>
      </w:pPr>
      <w:r>
        <w:rPr>
          <w:rFonts w:ascii="宋体" w:hAnsi="宋体" w:cs="宋体" w:eastAsia="宋体" w:hint="default"/>
        </w:rPr>
        <w:t>6</w:t>
      </w:r>
      <w:r>
        <w:rPr/>
        <w:t>、</w:t>
      </w:r>
      <w:r>
        <w:rPr>
          <w:spacing w:val="3"/>
        </w:rPr>
        <w:t> </w:t>
      </w:r>
      <w:r>
        <w:rPr/>
        <w:t>分部信息</w:t>
      </w:r>
      <w:r>
        <w:rPr>
          <w:b w:val="0"/>
          <w:bCs w:val="0"/>
        </w:rPr>
      </w:r>
    </w:p>
    <w:p>
      <w:pPr>
        <w:pStyle w:val="Heading2"/>
        <w:tabs>
          <w:tab w:pos="861" w:val="left" w:leader="none"/>
        </w:tabs>
        <w:spacing w:line="240" w:lineRule="auto" w:before="56"/>
        <w:ind w:right="2465"/>
        <w:jc w:val="left"/>
        <w:rPr>
          <w:b w:val="0"/>
          <w:bCs w:val="0"/>
        </w:rPr>
      </w:pPr>
      <w:r>
        <w:rPr>
          <w:rFonts w:ascii="宋体" w:hAnsi="宋体" w:cs="宋体" w:eastAsia="宋体" w:hint="default"/>
          <w:w w:val="95"/>
        </w:rPr>
        <w:t>(1).</w:t>
        <w:tab/>
      </w:r>
      <w:r>
        <w:rPr/>
        <w:t>报告分部的确定依据与会计政策：</w:t>
      </w:r>
      <w:r>
        <w:rPr>
          <w:b w:val="0"/>
          <w:bCs w:val="0"/>
        </w:rPr>
      </w:r>
    </w:p>
    <w:p>
      <w:pPr>
        <w:pStyle w:val="BodyText"/>
        <w:spacing w:line="240" w:lineRule="auto" w:before="58"/>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tabs>
          <w:tab w:pos="861" w:val="left" w:leader="none"/>
        </w:tabs>
        <w:spacing w:line="240" w:lineRule="auto"/>
        <w:ind w:right="2465"/>
        <w:jc w:val="left"/>
        <w:rPr>
          <w:b w:val="0"/>
          <w:bCs w:val="0"/>
        </w:rPr>
      </w:pPr>
      <w:r>
        <w:rPr>
          <w:rFonts w:ascii="宋体" w:hAnsi="宋体" w:cs="宋体" w:eastAsia="宋体" w:hint="default"/>
          <w:w w:val="95"/>
        </w:rPr>
        <w:t>(2).</w:t>
        <w:tab/>
      </w:r>
      <w:r>
        <w:rPr/>
        <w:t>报告分部的财务信息</w:t>
      </w:r>
      <w:r>
        <w:rPr>
          <w:b w:val="0"/>
          <w:bCs w:val="0"/>
        </w:rPr>
      </w:r>
    </w:p>
    <w:p>
      <w:pPr>
        <w:pStyle w:val="BodyText"/>
        <w:spacing w:line="240" w:lineRule="auto" w:before="56"/>
        <w:ind w:right="2465"/>
        <w:jc w:val="left"/>
      </w:pPr>
      <w:r>
        <w:rPr/>
        <w:t>□适用</w:t>
      </w:r>
      <w:r>
        <w:rPr>
          <w:spacing w:val="-1"/>
        </w:rPr>
        <w:t> </w:t>
      </w:r>
      <w:r>
        <w:rPr/>
        <w:t>√不适用</w:t>
      </w:r>
    </w:p>
    <w:p>
      <w:pPr>
        <w:pStyle w:val="Heading2"/>
        <w:tabs>
          <w:tab w:pos="861" w:val="left" w:leader="none"/>
        </w:tabs>
        <w:spacing w:line="240" w:lineRule="auto" w:before="58"/>
        <w:ind w:right="227"/>
        <w:jc w:val="left"/>
        <w:rPr>
          <w:b w:val="0"/>
          <w:bCs w:val="0"/>
        </w:rPr>
      </w:pPr>
      <w:r>
        <w:rPr>
          <w:rFonts w:ascii="宋体" w:hAnsi="宋体" w:cs="宋体" w:eastAsia="宋体" w:hint="default"/>
          <w:w w:val="95"/>
        </w:rPr>
        <w:t>(3).</w:t>
        <w:tab/>
      </w:r>
      <w:r>
        <w:rPr/>
        <w:t>公司无报告分部的，或者不能披露各报告分部的资产总额和负债总额的，应说明原因</w:t>
      </w:r>
      <w:r>
        <w:rPr>
          <w:b w:val="0"/>
          <w:bCs w:val="0"/>
        </w:rPr>
      </w:r>
    </w:p>
    <w:p>
      <w:pPr>
        <w:pStyle w:val="BodyText"/>
        <w:spacing w:line="240" w:lineRule="auto" w:before="57"/>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tabs>
          <w:tab w:pos="861" w:val="left" w:leader="none"/>
        </w:tabs>
        <w:spacing w:line="240" w:lineRule="auto"/>
        <w:ind w:right="2465"/>
        <w:jc w:val="left"/>
        <w:rPr>
          <w:b w:val="0"/>
          <w:bCs w:val="0"/>
        </w:rPr>
      </w:pPr>
      <w:r>
        <w:rPr>
          <w:rFonts w:ascii="宋体" w:hAnsi="宋体" w:cs="宋体" w:eastAsia="宋体" w:hint="default"/>
          <w:w w:val="95"/>
        </w:rPr>
        <w:t>(4).</w:t>
        <w:tab/>
      </w:r>
      <w:r>
        <w:rPr/>
        <w:t>其他说明：</w:t>
      </w:r>
      <w:r>
        <w:rPr>
          <w:b w:val="0"/>
          <w:bCs w:val="0"/>
        </w:rPr>
      </w:r>
    </w:p>
    <w:p>
      <w:pPr>
        <w:pStyle w:val="BodyText"/>
        <w:spacing w:line="240" w:lineRule="auto" w:before="58"/>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right="2465"/>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spacing w:line="240" w:lineRule="auto" w:before="133"/>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7"/>
        <w:rPr>
          <w:rFonts w:ascii="宋体" w:hAnsi="宋体" w:cs="宋体" w:eastAsia="宋体" w:hint="default"/>
          <w:sz w:val="22"/>
          <w:szCs w:val="22"/>
        </w:rPr>
      </w:pPr>
    </w:p>
    <w:p>
      <w:pPr>
        <w:pStyle w:val="Heading2"/>
        <w:spacing w:line="240" w:lineRule="auto"/>
        <w:ind w:right="2465"/>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spacing w:line="240" w:lineRule="auto" w:before="56"/>
        <w:ind w:right="2465"/>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pStyle w:val="Heading2"/>
        <w:tabs>
          <w:tab w:pos="1057" w:val="left" w:leader="none"/>
        </w:tabs>
        <w:spacing w:line="290" w:lineRule="auto" w:before="36"/>
        <w:ind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2"/>
        <w:tabs>
          <w:tab w:pos="1057" w:val="left" w:leader="none"/>
        </w:tabs>
        <w:spacing w:line="240" w:lineRule="auto" w:before="12"/>
        <w:ind w:left="359" w:right="0"/>
        <w:jc w:val="left"/>
        <w:rPr>
          <w:b w:val="0"/>
          <w:bCs w:val="0"/>
        </w:rPr>
      </w:pPr>
      <w:r>
        <w:rPr>
          <w:rFonts w:ascii="宋体" w:hAnsi="宋体" w:cs="宋体" w:eastAsia="宋体" w:hint="default"/>
          <w:w w:val="95"/>
        </w:rPr>
        <w:t>(1).</w:t>
        <w:tab/>
      </w:r>
      <w:r>
        <w:rPr/>
        <w:t>应收账款分类披露：</w:t>
      </w:r>
      <w:r>
        <w:rPr>
          <w:b w:val="0"/>
          <w:bCs w:val="0"/>
        </w:rPr>
      </w:r>
    </w:p>
    <w:p>
      <w:pPr>
        <w:pStyle w:val="BodyText"/>
        <w:spacing w:line="240" w:lineRule="auto" w:before="58"/>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799" w:space="2933"/>
            <w:col w:w="255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097"/>
        <w:gridCol w:w="1208"/>
        <w:gridCol w:w="542"/>
        <w:gridCol w:w="998"/>
        <w:gridCol w:w="451"/>
        <w:gridCol w:w="924"/>
        <w:gridCol w:w="926"/>
        <w:gridCol w:w="523"/>
        <w:gridCol w:w="850"/>
        <w:gridCol w:w="451"/>
        <w:gridCol w:w="924"/>
      </w:tblGrid>
      <w:tr>
        <w:trPr>
          <w:trHeight w:val="269" w:hRule="exact"/>
        </w:trPr>
        <w:tc>
          <w:tcPr>
            <w:tcW w:w="10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种类</w:t>
            </w:r>
          </w:p>
        </w:tc>
        <w:tc>
          <w:tcPr>
            <w:tcW w:w="412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6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38" w:hRule="exact"/>
        </w:trPr>
        <w:tc>
          <w:tcPr>
            <w:tcW w:w="1097" w:type="dxa"/>
            <w:vMerge/>
            <w:tcBorders>
              <w:left w:val="single" w:sz="4" w:space="0" w:color="000000"/>
              <w:right w:val="single" w:sz="4" w:space="0" w:color="000000"/>
            </w:tcBorders>
          </w:tcPr>
          <w:p>
            <w:pPr/>
          </w:p>
        </w:tc>
        <w:tc>
          <w:tcPr>
            <w:tcW w:w="1750"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68"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50"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19"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05" w:right="305"/>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450"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20"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345"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07" w:right="302"/>
              <w:jc w:val="left"/>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spacing w:val="-73"/>
                <w:sz w:val="15"/>
                <w:szCs w:val="15"/>
              </w:rPr>
              <w:t> </w:t>
            </w:r>
            <w:r>
              <w:rPr>
                <w:rFonts w:ascii="宋体" w:hAnsi="宋体" w:cs="宋体" w:eastAsia="宋体" w:hint="default"/>
                <w:sz w:val="15"/>
                <w:szCs w:val="15"/>
              </w:rPr>
              <w:t>价值</w:t>
            </w:r>
          </w:p>
        </w:tc>
      </w:tr>
      <w:tr>
        <w:trPr>
          <w:trHeight w:val="571" w:hRule="exact"/>
        </w:trPr>
        <w:tc>
          <w:tcPr>
            <w:tcW w:w="1097" w:type="dxa"/>
            <w:vMerge/>
            <w:tcBorders>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金额</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15"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16"/>
              <w:ind w:left="153" w:right="0"/>
              <w:jc w:val="left"/>
              <w:rPr>
                <w:rFonts w:ascii="Times New Roman" w:hAnsi="Times New Roman" w:cs="Times New Roman" w:eastAsia="Times New Roman" w:hint="default"/>
                <w:sz w:val="15"/>
                <w:szCs w:val="15"/>
              </w:rPr>
            </w:pPr>
            <w:r>
              <w:rPr>
                <w:rFonts w:ascii="Times New Roman"/>
                <w:sz w:val="15"/>
              </w:rPr>
              <w:t>(%)</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9"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195" w:lineRule="exact"/>
              <w:ind w:left="69"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16"/>
              <w:ind w:left="108" w:right="0"/>
              <w:jc w:val="left"/>
              <w:rPr>
                <w:rFonts w:ascii="Times New Roman" w:hAnsi="Times New Roman" w:cs="Times New Roman" w:eastAsia="Times New Roman" w:hint="default"/>
                <w:sz w:val="15"/>
                <w:szCs w:val="15"/>
              </w:rPr>
            </w:pPr>
            <w:r>
              <w:rPr>
                <w:rFonts w:ascii="Times New Roman"/>
                <w:sz w:val="15"/>
              </w:rPr>
              <w:t>(%)</w:t>
            </w:r>
          </w:p>
        </w:tc>
        <w:tc>
          <w:tcPr>
            <w:tcW w:w="924" w:type="dxa"/>
            <w:vMerge/>
            <w:tcBorders>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5"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16"/>
              <w:ind w:left="141" w:right="0"/>
              <w:jc w:val="left"/>
              <w:rPr>
                <w:rFonts w:ascii="Times New Roman" w:hAnsi="Times New Roman" w:cs="Times New Roman" w:eastAsia="Times New Roman" w:hint="default"/>
                <w:sz w:val="15"/>
                <w:szCs w:val="15"/>
              </w:rPr>
            </w:pPr>
            <w:r>
              <w:rPr>
                <w:rFonts w:ascii="Times New Roman"/>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9"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195" w:lineRule="exact"/>
              <w:ind w:left="69"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16"/>
              <w:ind w:left="108" w:right="0"/>
              <w:jc w:val="left"/>
              <w:rPr>
                <w:rFonts w:ascii="Times New Roman" w:hAnsi="Times New Roman" w:cs="Times New Roman" w:eastAsia="Times New Roman" w:hint="default"/>
                <w:sz w:val="15"/>
                <w:szCs w:val="15"/>
              </w:rPr>
            </w:pPr>
            <w:r>
              <w:rPr>
                <w:rFonts w:ascii="Times New Roman"/>
                <w:sz w:val="15"/>
              </w:rPr>
              <w:t>(%)</w:t>
            </w:r>
          </w:p>
        </w:tc>
        <w:tc>
          <w:tcPr>
            <w:tcW w:w="924" w:type="dxa"/>
            <w:vMerge/>
            <w:tcBorders>
              <w:left w:val="single" w:sz="4" w:space="0" w:color="000000"/>
              <w:bottom w:val="single" w:sz="4" w:space="0" w:color="000000"/>
              <w:right w:val="single" w:sz="4" w:space="0" w:color="000000"/>
            </w:tcBorders>
          </w:tcPr>
          <w:p>
            <w:pPr/>
          </w:p>
        </w:tc>
      </w:tr>
      <w:tr>
        <w:trPr>
          <w:trHeight w:val="788"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单</w:t>
            </w:r>
            <w:r>
              <w:rPr>
                <w:rFonts w:ascii="宋体" w:hAnsi="宋体" w:cs="宋体" w:eastAsia="宋体" w:hint="default"/>
                <w:spacing w:val="-48"/>
                <w:sz w:val="15"/>
                <w:szCs w:val="15"/>
              </w:rPr>
              <w:t> </w:t>
            </w:r>
            <w:r>
              <w:rPr>
                <w:rFonts w:ascii="宋体" w:hAnsi="宋体" w:cs="宋体" w:eastAsia="宋体" w:hint="default"/>
                <w:sz w:val="15"/>
                <w:szCs w:val="15"/>
              </w:rPr>
              <w:t>项</w:t>
            </w:r>
            <w:r>
              <w:rPr>
                <w:rFonts w:ascii="宋体" w:hAnsi="宋体" w:cs="宋体" w:eastAsia="宋体" w:hint="default"/>
                <w:spacing w:val="-48"/>
                <w:sz w:val="15"/>
                <w:szCs w:val="15"/>
              </w:rPr>
              <w:t> </w:t>
            </w:r>
            <w:r>
              <w:rPr>
                <w:rFonts w:ascii="宋体" w:hAnsi="宋体" w:cs="宋体" w:eastAsia="宋体" w:hint="default"/>
                <w:sz w:val="15"/>
                <w:szCs w:val="15"/>
              </w:rPr>
              <w:t>金</w:t>
            </w:r>
            <w:r>
              <w:rPr>
                <w:rFonts w:ascii="宋体" w:hAnsi="宋体" w:cs="宋体" w:eastAsia="宋体" w:hint="default"/>
                <w:spacing w:val="-48"/>
                <w:sz w:val="15"/>
                <w:szCs w:val="15"/>
              </w:rPr>
              <w:t> </w:t>
            </w:r>
            <w:r>
              <w:rPr>
                <w:rFonts w:ascii="宋体" w:hAnsi="宋体" w:cs="宋体" w:eastAsia="宋体" w:hint="default"/>
                <w:sz w:val="15"/>
                <w:szCs w:val="15"/>
              </w:rPr>
              <w:t>额</w:t>
            </w:r>
            <w:r>
              <w:rPr>
                <w:rFonts w:ascii="宋体" w:hAnsi="宋体" w:cs="宋体" w:eastAsia="宋体" w:hint="default"/>
                <w:spacing w:val="-51"/>
                <w:sz w:val="15"/>
                <w:szCs w:val="15"/>
              </w:rPr>
              <w:t> </w:t>
            </w:r>
            <w:r>
              <w:rPr>
                <w:rFonts w:ascii="宋体" w:hAnsi="宋体" w:cs="宋体" w:eastAsia="宋体" w:hint="default"/>
                <w:sz w:val="15"/>
                <w:szCs w:val="15"/>
              </w:rPr>
              <w:t>重</w:t>
            </w:r>
            <w:r>
              <w:rPr>
                <w:rFonts w:ascii="宋体" w:hAnsi="宋体" w:cs="宋体" w:eastAsia="宋体" w:hint="default"/>
                <w:spacing w:val="-48"/>
                <w:sz w:val="15"/>
                <w:szCs w:val="15"/>
              </w:rPr>
              <w:t> </w:t>
            </w:r>
            <w:r>
              <w:rPr>
                <w:rFonts w:ascii="宋体" w:hAnsi="宋体" w:cs="宋体" w:eastAsia="宋体" w:hint="default"/>
                <w:sz w:val="15"/>
                <w:szCs w:val="15"/>
              </w:rPr>
              <w:t>大</w:t>
            </w:r>
          </w:p>
          <w:p>
            <w:pPr>
              <w:pStyle w:val="TableParagraph"/>
              <w:spacing w:line="240" w:lineRule="auto"/>
              <w:ind w:left="26" w:right="22"/>
              <w:jc w:val="both"/>
              <w:rPr>
                <w:rFonts w:ascii="宋体" w:hAnsi="宋体" w:cs="宋体" w:eastAsia="宋体" w:hint="default"/>
                <w:sz w:val="15"/>
                <w:szCs w:val="15"/>
              </w:rPr>
            </w:pPr>
            <w:r>
              <w:rPr>
                <w:rFonts w:ascii="宋体" w:hAnsi="宋体" w:cs="宋体" w:eastAsia="宋体" w:hint="default"/>
                <w:sz w:val="15"/>
                <w:szCs w:val="15"/>
              </w:rPr>
              <w:t>并</w:t>
            </w:r>
            <w:r>
              <w:rPr>
                <w:rFonts w:ascii="宋体" w:hAnsi="宋体" w:cs="宋体" w:eastAsia="宋体" w:hint="default"/>
                <w:spacing w:val="-48"/>
                <w:sz w:val="15"/>
                <w:szCs w:val="15"/>
              </w:rPr>
              <w:t> </w:t>
            </w:r>
            <w:r>
              <w:rPr>
                <w:rFonts w:ascii="宋体" w:hAnsi="宋体" w:cs="宋体" w:eastAsia="宋体" w:hint="default"/>
                <w:sz w:val="15"/>
                <w:szCs w:val="15"/>
              </w:rPr>
              <w:t>单</w:t>
            </w:r>
            <w:r>
              <w:rPr>
                <w:rFonts w:ascii="宋体" w:hAnsi="宋体" w:cs="宋体" w:eastAsia="宋体" w:hint="default"/>
                <w:spacing w:val="-48"/>
                <w:sz w:val="15"/>
                <w:szCs w:val="15"/>
              </w:rPr>
              <w:t> </w:t>
            </w:r>
            <w:r>
              <w:rPr>
                <w:rFonts w:ascii="宋体" w:hAnsi="宋体" w:cs="宋体" w:eastAsia="宋体" w:hint="default"/>
                <w:sz w:val="15"/>
                <w:szCs w:val="15"/>
              </w:rPr>
              <w:t>独</w:t>
            </w:r>
            <w:r>
              <w:rPr>
                <w:rFonts w:ascii="宋体" w:hAnsi="宋体" w:cs="宋体" w:eastAsia="宋体" w:hint="default"/>
                <w:spacing w:val="-48"/>
                <w:sz w:val="15"/>
                <w:szCs w:val="15"/>
              </w:rPr>
              <w:t> </w:t>
            </w:r>
            <w:r>
              <w:rPr>
                <w:rFonts w:ascii="宋体" w:hAnsi="宋体" w:cs="宋体" w:eastAsia="宋体" w:hint="default"/>
                <w:sz w:val="15"/>
                <w:szCs w:val="15"/>
              </w:rPr>
              <w:t>计</w:t>
            </w:r>
            <w:r>
              <w:rPr>
                <w:rFonts w:ascii="宋体" w:hAnsi="宋体" w:cs="宋体" w:eastAsia="宋体" w:hint="default"/>
                <w:spacing w:val="-51"/>
                <w:sz w:val="15"/>
                <w:szCs w:val="15"/>
              </w:rPr>
              <w:t> </w:t>
            </w:r>
            <w:r>
              <w:rPr>
                <w:rFonts w:ascii="宋体" w:hAnsi="宋体" w:cs="宋体" w:eastAsia="宋体" w:hint="default"/>
                <w:sz w:val="15"/>
                <w:szCs w:val="15"/>
              </w:rPr>
              <w:t>提</w:t>
            </w:r>
            <w:r>
              <w:rPr>
                <w:rFonts w:ascii="宋体" w:hAnsi="宋体" w:cs="宋体" w:eastAsia="宋体" w:hint="default"/>
                <w:spacing w:val="-48"/>
                <w:sz w:val="15"/>
                <w:szCs w:val="15"/>
              </w:rPr>
              <w:t> </w:t>
            </w:r>
            <w:r>
              <w:rPr>
                <w:rFonts w:ascii="宋体" w:hAnsi="宋体" w:cs="宋体" w:eastAsia="宋体" w:hint="default"/>
                <w:sz w:val="15"/>
                <w:szCs w:val="15"/>
              </w:rPr>
              <w:t>坏</w:t>
            </w:r>
            <w:r>
              <w:rPr>
                <w:rFonts w:ascii="宋体" w:hAnsi="宋体" w:cs="宋体" w:eastAsia="宋体" w:hint="default"/>
                <w:w w:val="100"/>
                <w:sz w:val="15"/>
                <w:szCs w:val="15"/>
              </w:rPr>
              <w:t> </w:t>
            </w:r>
            <w:r>
              <w:rPr>
                <w:rFonts w:ascii="宋体" w:hAnsi="宋体" w:cs="宋体" w:eastAsia="宋体" w:hint="default"/>
                <w:sz w:val="15"/>
                <w:szCs w:val="15"/>
              </w:rPr>
              <w:t>账</w:t>
            </w:r>
            <w:r>
              <w:rPr>
                <w:rFonts w:ascii="宋体" w:hAnsi="宋体" w:cs="宋体" w:eastAsia="宋体" w:hint="default"/>
                <w:spacing w:val="-48"/>
                <w:sz w:val="15"/>
                <w:szCs w:val="15"/>
              </w:rPr>
              <w:t> </w:t>
            </w:r>
            <w:r>
              <w:rPr>
                <w:rFonts w:ascii="宋体" w:hAnsi="宋体" w:cs="宋体" w:eastAsia="宋体" w:hint="default"/>
                <w:sz w:val="15"/>
                <w:szCs w:val="15"/>
              </w:rPr>
              <w:t>准</w:t>
            </w:r>
            <w:r>
              <w:rPr>
                <w:rFonts w:ascii="宋体" w:hAnsi="宋体" w:cs="宋体" w:eastAsia="宋体" w:hint="default"/>
                <w:spacing w:val="-48"/>
                <w:sz w:val="15"/>
                <w:szCs w:val="15"/>
              </w:rPr>
              <w:t> </w:t>
            </w:r>
            <w:r>
              <w:rPr>
                <w:rFonts w:ascii="宋体" w:hAnsi="宋体" w:cs="宋体" w:eastAsia="宋体" w:hint="default"/>
                <w:sz w:val="15"/>
                <w:szCs w:val="15"/>
              </w:rPr>
              <w:t>备</w:t>
            </w:r>
            <w:r>
              <w:rPr>
                <w:rFonts w:ascii="宋体" w:hAnsi="宋体" w:cs="宋体" w:eastAsia="宋体" w:hint="default"/>
                <w:spacing w:val="-48"/>
                <w:sz w:val="15"/>
                <w:szCs w:val="15"/>
              </w:rPr>
              <w:t> </w:t>
            </w:r>
            <w:r>
              <w:rPr>
                <w:rFonts w:ascii="宋体" w:hAnsi="宋体" w:cs="宋体" w:eastAsia="宋体" w:hint="default"/>
                <w:sz w:val="15"/>
                <w:szCs w:val="15"/>
              </w:rPr>
              <w:t>的</w:t>
            </w:r>
            <w:r>
              <w:rPr>
                <w:rFonts w:ascii="宋体" w:hAnsi="宋体" w:cs="宋体" w:eastAsia="宋体" w:hint="default"/>
                <w:spacing w:val="-51"/>
                <w:sz w:val="15"/>
                <w:szCs w:val="15"/>
              </w:rPr>
              <w:t> </w:t>
            </w:r>
            <w:r>
              <w:rPr>
                <w:rFonts w:ascii="宋体" w:hAnsi="宋体" w:cs="宋体" w:eastAsia="宋体" w:hint="default"/>
                <w:sz w:val="15"/>
                <w:szCs w:val="15"/>
              </w:rPr>
              <w:t>应</w:t>
            </w:r>
            <w:r>
              <w:rPr>
                <w:rFonts w:ascii="宋体" w:hAnsi="宋体" w:cs="宋体" w:eastAsia="宋体" w:hint="default"/>
                <w:spacing w:val="-48"/>
                <w:sz w:val="15"/>
                <w:szCs w:val="15"/>
              </w:rPr>
              <w:t> </w:t>
            </w:r>
            <w:r>
              <w:rPr>
                <w:rFonts w:ascii="宋体" w:hAnsi="宋体" w:cs="宋体" w:eastAsia="宋体" w:hint="default"/>
                <w:sz w:val="15"/>
                <w:szCs w:val="15"/>
              </w:rPr>
              <w:t>收</w:t>
            </w:r>
            <w:r>
              <w:rPr>
                <w:rFonts w:ascii="宋体" w:hAnsi="宋体" w:cs="宋体" w:eastAsia="宋体" w:hint="default"/>
                <w:w w:val="100"/>
                <w:sz w:val="15"/>
                <w:szCs w:val="15"/>
              </w:rPr>
              <w:t> </w:t>
            </w:r>
            <w:r>
              <w:rPr>
                <w:rFonts w:ascii="宋体" w:hAnsi="宋体" w:cs="宋体" w:eastAsia="宋体" w:hint="default"/>
                <w:sz w:val="15"/>
                <w:szCs w:val="15"/>
              </w:rPr>
              <w:t>账款</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spacing w:val="-2"/>
                <w:sz w:val="15"/>
              </w:rPr>
              <w:t>11,381,760.76</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1"/>
              <w:jc w:val="right"/>
              <w:rPr>
                <w:rFonts w:ascii="Times New Roman" w:hAnsi="Times New Roman" w:cs="Times New Roman" w:eastAsia="Times New Roman" w:hint="default"/>
                <w:sz w:val="15"/>
                <w:szCs w:val="15"/>
              </w:rPr>
            </w:pPr>
            <w:r>
              <w:rPr>
                <w:rFonts w:ascii="Times New Roman"/>
                <w:spacing w:val="-1"/>
                <w:sz w:val="15"/>
              </w:rPr>
              <w:t>10.55%</w:t>
            </w:r>
          </w:p>
        </w:tc>
        <w:tc>
          <w:tcPr>
            <w:tcW w:w="998"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spacing w:val="-2"/>
                <w:sz w:val="15"/>
              </w:rPr>
              <w:t>11,381,760.76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 w:right="0"/>
              <w:jc w:val="center"/>
              <w:rPr>
                <w:rFonts w:ascii="Times New Roman" w:hAnsi="Times New Roman" w:cs="Times New Roman" w:eastAsia="Times New Roman" w:hint="default"/>
                <w:sz w:val="15"/>
                <w:szCs w:val="15"/>
              </w:rPr>
            </w:pPr>
            <w:r>
              <w:rPr>
                <w:rFonts w:ascii="Times New Roman"/>
                <w:sz w:val="15"/>
              </w:rPr>
              <w:t>12,807,707.22</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17.31%</w:t>
            </w:r>
          </w:p>
        </w:tc>
        <w:tc>
          <w:tcPr>
            <w:tcW w:w="850"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5" w:right="0"/>
              <w:jc w:val="center"/>
              <w:rPr>
                <w:rFonts w:ascii="Times New Roman" w:hAnsi="Times New Roman" w:cs="Times New Roman" w:eastAsia="Times New Roman" w:hint="default"/>
                <w:sz w:val="15"/>
                <w:szCs w:val="15"/>
              </w:rPr>
            </w:pPr>
            <w:r>
              <w:rPr>
                <w:rFonts w:ascii="Times New Roman"/>
                <w:sz w:val="15"/>
              </w:rPr>
              <w:t>12,807,707.22</w:t>
            </w:r>
          </w:p>
        </w:tc>
      </w:tr>
      <w:tr>
        <w:trPr>
          <w:trHeight w:val="790"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按</w:t>
            </w:r>
            <w:r>
              <w:rPr>
                <w:rFonts w:ascii="宋体" w:hAnsi="宋体" w:cs="宋体" w:eastAsia="宋体" w:hint="default"/>
                <w:spacing w:val="-48"/>
                <w:sz w:val="15"/>
                <w:szCs w:val="15"/>
              </w:rPr>
              <w:t> </w:t>
            </w:r>
            <w:r>
              <w:rPr>
                <w:rFonts w:ascii="宋体" w:hAnsi="宋体" w:cs="宋体" w:eastAsia="宋体" w:hint="default"/>
                <w:sz w:val="15"/>
                <w:szCs w:val="15"/>
              </w:rPr>
              <w:t>信</w:t>
            </w:r>
            <w:r>
              <w:rPr>
                <w:rFonts w:ascii="宋体" w:hAnsi="宋体" w:cs="宋体" w:eastAsia="宋体" w:hint="default"/>
                <w:spacing w:val="-48"/>
                <w:sz w:val="15"/>
                <w:szCs w:val="15"/>
              </w:rPr>
              <w:t> </w:t>
            </w:r>
            <w:r>
              <w:rPr>
                <w:rFonts w:ascii="宋体" w:hAnsi="宋体" w:cs="宋体" w:eastAsia="宋体" w:hint="default"/>
                <w:sz w:val="15"/>
                <w:szCs w:val="15"/>
              </w:rPr>
              <w:t>用</w:t>
            </w:r>
            <w:r>
              <w:rPr>
                <w:rFonts w:ascii="宋体" w:hAnsi="宋体" w:cs="宋体" w:eastAsia="宋体" w:hint="default"/>
                <w:spacing w:val="-48"/>
                <w:sz w:val="15"/>
                <w:szCs w:val="15"/>
              </w:rPr>
              <w:t> </w:t>
            </w:r>
            <w:r>
              <w:rPr>
                <w:rFonts w:ascii="宋体" w:hAnsi="宋体" w:cs="宋体" w:eastAsia="宋体" w:hint="default"/>
                <w:sz w:val="15"/>
                <w:szCs w:val="15"/>
              </w:rPr>
              <w:t>风</w:t>
            </w:r>
            <w:r>
              <w:rPr>
                <w:rFonts w:ascii="宋体" w:hAnsi="宋体" w:cs="宋体" w:eastAsia="宋体" w:hint="default"/>
                <w:spacing w:val="-51"/>
                <w:sz w:val="15"/>
                <w:szCs w:val="15"/>
              </w:rPr>
              <w:t> </w:t>
            </w:r>
            <w:r>
              <w:rPr>
                <w:rFonts w:ascii="宋体" w:hAnsi="宋体" w:cs="宋体" w:eastAsia="宋体" w:hint="default"/>
                <w:sz w:val="15"/>
                <w:szCs w:val="15"/>
              </w:rPr>
              <w:t>险</w:t>
            </w:r>
            <w:r>
              <w:rPr>
                <w:rFonts w:ascii="宋体" w:hAnsi="宋体" w:cs="宋体" w:eastAsia="宋体" w:hint="default"/>
                <w:spacing w:val="-48"/>
                <w:sz w:val="15"/>
                <w:szCs w:val="15"/>
              </w:rPr>
              <w:t> </w:t>
            </w:r>
            <w:r>
              <w:rPr>
                <w:rFonts w:ascii="宋体" w:hAnsi="宋体" w:cs="宋体" w:eastAsia="宋体" w:hint="default"/>
                <w:sz w:val="15"/>
                <w:szCs w:val="15"/>
              </w:rPr>
              <w:t>特</w:t>
            </w:r>
          </w:p>
          <w:p>
            <w:pPr>
              <w:pStyle w:val="TableParagraph"/>
              <w:spacing w:line="240" w:lineRule="auto"/>
              <w:ind w:left="26" w:right="22"/>
              <w:jc w:val="both"/>
              <w:rPr>
                <w:rFonts w:ascii="宋体" w:hAnsi="宋体" w:cs="宋体" w:eastAsia="宋体" w:hint="default"/>
                <w:sz w:val="15"/>
                <w:szCs w:val="15"/>
              </w:rPr>
            </w:pPr>
            <w:r>
              <w:rPr>
                <w:rFonts w:ascii="宋体" w:hAnsi="宋体" w:cs="宋体" w:eastAsia="宋体" w:hint="default"/>
                <w:sz w:val="15"/>
                <w:szCs w:val="15"/>
              </w:rPr>
              <w:t>征</w:t>
            </w:r>
            <w:r>
              <w:rPr>
                <w:rFonts w:ascii="宋体" w:hAnsi="宋体" w:cs="宋体" w:eastAsia="宋体" w:hint="default"/>
                <w:spacing w:val="-48"/>
                <w:sz w:val="15"/>
                <w:szCs w:val="15"/>
              </w:rPr>
              <w:t> </w:t>
            </w:r>
            <w:r>
              <w:rPr>
                <w:rFonts w:ascii="宋体" w:hAnsi="宋体" w:cs="宋体" w:eastAsia="宋体" w:hint="default"/>
                <w:sz w:val="15"/>
                <w:szCs w:val="15"/>
              </w:rPr>
              <w:t>组</w:t>
            </w:r>
            <w:r>
              <w:rPr>
                <w:rFonts w:ascii="宋体" w:hAnsi="宋体" w:cs="宋体" w:eastAsia="宋体" w:hint="default"/>
                <w:spacing w:val="-48"/>
                <w:sz w:val="15"/>
                <w:szCs w:val="15"/>
              </w:rPr>
              <w:t> </w:t>
            </w:r>
            <w:r>
              <w:rPr>
                <w:rFonts w:ascii="宋体" w:hAnsi="宋体" w:cs="宋体" w:eastAsia="宋体" w:hint="default"/>
                <w:sz w:val="15"/>
                <w:szCs w:val="15"/>
              </w:rPr>
              <w:t>合</w:t>
            </w:r>
            <w:r>
              <w:rPr>
                <w:rFonts w:ascii="宋体" w:hAnsi="宋体" w:cs="宋体" w:eastAsia="宋体" w:hint="default"/>
                <w:spacing w:val="-48"/>
                <w:sz w:val="15"/>
                <w:szCs w:val="15"/>
              </w:rPr>
              <w:t> </w:t>
            </w:r>
            <w:r>
              <w:rPr>
                <w:rFonts w:ascii="宋体" w:hAnsi="宋体" w:cs="宋体" w:eastAsia="宋体" w:hint="default"/>
                <w:sz w:val="15"/>
                <w:szCs w:val="15"/>
              </w:rPr>
              <w:t>计</w:t>
            </w:r>
            <w:r>
              <w:rPr>
                <w:rFonts w:ascii="宋体" w:hAnsi="宋体" w:cs="宋体" w:eastAsia="宋体" w:hint="default"/>
                <w:spacing w:val="-51"/>
                <w:sz w:val="15"/>
                <w:szCs w:val="15"/>
              </w:rPr>
              <w:t> </w:t>
            </w:r>
            <w:r>
              <w:rPr>
                <w:rFonts w:ascii="宋体" w:hAnsi="宋体" w:cs="宋体" w:eastAsia="宋体" w:hint="default"/>
                <w:sz w:val="15"/>
                <w:szCs w:val="15"/>
              </w:rPr>
              <w:t>提</w:t>
            </w:r>
            <w:r>
              <w:rPr>
                <w:rFonts w:ascii="宋体" w:hAnsi="宋体" w:cs="宋体" w:eastAsia="宋体" w:hint="default"/>
                <w:spacing w:val="-48"/>
                <w:sz w:val="15"/>
                <w:szCs w:val="15"/>
              </w:rPr>
              <w:t> </w:t>
            </w:r>
            <w:r>
              <w:rPr>
                <w:rFonts w:ascii="宋体" w:hAnsi="宋体" w:cs="宋体" w:eastAsia="宋体" w:hint="default"/>
                <w:sz w:val="15"/>
                <w:szCs w:val="15"/>
              </w:rPr>
              <w:t>坏</w:t>
            </w:r>
            <w:r>
              <w:rPr>
                <w:rFonts w:ascii="宋体" w:hAnsi="宋体" w:cs="宋体" w:eastAsia="宋体" w:hint="default"/>
                <w:w w:val="100"/>
                <w:sz w:val="15"/>
                <w:szCs w:val="15"/>
              </w:rPr>
              <w:t> </w:t>
            </w:r>
            <w:r>
              <w:rPr>
                <w:rFonts w:ascii="宋体" w:hAnsi="宋体" w:cs="宋体" w:eastAsia="宋体" w:hint="default"/>
                <w:sz w:val="15"/>
                <w:szCs w:val="15"/>
              </w:rPr>
              <w:t>账</w:t>
            </w:r>
            <w:r>
              <w:rPr>
                <w:rFonts w:ascii="宋体" w:hAnsi="宋体" w:cs="宋体" w:eastAsia="宋体" w:hint="default"/>
                <w:spacing w:val="-48"/>
                <w:sz w:val="15"/>
                <w:szCs w:val="15"/>
              </w:rPr>
              <w:t> </w:t>
            </w:r>
            <w:r>
              <w:rPr>
                <w:rFonts w:ascii="宋体" w:hAnsi="宋体" w:cs="宋体" w:eastAsia="宋体" w:hint="default"/>
                <w:sz w:val="15"/>
                <w:szCs w:val="15"/>
              </w:rPr>
              <w:t>准</w:t>
            </w:r>
            <w:r>
              <w:rPr>
                <w:rFonts w:ascii="宋体" w:hAnsi="宋体" w:cs="宋体" w:eastAsia="宋体" w:hint="default"/>
                <w:spacing w:val="-48"/>
                <w:sz w:val="15"/>
                <w:szCs w:val="15"/>
              </w:rPr>
              <w:t> </w:t>
            </w:r>
            <w:r>
              <w:rPr>
                <w:rFonts w:ascii="宋体" w:hAnsi="宋体" w:cs="宋体" w:eastAsia="宋体" w:hint="default"/>
                <w:sz w:val="15"/>
                <w:szCs w:val="15"/>
              </w:rPr>
              <w:t>备</w:t>
            </w:r>
            <w:r>
              <w:rPr>
                <w:rFonts w:ascii="宋体" w:hAnsi="宋体" w:cs="宋体" w:eastAsia="宋体" w:hint="default"/>
                <w:spacing w:val="-48"/>
                <w:sz w:val="15"/>
                <w:szCs w:val="15"/>
              </w:rPr>
              <w:t> </w:t>
            </w:r>
            <w:r>
              <w:rPr>
                <w:rFonts w:ascii="宋体" w:hAnsi="宋体" w:cs="宋体" w:eastAsia="宋体" w:hint="default"/>
                <w:sz w:val="15"/>
                <w:szCs w:val="15"/>
              </w:rPr>
              <w:t>的</w:t>
            </w:r>
            <w:r>
              <w:rPr>
                <w:rFonts w:ascii="宋体" w:hAnsi="宋体" w:cs="宋体" w:eastAsia="宋体" w:hint="default"/>
                <w:spacing w:val="-51"/>
                <w:sz w:val="15"/>
                <w:szCs w:val="15"/>
              </w:rPr>
              <w:t> </w:t>
            </w:r>
            <w:r>
              <w:rPr>
                <w:rFonts w:ascii="宋体" w:hAnsi="宋体" w:cs="宋体" w:eastAsia="宋体" w:hint="default"/>
                <w:sz w:val="15"/>
                <w:szCs w:val="15"/>
              </w:rPr>
              <w:t>应</w:t>
            </w:r>
            <w:r>
              <w:rPr>
                <w:rFonts w:ascii="宋体" w:hAnsi="宋体" w:cs="宋体" w:eastAsia="宋体" w:hint="default"/>
                <w:spacing w:val="-48"/>
                <w:sz w:val="15"/>
                <w:szCs w:val="15"/>
              </w:rPr>
              <w:t> </w:t>
            </w:r>
            <w:r>
              <w:rPr>
                <w:rFonts w:ascii="宋体" w:hAnsi="宋体" w:cs="宋体" w:eastAsia="宋体" w:hint="default"/>
                <w:sz w:val="15"/>
                <w:szCs w:val="15"/>
              </w:rPr>
              <w:t>收</w:t>
            </w:r>
            <w:r>
              <w:rPr>
                <w:rFonts w:ascii="宋体" w:hAnsi="宋体" w:cs="宋体" w:eastAsia="宋体" w:hint="default"/>
                <w:w w:val="100"/>
                <w:sz w:val="15"/>
                <w:szCs w:val="15"/>
              </w:rPr>
              <w:t> </w:t>
            </w:r>
            <w:r>
              <w:rPr>
                <w:rFonts w:ascii="宋体" w:hAnsi="宋体" w:cs="宋体" w:eastAsia="宋体" w:hint="default"/>
                <w:sz w:val="15"/>
                <w:szCs w:val="15"/>
              </w:rPr>
              <w:t>账款</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spacing w:val="-1"/>
                <w:sz w:val="15"/>
              </w:rPr>
              <w:t>95,516,839.27</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1"/>
              <w:jc w:val="right"/>
              <w:rPr>
                <w:rFonts w:ascii="Times New Roman" w:hAnsi="Times New Roman" w:cs="Times New Roman" w:eastAsia="Times New Roman" w:hint="default"/>
                <w:sz w:val="15"/>
                <w:szCs w:val="15"/>
              </w:rPr>
            </w:pPr>
            <w:r>
              <w:rPr>
                <w:rFonts w:ascii="Times New Roman"/>
                <w:spacing w:val="-1"/>
                <w:sz w:val="15"/>
              </w:rPr>
              <w:t>88.57%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8,706,783.98</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5" w:right="0"/>
              <w:jc w:val="center"/>
              <w:rPr>
                <w:rFonts w:ascii="Times New Roman" w:hAnsi="Times New Roman" w:cs="Times New Roman" w:eastAsia="Times New Roman" w:hint="default"/>
                <w:sz w:val="15"/>
                <w:szCs w:val="15"/>
              </w:rPr>
            </w:pPr>
            <w:r>
              <w:rPr>
                <w:rFonts w:ascii="Times New Roman"/>
                <w:sz w:val="15"/>
              </w:rPr>
              <w:t>9.12%</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spacing w:val="-1"/>
                <w:sz w:val="15"/>
              </w:rPr>
              <w:t>86,810,055.29</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 w:right="0"/>
              <w:jc w:val="center"/>
              <w:rPr>
                <w:rFonts w:ascii="Times New Roman" w:hAnsi="Times New Roman" w:cs="Times New Roman" w:eastAsia="Times New Roman" w:hint="default"/>
                <w:sz w:val="15"/>
                <w:szCs w:val="15"/>
              </w:rPr>
            </w:pPr>
            <w:r>
              <w:rPr>
                <w:rFonts w:ascii="Times New Roman"/>
                <w:sz w:val="15"/>
              </w:rPr>
              <w:t>61,178,727.46</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82.69%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5,992,505.36</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5" w:right="0"/>
              <w:jc w:val="center"/>
              <w:rPr>
                <w:rFonts w:ascii="Times New Roman" w:hAnsi="Times New Roman" w:cs="Times New Roman" w:eastAsia="Times New Roman" w:hint="default"/>
                <w:sz w:val="15"/>
                <w:szCs w:val="15"/>
              </w:rPr>
            </w:pPr>
            <w:r>
              <w:rPr>
                <w:rFonts w:ascii="Times New Roman"/>
                <w:sz w:val="15"/>
              </w:rPr>
              <w:t>9.80%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79" w:right="0"/>
              <w:jc w:val="center"/>
              <w:rPr>
                <w:rFonts w:ascii="Times New Roman" w:hAnsi="Times New Roman" w:cs="Times New Roman" w:eastAsia="Times New Roman" w:hint="default"/>
                <w:sz w:val="15"/>
                <w:szCs w:val="15"/>
              </w:rPr>
            </w:pPr>
            <w:r>
              <w:rPr>
                <w:rFonts w:ascii="Times New Roman"/>
                <w:sz w:val="15"/>
              </w:rPr>
              <w:t>55,186,222.1</w:t>
            </w:r>
          </w:p>
        </w:tc>
      </w:tr>
      <w:tr>
        <w:trPr>
          <w:trHeight w:val="787"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单</w:t>
            </w:r>
            <w:r>
              <w:rPr>
                <w:rFonts w:ascii="宋体" w:hAnsi="宋体" w:cs="宋体" w:eastAsia="宋体" w:hint="default"/>
                <w:spacing w:val="-48"/>
                <w:sz w:val="15"/>
                <w:szCs w:val="15"/>
              </w:rPr>
              <w:t> </w:t>
            </w:r>
            <w:r>
              <w:rPr>
                <w:rFonts w:ascii="宋体" w:hAnsi="宋体" w:cs="宋体" w:eastAsia="宋体" w:hint="default"/>
                <w:sz w:val="15"/>
                <w:szCs w:val="15"/>
              </w:rPr>
              <w:t>项</w:t>
            </w:r>
            <w:r>
              <w:rPr>
                <w:rFonts w:ascii="宋体" w:hAnsi="宋体" w:cs="宋体" w:eastAsia="宋体" w:hint="default"/>
                <w:spacing w:val="-48"/>
                <w:sz w:val="15"/>
                <w:szCs w:val="15"/>
              </w:rPr>
              <w:t> </w:t>
            </w:r>
            <w:r>
              <w:rPr>
                <w:rFonts w:ascii="宋体" w:hAnsi="宋体" w:cs="宋体" w:eastAsia="宋体" w:hint="default"/>
                <w:sz w:val="15"/>
                <w:szCs w:val="15"/>
              </w:rPr>
              <w:t>金</w:t>
            </w:r>
            <w:r>
              <w:rPr>
                <w:rFonts w:ascii="宋体" w:hAnsi="宋体" w:cs="宋体" w:eastAsia="宋体" w:hint="default"/>
                <w:spacing w:val="-48"/>
                <w:sz w:val="15"/>
                <w:szCs w:val="15"/>
              </w:rPr>
              <w:t> </w:t>
            </w:r>
            <w:r>
              <w:rPr>
                <w:rFonts w:ascii="宋体" w:hAnsi="宋体" w:cs="宋体" w:eastAsia="宋体" w:hint="default"/>
                <w:sz w:val="15"/>
                <w:szCs w:val="15"/>
              </w:rPr>
              <w:t>额</w:t>
            </w:r>
            <w:r>
              <w:rPr>
                <w:rFonts w:ascii="宋体" w:hAnsi="宋体" w:cs="宋体" w:eastAsia="宋体" w:hint="default"/>
                <w:spacing w:val="-51"/>
                <w:sz w:val="15"/>
                <w:szCs w:val="15"/>
              </w:rPr>
              <w:t> </w:t>
            </w:r>
            <w:r>
              <w:rPr>
                <w:rFonts w:ascii="宋体" w:hAnsi="宋体" w:cs="宋体" w:eastAsia="宋体" w:hint="default"/>
                <w:sz w:val="15"/>
                <w:szCs w:val="15"/>
              </w:rPr>
              <w:t>不</w:t>
            </w:r>
            <w:r>
              <w:rPr>
                <w:rFonts w:ascii="宋体" w:hAnsi="宋体" w:cs="宋体" w:eastAsia="宋体" w:hint="default"/>
                <w:spacing w:val="-48"/>
                <w:sz w:val="15"/>
                <w:szCs w:val="15"/>
              </w:rPr>
              <w:t> </w:t>
            </w:r>
            <w:r>
              <w:rPr>
                <w:rFonts w:ascii="宋体" w:hAnsi="宋体" w:cs="宋体" w:eastAsia="宋体" w:hint="default"/>
                <w:sz w:val="15"/>
                <w:szCs w:val="15"/>
              </w:rPr>
              <w:t>重</w:t>
            </w:r>
          </w:p>
          <w:p>
            <w:pPr>
              <w:pStyle w:val="TableParagraph"/>
              <w:spacing w:line="240" w:lineRule="auto"/>
              <w:ind w:left="26" w:right="22"/>
              <w:jc w:val="both"/>
              <w:rPr>
                <w:rFonts w:ascii="宋体" w:hAnsi="宋体" w:cs="宋体" w:eastAsia="宋体" w:hint="default"/>
                <w:sz w:val="15"/>
                <w:szCs w:val="15"/>
              </w:rPr>
            </w:pPr>
            <w:r>
              <w:rPr>
                <w:rFonts w:ascii="宋体" w:hAnsi="宋体" w:cs="宋体" w:eastAsia="宋体" w:hint="default"/>
                <w:sz w:val="15"/>
                <w:szCs w:val="15"/>
              </w:rPr>
              <w:t>大</w:t>
            </w:r>
            <w:r>
              <w:rPr>
                <w:rFonts w:ascii="宋体" w:hAnsi="宋体" w:cs="宋体" w:eastAsia="宋体" w:hint="default"/>
                <w:spacing w:val="-48"/>
                <w:sz w:val="15"/>
                <w:szCs w:val="15"/>
              </w:rPr>
              <w:t> </w:t>
            </w:r>
            <w:r>
              <w:rPr>
                <w:rFonts w:ascii="宋体" w:hAnsi="宋体" w:cs="宋体" w:eastAsia="宋体" w:hint="default"/>
                <w:sz w:val="15"/>
                <w:szCs w:val="15"/>
              </w:rPr>
              <w:t>但</w:t>
            </w:r>
            <w:r>
              <w:rPr>
                <w:rFonts w:ascii="宋体" w:hAnsi="宋体" w:cs="宋体" w:eastAsia="宋体" w:hint="default"/>
                <w:spacing w:val="-48"/>
                <w:sz w:val="15"/>
                <w:szCs w:val="15"/>
              </w:rPr>
              <w:t> </w:t>
            </w:r>
            <w:r>
              <w:rPr>
                <w:rFonts w:ascii="宋体" w:hAnsi="宋体" w:cs="宋体" w:eastAsia="宋体" w:hint="default"/>
                <w:sz w:val="15"/>
                <w:szCs w:val="15"/>
              </w:rPr>
              <w:t>单</w:t>
            </w:r>
            <w:r>
              <w:rPr>
                <w:rFonts w:ascii="宋体" w:hAnsi="宋体" w:cs="宋体" w:eastAsia="宋体" w:hint="default"/>
                <w:spacing w:val="-48"/>
                <w:sz w:val="15"/>
                <w:szCs w:val="15"/>
              </w:rPr>
              <w:t> </w:t>
            </w:r>
            <w:r>
              <w:rPr>
                <w:rFonts w:ascii="宋体" w:hAnsi="宋体" w:cs="宋体" w:eastAsia="宋体" w:hint="default"/>
                <w:sz w:val="15"/>
                <w:szCs w:val="15"/>
              </w:rPr>
              <w:t>独</w:t>
            </w:r>
            <w:r>
              <w:rPr>
                <w:rFonts w:ascii="宋体" w:hAnsi="宋体" w:cs="宋体" w:eastAsia="宋体" w:hint="default"/>
                <w:spacing w:val="-51"/>
                <w:sz w:val="15"/>
                <w:szCs w:val="15"/>
              </w:rPr>
              <w:t> </w:t>
            </w:r>
            <w:r>
              <w:rPr>
                <w:rFonts w:ascii="宋体" w:hAnsi="宋体" w:cs="宋体" w:eastAsia="宋体" w:hint="default"/>
                <w:sz w:val="15"/>
                <w:szCs w:val="15"/>
              </w:rPr>
              <w:t>计</w:t>
            </w:r>
            <w:r>
              <w:rPr>
                <w:rFonts w:ascii="宋体" w:hAnsi="宋体" w:cs="宋体" w:eastAsia="宋体" w:hint="default"/>
                <w:spacing w:val="-48"/>
                <w:sz w:val="15"/>
                <w:szCs w:val="15"/>
              </w:rPr>
              <w:t> </w:t>
            </w:r>
            <w:r>
              <w:rPr>
                <w:rFonts w:ascii="宋体" w:hAnsi="宋体" w:cs="宋体" w:eastAsia="宋体" w:hint="default"/>
                <w:sz w:val="15"/>
                <w:szCs w:val="15"/>
              </w:rPr>
              <w:t>提</w:t>
            </w:r>
            <w:r>
              <w:rPr>
                <w:rFonts w:ascii="宋体" w:hAnsi="宋体" w:cs="宋体" w:eastAsia="宋体" w:hint="default"/>
                <w:w w:val="100"/>
                <w:sz w:val="15"/>
                <w:szCs w:val="15"/>
              </w:rPr>
              <w:t> </w:t>
            </w:r>
            <w:r>
              <w:rPr>
                <w:rFonts w:ascii="宋体" w:hAnsi="宋体" w:cs="宋体" w:eastAsia="宋体" w:hint="default"/>
                <w:sz w:val="15"/>
                <w:szCs w:val="15"/>
              </w:rPr>
              <w:t>坏</w:t>
            </w:r>
            <w:r>
              <w:rPr>
                <w:rFonts w:ascii="宋体" w:hAnsi="宋体" w:cs="宋体" w:eastAsia="宋体" w:hint="default"/>
                <w:spacing w:val="-48"/>
                <w:sz w:val="15"/>
                <w:szCs w:val="15"/>
              </w:rPr>
              <w:t> </w:t>
            </w:r>
            <w:r>
              <w:rPr>
                <w:rFonts w:ascii="宋体" w:hAnsi="宋体" w:cs="宋体" w:eastAsia="宋体" w:hint="default"/>
                <w:sz w:val="15"/>
                <w:szCs w:val="15"/>
              </w:rPr>
              <w:t>账</w:t>
            </w:r>
            <w:r>
              <w:rPr>
                <w:rFonts w:ascii="宋体" w:hAnsi="宋体" w:cs="宋体" w:eastAsia="宋体" w:hint="default"/>
                <w:spacing w:val="-48"/>
                <w:sz w:val="15"/>
                <w:szCs w:val="15"/>
              </w:rPr>
              <w:t> </w:t>
            </w:r>
            <w:r>
              <w:rPr>
                <w:rFonts w:ascii="宋体" w:hAnsi="宋体" w:cs="宋体" w:eastAsia="宋体" w:hint="default"/>
                <w:sz w:val="15"/>
                <w:szCs w:val="15"/>
              </w:rPr>
              <w:t>准</w:t>
            </w:r>
            <w:r>
              <w:rPr>
                <w:rFonts w:ascii="宋体" w:hAnsi="宋体" w:cs="宋体" w:eastAsia="宋体" w:hint="default"/>
                <w:spacing w:val="-48"/>
                <w:sz w:val="15"/>
                <w:szCs w:val="15"/>
              </w:rPr>
              <w:t> </w:t>
            </w:r>
            <w:r>
              <w:rPr>
                <w:rFonts w:ascii="宋体" w:hAnsi="宋体" w:cs="宋体" w:eastAsia="宋体" w:hint="default"/>
                <w:sz w:val="15"/>
                <w:szCs w:val="15"/>
              </w:rPr>
              <w:t>备</w:t>
            </w:r>
            <w:r>
              <w:rPr>
                <w:rFonts w:ascii="宋体" w:hAnsi="宋体" w:cs="宋体" w:eastAsia="宋体" w:hint="default"/>
                <w:spacing w:val="-51"/>
                <w:sz w:val="15"/>
                <w:szCs w:val="15"/>
              </w:rPr>
              <w:t> </w:t>
            </w:r>
            <w:r>
              <w:rPr>
                <w:rFonts w:ascii="宋体" w:hAnsi="宋体" w:cs="宋体" w:eastAsia="宋体" w:hint="default"/>
                <w:sz w:val="15"/>
                <w:szCs w:val="15"/>
              </w:rPr>
              <w:t>的</w:t>
            </w:r>
            <w:r>
              <w:rPr>
                <w:rFonts w:ascii="宋体" w:hAnsi="宋体" w:cs="宋体" w:eastAsia="宋体" w:hint="default"/>
                <w:spacing w:val="-48"/>
                <w:sz w:val="15"/>
                <w:szCs w:val="15"/>
              </w:rPr>
              <w:t> </w:t>
            </w:r>
            <w:r>
              <w:rPr>
                <w:rFonts w:ascii="宋体" w:hAnsi="宋体" w:cs="宋体" w:eastAsia="宋体" w:hint="default"/>
                <w:sz w:val="15"/>
                <w:szCs w:val="15"/>
              </w:rPr>
              <w:t>应</w:t>
            </w:r>
            <w:r>
              <w:rPr>
                <w:rFonts w:ascii="宋体" w:hAnsi="宋体" w:cs="宋体" w:eastAsia="宋体" w:hint="default"/>
                <w:w w:val="100"/>
                <w:sz w:val="15"/>
                <w:szCs w:val="15"/>
              </w:rPr>
              <w:t> </w:t>
            </w:r>
            <w:r>
              <w:rPr>
                <w:rFonts w:ascii="宋体" w:hAnsi="宋体" w:cs="宋体" w:eastAsia="宋体" w:hint="default"/>
                <w:sz w:val="15"/>
                <w:szCs w:val="15"/>
              </w:rPr>
              <w:t>收账款</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spacing w:val="-1"/>
                <w:sz w:val="15"/>
              </w:rPr>
              <w:t>943,665.22</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1"/>
              <w:jc w:val="right"/>
              <w:rPr>
                <w:rFonts w:ascii="Times New Roman" w:hAnsi="Times New Roman" w:cs="Times New Roman" w:eastAsia="Times New Roman" w:hint="default"/>
                <w:sz w:val="15"/>
                <w:szCs w:val="15"/>
              </w:rPr>
            </w:pPr>
            <w:r>
              <w:rPr>
                <w:rFonts w:ascii="Times New Roman"/>
                <w:spacing w:val="-1"/>
                <w:sz w:val="15"/>
              </w:rPr>
              <w:t>0.88%</w:t>
            </w:r>
          </w:p>
        </w:tc>
        <w:tc>
          <w:tcPr>
            <w:tcW w:w="998"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spacing w:val="-1"/>
                <w:sz w:val="15"/>
              </w:rPr>
              <w:t>943,665.22</w:t>
            </w:r>
          </w:p>
        </w:tc>
        <w:tc>
          <w:tcPr>
            <w:tcW w:w="92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spacing w:val="-1"/>
                <w:sz w:val="15"/>
              </w:rPr>
              <w:t>107,842,265.25</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
              <w:jc w:val="center"/>
              <w:rPr>
                <w:rFonts w:ascii="Times New Roman" w:hAnsi="Times New Roman" w:cs="Times New Roman" w:eastAsia="Times New Roman" w:hint="default"/>
                <w:sz w:val="15"/>
                <w:szCs w:val="15"/>
              </w:rPr>
            </w:pPr>
            <w:r>
              <w:rPr>
                <w:rFonts w:ascii="Times New Roman"/>
                <w:w w:val="100"/>
                <w:sz w:val="15"/>
              </w:rPr>
              <w:t>/</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8,706,783.98</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
              <w:jc w:val="center"/>
              <w:rPr>
                <w:rFonts w:ascii="Times New Roman" w:hAnsi="Times New Roman" w:cs="Times New Roman" w:eastAsia="Times New Roman" w:hint="default"/>
                <w:sz w:val="15"/>
                <w:szCs w:val="15"/>
              </w:rPr>
            </w:pPr>
            <w:r>
              <w:rPr>
                <w:rFonts w:ascii="Times New Roman"/>
                <w:w w:val="100"/>
                <w:sz w:val="15"/>
              </w:rPr>
              <w:t>/</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spacing w:val="-1"/>
                <w:sz w:val="15"/>
              </w:rPr>
              <w:t>99,135,481.27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 w:right="0"/>
              <w:jc w:val="center"/>
              <w:rPr>
                <w:rFonts w:ascii="Times New Roman" w:hAnsi="Times New Roman" w:cs="Times New Roman" w:eastAsia="Times New Roman" w:hint="default"/>
                <w:sz w:val="15"/>
                <w:szCs w:val="15"/>
              </w:rPr>
            </w:pPr>
            <w:r>
              <w:rPr>
                <w:rFonts w:ascii="Times New Roman"/>
                <w:sz w:val="15"/>
              </w:rPr>
              <w:t>73,986,434.68</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
              <w:jc w:val="center"/>
              <w:rPr>
                <w:rFonts w:ascii="Times New Roman" w:hAnsi="Times New Roman" w:cs="Times New Roman" w:eastAsia="Times New Roman" w:hint="default"/>
                <w:sz w:val="15"/>
                <w:szCs w:val="15"/>
              </w:rPr>
            </w:pPr>
            <w:r>
              <w:rPr>
                <w:rFonts w:ascii="Times New Roman"/>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5,992,505.36</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
              <w:jc w:val="center"/>
              <w:rPr>
                <w:rFonts w:ascii="Times New Roman" w:hAnsi="Times New Roman" w:cs="Times New Roman" w:eastAsia="Times New Roman" w:hint="default"/>
                <w:sz w:val="15"/>
                <w:szCs w:val="15"/>
              </w:rPr>
            </w:pPr>
            <w:r>
              <w:rPr>
                <w:rFonts w:ascii="Times New Roman"/>
                <w:w w:val="100"/>
                <w:sz w:val="15"/>
              </w:rPr>
              <w:t>/</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5" w:right="0"/>
              <w:jc w:val="center"/>
              <w:rPr>
                <w:rFonts w:ascii="Times New Roman" w:hAnsi="Times New Roman" w:cs="Times New Roman" w:eastAsia="Times New Roman" w:hint="default"/>
                <w:sz w:val="15"/>
                <w:szCs w:val="15"/>
              </w:rPr>
            </w:pPr>
            <w:r>
              <w:rPr>
                <w:rFonts w:ascii="Times New Roman"/>
                <w:sz w:val="15"/>
              </w:rPr>
              <w:t>67,993,929.32</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80" w:right="1040"/>
        </w:sectPr>
      </w:pPr>
    </w:p>
    <w:p>
      <w:pPr>
        <w:pStyle w:val="BodyText"/>
        <w:spacing w:line="240" w:lineRule="auto" w:before="36"/>
        <w:ind w:right="0"/>
        <w:jc w:val="left"/>
      </w:pPr>
      <w:r>
        <w:rPr>
          <w:spacing w:val="-2"/>
        </w:rPr>
        <w:t>期末单项金额重大并单项计提坏账准备的应收账款：</w:t>
      </w:r>
    </w:p>
    <w:p>
      <w:pPr>
        <w:pStyle w:val="BodyText"/>
        <w:spacing w:line="240" w:lineRule="auto" w:before="56"/>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5053" w:space="1680"/>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89"/>
        <w:gridCol w:w="6361"/>
      </w:tblGrid>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3" w:right="0"/>
              <w:jc w:val="left"/>
              <w:rPr>
                <w:rFonts w:ascii="宋体" w:hAnsi="宋体" w:cs="宋体" w:eastAsia="宋体" w:hint="default"/>
                <w:sz w:val="21"/>
                <w:szCs w:val="21"/>
              </w:rPr>
            </w:pPr>
            <w:r>
              <w:rPr>
                <w:rFonts w:ascii="宋体" w:hAnsi="宋体" w:cs="宋体" w:eastAsia="宋体" w:hint="default"/>
                <w:sz w:val="21"/>
                <w:szCs w:val="21"/>
              </w:rPr>
              <w:t>应收账款（按单位）</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89"/>
        <w:gridCol w:w="1517"/>
        <w:gridCol w:w="1664"/>
        <w:gridCol w:w="1666"/>
        <w:gridCol w:w="1514"/>
      </w:tblGrid>
      <w:tr>
        <w:trPr>
          <w:trHeight w:val="284" w:hRule="exact"/>
        </w:trPr>
        <w:tc>
          <w:tcPr>
            <w:tcW w:w="268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0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7"/>
              <w:jc w:val="right"/>
              <w:rPr>
                <w:rFonts w:ascii="宋体" w:hAnsi="宋体" w:cs="宋体" w:eastAsia="宋体" w:hint="default"/>
                <w:sz w:val="21"/>
                <w:szCs w:val="21"/>
              </w:rPr>
            </w:pPr>
            <w:r>
              <w:rPr>
                <w:rFonts w:ascii="宋体" w:hAnsi="宋体" w:cs="宋体" w:eastAsia="宋体" w:hint="default"/>
                <w:spacing w:val="-2"/>
                <w:sz w:val="21"/>
                <w:szCs w:val="21"/>
              </w:rPr>
              <w:t>计提比例（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上海格尔安全科技有限公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8" w:right="0"/>
              <w:jc w:val="center"/>
              <w:rPr>
                <w:rFonts w:ascii="Times New Roman" w:hAnsi="Times New Roman" w:cs="Times New Roman" w:eastAsia="Times New Roman" w:hint="default"/>
                <w:sz w:val="21"/>
                <w:szCs w:val="21"/>
              </w:rPr>
            </w:pPr>
            <w:r>
              <w:rPr>
                <w:rFonts w:ascii="Times New Roman"/>
                <w:sz w:val="21"/>
              </w:rPr>
              <w:t>11,381,760.76</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合并关联方不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计提</w:t>
            </w: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8" w:right="0"/>
              <w:jc w:val="center"/>
              <w:rPr>
                <w:rFonts w:ascii="Times New Roman" w:hAnsi="Times New Roman" w:cs="Times New Roman" w:eastAsia="Times New Roman" w:hint="default"/>
                <w:sz w:val="21"/>
                <w:szCs w:val="21"/>
              </w:rPr>
            </w:pPr>
            <w:r>
              <w:rPr>
                <w:rFonts w:ascii="Times New Roman"/>
                <w:sz w:val="21"/>
              </w:rPr>
              <w:t>11,381,760.76</w:t>
            </w:r>
          </w:p>
        </w:tc>
        <w:tc>
          <w:tcPr>
            <w:tcW w:w="1664"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1195" w:top="1120" w:bottom="1380" w:left="1580" w:right="1040"/>
        </w:sectPr>
      </w:pPr>
    </w:p>
    <w:p>
      <w:pPr>
        <w:pStyle w:val="BodyText"/>
        <w:spacing w:line="240" w:lineRule="auto" w:before="36"/>
        <w:ind w:right="0"/>
        <w:jc w:val="left"/>
      </w:pPr>
      <w:r>
        <w:rPr>
          <w:spacing w:val="-2"/>
        </w:rPr>
        <w:t>组合中，按账龄分析法计提坏账准备的应收账款：</w:t>
      </w:r>
    </w:p>
    <w:p>
      <w:pPr>
        <w:pStyle w:val="BodyText"/>
        <w:spacing w:line="240" w:lineRule="auto" w:before="58"/>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4844" w:space="1889"/>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74"/>
        <w:gridCol w:w="2165"/>
        <w:gridCol w:w="2114"/>
        <w:gridCol w:w="2096"/>
      </w:tblGrid>
      <w:tr>
        <w:trPr>
          <w:trHeight w:val="307"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24"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68,659,440.61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2,059,783.22</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14,734,988.03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1,473,498.80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6,598,067.88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1,319,613.58</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20.00%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2,809,506.75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1,404,753.38</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1,328,505.00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1,062,804.00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80.00%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1,386,331.00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1,386,331.00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95,516,839.27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8,706,783.98</w:t>
            </w:r>
          </w:p>
        </w:tc>
        <w:tc>
          <w:tcPr>
            <w:tcW w:w="20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BodyText"/>
        <w:spacing w:line="240" w:lineRule="auto" w:before="36"/>
        <w:ind w:right="2465"/>
        <w:jc w:val="left"/>
      </w:pPr>
      <w:r>
        <w:rPr/>
        <w:t>确定该组合依据的说明：</w:t>
      </w:r>
    </w:p>
    <w:p>
      <w:pPr>
        <w:pStyle w:val="BodyText"/>
        <w:spacing w:line="228" w:lineRule="auto" w:before="68"/>
        <w:ind w:right="227"/>
        <w:jc w:val="left"/>
      </w:pPr>
      <w:r>
        <w:rPr>
          <w:rFonts w:ascii="Times New Roman" w:hAnsi="Times New Roman" w:cs="Times New Roman" w:eastAsia="Times New Roman" w:hint="default"/>
        </w:rPr>
        <w:t>(1)</w:t>
      </w:r>
      <w:r>
        <w:rPr/>
        <w:t>单项金额重大并单项计提坏账准备</w:t>
      </w:r>
      <w:r>
        <w:rPr>
          <w:rFonts w:ascii="Times New Roman" w:hAnsi="Times New Roman" w:cs="Times New Roman" w:eastAsia="Times New Roman" w:hint="default"/>
        </w:rPr>
        <w:t>:</w:t>
      </w:r>
      <w:r>
        <w:rPr/>
        <w:t>占应收款项余额</w:t>
      </w:r>
      <w:r>
        <w:rPr>
          <w:rFonts w:ascii="Times New Roman" w:hAnsi="Times New Roman" w:cs="Times New Roman" w:eastAsia="Times New Roman" w:hint="default"/>
        </w:rPr>
        <w:t>10%</w:t>
      </w:r>
      <w:r>
        <w:rPr/>
        <w:t>以上或期末前五名的款项。</w:t>
      </w:r>
      <w:r>
        <w:rPr>
          <w:w w:val="100"/>
        </w:rPr>
        <w:t> </w:t>
      </w:r>
      <w:r>
        <w:rPr>
          <w:rFonts w:ascii="Times New Roman" w:hAnsi="Times New Roman" w:cs="Times New Roman" w:eastAsia="Times New Roman" w:hint="default"/>
        </w:rPr>
        <w:t>(2)</w:t>
      </w:r>
      <w:r>
        <w:rPr/>
        <w:t>按组合计提坏账准备</w:t>
      </w:r>
      <w:r>
        <w:rPr>
          <w:rFonts w:ascii="Times New Roman" w:hAnsi="Times New Roman" w:cs="Times New Roman" w:eastAsia="Times New Roman" w:hint="default"/>
        </w:rPr>
        <w:t>:</w:t>
      </w:r>
      <w:r>
        <w:rPr/>
        <w:t>除已包含在范围</w:t>
      </w:r>
      <w:r>
        <w:rPr>
          <w:rFonts w:ascii="Times New Roman" w:hAnsi="Times New Roman" w:cs="Times New Roman" w:eastAsia="Times New Roman" w:hint="default"/>
        </w:rPr>
        <w:t>(1)</w:t>
      </w:r>
      <w:r>
        <w:rPr/>
        <w:t>以外，按类似信用风险特征划分为若干组合，按组合</w:t>
      </w:r>
      <w:r>
        <w:rPr>
          <w:spacing w:val="-14"/>
        </w:rPr>
        <w:t> </w:t>
      </w:r>
      <w:r>
        <w:rPr>
          <w:spacing w:val="-14"/>
        </w:rPr>
      </w:r>
      <w:r>
        <w:rPr/>
        <w:t>计提坏账准备的应收款项。</w:t>
      </w:r>
      <w:r>
        <w:rPr>
          <w:w w:val="100"/>
        </w:rPr>
        <w:t> </w:t>
      </w:r>
      <w:r>
        <w:rPr>
          <w:rFonts w:ascii="Times New Roman" w:hAnsi="Times New Roman" w:cs="Times New Roman" w:eastAsia="Times New Roman" w:hint="default"/>
        </w:rPr>
        <w:t>(3)</w:t>
      </w:r>
      <w:r>
        <w:rPr/>
        <w:t>单项金额虽不重大但单项计提坏账准备</w:t>
      </w:r>
      <w:r>
        <w:rPr>
          <w:rFonts w:ascii="Times New Roman" w:hAnsi="Times New Roman" w:cs="Times New Roman" w:eastAsia="Times New Roman" w:hint="default"/>
        </w:rPr>
        <w:t>:</w:t>
      </w:r>
      <w:r>
        <w:rPr/>
        <w:t>除已包含在范围</w:t>
      </w:r>
      <w:r>
        <w:rPr>
          <w:rFonts w:ascii="Times New Roman" w:hAnsi="Times New Roman" w:cs="Times New Roman" w:eastAsia="Times New Roman" w:hint="default"/>
        </w:rPr>
        <w:t>(1)</w:t>
      </w:r>
      <w:r>
        <w:rPr/>
        <w:t>以外，有确凿证据表明可收回性存</w:t>
      </w:r>
      <w:r>
        <w:rPr>
          <w:spacing w:val="-13"/>
        </w:rPr>
        <w:t> </w:t>
      </w:r>
      <w:r>
        <w:rPr>
          <w:spacing w:val="-13"/>
        </w:rPr>
      </w:r>
      <w:r>
        <w:rPr/>
        <w:t>在明显差异，单项计提坏账准备的应收款项。</w:t>
      </w:r>
    </w:p>
    <w:p>
      <w:pPr>
        <w:spacing w:line="240" w:lineRule="auto" w:before="12"/>
        <w:rPr>
          <w:rFonts w:ascii="宋体" w:hAnsi="宋体" w:cs="宋体" w:eastAsia="宋体" w:hint="default"/>
          <w:sz w:val="22"/>
          <w:szCs w:val="22"/>
        </w:rPr>
      </w:pPr>
    </w:p>
    <w:p>
      <w:pPr>
        <w:pStyle w:val="BodyText"/>
        <w:spacing w:line="240" w:lineRule="auto"/>
        <w:ind w:right="2465"/>
        <w:jc w:val="left"/>
      </w:pPr>
      <w:r>
        <w:rPr/>
        <w:t>组合中，采用余额百分比法计提坏账准备的应收账款：</w:t>
      </w:r>
    </w:p>
    <w:p>
      <w:pPr>
        <w:pStyle w:val="BodyText"/>
        <w:spacing w:line="240" w:lineRule="auto" w:before="58"/>
        <w:ind w:right="2465"/>
        <w:jc w:val="left"/>
      </w:pPr>
      <w:r>
        <w:rPr/>
        <w:t>□适用√不适用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right="2465"/>
        <w:jc w:val="left"/>
      </w:pPr>
      <w:r>
        <w:rPr/>
        <w:t>组合中，采用其他方法计提坏账准备的应收账款：</w:t>
      </w:r>
    </w:p>
    <w:p>
      <w:pPr>
        <w:pStyle w:val="BodyText"/>
        <w:spacing w:line="240" w:lineRule="auto" w:before="56"/>
        <w:ind w:right="2465"/>
        <w:jc w:val="left"/>
      </w:pPr>
      <w:r>
        <w:rPr/>
        <w:t>□适用√不适用</w:t>
      </w:r>
    </w:p>
    <w:p>
      <w:pPr>
        <w:spacing w:line="240" w:lineRule="auto" w:before="5"/>
        <w:rPr>
          <w:rFonts w:ascii="宋体" w:hAnsi="宋体" w:cs="宋体" w:eastAsia="宋体" w:hint="default"/>
          <w:sz w:val="27"/>
          <w:szCs w:val="27"/>
        </w:rPr>
      </w:pPr>
    </w:p>
    <w:p>
      <w:pPr>
        <w:pStyle w:val="Heading2"/>
        <w:tabs>
          <w:tab w:pos="1057" w:val="left" w:leader="none"/>
        </w:tabs>
        <w:spacing w:line="240" w:lineRule="auto"/>
        <w:ind w:left="359" w:right="2465"/>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9"/>
        <w:ind w:right="227"/>
        <w:jc w:val="left"/>
      </w:pPr>
      <w:r>
        <w:rPr/>
        <w:t>本期计提坏账准备金额</w:t>
      </w:r>
      <w:r>
        <w:rPr>
          <w:spacing w:val="-54"/>
        </w:rPr>
        <w:t> </w:t>
      </w:r>
      <w:r>
        <w:rPr>
          <w:rFonts w:ascii="Times New Roman" w:hAnsi="Times New Roman" w:cs="Times New Roman" w:eastAsia="Times New Roman" w:hint="default"/>
        </w:rPr>
        <w:t>2,714,278.62</w:t>
      </w:r>
      <w:r>
        <w:rPr>
          <w:rFonts w:ascii="Times New Roman" w:hAnsi="Times New Roman" w:cs="Times New Roman" w:eastAsia="Times New Roman" w:hint="default"/>
          <w:spacing w:val="-4"/>
        </w:rPr>
        <w:t> </w:t>
      </w:r>
      <w:r>
        <w:rPr/>
        <w:t>元；本期收回或转回坏账准备金额</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spacing w:val="-3"/>
        </w:rPr>
        <w:t>元。</w:t>
      </w:r>
      <w:r>
        <w:rPr/>
      </w:r>
    </w:p>
    <w:p>
      <w:pPr>
        <w:spacing w:line="240" w:lineRule="auto" w:before="0"/>
        <w:rPr>
          <w:rFonts w:ascii="宋体" w:hAnsi="宋体" w:cs="宋体" w:eastAsia="宋体" w:hint="default"/>
          <w:sz w:val="17"/>
          <w:szCs w:val="17"/>
        </w:rPr>
      </w:pPr>
    </w:p>
    <w:p>
      <w:pPr>
        <w:pStyle w:val="BodyText"/>
        <w:spacing w:line="273" w:lineRule="exact"/>
        <w:ind w:right="2465"/>
        <w:jc w:val="left"/>
      </w:pPr>
      <w:r>
        <w:rPr/>
        <w:t>其中本期坏账准备收回或转回金额重要的：</w:t>
      </w:r>
    </w:p>
    <w:p>
      <w:pPr>
        <w:pStyle w:val="BodyText"/>
        <w:spacing w:line="273" w:lineRule="exact"/>
        <w:ind w:right="2465"/>
        <w:jc w:val="left"/>
      </w:pPr>
      <w:r>
        <w:rPr/>
        <w:t>□适用√不适用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2"/>
        <w:tabs>
          <w:tab w:pos="1057" w:val="left" w:leader="none"/>
        </w:tabs>
        <w:spacing w:line="240" w:lineRule="auto"/>
        <w:ind w:left="359" w:right="2465"/>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spacing w:line="240" w:lineRule="auto" w:before="56"/>
        <w:ind w:right="5269"/>
        <w:jc w:val="left"/>
      </w:pPr>
      <w:r>
        <w:rPr/>
        <w:t>□适用√不适用</w:t>
      </w:r>
      <w:r>
        <w:rPr>
          <w:spacing w:val="-103"/>
        </w:rPr>
        <w:t> </w:t>
      </w:r>
      <w:r>
        <w:rPr>
          <w:spacing w:val="-103"/>
        </w:rPr>
      </w:r>
      <w:r>
        <w:rPr>
          <w:spacing w:val="-2"/>
        </w:rPr>
        <w:t>其中重要的应收账款核销情况</w:t>
      </w:r>
    </w:p>
    <w:p>
      <w:pPr>
        <w:pStyle w:val="BodyText"/>
        <w:spacing w:line="271" w:lineRule="exact"/>
        <w:ind w:right="2465"/>
        <w:jc w:val="left"/>
      </w:pPr>
      <w:r>
        <w:rPr/>
        <w:t>□适用√不适用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2"/>
        <w:tabs>
          <w:tab w:pos="1057" w:val="left" w:leader="none"/>
        </w:tabs>
        <w:spacing w:line="240" w:lineRule="auto"/>
        <w:ind w:left="359" w:right="2465"/>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pStyle w:val="BodyText"/>
        <w:spacing w:line="240" w:lineRule="auto" w:before="58"/>
        <w:ind w:right="2465"/>
        <w:jc w:val="left"/>
      </w:pPr>
      <w:r>
        <w:rPr/>
        <w:t>√适用□不适用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62"/>
        <w:ind w:right="227"/>
        <w:jc w:val="left"/>
      </w:pPr>
      <w:r>
        <w:rPr/>
        <w:t>本报告期按欠款方归集的期末余额前五名应收账款汇总金额</w:t>
      </w:r>
      <w:r>
        <w:rPr>
          <w:spacing w:val="-52"/>
        </w:rPr>
        <w:t> </w:t>
      </w:r>
      <w:r>
        <w:rPr>
          <w:rFonts w:ascii="Times New Roman" w:hAnsi="Times New Roman" w:cs="Times New Roman" w:eastAsia="Times New Roman" w:hint="default"/>
        </w:rPr>
        <w:t>52,611,828.56</w:t>
      </w:r>
      <w:r>
        <w:rPr>
          <w:rFonts w:ascii="Times New Roman" w:hAnsi="Times New Roman" w:cs="Times New Roman" w:eastAsia="Times New Roman" w:hint="default"/>
          <w:spacing w:val="-2"/>
        </w:rPr>
        <w:t> </w:t>
      </w:r>
      <w:r>
        <w:rPr>
          <w:spacing w:val="-5"/>
        </w:rPr>
        <w:t>元，占应收账款期末余</w:t>
      </w:r>
      <w:r>
        <w:rPr>
          <w:w w:val="100"/>
        </w:rPr>
        <w:t> </w:t>
      </w:r>
      <w:r>
        <w:rPr/>
        <w:t>额合计数的比例</w:t>
      </w:r>
      <w:r>
        <w:rPr>
          <w:spacing w:val="-58"/>
        </w:rPr>
        <w:t> </w:t>
      </w:r>
      <w:r>
        <w:rPr>
          <w:rFonts w:ascii="Times New Roman" w:hAnsi="Times New Roman" w:cs="Times New Roman" w:eastAsia="Times New Roman" w:hint="default"/>
        </w:rPr>
        <w:t>48.79%</w:t>
      </w:r>
      <w:r>
        <w:rPr/>
        <w:t>，相应计提的坏账准备期末余额汇总金额</w:t>
      </w:r>
      <w:r>
        <w:rPr>
          <w:spacing w:val="-58"/>
        </w:rPr>
        <w:t> </w:t>
      </w:r>
      <w:r>
        <w:rPr>
          <w:rFonts w:ascii="Times New Roman" w:hAnsi="Times New Roman" w:cs="Times New Roman" w:eastAsia="Times New Roman" w:hint="default"/>
        </w:rPr>
        <w:t>2,636,074.11</w:t>
      </w:r>
      <w:r>
        <w:rPr>
          <w:rFonts w:ascii="Times New Roman" w:hAnsi="Times New Roman" w:cs="Times New Roman" w:eastAsia="Times New Roman" w:hint="default"/>
          <w:spacing w:val="-5"/>
        </w:rPr>
        <w:t> </w:t>
      </w:r>
      <w:r>
        <w:rPr/>
        <w:t>元。</w:t>
      </w:r>
    </w:p>
    <w:p>
      <w:pPr>
        <w:pStyle w:val="Heading2"/>
        <w:tabs>
          <w:tab w:pos="1057" w:val="left" w:leader="none"/>
        </w:tabs>
        <w:spacing w:line="240" w:lineRule="auto" w:before="31"/>
        <w:ind w:left="359" w:right="2465"/>
        <w:jc w:val="left"/>
        <w:rPr>
          <w:b w:val="0"/>
          <w:bCs w:val="0"/>
        </w:rPr>
      </w:pPr>
      <w:r>
        <w:rPr>
          <w:rFonts w:ascii="宋体" w:hAnsi="宋体" w:cs="宋体" w:eastAsia="宋体" w:hint="default"/>
          <w:w w:val="95"/>
        </w:rPr>
        <w:t>(5).</w:t>
        <w:tab/>
      </w:r>
      <w:r>
        <w:rPr/>
        <w:t>因金融资产转移而终止确认的应收账款：</w:t>
      </w:r>
      <w:r>
        <w:rPr>
          <w:b w:val="0"/>
          <w:bCs w:val="0"/>
        </w:rPr>
      </w:r>
    </w:p>
    <w:p>
      <w:pPr>
        <w:pStyle w:val="BodyText"/>
        <w:spacing w:line="240" w:lineRule="auto" w:before="58"/>
        <w:ind w:right="2465"/>
        <w:jc w:val="left"/>
      </w:pPr>
      <w:r>
        <w:rPr/>
        <w:t>□适用√不适用</w:t>
      </w:r>
    </w:p>
    <w:p>
      <w:pPr>
        <w:spacing w:line="240" w:lineRule="auto" w:before="11"/>
        <w:rPr>
          <w:rFonts w:ascii="宋体" w:hAnsi="宋体" w:cs="宋体" w:eastAsia="宋体" w:hint="default"/>
          <w:sz w:val="22"/>
          <w:szCs w:val="22"/>
        </w:rPr>
      </w:pPr>
    </w:p>
    <w:p>
      <w:pPr>
        <w:pStyle w:val="Heading2"/>
        <w:tabs>
          <w:tab w:pos="1057" w:val="left" w:leader="none"/>
        </w:tabs>
        <w:spacing w:line="240" w:lineRule="auto"/>
        <w:ind w:left="359" w:right="2465"/>
        <w:jc w:val="left"/>
        <w:rPr>
          <w:b w:val="0"/>
          <w:bCs w:val="0"/>
        </w:rPr>
      </w:pPr>
      <w:r>
        <w:rPr>
          <w:rFonts w:ascii="宋体" w:hAnsi="宋体" w:cs="宋体" w:eastAsia="宋体" w:hint="default"/>
          <w:w w:val="95"/>
        </w:rPr>
        <w:t>(6).</w:t>
        <w:tab/>
      </w:r>
      <w:r>
        <w:rPr/>
        <w:t>转移应收账款且继续涉入形成的资产、负债金额：</w:t>
      </w:r>
      <w:r>
        <w:rPr>
          <w:b w:val="0"/>
          <w:bCs w:val="0"/>
        </w:rPr>
      </w:r>
    </w:p>
    <w:p>
      <w:pPr>
        <w:pStyle w:val="BodyText"/>
        <w:spacing w:line="240" w:lineRule="auto" w:before="56"/>
        <w:ind w:right="2465"/>
        <w:jc w:val="left"/>
      </w:pPr>
      <w:r>
        <w:rPr/>
        <w:t>□适用√不适用</w:t>
      </w:r>
    </w:p>
    <w:p>
      <w:pPr>
        <w:spacing w:line="240" w:lineRule="auto" w:before="9"/>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1195" w:top="1120" w:bottom="1380" w:left="1580" w:right="1040"/>
        </w:sectPr>
      </w:pPr>
    </w:p>
    <w:p>
      <w:pPr>
        <w:pStyle w:val="BodyText"/>
        <w:spacing w:line="273" w:lineRule="exact" w:before="36"/>
        <w:ind w:right="1137"/>
        <w:jc w:val="left"/>
      </w:pPr>
      <w:r>
        <w:rPr/>
        <w:t>其他说明：</w:t>
      </w:r>
    </w:p>
    <w:p>
      <w:pPr>
        <w:spacing w:line="290" w:lineRule="auto" w:before="0"/>
        <w:ind w:left="218" w:right="1137"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Heading2"/>
        <w:spacing w:line="240" w:lineRule="auto" w:before="15"/>
        <w:ind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spacing w:line="240" w:lineRule="auto" w:before="56"/>
        <w:ind w:right="-19"/>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857" w:space="3876"/>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655"/>
        <w:gridCol w:w="1008"/>
        <w:gridCol w:w="617"/>
        <w:gridCol w:w="871"/>
        <w:gridCol w:w="528"/>
        <w:gridCol w:w="1006"/>
        <w:gridCol w:w="1097"/>
        <w:gridCol w:w="617"/>
        <w:gridCol w:w="874"/>
        <w:gridCol w:w="526"/>
        <w:gridCol w:w="1097"/>
      </w:tblGrid>
      <w:tr>
        <w:trPr>
          <w:trHeight w:val="293" w:hRule="exact"/>
        </w:trPr>
        <w:tc>
          <w:tcPr>
            <w:tcW w:w="65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4031" w:type="dxa"/>
            <w:gridSpan w:val="5"/>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2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655" w:type="dxa"/>
            <w:vMerge/>
            <w:tcBorders>
              <w:left w:val="single" w:sz="4" w:space="0" w:color="000000"/>
              <w:right w:val="single" w:sz="4" w:space="0" w:color="000000"/>
            </w:tcBorders>
          </w:tcPr>
          <w:p>
            <w:pPr/>
          </w:p>
        </w:tc>
        <w:tc>
          <w:tcPr>
            <w:tcW w:w="16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4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6" w:right="317"/>
              <w:jc w:val="left"/>
              <w:rPr>
                <w:rFonts w:ascii="宋体" w:hAnsi="宋体" w:cs="宋体" w:eastAsia="宋体" w:hint="default"/>
                <w:sz w:val="18"/>
                <w:szCs w:val="18"/>
              </w:rPr>
            </w:pPr>
            <w:r>
              <w:rPr>
                <w:rFonts w:ascii="宋体" w:hAnsi="宋体" w:cs="宋体" w:eastAsia="宋体" w:hint="default"/>
                <w:sz w:val="18"/>
                <w:szCs w:val="18"/>
              </w:rPr>
              <w:t>账面 价值</w:t>
            </w:r>
          </w:p>
        </w:tc>
        <w:tc>
          <w:tcPr>
            <w:tcW w:w="1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3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62" w:right="362"/>
              <w:jc w:val="left"/>
              <w:rPr>
                <w:rFonts w:ascii="宋体" w:hAnsi="宋体" w:cs="宋体" w:eastAsia="宋体" w:hint="default"/>
                <w:sz w:val="18"/>
                <w:szCs w:val="18"/>
              </w:rPr>
            </w:pPr>
            <w:r>
              <w:rPr>
                <w:rFonts w:ascii="宋体" w:hAnsi="宋体" w:cs="宋体" w:eastAsia="宋体" w:hint="default"/>
                <w:sz w:val="18"/>
                <w:szCs w:val="18"/>
              </w:rPr>
              <w:t>账面 价值</w:t>
            </w:r>
          </w:p>
        </w:tc>
      </w:tr>
      <w:tr>
        <w:trPr>
          <w:trHeight w:val="684" w:hRule="exact"/>
        </w:trPr>
        <w:tc>
          <w:tcPr>
            <w:tcW w:w="655" w:type="dxa"/>
            <w:vMerge/>
            <w:tcBorders>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2"/>
              <w:ind w:left="165"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9"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4" w:lineRule="exact"/>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5"/>
              <w:ind w:left="124" w:right="0"/>
              <w:jc w:val="left"/>
              <w:rPr>
                <w:rFonts w:ascii="Times New Roman" w:hAnsi="Times New Roman" w:cs="Times New Roman" w:eastAsia="Times New Roman" w:hint="default"/>
                <w:sz w:val="18"/>
                <w:szCs w:val="18"/>
              </w:rPr>
            </w:pPr>
            <w:r>
              <w:rPr>
                <w:rFonts w:ascii="Times New Roman"/>
                <w:sz w:val="18"/>
              </w:rPr>
              <w:t>(%)</w:t>
            </w:r>
          </w:p>
        </w:tc>
        <w:tc>
          <w:tcPr>
            <w:tcW w:w="1006" w:type="dxa"/>
            <w:vMerge/>
            <w:tcBorders>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2"/>
              <w:ind w:left="167" w:right="0"/>
              <w:jc w:val="left"/>
              <w:rPr>
                <w:rFonts w:ascii="Times New Roman" w:hAnsi="Times New Roman" w:cs="Times New Roman" w:eastAsia="Times New Roman" w:hint="default"/>
                <w:sz w:val="18"/>
                <w:szCs w:val="18"/>
              </w:rPr>
            </w:pPr>
            <w:r>
              <w:rPr>
                <w:rFonts w:ascii="Times New Roman"/>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5"/>
              <w:ind w:left="122" w:right="0"/>
              <w:jc w:val="left"/>
              <w:rPr>
                <w:rFonts w:ascii="Times New Roman" w:hAnsi="Times New Roman" w:cs="Times New Roman" w:eastAsia="Times New Roman" w:hint="default"/>
                <w:sz w:val="18"/>
                <w:szCs w:val="18"/>
              </w:rPr>
            </w:pPr>
            <w:r>
              <w:rPr>
                <w:rFonts w:ascii="Times New Roman"/>
                <w:sz w:val="18"/>
              </w:rPr>
              <w:t>(%)</w:t>
            </w:r>
          </w:p>
        </w:tc>
        <w:tc>
          <w:tcPr>
            <w:tcW w:w="1097" w:type="dxa"/>
            <w:vMerge/>
            <w:tcBorders>
              <w:left w:val="single" w:sz="4" w:space="0" w:color="000000"/>
              <w:bottom w:val="single" w:sz="4" w:space="0" w:color="000000"/>
              <w:right w:val="single" w:sz="4" w:space="0" w:color="000000"/>
            </w:tcBorders>
          </w:tcPr>
          <w:p>
            <w:pPr/>
          </w:p>
        </w:tc>
      </w:tr>
      <w:tr>
        <w:trPr>
          <w:trHeight w:val="1644"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pacing w:val="17"/>
                <w:sz w:val="18"/>
                <w:szCs w:val="18"/>
              </w:rPr>
              <w:t>单项金</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7" w:lineRule="auto"/>
              <w:ind w:left="26" w:right="-1"/>
              <w:jc w:val="both"/>
              <w:rPr>
                <w:rFonts w:ascii="宋体" w:hAnsi="宋体" w:cs="宋体" w:eastAsia="宋体" w:hint="default"/>
                <w:sz w:val="18"/>
                <w:szCs w:val="18"/>
              </w:rPr>
            </w:pPr>
            <w:r>
              <w:rPr>
                <w:rFonts w:ascii="宋体" w:hAnsi="宋体" w:cs="宋体" w:eastAsia="宋体" w:hint="default"/>
                <w:spacing w:val="17"/>
                <w:sz w:val="18"/>
                <w:szCs w:val="18"/>
              </w:rPr>
              <w:t>额重大</w:t>
            </w:r>
            <w:r>
              <w:rPr>
                <w:rFonts w:ascii="宋体" w:hAnsi="宋体" w:cs="宋体" w:eastAsia="宋体" w:hint="default"/>
                <w:spacing w:val="-64"/>
                <w:sz w:val="18"/>
                <w:szCs w:val="18"/>
              </w:rPr>
              <w:t> </w:t>
            </w:r>
            <w:r>
              <w:rPr>
                <w:rFonts w:ascii="宋体" w:hAnsi="宋体" w:cs="宋体" w:eastAsia="宋体" w:hint="default"/>
                <w:spacing w:val="17"/>
                <w:sz w:val="18"/>
                <w:szCs w:val="18"/>
              </w:rPr>
              <w:t>并单独</w:t>
            </w:r>
            <w:r>
              <w:rPr>
                <w:rFonts w:ascii="宋体" w:hAnsi="宋体" w:cs="宋体" w:eastAsia="宋体" w:hint="default"/>
                <w:spacing w:val="-64"/>
                <w:sz w:val="18"/>
                <w:szCs w:val="18"/>
              </w:rPr>
              <w:t> </w:t>
            </w:r>
            <w:r>
              <w:rPr>
                <w:rFonts w:ascii="宋体" w:hAnsi="宋体" w:cs="宋体" w:eastAsia="宋体" w:hint="default"/>
                <w:spacing w:val="17"/>
                <w:sz w:val="18"/>
                <w:szCs w:val="18"/>
              </w:rPr>
              <w:t>计提坏</w:t>
            </w:r>
            <w:r>
              <w:rPr>
                <w:rFonts w:ascii="宋体" w:hAnsi="宋体" w:cs="宋体" w:eastAsia="宋体" w:hint="default"/>
                <w:spacing w:val="-64"/>
                <w:sz w:val="18"/>
                <w:szCs w:val="18"/>
              </w:rPr>
              <w:t> </w:t>
            </w:r>
            <w:r>
              <w:rPr>
                <w:rFonts w:ascii="宋体" w:hAnsi="宋体" w:cs="宋体" w:eastAsia="宋体" w:hint="default"/>
                <w:spacing w:val="17"/>
                <w:sz w:val="18"/>
                <w:szCs w:val="18"/>
              </w:rPr>
              <w:t>账准备</w:t>
            </w:r>
            <w:r>
              <w:rPr>
                <w:rFonts w:ascii="宋体" w:hAnsi="宋体" w:cs="宋体" w:eastAsia="宋体" w:hint="default"/>
                <w:spacing w:val="-64"/>
                <w:sz w:val="18"/>
                <w:szCs w:val="18"/>
              </w:rPr>
              <w:t> </w:t>
            </w:r>
            <w:r>
              <w:rPr>
                <w:rFonts w:ascii="宋体" w:hAnsi="宋体" w:cs="宋体" w:eastAsia="宋体" w:hint="default"/>
                <w:spacing w:val="17"/>
                <w:sz w:val="18"/>
                <w:szCs w:val="18"/>
              </w:rPr>
              <w:t>的其他</w:t>
            </w:r>
            <w:r>
              <w:rPr>
                <w:rFonts w:ascii="宋体" w:hAnsi="宋体" w:cs="宋体" w:eastAsia="宋体" w:hint="default"/>
                <w:spacing w:val="-64"/>
                <w:sz w:val="18"/>
                <w:szCs w:val="18"/>
              </w:rPr>
              <w:t> </w:t>
            </w:r>
            <w:r>
              <w:rPr>
                <w:rFonts w:ascii="宋体" w:hAnsi="宋体" w:cs="宋体" w:eastAsia="宋体" w:hint="default"/>
                <w:sz w:val="18"/>
                <w:szCs w:val="18"/>
              </w:rPr>
              <w:t>应收款</w:t>
            </w:r>
          </w:p>
        </w:tc>
        <w:tc>
          <w:tcPr>
            <w:tcW w:w="1008"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3,881,216.90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 w:right="0"/>
              <w:jc w:val="center"/>
              <w:rPr>
                <w:rFonts w:ascii="Times New Roman" w:hAnsi="Times New Roman" w:cs="Times New Roman" w:eastAsia="Times New Roman" w:hint="default"/>
                <w:sz w:val="18"/>
                <w:szCs w:val="18"/>
              </w:rPr>
            </w:pPr>
            <w:r>
              <w:rPr>
                <w:rFonts w:ascii="Times New Roman"/>
                <w:sz w:val="18"/>
              </w:rPr>
              <w:t>27.13%</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88" w:right="0"/>
              <w:jc w:val="center"/>
              <w:rPr>
                <w:rFonts w:ascii="Times New Roman" w:hAnsi="Times New Roman" w:cs="Times New Roman" w:eastAsia="Times New Roman" w:hint="default"/>
                <w:sz w:val="18"/>
                <w:szCs w:val="18"/>
              </w:rPr>
            </w:pPr>
            <w:r>
              <w:rPr>
                <w:rFonts w:ascii="Times New Roman"/>
                <w:sz w:val="18"/>
              </w:rPr>
              <w:t>3,881,216.90</w:t>
            </w:r>
          </w:p>
        </w:tc>
      </w:tr>
      <w:tr>
        <w:trPr>
          <w:trHeight w:val="1644"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pacing w:val="17"/>
                <w:sz w:val="18"/>
                <w:szCs w:val="18"/>
              </w:rPr>
              <w:t>按信用</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7" w:lineRule="auto"/>
              <w:ind w:left="26" w:right="-1"/>
              <w:jc w:val="both"/>
              <w:rPr>
                <w:rFonts w:ascii="宋体" w:hAnsi="宋体" w:cs="宋体" w:eastAsia="宋体" w:hint="default"/>
                <w:sz w:val="18"/>
                <w:szCs w:val="18"/>
              </w:rPr>
            </w:pPr>
            <w:r>
              <w:rPr>
                <w:rFonts w:ascii="宋体" w:hAnsi="宋体" w:cs="宋体" w:eastAsia="宋体" w:hint="default"/>
                <w:spacing w:val="17"/>
                <w:sz w:val="18"/>
                <w:szCs w:val="18"/>
              </w:rPr>
              <w:t>风险特</w:t>
            </w:r>
            <w:r>
              <w:rPr>
                <w:rFonts w:ascii="宋体" w:hAnsi="宋体" w:cs="宋体" w:eastAsia="宋体" w:hint="default"/>
                <w:spacing w:val="-64"/>
                <w:sz w:val="18"/>
                <w:szCs w:val="18"/>
              </w:rPr>
              <w:t> </w:t>
            </w:r>
            <w:r>
              <w:rPr>
                <w:rFonts w:ascii="宋体" w:hAnsi="宋体" w:cs="宋体" w:eastAsia="宋体" w:hint="default"/>
                <w:spacing w:val="17"/>
                <w:sz w:val="18"/>
                <w:szCs w:val="18"/>
              </w:rPr>
              <w:t>征组合</w:t>
            </w:r>
            <w:r>
              <w:rPr>
                <w:rFonts w:ascii="宋体" w:hAnsi="宋体" w:cs="宋体" w:eastAsia="宋体" w:hint="default"/>
                <w:spacing w:val="-64"/>
                <w:sz w:val="18"/>
                <w:szCs w:val="18"/>
              </w:rPr>
              <w:t> </w:t>
            </w:r>
            <w:r>
              <w:rPr>
                <w:rFonts w:ascii="宋体" w:hAnsi="宋体" w:cs="宋体" w:eastAsia="宋体" w:hint="default"/>
                <w:spacing w:val="17"/>
                <w:sz w:val="18"/>
                <w:szCs w:val="18"/>
              </w:rPr>
              <w:t>计提坏</w:t>
            </w:r>
            <w:r>
              <w:rPr>
                <w:rFonts w:ascii="宋体" w:hAnsi="宋体" w:cs="宋体" w:eastAsia="宋体" w:hint="default"/>
                <w:spacing w:val="-64"/>
                <w:sz w:val="18"/>
                <w:szCs w:val="18"/>
              </w:rPr>
              <w:t> </w:t>
            </w:r>
            <w:r>
              <w:rPr>
                <w:rFonts w:ascii="宋体" w:hAnsi="宋体" w:cs="宋体" w:eastAsia="宋体" w:hint="default"/>
                <w:spacing w:val="17"/>
                <w:sz w:val="18"/>
                <w:szCs w:val="18"/>
              </w:rPr>
              <w:t>账准备</w:t>
            </w:r>
            <w:r>
              <w:rPr>
                <w:rFonts w:ascii="宋体" w:hAnsi="宋体" w:cs="宋体" w:eastAsia="宋体" w:hint="default"/>
                <w:spacing w:val="-64"/>
                <w:sz w:val="18"/>
                <w:szCs w:val="18"/>
              </w:rPr>
              <w:t> </w:t>
            </w:r>
            <w:r>
              <w:rPr>
                <w:rFonts w:ascii="宋体" w:hAnsi="宋体" w:cs="宋体" w:eastAsia="宋体" w:hint="default"/>
                <w:spacing w:val="17"/>
                <w:sz w:val="18"/>
                <w:szCs w:val="18"/>
              </w:rPr>
              <w:t>的其他</w:t>
            </w:r>
            <w:r>
              <w:rPr>
                <w:rFonts w:ascii="宋体" w:hAnsi="宋体" w:cs="宋体" w:eastAsia="宋体" w:hint="default"/>
                <w:spacing w:val="-64"/>
                <w:sz w:val="18"/>
                <w:szCs w:val="18"/>
              </w:rPr>
              <w:t> </w:t>
            </w:r>
            <w:r>
              <w:rPr>
                <w:rFonts w:ascii="宋体" w:hAnsi="宋体" w:cs="宋体" w:eastAsia="宋体" w:hint="default"/>
                <w:sz w:val="18"/>
                <w:szCs w:val="18"/>
              </w:rPr>
              <w:t>应收款</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6,123,457.95</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z w:val="18"/>
              </w:rPr>
              <w:t>99.51%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282,171.34</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4.61%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5,841,286.61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10,426,762.76</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 w:right="0"/>
              <w:jc w:val="center"/>
              <w:rPr>
                <w:rFonts w:ascii="Times New Roman" w:hAnsi="Times New Roman" w:cs="Times New Roman" w:eastAsia="Times New Roman" w:hint="default"/>
                <w:sz w:val="18"/>
                <w:szCs w:val="18"/>
              </w:rPr>
            </w:pPr>
            <w:r>
              <w:rPr>
                <w:rFonts w:ascii="Times New Roman"/>
                <w:sz w:val="18"/>
              </w:rPr>
              <w:t>72.87%</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927,285.92</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z w:val="18"/>
              </w:rPr>
              <w:t>8.89%</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88" w:right="0"/>
              <w:jc w:val="center"/>
              <w:rPr>
                <w:rFonts w:ascii="Times New Roman" w:hAnsi="Times New Roman" w:cs="Times New Roman" w:eastAsia="Times New Roman" w:hint="default"/>
                <w:sz w:val="18"/>
                <w:szCs w:val="18"/>
              </w:rPr>
            </w:pPr>
            <w:r>
              <w:rPr>
                <w:rFonts w:ascii="Times New Roman"/>
                <w:sz w:val="18"/>
              </w:rPr>
              <w:t>9,499,476.84</w:t>
            </w:r>
          </w:p>
        </w:tc>
      </w:tr>
      <w:tr>
        <w:trPr>
          <w:trHeight w:val="1877"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pacing w:val="17"/>
                <w:sz w:val="18"/>
                <w:szCs w:val="18"/>
              </w:rPr>
              <w:t>单项金</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7" w:lineRule="auto"/>
              <w:ind w:left="26" w:right="-1"/>
              <w:jc w:val="both"/>
              <w:rPr>
                <w:rFonts w:ascii="宋体" w:hAnsi="宋体" w:cs="宋体" w:eastAsia="宋体" w:hint="default"/>
                <w:sz w:val="18"/>
                <w:szCs w:val="18"/>
              </w:rPr>
            </w:pPr>
            <w:r>
              <w:rPr>
                <w:rFonts w:ascii="宋体" w:hAnsi="宋体" w:cs="宋体" w:eastAsia="宋体" w:hint="default"/>
                <w:spacing w:val="17"/>
                <w:sz w:val="18"/>
                <w:szCs w:val="18"/>
              </w:rPr>
              <w:t>额不重</w:t>
            </w:r>
            <w:r>
              <w:rPr>
                <w:rFonts w:ascii="宋体" w:hAnsi="宋体" w:cs="宋体" w:eastAsia="宋体" w:hint="default"/>
                <w:spacing w:val="-64"/>
                <w:sz w:val="18"/>
                <w:szCs w:val="18"/>
              </w:rPr>
              <w:t> </w:t>
            </w:r>
            <w:r>
              <w:rPr>
                <w:rFonts w:ascii="宋体" w:hAnsi="宋体" w:cs="宋体" w:eastAsia="宋体" w:hint="default"/>
                <w:spacing w:val="17"/>
                <w:sz w:val="18"/>
                <w:szCs w:val="18"/>
              </w:rPr>
              <w:t>大但单</w:t>
            </w:r>
            <w:r>
              <w:rPr>
                <w:rFonts w:ascii="宋体" w:hAnsi="宋体" w:cs="宋体" w:eastAsia="宋体" w:hint="default"/>
                <w:spacing w:val="-64"/>
                <w:sz w:val="18"/>
                <w:szCs w:val="18"/>
              </w:rPr>
              <w:t> </w:t>
            </w:r>
            <w:r>
              <w:rPr>
                <w:rFonts w:ascii="宋体" w:hAnsi="宋体" w:cs="宋体" w:eastAsia="宋体" w:hint="default"/>
                <w:spacing w:val="17"/>
                <w:sz w:val="18"/>
                <w:szCs w:val="18"/>
              </w:rPr>
              <w:t>独计提</w:t>
            </w:r>
            <w:r>
              <w:rPr>
                <w:rFonts w:ascii="宋体" w:hAnsi="宋体" w:cs="宋体" w:eastAsia="宋体" w:hint="default"/>
                <w:spacing w:val="-64"/>
                <w:sz w:val="18"/>
                <w:szCs w:val="18"/>
              </w:rPr>
              <w:t> </w:t>
            </w:r>
            <w:r>
              <w:rPr>
                <w:rFonts w:ascii="宋体" w:hAnsi="宋体" w:cs="宋体" w:eastAsia="宋体" w:hint="default"/>
                <w:spacing w:val="17"/>
                <w:sz w:val="18"/>
                <w:szCs w:val="18"/>
              </w:rPr>
              <w:t>坏账准</w:t>
            </w:r>
            <w:r>
              <w:rPr>
                <w:rFonts w:ascii="宋体" w:hAnsi="宋体" w:cs="宋体" w:eastAsia="宋体" w:hint="default"/>
                <w:spacing w:val="-64"/>
                <w:sz w:val="18"/>
                <w:szCs w:val="18"/>
              </w:rPr>
              <w:t> </w:t>
            </w:r>
            <w:r>
              <w:rPr>
                <w:rFonts w:ascii="宋体" w:hAnsi="宋体" w:cs="宋体" w:eastAsia="宋体" w:hint="default"/>
                <w:spacing w:val="17"/>
                <w:sz w:val="18"/>
                <w:szCs w:val="18"/>
              </w:rPr>
              <w:t>备的其</w:t>
            </w:r>
            <w:r>
              <w:rPr>
                <w:rFonts w:ascii="宋体" w:hAnsi="宋体" w:cs="宋体" w:eastAsia="宋体" w:hint="default"/>
                <w:spacing w:val="-64"/>
                <w:sz w:val="18"/>
                <w:szCs w:val="18"/>
              </w:rPr>
              <w:t> </w:t>
            </w:r>
            <w:r>
              <w:rPr>
                <w:rFonts w:ascii="宋体" w:hAnsi="宋体" w:cs="宋体" w:eastAsia="宋体" w:hint="default"/>
                <w:spacing w:val="17"/>
                <w:sz w:val="18"/>
                <w:szCs w:val="18"/>
              </w:rPr>
              <w:t>他应收</w:t>
            </w:r>
            <w:r>
              <w:rPr>
                <w:rFonts w:ascii="宋体" w:hAnsi="宋体" w:cs="宋体" w:eastAsia="宋体" w:hint="default"/>
                <w:spacing w:val="-64"/>
                <w:sz w:val="18"/>
                <w:szCs w:val="18"/>
              </w:rPr>
              <w:t> </w:t>
            </w:r>
            <w:r>
              <w:rPr>
                <w:rFonts w:ascii="宋体" w:hAnsi="宋体" w:cs="宋体" w:eastAsia="宋体" w:hint="default"/>
                <w:sz w:val="18"/>
                <w:szCs w:val="18"/>
              </w:rPr>
              <w:t>款</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30,390.79</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6"/>
              <w:jc w:val="right"/>
              <w:rPr>
                <w:rFonts w:ascii="Times New Roman" w:hAnsi="Times New Roman" w:cs="Times New Roman" w:eastAsia="Times New Roman" w:hint="default"/>
                <w:sz w:val="18"/>
                <w:szCs w:val="18"/>
              </w:rPr>
            </w:pPr>
            <w:r>
              <w:rPr>
                <w:rFonts w:ascii="Times New Roman"/>
                <w:sz w:val="18"/>
              </w:rPr>
              <w:t>0.49%</w:t>
            </w:r>
          </w:p>
        </w:tc>
        <w:tc>
          <w:tcPr>
            <w:tcW w:w="87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30,390.79</w:t>
            </w:r>
          </w:p>
        </w:tc>
        <w:tc>
          <w:tcPr>
            <w:tcW w:w="1097"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6,153,848.74</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3"/>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282,171.34</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5,871,677.40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14,307,979.66</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927,285.92</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3"/>
              <w:jc w:val="center"/>
              <w:rPr>
                <w:rFonts w:ascii="Times New Roman" w:hAnsi="Times New Roman" w:cs="Times New Roman" w:eastAsia="Times New Roman" w:hint="default"/>
                <w:sz w:val="18"/>
                <w:szCs w:val="18"/>
              </w:rPr>
            </w:pPr>
            <w:r>
              <w:rPr>
                <w:rFonts w:ascii="Times New Roman"/>
                <w:sz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13,380,693.74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80" w:right="1040"/>
        </w:sectPr>
      </w:pPr>
    </w:p>
    <w:p>
      <w:pPr>
        <w:pStyle w:val="BodyText"/>
        <w:spacing w:line="240" w:lineRule="auto" w:before="36"/>
        <w:ind w:right="0"/>
        <w:jc w:val="left"/>
      </w:pPr>
      <w:r>
        <w:rPr>
          <w:spacing w:val="-2"/>
        </w:rPr>
        <w:t>期末单项金额重大并单项计提坏账准备的其他应收款：</w:t>
      </w:r>
    </w:p>
    <w:p>
      <w:pPr>
        <w:pStyle w:val="BodyText"/>
        <w:spacing w:line="290" w:lineRule="auto" w:before="56"/>
        <w:ind w:right="0"/>
        <w:jc w:val="left"/>
      </w:pPr>
      <w:r>
        <w:rPr/>
        <w:t>□适用√不适用</w:t>
      </w:r>
      <w:r>
        <w:rPr>
          <w:spacing w:val="-103"/>
        </w:rPr>
        <w:t> </w:t>
      </w:r>
      <w:r>
        <w:rPr>
          <w:spacing w:val="-103"/>
        </w:rPr>
      </w:r>
      <w:r>
        <w:rPr>
          <w:spacing w:val="-2"/>
        </w:rPr>
        <w:t>组合中，按账龄分析法计提坏账准备的其他应收款：</w:t>
      </w:r>
    </w:p>
    <w:p>
      <w:pPr>
        <w:pStyle w:val="BodyText"/>
        <w:spacing w:line="240" w:lineRule="auto" w:before="12"/>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5264" w:space="1469"/>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4"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91"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7" w:right="0"/>
              <w:jc w:val="left"/>
              <w:rPr>
                <w:rFonts w:ascii="Times New Roman" w:hAnsi="Times New Roman" w:cs="Times New Roman" w:eastAsia="Times New Roman" w:hint="default"/>
                <w:sz w:val="21"/>
                <w:szCs w:val="21"/>
              </w:rPr>
            </w:pPr>
            <w:r>
              <w:rPr>
                <w:rFonts w:ascii="Times New Roman"/>
                <w:sz w:val="21"/>
              </w:rPr>
              <w:t>3,464,151.09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63" w:right="0"/>
              <w:jc w:val="left"/>
              <w:rPr>
                <w:rFonts w:ascii="Times New Roman" w:hAnsi="Times New Roman" w:cs="Times New Roman" w:eastAsia="Times New Roman" w:hint="default"/>
                <w:sz w:val="21"/>
                <w:szCs w:val="21"/>
              </w:rPr>
            </w:pPr>
            <w:r>
              <w:rPr>
                <w:rFonts w:ascii="Times New Roman"/>
                <w:sz w:val="21"/>
              </w:rPr>
              <w:t>103,924.53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75" w:right="0"/>
              <w:jc w:val="left"/>
              <w:rPr>
                <w:rFonts w:ascii="Times New Roman" w:hAnsi="Times New Roman" w:cs="Times New Roman" w:eastAsia="Times New Roman" w:hint="default"/>
                <w:sz w:val="21"/>
                <w:szCs w:val="21"/>
              </w:rPr>
            </w:pPr>
            <w:r>
              <w:rPr>
                <w:rFonts w:ascii="Times New Roman"/>
                <w:sz w:val="21"/>
              </w:rPr>
              <w:t>3.00%</w:t>
            </w:r>
          </w:p>
        </w:tc>
      </w:tr>
    </w:tbl>
    <w:p>
      <w:pPr>
        <w:spacing w:after="0" w:line="235" w:lineRule="exact"/>
        <w:jc w:val="lef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753,028.34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75,302.83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z w:val="21"/>
              </w:rPr>
              <w:t>10.00%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20.00%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205,887.96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102,943.98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80.00%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4,423,067.39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282,171.34</w:t>
            </w:r>
          </w:p>
        </w:tc>
        <w:tc>
          <w:tcPr>
            <w:tcW w:w="18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74" w:lineRule="exact" w:before="36"/>
        <w:ind w:right="2465"/>
        <w:jc w:val="left"/>
      </w:pPr>
      <w:r>
        <w:rPr/>
        <w:t>确定该组合依据的说明：</w:t>
      </w:r>
    </w:p>
    <w:p>
      <w:pPr>
        <w:pStyle w:val="BodyText"/>
        <w:spacing w:line="228" w:lineRule="auto" w:before="11"/>
        <w:ind w:right="227"/>
        <w:jc w:val="left"/>
      </w:pPr>
      <w:r>
        <w:rPr>
          <w:rFonts w:ascii="Times New Roman" w:hAnsi="Times New Roman" w:cs="Times New Roman" w:eastAsia="Times New Roman" w:hint="default"/>
        </w:rPr>
        <w:t>(1)</w:t>
      </w:r>
      <w:r>
        <w:rPr/>
        <w:t>单项金额重大并单项计提坏账准备：占其他应收款余额</w:t>
      </w:r>
      <w:r>
        <w:rPr>
          <w:spacing w:val="-3"/>
        </w:rPr>
        <w:t> </w:t>
      </w:r>
      <w:r>
        <w:rPr>
          <w:rFonts w:ascii="Times New Roman" w:hAnsi="Times New Roman" w:cs="Times New Roman" w:eastAsia="Times New Roman" w:hint="default"/>
        </w:rPr>
        <w:t>10%</w:t>
      </w:r>
      <w:r>
        <w:rPr/>
        <w:t>以上或期末前五名的款项。</w:t>
      </w:r>
      <w:r>
        <w:rPr>
          <w:w w:val="100"/>
        </w:rPr>
        <w:t> </w:t>
      </w:r>
      <w:r>
        <w:rPr>
          <w:rFonts w:ascii="Times New Roman" w:hAnsi="Times New Roman" w:cs="Times New Roman" w:eastAsia="Times New Roman" w:hint="default"/>
        </w:rPr>
        <w:t>(2)</w:t>
      </w:r>
      <w:r>
        <w:rPr/>
        <w:t>按组合计提坏账准备</w:t>
      </w:r>
      <w:r>
        <w:rPr>
          <w:rFonts w:ascii="Times New Roman" w:hAnsi="Times New Roman" w:cs="Times New Roman" w:eastAsia="Times New Roman" w:hint="default"/>
        </w:rPr>
        <w:t>:</w:t>
      </w:r>
      <w:r>
        <w:rPr/>
        <w:t>除已包含在范围</w:t>
      </w:r>
      <w:r>
        <w:rPr>
          <w:rFonts w:ascii="Times New Roman" w:hAnsi="Times New Roman" w:cs="Times New Roman" w:eastAsia="Times New Roman" w:hint="default"/>
        </w:rPr>
        <w:t>(1)</w:t>
      </w:r>
      <w:r>
        <w:rPr/>
        <w:t>以外，按类似信用风险特征划分为若干组合，按组合</w:t>
      </w:r>
      <w:r>
        <w:rPr>
          <w:spacing w:val="-14"/>
        </w:rPr>
        <w:t> </w:t>
      </w:r>
      <w:r>
        <w:rPr>
          <w:spacing w:val="-14"/>
        </w:rPr>
      </w:r>
      <w:r>
        <w:rPr/>
        <w:t>计提坏账准备的其他应收款。</w:t>
      </w:r>
      <w:r>
        <w:rPr>
          <w:w w:val="100"/>
        </w:rPr>
        <w:t> </w:t>
      </w:r>
      <w:r>
        <w:rPr>
          <w:rFonts w:ascii="Times New Roman" w:hAnsi="Times New Roman" w:cs="Times New Roman" w:eastAsia="Times New Roman" w:hint="default"/>
          <w:spacing w:val="-3"/>
        </w:rPr>
        <w:t>(3)</w:t>
      </w:r>
      <w:r>
        <w:rPr>
          <w:spacing w:val="-3"/>
        </w:rPr>
        <w:t>单项金额虽不重大但单项计提坏账准备：除已包含在范围</w:t>
      </w:r>
      <w:r>
        <w:rPr>
          <w:rFonts w:ascii="Times New Roman" w:hAnsi="Times New Roman" w:cs="Times New Roman" w:eastAsia="Times New Roman" w:hint="default"/>
          <w:spacing w:val="-3"/>
        </w:rPr>
        <w:t>(1)</w:t>
      </w:r>
      <w:r>
        <w:rPr>
          <w:spacing w:val="-3"/>
        </w:rPr>
        <w:t>以外，有确凿证据表明可收回性存</w:t>
      </w:r>
      <w:r>
        <w:rPr>
          <w:spacing w:val="-33"/>
        </w:rPr>
        <w:t> </w:t>
      </w:r>
      <w:r>
        <w:rPr>
          <w:spacing w:val="-33"/>
        </w:rPr>
      </w:r>
      <w:r>
        <w:rPr/>
        <w:t>在明显差异，单项计提坏账准备的其他应收款。</w:t>
      </w:r>
    </w:p>
    <w:p>
      <w:pPr>
        <w:spacing w:line="240" w:lineRule="auto" w:before="2"/>
        <w:rPr>
          <w:rFonts w:ascii="宋体" w:hAnsi="宋体" w:cs="宋体" w:eastAsia="宋体" w:hint="default"/>
          <w:sz w:val="23"/>
          <w:szCs w:val="23"/>
        </w:rPr>
      </w:pPr>
    </w:p>
    <w:p>
      <w:pPr>
        <w:pStyle w:val="BodyText"/>
        <w:spacing w:line="240" w:lineRule="auto"/>
        <w:ind w:right="2465"/>
        <w:jc w:val="left"/>
      </w:pPr>
      <w:r>
        <w:rPr/>
        <w:t>组合中，采用余额百分比法计提坏账准备的其他应收款：</w:t>
      </w:r>
    </w:p>
    <w:p>
      <w:pPr>
        <w:pStyle w:val="BodyText"/>
        <w:spacing w:line="240" w:lineRule="auto" w:before="56"/>
        <w:ind w:right="2465"/>
        <w:jc w:val="left"/>
      </w:pPr>
      <w:r>
        <w:rPr/>
        <w:t>□适用√不适用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right="2465"/>
        <w:jc w:val="left"/>
      </w:pPr>
      <w:r>
        <w:rPr/>
        <w:t>组合中，采用其他方法计提坏账准备的其他应收款：</w:t>
      </w:r>
    </w:p>
    <w:p>
      <w:pPr>
        <w:pStyle w:val="BodyText"/>
        <w:spacing w:line="240" w:lineRule="auto" w:before="56"/>
        <w:ind w:right="2465"/>
        <w:jc w:val="left"/>
      </w:pPr>
      <w:r>
        <w:rPr/>
        <w:t>√适用□不适用</w:t>
      </w:r>
    </w:p>
    <w:p>
      <w:pPr>
        <w:spacing w:line="240" w:lineRule="auto" w:before="11"/>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1810"/>
        <w:gridCol w:w="1810"/>
        <w:gridCol w:w="1810"/>
        <w:gridCol w:w="1810"/>
        <w:gridCol w:w="1810"/>
      </w:tblGrid>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组合内容</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5" w:right="0"/>
              <w:jc w:val="left"/>
              <w:rPr>
                <w:rFonts w:ascii="Times New Roman" w:hAnsi="Times New Roman" w:cs="Times New Roman" w:eastAsia="Times New Roman" w:hint="default"/>
                <w:sz w:val="21"/>
                <w:szCs w:val="21"/>
              </w:rPr>
            </w:pPr>
            <w:r>
              <w:rPr>
                <w:rFonts w:ascii="Times New Roman"/>
                <w:sz w:val="21"/>
              </w:rPr>
              <w:t>1,700,390.56</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2,868,877.00</w:t>
            </w:r>
          </w:p>
        </w:tc>
        <w:tc>
          <w:tcPr>
            <w:tcW w:w="18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40" w:lineRule="auto" w:before="36"/>
        <w:ind w:right="2465"/>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74" w:lineRule="exact" w:before="82"/>
        <w:ind w:right="2503"/>
        <w:jc w:val="left"/>
      </w:pPr>
      <w:r>
        <w:rPr/>
        <w:t>本期计提坏账准备金额</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元；本期转回坏账准备金额</w:t>
      </w:r>
      <w:r>
        <w:rPr>
          <w:spacing w:val="-56"/>
        </w:rPr>
        <w:t> </w:t>
      </w:r>
      <w:r>
        <w:rPr>
          <w:rFonts w:ascii="Times New Roman" w:hAnsi="Times New Roman" w:cs="Times New Roman" w:eastAsia="Times New Roman" w:hint="default"/>
        </w:rPr>
        <w:t>645,114.58</w:t>
      </w:r>
      <w:r>
        <w:rPr>
          <w:rFonts w:ascii="Times New Roman" w:hAnsi="Times New Roman" w:cs="Times New Roman" w:eastAsia="Times New Roman" w:hint="default"/>
          <w:spacing w:val="-3"/>
        </w:rPr>
        <w:t> </w:t>
      </w:r>
      <w:r>
        <w:rPr>
          <w:spacing w:val="-3"/>
        </w:rPr>
        <w:t>元。</w:t>
      </w:r>
      <w:r>
        <w:rPr>
          <w:spacing w:val="-3"/>
          <w:w w:val="100"/>
        </w:rPr>
        <w:t> </w:t>
      </w:r>
      <w:r>
        <w:rPr/>
        <w:t>其中本期坏账准备转回或收回金额重要的：</w:t>
      </w:r>
    </w:p>
    <w:p>
      <w:pPr>
        <w:pStyle w:val="BodyText"/>
        <w:spacing w:line="246" w:lineRule="exact"/>
        <w:ind w:right="2465"/>
        <w:jc w:val="left"/>
      </w:pPr>
      <w:r>
        <w:rPr/>
        <w:t>□适用√不适用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2"/>
        <w:spacing w:line="240" w:lineRule="auto"/>
        <w:ind w:right="2465"/>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8"/>
        <w:ind w:right="2465"/>
        <w:jc w:val="left"/>
      </w:pPr>
      <w:r>
        <w:rPr/>
        <w:t>□适用√不适用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69"/>
          <w:pgSz w:w="11910" w:h="16840"/>
          <w:pgMar w:footer="1195" w:header="0"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8"/>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699" w:space="3034"/>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4,158,570.39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2,924,470.60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1,700,390.56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2,868,877.00</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30,390.79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8,221,935.06</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房租押金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264,497.00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292,697.00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6,153,848.74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14,307,979.66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80" w:right="1040"/>
        </w:sectPr>
      </w:pPr>
    </w:p>
    <w:p>
      <w:pPr>
        <w:pStyle w:val="Heading2"/>
        <w:spacing w:line="240" w:lineRule="auto" w:before="36"/>
        <w:ind w:right="-16"/>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6"/>
        <w:ind w:right="-16"/>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5595" w:space="1138"/>
            <w:col w:w="2557"/>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536"/>
        <w:gridCol w:w="1354"/>
        <w:gridCol w:w="1238"/>
        <w:gridCol w:w="1328"/>
        <w:gridCol w:w="1765"/>
        <w:gridCol w:w="1675"/>
      </w:tblGrid>
      <w:tr>
        <w:trPr>
          <w:trHeight w:val="797"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391"/>
              <w:jc w:val="right"/>
              <w:rPr>
                <w:rFonts w:ascii="宋体" w:hAnsi="宋体" w:cs="宋体" w:eastAsia="宋体" w:hint="default"/>
                <w:sz w:val="21"/>
                <w:szCs w:val="21"/>
              </w:rPr>
            </w:pPr>
            <w:r>
              <w:rPr>
                <w:rFonts w:ascii="宋体" w:hAnsi="宋体" w:cs="宋体" w:eastAsia="宋体" w:hint="default"/>
                <w:spacing w:val="-1"/>
                <w:sz w:val="21"/>
                <w:szCs w:val="21"/>
              </w:rPr>
              <w:t>单位名称</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483"/>
              <w:jc w:val="right"/>
              <w:rPr>
                <w:rFonts w:ascii="宋体" w:hAnsi="宋体" w:cs="宋体" w:eastAsia="宋体" w:hint="default"/>
                <w:sz w:val="21"/>
                <w:szCs w:val="21"/>
              </w:rPr>
            </w:pPr>
            <w:r>
              <w:rPr>
                <w:rFonts w:ascii="宋体" w:hAnsi="宋体" w:cs="宋体" w:eastAsia="宋体" w:hint="default"/>
                <w:sz w:val="21"/>
                <w:szCs w:val="21"/>
              </w:rPr>
              <w:t>账龄</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占其他应收款期末</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余额合计数的比例</w:t>
            </w:r>
          </w:p>
          <w:p>
            <w:pPr>
              <w:pStyle w:val="TableParagraph"/>
              <w:spacing w:line="240" w:lineRule="auto" w:before="26"/>
              <w:ind w:right="0"/>
              <w:jc w:val="center"/>
              <w:rPr>
                <w:rFonts w:ascii="Times New Roman" w:hAnsi="Times New Roman" w:cs="Times New Roman" w:eastAsia="Times New Roman" w:hint="default"/>
                <w:sz w:val="21"/>
                <w:szCs w:val="21"/>
              </w:rPr>
            </w:pPr>
            <w:r>
              <w:rPr>
                <w:rFonts w:ascii="Times New Roman"/>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6"/>
              <w:ind w:left="412" w:right="408"/>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283"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4"/>
              <w:jc w:val="right"/>
              <w:rPr>
                <w:rFonts w:ascii="宋体" w:hAnsi="宋体" w:cs="宋体" w:eastAsia="宋体" w:hint="default"/>
                <w:sz w:val="21"/>
                <w:szCs w:val="21"/>
              </w:rPr>
            </w:pPr>
            <w:r>
              <w:rPr>
                <w:rFonts w:ascii="宋体" w:hAnsi="宋体" w:cs="宋体" w:eastAsia="宋体" w:hint="default"/>
                <w:spacing w:val="-1"/>
                <w:sz w:val="21"/>
                <w:szCs w:val="21"/>
              </w:rPr>
              <w:t>公安事业部</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1,061,130.34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02"/>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z w:val="21"/>
              </w:rPr>
              <w:t>17.24%</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31,833.91</w:t>
            </w:r>
          </w:p>
        </w:tc>
      </w:tr>
      <w:tr>
        <w:trPr>
          <w:trHeight w:val="554"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6"/>
                <w:sz w:val="21"/>
                <w:szCs w:val="21"/>
              </w:rPr>
              <w:t>电子政务事业</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1,023,409.99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7"/>
                <w:sz w:val="21"/>
                <w:szCs w:val="21"/>
              </w:rPr>
              <w:t> </w:t>
            </w:r>
            <w:r>
              <w:rPr>
                <w:rFonts w:ascii="宋体" w:hAnsi="宋体" w:cs="宋体" w:eastAsia="宋体" w:hint="default"/>
                <w:spacing w:val="-13"/>
                <w:sz w:val="21"/>
                <w:szCs w:val="21"/>
              </w:rPr>
              <w:t>年以内、</w:t>
            </w:r>
            <w:r>
              <w:rPr>
                <w:rFonts w:ascii="Times New Roman" w:hAnsi="Times New Roman" w:cs="Times New Roman" w:eastAsia="Times New Roman" w:hint="default"/>
                <w:spacing w:val="-13"/>
                <w:sz w:val="21"/>
                <w:szCs w:val="21"/>
              </w:rPr>
              <w:t>1-2</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z w:val="21"/>
              </w:rPr>
              <w:t>16.63%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39,326.05</w:t>
            </w:r>
          </w:p>
        </w:tc>
      </w:tr>
      <w:tr>
        <w:trPr>
          <w:trHeight w:val="283"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4"/>
              <w:jc w:val="right"/>
              <w:rPr>
                <w:rFonts w:ascii="宋体" w:hAnsi="宋体" w:cs="宋体" w:eastAsia="宋体" w:hint="default"/>
                <w:sz w:val="21"/>
                <w:szCs w:val="21"/>
              </w:rPr>
            </w:pPr>
            <w:r>
              <w:rPr>
                <w:rFonts w:ascii="宋体" w:hAnsi="宋体" w:cs="宋体" w:eastAsia="宋体" w:hint="default"/>
                <w:spacing w:val="-1"/>
                <w:sz w:val="21"/>
                <w:szCs w:val="21"/>
              </w:rPr>
              <w:t>西安事业部</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541,000.00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02"/>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z w:val="21"/>
              </w:rPr>
              <w:t>8.79%</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16,230.00</w:t>
            </w:r>
          </w:p>
        </w:tc>
      </w:tr>
      <w:tr>
        <w:trPr>
          <w:trHeight w:val="281"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4"/>
              <w:jc w:val="right"/>
              <w:rPr>
                <w:rFonts w:ascii="宋体" w:hAnsi="宋体" w:cs="宋体" w:eastAsia="宋体" w:hint="default"/>
                <w:sz w:val="21"/>
                <w:szCs w:val="21"/>
              </w:rPr>
            </w:pPr>
            <w:r>
              <w:rPr>
                <w:rFonts w:ascii="宋体" w:hAnsi="宋体" w:cs="宋体" w:eastAsia="宋体" w:hint="default"/>
                <w:spacing w:val="-1"/>
                <w:sz w:val="21"/>
                <w:szCs w:val="21"/>
              </w:rPr>
              <w:t>安全事业部</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423,840.50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02"/>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z w:val="21"/>
              </w:rPr>
              <w:t>6.89%</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12,715.22</w:t>
            </w:r>
          </w:p>
        </w:tc>
      </w:tr>
      <w:tr>
        <w:trPr>
          <w:trHeight w:val="554"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6"/>
                <w:sz w:val="21"/>
                <w:szCs w:val="21"/>
              </w:rPr>
              <w:t>军工事业部备</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用金</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295,255.90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02"/>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z w:val="21"/>
              </w:rPr>
              <w:t>4.80%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8,857.68</w:t>
            </w:r>
          </w:p>
        </w:tc>
      </w:tr>
      <w:tr>
        <w:trPr>
          <w:trHeight w:val="283"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8"/>
              <w:jc w:val="center"/>
              <w:rPr>
                <w:rFonts w:ascii="Times New Roman" w:hAnsi="Times New Roman" w:cs="Times New Roman" w:eastAsia="Times New Roman" w:hint="default"/>
                <w:sz w:val="21"/>
                <w:szCs w:val="21"/>
              </w:rPr>
            </w:pPr>
            <w:r>
              <w:rPr>
                <w:rFonts w:ascii="Times New Roman"/>
                <w:w w:val="100"/>
                <w:sz w:val="21"/>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3,344,636.73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0"/>
              <w:jc w:val="center"/>
              <w:rPr>
                <w:rFonts w:ascii="Times New Roman" w:hAnsi="Times New Roman" w:cs="Times New Roman" w:eastAsia="Times New Roman" w:hint="default"/>
                <w:sz w:val="21"/>
                <w:szCs w:val="21"/>
              </w:rPr>
            </w:pPr>
            <w:r>
              <w:rPr>
                <w:rFonts w:ascii="Times New Roman"/>
                <w:w w:val="100"/>
                <w:sz w:val="21"/>
              </w:rPr>
              <w:t>/</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z w:val="21"/>
              </w:rPr>
              <w:t>54.35%</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108,962.86</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2"/>
        <w:spacing w:line="240" w:lineRule="auto" w:before="36"/>
        <w:ind w:right="2465"/>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8"/>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right="2465"/>
        <w:jc w:val="left"/>
        <w:rPr>
          <w:b w:val="0"/>
          <w:bCs w:val="0"/>
        </w:rPr>
      </w:pPr>
      <w:r>
        <w:rPr>
          <w:rFonts w:ascii="宋体" w:hAnsi="宋体" w:cs="宋体" w:eastAsia="宋体" w:hint="default"/>
        </w:rPr>
        <w:t>(7).</w:t>
      </w:r>
      <w:r>
        <w:rPr>
          <w:rFonts w:ascii="宋体" w:hAnsi="宋体" w:cs="宋体" w:eastAsia="宋体" w:hint="default"/>
          <w:spacing w:val="-1"/>
        </w:rPr>
        <w:t> </w:t>
      </w:r>
      <w:r>
        <w:rPr/>
        <w:t>因金融资产转移而终止确认的其他应收款：</w:t>
      </w:r>
      <w:r>
        <w:rPr>
          <w:b w:val="0"/>
          <w:bCs w:val="0"/>
        </w:rPr>
      </w:r>
    </w:p>
    <w:p>
      <w:pPr>
        <w:pStyle w:val="BodyText"/>
        <w:spacing w:line="240" w:lineRule="auto" w:before="56"/>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2"/>
        <w:spacing w:line="240" w:lineRule="auto"/>
        <w:ind w:right="2465"/>
        <w:jc w:val="left"/>
        <w:rPr>
          <w:b w:val="0"/>
          <w:bCs w:val="0"/>
        </w:rPr>
      </w:pPr>
      <w:r>
        <w:rPr>
          <w:rFonts w:ascii="宋体" w:hAnsi="宋体" w:cs="宋体" w:eastAsia="宋体" w:hint="default"/>
        </w:rPr>
        <w:t>(8).</w:t>
      </w:r>
      <w:r>
        <w:rPr>
          <w:rFonts w:ascii="宋体" w:hAnsi="宋体" w:cs="宋体" w:eastAsia="宋体" w:hint="default"/>
          <w:spacing w:val="-6"/>
        </w:rPr>
        <w:t> </w:t>
      </w:r>
      <w:r>
        <w:rPr/>
        <w:t>转移其他应收款且继续涉入形成的资产、负债金额：</w:t>
      </w:r>
      <w:r>
        <w:rPr>
          <w:b w:val="0"/>
          <w:bCs w:val="0"/>
        </w:rPr>
      </w:r>
    </w:p>
    <w:p>
      <w:pPr>
        <w:pStyle w:val="BodyText"/>
        <w:spacing w:line="240" w:lineRule="auto" w:before="56"/>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4" w:lineRule="exact"/>
        <w:ind w:right="2465"/>
        <w:jc w:val="left"/>
      </w:pPr>
      <w:r>
        <w:rPr/>
        <w:t>其他说明：</w:t>
      </w:r>
    </w:p>
    <w:p>
      <w:pPr>
        <w:pStyle w:val="BodyText"/>
        <w:spacing w:line="274" w:lineRule="exact"/>
        <w:ind w:right="2465"/>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70"/>
          <w:pgSz w:w="11910" w:h="16840"/>
          <w:pgMar w:footer="1195" w:header="0" w:top="1120" w:bottom="1380" w:left="1580" w:right="1040"/>
          <w:pgNumType w:start="151"/>
        </w:sectPr>
      </w:pPr>
    </w:p>
    <w:p>
      <w:pPr>
        <w:pStyle w:val="Heading2"/>
        <w:spacing w:line="240" w:lineRule="auto" w:before="36"/>
        <w:ind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6"/>
        <w:ind w:right="-19"/>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911" w:space="4822"/>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987"/>
        <w:gridCol w:w="1376"/>
        <w:gridCol w:w="802"/>
        <w:gridCol w:w="1376"/>
        <w:gridCol w:w="1270"/>
        <w:gridCol w:w="817"/>
        <w:gridCol w:w="1270"/>
      </w:tblGrid>
      <w:tr>
        <w:trPr>
          <w:trHeight w:val="283" w:hRule="exact"/>
        </w:trPr>
        <w:tc>
          <w:tcPr>
            <w:tcW w:w="198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1987" w:type="dxa"/>
            <w:vMerge/>
            <w:tcBorders>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103,629,540.96</w:t>
            </w:r>
          </w:p>
        </w:tc>
        <w:tc>
          <w:tcPr>
            <w:tcW w:w="80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103,629,540.96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25,729,500.00</w:t>
            </w:r>
          </w:p>
        </w:tc>
        <w:tc>
          <w:tcPr>
            <w:tcW w:w="81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25,729,500.00</w:t>
            </w:r>
          </w:p>
        </w:tc>
      </w:tr>
      <w:tr>
        <w:trPr>
          <w:trHeight w:val="557"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对联营、合营企业投</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资</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Times New Roman" w:hAnsi="Times New Roman" w:cs="Times New Roman" w:eastAsia="Times New Roman" w:hint="default"/>
                <w:sz w:val="21"/>
                <w:szCs w:val="21"/>
              </w:rPr>
            </w:pPr>
            <w:r>
              <w:rPr>
                <w:rFonts w:ascii="Times New Roman"/>
                <w:spacing w:val="-1"/>
                <w:sz w:val="21"/>
              </w:rPr>
              <w:t>30,260,999.59</w:t>
            </w:r>
          </w:p>
        </w:tc>
        <w:tc>
          <w:tcPr>
            <w:tcW w:w="80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30,260,999.59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28,696,471.84</w:t>
            </w:r>
          </w:p>
        </w:tc>
        <w:tc>
          <w:tcPr>
            <w:tcW w:w="81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28,696,471.84</w:t>
            </w:r>
          </w:p>
        </w:tc>
      </w:tr>
      <w:tr>
        <w:trPr>
          <w:trHeight w:val="281"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133,890,540.55</w:t>
            </w:r>
          </w:p>
        </w:tc>
        <w:tc>
          <w:tcPr>
            <w:tcW w:w="80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133,890,540.55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54,425,971.84</w:t>
            </w:r>
          </w:p>
        </w:tc>
        <w:tc>
          <w:tcPr>
            <w:tcW w:w="81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54,425,971.84</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2"/>
        <w:spacing w:line="240" w:lineRule="auto" w:before="36"/>
        <w:ind w:right="-20"/>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8"/>
        <w:ind w:right="-19"/>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911" w:space="4822"/>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20"/>
        <w:gridCol w:w="1426"/>
        <w:gridCol w:w="1423"/>
        <w:gridCol w:w="1018"/>
        <w:gridCol w:w="1529"/>
        <w:gridCol w:w="1018"/>
        <w:gridCol w:w="1015"/>
      </w:tblGrid>
      <w:tr>
        <w:trPr>
          <w:trHeight w:val="828"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8" w:right="185" w:hanging="212"/>
              <w:jc w:val="left"/>
              <w:rPr>
                <w:rFonts w:ascii="宋体" w:hAnsi="宋体" w:cs="宋体" w:eastAsia="宋体" w:hint="default"/>
                <w:sz w:val="21"/>
                <w:szCs w:val="21"/>
              </w:rPr>
            </w:pPr>
            <w:r>
              <w:rPr>
                <w:rFonts w:ascii="宋体" w:hAnsi="宋体" w:cs="宋体" w:eastAsia="宋体" w:hint="default"/>
                <w:sz w:val="21"/>
                <w:szCs w:val="21"/>
              </w:rPr>
              <w:t>本期减</w:t>
            </w:r>
            <w:r>
              <w:rPr>
                <w:rFonts w:ascii="宋体" w:hAnsi="宋体" w:cs="宋体" w:eastAsia="宋体" w:hint="default"/>
                <w:spacing w:val="-102"/>
                <w:sz w:val="21"/>
                <w:szCs w:val="21"/>
              </w:rPr>
              <w:t> </w:t>
            </w:r>
            <w:r>
              <w:rPr>
                <w:rFonts w:ascii="宋体" w:hAnsi="宋体" w:cs="宋体" w:eastAsia="宋体" w:hint="default"/>
                <w:sz w:val="21"/>
                <w:szCs w:val="21"/>
              </w:rPr>
              <w:t>少</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40" w:lineRule="auto"/>
              <w:ind w:left="293" w:right="185" w:hanging="106"/>
              <w:jc w:val="left"/>
              <w:rPr>
                <w:rFonts w:ascii="宋体" w:hAnsi="宋体" w:cs="宋体" w:eastAsia="宋体" w:hint="default"/>
                <w:sz w:val="21"/>
                <w:szCs w:val="21"/>
              </w:rPr>
            </w:pPr>
            <w:r>
              <w:rPr>
                <w:rFonts w:ascii="宋体" w:hAnsi="宋体" w:cs="宋体" w:eastAsia="宋体" w:hint="default"/>
                <w:sz w:val="21"/>
                <w:szCs w:val="21"/>
              </w:rPr>
              <w:t>提减值</w:t>
            </w:r>
            <w:r>
              <w:rPr>
                <w:rFonts w:ascii="宋体" w:hAnsi="宋体" w:cs="宋体" w:eastAsia="宋体" w:hint="default"/>
                <w:spacing w:val="-102"/>
                <w:sz w:val="21"/>
                <w:szCs w:val="21"/>
              </w:rPr>
              <w:t> </w:t>
            </w:r>
            <w:r>
              <w:rPr>
                <w:rFonts w:ascii="宋体" w:hAnsi="宋体" w:cs="宋体" w:eastAsia="宋体" w:hint="default"/>
                <w:sz w:val="21"/>
                <w:szCs w:val="21"/>
              </w:rPr>
              <w:t>准备</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40" w:lineRule="auto"/>
              <w:ind w:left="290" w:right="185" w:hanging="106"/>
              <w:jc w:val="left"/>
              <w:rPr>
                <w:rFonts w:ascii="宋体" w:hAnsi="宋体" w:cs="宋体" w:eastAsia="宋体" w:hint="default"/>
                <w:sz w:val="21"/>
                <w:szCs w:val="21"/>
              </w:rPr>
            </w:pP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p>
        </w:tc>
      </w:tr>
      <w:tr>
        <w:trPr>
          <w:trHeight w:val="828"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6"/>
                <w:sz w:val="21"/>
                <w:szCs w:val="21"/>
              </w:rPr>
              <w:t> </w:t>
            </w:r>
            <w:r>
              <w:rPr>
                <w:rFonts w:ascii="宋体" w:hAnsi="宋体" w:cs="宋体" w:eastAsia="宋体" w:hint="default"/>
                <w:sz w:val="21"/>
                <w:szCs w:val="21"/>
              </w:rPr>
              <w:t>京</w:t>
            </w:r>
            <w:r>
              <w:rPr>
                <w:rFonts w:ascii="宋体" w:hAnsi="宋体" w:cs="宋体" w:eastAsia="宋体" w:hint="default"/>
                <w:spacing w:val="-76"/>
                <w:sz w:val="21"/>
                <w:szCs w:val="21"/>
              </w:rPr>
              <w:t> </w:t>
            </w:r>
            <w:r>
              <w:rPr>
                <w:rFonts w:ascii="宋体" w:hAnsi="宋体" w:cs="宋体" w:eastAsia="宋体" w:hint="default"/>
                <w:sz w:val="21"/>
                <w:szCs w:val="21"/>
              </w:rPr>
              <w:t>格</w:t>
            </w:r>
            <w:r>
              <w:rPr>
                <w:rFonts w:ascii="宋体" w:hAnsi="宋体" w:cs="宋体" w:eastAsia="宋体" w:hint="default"/>
                <w:spacing w:val="-78"/>
                <w:sz w:val="21"/>
                <w:szCs w:val="21"/>
              </w:rPr>
              <w:t> </w:t>
            </w:r>
            <w:r>
              <w:rPr>
                <w:rFonts w:ascii="宋体" w:hAnsi="宋体" w:cs="宋体" w:eastAsia="宋体" w:hint="default"/>
                <w:sz w:val="21"/>
                <w:szCs w:val="21"/>
              </w:rPr>
              <w:t>尔</w:t>
            </w:r>
            <w:r>
              <w:rPr>
                <w:rFonts w:ascii="宋体" w:hAnsi="宋体" w:cs="宋体" w:eastAsia="宋体" w:hint="default"/>
                <w:spacing w:val="-76"/>
                <w:sz w:val="21"/>
                <w:szCs w:val="21"/>
              </w:rPr>
              <w:t> </w:t>
            </w:r>
            <w:r>
              <w:rPr>
                <w:rFonts w:ascii="宋体" w:hAnsi="宋体" w:cs="宋体" w:eastAsia="宋体" w:hint="default"/>
                <w:sz w:val="21"/>
                <w:szCs w:val="21"/>
              </w:rPr>
              <w:t>国</w:t>
            </w:r>
            <w:r>
              <w:rPr>
                <w:rFonts w:ascii="宋体" w:hAnsi="宋体" w:cs="宋体" w:eastAsia="宋体" w:hint="default"/>
                <w:spacing w:val="-78"/>
                <w:sz w:val="21"/>
                <w:szCs w:val="21"/>
              </w:rPr>
              <w:t> </w:t>
            </w:r>
            <w:r>
              <w:rPr>
                <w:rFonts w:ascii="宋体" w:hAnsi="宋体" w:cs="宋体" w:eastAsia="宋体" w:hint="default"/>
                <w:sz w:val="21"/>
                <w:szCs w:val="21"/>
              </w:rPr>
              <w:t>信</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76"/>
                <w:sz w:val="21"/>
                <w:szCs w:val="21"/>
              </w:rPr>
              <w:t> </w:t>
            </w:r>
            <w:r>
              <w:rPr>
                <w:rFonts w:ascii="宋体" w:hAnsi="宋体" w:cs="宋体" w:eastAsia="宋体" w:hint="default"/>
                <w:sz w:val="21"/>
                <w:szCs w:val="21"/>
              </w:rPr>
              <w:t>技</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8"/>
                <w:sz w:val="21"/>
                <w:szCs w:val="21"/>
              </w:rPr>
              <w:t> </w:t>
            </w:r>
            <w:r>
              <w:rPr>
                <w:rFonts w:ascii="宋体" w:hAnsi="宋体" w:cs="宋体" w:eastAsia="宋体" w:hint="default"/>
                <w:sz w:val="21"/>
                <w:szCs w:val="21"/>
              </w:rPr>
              <w:t>限</w:t>
            </w:r>
            <w:r>
              <w:rPr>
                <w:rFonts w:ascii="宋体" w:hAnsi="宋体" w:cs="宋体" w:eastAsia="宋体" w:hint="default"/>
                <w:spacing w:val="-76"/>
                <w:sz w:val="21"/>
                <w:szCs w:val="21"/>
              </w:rPr>
              <w:t> </w:t>
            </w:r>
            <w:r>
              <w:rPr>
                <w:rFonts w:ascii="宋体" w:hAnsi="宋体" w:cs="宋体" w:eastAsia="宋体" w:hint="default"/>
                <w:sz w:val="21"/>
                <w:szCs w:val="21"/>
              </w:rPr>
              <w:t>责</w:t>
            </w:r>
            <w:r>
              <w:rPr>
                <w:rFonts w:ascii="宋体" w:hAnsi="宋体" w:cs="宋体" w:eastAsia="宋体" w:hint="default"/>
                <w:spacing w:val="-78"/>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5,189,500.00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5,000,000.00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10,189,500.00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郑</w:t>
            </w:r>
            <w:r>
              <w:rPr>
                <w:rFonts w:ascii="宋体" w:hAnsi="宋体" w:cs="宋体" w:eastAsia="宋体" w:hint="default"/>
                <w:spacing w:val="-76"/>
                <w:sz w:val="21"/>
                <w:szCs w:val="21"/>
              </w:rPr>
              <w:t> </w:t>
            </w:r>
            <w:r>
              <w:rPr>
                <w:rFonts w:ascii="宋体" w:hAnsi="宋体" w:cs="宋体" w:eastAsia="宋体" w:hint="default"/>
                <w:sz w:val="21"/>
                <w:szCs w:val="21"/>
              </w:rPr>
              <w:t>州</w:t>
            </w:r>
            <w:r>
              <w:rPr>
                <w:rFonts w:ascii="宋体" w:hAnsi="宋体" w:cs="宋体" w:eastAsia="宋体" w:hint="default"/>
                <w:spacing w:val="-76"/>
                <w:sz w:val="21"/>
                <w:szCs w:val="21"/>
              </w:rPr>
              <w:t> </w:t>
            </w:r>
            <w:r>
              <w:rPr>
                <w:rFonts w:ascii="宋体" w:hAnsi="宋体" w:cs="宋体" w:eastAsia="宋体" w:hint="default"/>
                <w:sz w:val="21"/>
                <w:szCs w:val="21"/>
              </w:rPr>
              <w:t>信</w:t>
            </w:r>
            <w:r>
              <w:rPr>
                <w:rFonts w:ascii="宋体" w:hAnsi="宋体" w:cs="宋体" w:eastAsia="宋体" w:hint="default"/>
                <w:spacing w:val="-78"/>
                <w:sz w:val="21"/>
                <w:szCs w:val="21"/>
              </w:rPr>
              <w:t> </w:t>
            </w:r>
            <w:r>
              <w:rPr>
                <w:rFonts w:ascii="宋体" w:hAnsi="宋体" w:cs="宋体" w:eastAsia="宋体" w:hint="default"/>
                <w:sz w:val="21"/>
                <w:szCs w:val="21"/>
              </w:rPr>
              <w:t>领</w:t>
            </w:r>
            <w:r>
              <w:rPr>
                <w:rFonts w:ascii="宋体" w:hAnsi="宋体" w:cs="宋体" w:eastAsia="宋体" w:hint="default"/>
                <w:spacing w:val="-76"/>
                <w:sz w:val="21"/>
                <w:szCs w:val="21"/>
              </w:rPr>
              <w:t> </w:t>
            </w:r>
            <w:r>
              <w:rPr>
                <w:rFonts w:ascii="宋体" w:hAnsi="宋体" w:cs="宋体" w:eastAsia="宋体" w:hint="default"/>
                <w:sz w:val="21"/>
                <w:szCs w:val="21"/>
              </w:rPr>
              <w:t>软</w:t>
            </w:r>
            <w:r>
              <w:rPr>
                <w:rFonts w:ascii="宋体" w:hAnsi="宋体" w:cs="宋体" w:eastAsia="宋体" w:hint="default"/>
                <w:spacing w:val="-78"/>
                <w:sz w:val="21"/>
                <w:szCs w:val="21"/>
              </w:rPr>
              <w:t> </w:t>
            </w:r>
            <w:r>
              <w:rPr>
                <w:rFonts w:ascii="宋体" w:hAnsi="宋体" w:cs="宋体" w:eastAsia="宋体" w:hint="default"/>
                <w:sz w:val="21"/>
                <w:szCs w:val="21"/>
              </w:rPr>
              <w:t>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540,000.00</w:t>
            </w:r>
          </w:p>
        </w:tc>
        <w:tc>
          <w:tcPr>
            <w:tcW w:w="142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540,000.00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6"/>
                <w:sz w:val="21"/>
                <w:szCs w:val="21"/>
              </w:rPr>
              <w:t> </w:t>
            </w:r>
            <w:r>
              <w:rPr>
                <w:rFonts w:ascii="宋体" w:hAnsi="宋体" w:cs="宋体" w:eastAsia="宋体" w:hint="default"/>
                <w:sz w:val="21"/>
                <w:szCs w:val="21"/>
              </w:rPr>
              <w:t>海</w:t>
            </w:r>
            <w:r>
              <w:rPr>
                <w:rFonts w:ascii="宋体" w:hAnsi="宋体" w:cs="宋体" w:eastAsia="宋体" w:hint="default"/>
                <w:spacing w:val="-76"/>
                <w:sz w:val="21"/>
                <w:szCs w:val="21"/>
              </w:rPr>
              <w:t> </w:t>
            </w:r>
            <w:r>
              <w:rPr>
                <w:rFonts w:ascii="宋体" w:hAnsi="宋体" w:cs="宋体" w:eastAsia="宋体" w:hint="default"/>
                <w:sz w:val="21"/>
                <w:szCs w:val="21"/>
              </w:rPr>
              <w:t>格</w:t>
            </w:r>
            <w:r>
              <w:rPr>
                <w:rFonts w:ascii="宋体" w:hAnsi="宋体" w:cs="宋体" w:eastAsia="宋体" w:hint="default"/>
                <w:spacing w:val="-78"/>
                <w:sz w:val="21"/>
                <w:szCs w:val="21"/>
              </w:rPr>
              <w:t> </w:t>
            </w:r>
            <w:r>
              <w:rPr>
                <w:rFonts w:ascii="宋体" w:hAnsi="宋体" w:cs="宋体" w:eastAsia="宋体" w:hint="default"/>
                <w:sz w:val="21"/>
                <w:szCs w:val="21"/>
              </w:rPr>
              <w:t>尔</w:t>
            </w:r>
            <w:r>
              <w:rPr>
                <w:rFonts w:ascii="宋体" w:hAnsi="宋体" w:cs="宋体" w:eastAsia="宋体" w:hint="default"/>
                <w:spacing w:val="-76"/>
                <w:sz w:val="21"/>
                <w:szCs w:val="21"/>
              </w:rPr>
              <w:t> </w:t>
            </w:r>
            <w:r>
              <w:rPr>
                <w:rFonts w:ascii="宋体" w:hAnsi="宋体" w:cs="宋体" w:eastAsia="宋体" w:hint="default"/>
                <w:sz w:val="21"/>
                <w:szCs w:val="21"/>
              </w:rPr>
              <w:t>安</w:t>
            </w:r>
            <w:r>
              <w:rPr>
                <w:rFonts w:ascii="宋体" w:hAnsi="宋体" w:cs="宋体" w:eastAsia="宋体" w:hint="default"/>
                <w:spacing w:val="-78"/>
                <w:sz w:val="21"/>
                <w:szCs w:val="21"/>
              </w:rPr>
              <w:t> </w:t>
            </w:r>
            <w:r>
              <w:rPr>
                <w:rFonts w:ascii="宋体" w:hAnsi="宋体" w:cs="宋体" w:eastAsia="宋体" w:hint="default"/>
                <w:sz w:val="21"/>
                <w:szCs w:val="21"/>
              </w:rPr>
              <w:t>全</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20,000,000.00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72,900,040.96</w:t>
            </w:r>
          </w:p>
        </w:tc>
        <w:tc>
          <w:tcPr>
            <w:tcW w:w="101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92,900,040.96</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620"/>
        <w:gridCol w:w="1426"/>
        <w:gridCol w:w="1423"/>
        <w:gridCol w:w="1018"/>
        <w:gridCol w:w="1529"/>
        <w:gridCol w:w="1018"/>
        <w:gridCol w:w="1015"/>
      </w:tblGrid>
      <w:tr>
        <w:trPr>
          <w:trHeight w:val="28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25,729,500.00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77,900,040.96</w:t>
            </w:r>
          </w:p>
        </w:tc>
        <w:tc>
          <w:tcPr>
            <w:tcW w:w="101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103,629,540.96</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1195" w:top="1120" w:bottom="1380" w:left="1580" w:right="1040"/>
        </w:sectPr>
      </w:pPr>
    </w:p>
    <w:p>
      <w:pPr>
        <w:pStyle w:val="Heading2"/>
        <w:spacing w:line="240" w:lineRule="auto" w:before="36"/>
        <w:ind w:right="-19"/>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8"/>
        <w:ind w:right="-19"/>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753" w:space="3980"/>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281" w:hRule="exact"/>
        </w:trPr>
        <w:tc>
          <w:tcPr>
            <w:tcW w:w="8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96" w:right="194"/>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单位</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63" w:right="158"/>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67" w:right="167"/>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3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37" w:lineRule="auto"/>
              <w:ind w:left="153" w:right="151"/>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645" w:hRule="exact"/>
        </w:trPr>
        <w:tc>
          <w:tcPr>
            <w:tcW w:w="826"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19" w:right="119"/>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before="2"/>
              <w:ind w:left="177" w:right="175"/>
              <w:jc w:val="both"/>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36" w:right="134"/>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39" w:right="13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before="2"/>
              <w:ind w:left="177" w:right="173"/>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70" w:right="170"/>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68"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r>
        <w:trPr>
          <w:trHeight w:val="283"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81"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2189"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86"/>
                <w:sz w:val="21"/>
                <w:szCs w:val="21"/>
              </w:rPr>
              <w:t> </w:t>
            </w:r>
            <w:r>
              <w:rPr>
                <w:rFonts w:ascii="宋体" w:hAnsi="宋体" w:cs="宋体" w:eastAsia="宋体" w:hint="default"/>
                <w:sz w:val="21"/>
                <w:szCs w:val="21"/>
              </w:rPr>
              <w:t>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格</w:t>
            </w:r>
            <w:r>
              <w:rPr>
                <w:rFonts w:ascii="宋体" w:hAnsi="宋体" w:cs="宋体" w:eastAsia="宋体" w:hint="default"/>
                <w:spacing w:val="86"/>
                <w:sz w:val="21"/>
                <w:szCs w:val="21"/>
              </w:rPr>
              <w:t> </w:t>
            </w:r>
            <w:r>
              <w:rPr>
                <w:rFonts w:ascii="宋体" w:hAnsi="宋体" w:cs="宋体" w:eastAsia="宋体" w:hint="default"/>
                <w:sz w:val="21"/>
                <w:szCs w:val="21"/>
              </w:rPr>
              <w:t>尔</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智</w:t>
            </w:r>
            <w:r>
              <w:rPr>
                <w:rFonts w:ascii="宋体" w:hAnsi="宋体" w:cs="宋体" w:eastAsia="宋体" w:hint="default"/>
                <w:spacing w:val="86"/>
                <w:sz w:val="21"/>
                <w:szCs w:val="21"/>
              </w:rPr>
              <w:t> </w:t>
            </w:r>
            <w:r>
              <w:rPr>
                <w:rFonts w:ascii="宋体" w:hAnsi="宋体" w:cs="宋体" w:eastAsia="宋体" w:hint="default"/>
                <w:sz w:val="21"/>
                <w:szCs w:val="21"/>
              </w:rPr>
              <w:t>能</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卡</w:t>
            </w:r>
            <w:r>
              <w:rPr>
                <w:rFonts w:ascii="宋体" w:hAnsi="宋体" w:cs="宋体" w:eastAsia="宋体" w:hint="default"/>
                <w:spacing w:val="86"/>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上</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spacing w:val="86"/>
                <w:sz w:val="21"/>
                <w:szCs w:val="21"/>
              </w:rPr>
              <w:t> </w:t>
            </w:r>
            <w:r>
              <w:rPr>
                <w:rFonts w:ascii="宋体" w:hAnsi="宋体" w:cs="宋体" w:eastAsia="宋体" w:hint="default"/>
                <w:sz w:val="21"/>
                <w:szCs w:val="21"/>
              </w:rPr>
              <w:t>公</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0" w:right="0"/>
              <w:jc w:val="left"/>
              <w:rPr>
                <w:rFonts w:ascii="Times New Roman" w:hAnsi="Times New Roman" w:cs="Times New Roman" w:eastAsia="Times New Roman" w:hint="default"/>
                <w:sz w:val="21"/>
                <w:szCs w:val="21"/>
              </w:rPr>
            </w:pPr>
            <w:r>
              <w:rPr>
                <w:rFonts w:ascii="Times New Roman"/>
                <w:sz w:val="21"/>
              </w:rPr>
              <w:t>15,61</w:t>
            </w:r>
          </w:p>
          <w:p>
            <w:pPr>
              <w:pStyle w:val="TableParagraph"/>
              <w:spacing w:line="240" w:lineRule="auto" w:before="1"/>
              <w:ind w:left="117" w:right="0"/>
              <w:jc w:val="left"/>
              <w:rPr>
                <w:rFonts w:ascii="Times New Roman" w:hAnsi="Times New Roman" w:cs="Times New Roman" w:eastAsia="Times New Roman" w:hint="default"/>
                <w:sz w:val="21"/>
                <w:szCs w:val="21"/>
              </w:rPr>
            </w:pPr>
            <w:r>
              <w:rPr>
                <w:rFonts w:ascii="Times New Roman"/>
                <w:sz w:val="21"/>
              </w:rPr>
              <w:t>3,246.</w:t>
            </w:r>
          </w:p>
          <w:p>
            <w:pPr>
              <w:pStyle w:val="TableParagraph"/>
              <w:spacing w:line="240" w:lineRule="auto" w:before="1"/>
              <w:ind w:left="431" w:right="0"/>
              <w:jc w:val="left"/>
              <w:rPr>
                <w:rFonts w:ascii="Times New Roman" w:hAnsi="Times New Roman" w:cs="Times New Roman" w:eastAsia="Times New Roman" w:hint="default"/>
                <w:sz w:val="21"/>
                <w:szCs w:val="21"/>
              </w:rPr>
            </w:pPr>
            <w:r>
              <w:rPr>
                <w:rFonts w:ascii="Times New Roman"/>
                <w:sz w:val="21"/>
              </w:rPr>
              <w:t>65</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1" w:right="0"/>
              <w:jc w:val="left"/>
              <w:rPr>
                <w:rFonts w:ascii="Times New Roman" w:hAnsi="Times New Roman" w:cs="Times New Roman" w:eastAsia="Times New Roman" w:hint="default"/>
                <w:sz w:val="21"/>
                <w:szCs w:val="21"/>
              </w:rPr>
            </w:pPr>
            <w:r>
              <w:rPr>
                <w:rFonts w:ascii="Times New Roman"/>
                <w:sz w:val="21"/>
              </w:rPr>
              <w:t>607,7</w:t>
            </w:r>
          </w:p>
          <w:p>
            <w:pPr>
              <w:pStyle w:val="TableParagraph"/>
              <w:spacing w:line="240" w:lineRule="auto" w:before="1"/>
              <w:ind w:left="201" w:right="0"/>
              <w:jc w:val="left"/>
              <w:rPr>
                <w:rFonts w:ascii="Times New Roman" w:hAnsi="Times New Roman" w:cs="Times New Roman" w:eastAsia="Times New Roman" w:hint="default"/>
                <w:sz w:val="21"/>
                <w:szCs w:val="21"/>
              </w:rPr>
            </w:pPr>
            <w:r>
              <w:rPr>
                <w:rFonts w:ascii="Times New Roman"/>
                <w:sz w:val="21"/>
              </w:rPr>
              <w:t>23.32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2" w:right="0"/>
              <w:jc w:val="left"/>
              <w:rPr>
                <w:rFonts w:ascii="Times New Roman" w:hAnsi="Times New Roman" w:cs="Times New Roman" w:eastAsia="Times New Roman" w:hint="default"/>
                <w:sz w:val="21"/>
                <w:szCs w:val="21"/>
              </w:rPr>
            </w:pPr>
            <w:r>
              <w:rPr>
                <w:rFonts w:ascii="Times New Roman"/>
                <w:sz w:val="21"/>
              </w:rPr>
              <w:t>16,22</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0,969.</w:t>
            </w:r>
          </w:p>
          <w:p>
            <w:pPr>
              <w:pStyle w:val="TableParagraph"/>
              <w:spacing w:line="240" w:lineRule="auto" w:before="1"/>
              <w:ind w:left="443" w:right="0"/>
              <w:jc w:val="left"/>
              <w:rPr>
                <w:rFonts w:ascii="Times New Roman" w:hAnsi="Times New Roman" w:cs="Times New Roman" w:eastAsia="Times New Roman" w:hint="default"/>
                <w:sz w:val="21"/>
                <w:szCs w:val="21"/>
              </w:rPr>
            </w:pPr>
            <w:r>
              <w:rPr>
                <w:rFonts w:ascii="Times New Roman"/>
                <w:sz w:val="21"/>
              </w:rPr>
              <w:t>97</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86"/>
                <w:sz w:val="21"/>
                <w:szCs w:val="21"/>
              </w:rPr>
              <w:t> </w:t>
            </w:r>
            <w:r>
              <w:rPr>
                <w:rFonts w:ascii="宋体" w:hAnsi="宋体" w:cs="宋体" w:eastAsia="宋体" w:hint="default"/>
                <w:sz w:val="21"/>
                <w:szCs w:val="21"/>
              </w:rPr>
              <w:t>疆</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pacing w:val="86"/>
                <w:sz w:val="21"/>
                <w:szCs w:val="21"/>
              </w:rPr>
              <w:t> </w:t>
            </w:r>
            <w:r>
              <w:rPr>
                <w:rFonts w:ascii="宋体" w:hAnsi="宋体" w:cs="宋体" w:eastAsia="宋体" w:hint="default"/>
                <w:sz w:val="21"/>
                <w:szCs w:val="21"/>
              </w:rPr>
              <w:t>字</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证</w:t>
            </w:r>
            <w:r>
              <w:rPr>
                <w:rFonts w:ascii="宋体" w:hAnsi="宋体" w:cs="宋体" w:eastAsia="宋体" w:hint="default"/>
                <w:spacing w:val="86"/>
                <w:sz w:val="21"/>
                <w:szCs w:val="21"/>
              </w:rPr>
              <w:t> </w:t>
            </w:r>
            <w:r>
              <w:rPr>
                <w:rFonts w:ascii="宋体" w:hAnsi="宋体" w:cs="宋体" w:eastAsia="宋体" w:hint="default"/>
                <w:sz w:val="21"/>
                <w:szCs w:val="21"/>
              </w:rPr>
              <w:t>书</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认</w:t>
            </w:r>
            <w:r>
              <w:rPr>
                <w:rFonts w:ascii="宋体" w:hAnsi="宋体" w:cs="宋体" w:eastAsia="宋体" w:hint="default"/>
                <w:spacing w:val="86"/>
                <w:sz w:val="21"/>
                <w:szCs w:val="21"/>
              </w:rPr>
              <w:t> </w:t>
            </w:r>
            <w:r>
              <w:rPr>
                <w:rFonts w:ascii="宋体" w:hAnsi="宋体" w:cs="宋体" w:eastAsia="宋体" w:hint="default"/>
                <w:sz w:val="21"/>
                <w:szCs w:val="21"/>
              </w:rPr>
              <w:t>证</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86"/>
                <w:sz w:val="21"/>
                <w:szCs w:val="21"/>
              </w:rPr>
              <w:t> </w:t>
            </w:r>
            <w:r>
              <w:rPr>
                <w:rFonts w:ascii="宋体" w:hAnsi="宋体" w:cs="宋体" w:eastAsia="宋体" w:hint="default"/>
                <w:sz w:val="21"/>
                <w:szCs w:val="21"/>
              </w:rPr>
              <w:t>心</w:t>
            </w:r>
          </w:p>
          <w:p>
            <w:pPr>
              <w:pStyle w:val="TableParagraph"/>
              <w:spacing w:line="28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0"/>
                <w:sz w:val="21"/>
                <w:szCs w:val="21"/>
              </w:rPr>
              <w:t> </w:t>
            </w:r>
            <w:r>
              <w:rPr>
                <w:rFonts w:ascii="宋体" w:hAnsi="宋体" w:cs="宋体" w:eastAsia="宋体" w:hint="default"/>
                <w:spacing w:val="29"/>
                <w:sz w:val="21"/>
                <w:szCs w:val="21"/>
              </w:rPr>
              <w:t>有限</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81"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公司</w:t>
            </w:r>
            <w:r>
              <w:rPr>
                <w:rFonts w:ascii="Times New Roman" w:hAnsi="Times New Roman" w:cs="Times New Roman" w:eastAsia="Times New Roman" w:hint="default"/>
                <w:sz w:val="21"/>
                <w:szCs w:val="21"/>
              </w:rPr>
              <w:t>)</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0" w:right="0"/>
              <w:jc w:val="left"/>
              <w:rPr>
                <w:rFonts w:ascii="Times New Roman" w:hAnsi="Times New Roman" w:cs="Times New Roman" w:eastAsia="Times New Roman" w:hint="default"/>
                <w:sz w:val="21"/>
                <w:szCs w:val="21"/>
              </w:rPr>
            </w:pPr>
            <w:r>
              <w:rPr>
                <w:rFonts w:ascii="Times New Roman"/>
                <w:sz w:val="21"/>
              </w:rPr>
              <w:t>13,08</w:t>
            </w:r>
          </w:p>
          <w:p>
            <w:pPr>
              <w:pStyle w:val="TableParagraph"/>
              <w:spacing w:line="240" w:lineRule="auto" w:before="1"/>
              <w:ind w:left="117" w:right="0"/>
              <w:jc w:val="left"/>
              <w:rPr>
                <w:rFonts w:ascii="Times New Roman" w:hAnsi="Times New Roman" w:cs="Times New Roman" w:eastAsia="Times New Roman" w:hint="default"/>
                <w:sz w:val="21"/>
                <w:szCs w:val="21"/>
              </w:rPr>
            </w:pPr>
            <w:r>
              <w:rPr>
                <w:rFonts w:ascii="Times New Roman"/>
                <w:sz w:val="21"/>
              </w:rPr>
              <w:t>3,225.</w:t>
            </w:r>
          </w:p>
          <w:p>
            <w:pPr>
              <w:pStyle w:val="TableParagraph"/>
              <w:spacing w:line="240" w:lineRule="auto" w:before="1"/>
              <w:ind w:left="431" w:right="0"/>
              <w:jc w:val="left"/>
              <w:rPr>
                <w:rFonts w:ascii="Times New Roman" w:hAnsi="Times New Roman" w:cs="Times New Roman" w:eastAsia="Times New Roman" w:hint="default"/>
                <w:sz w:val="21"/>
                <w:szCs w:val="21"/>
              </w:rPr>
            </w:pPr>
            <w:r>
              <w:rPr>
                <w:rFonts w:ascii="Times New Roman"/>
                <w:sz w:val="21"/>
              </w:rPr>
              <w:t>19</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5,336,</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804.4</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3</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4,380,</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2" w:right="0"/>
              <w:jc w:val="left"/>
              <w:rPr>
                <w:rFonts w:ascii="Times New Roman" w:hAnsi="Times New Roman" w:cs="Times New Roman" w:eastAsia="Times New Roman" w:hint="default"/>
                <w:sz w:val="21"/>
                <w:szCs w:val="21"/>
              </w:rPr>
            </w:pPr>
            <w:r>
              <w:rPr>
                <w:rFonts w:ascii="Times New Roman"/>
                <w:sz w:val="21"/>
              </w:rPr>
              <w:t>14,04</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0,029.</w:t>
            </w:r>
          </w:p>
          <w:p>
            <w:pPr>
              <w:pStyle w:val="TableParagraph"/>
              <w:spacing w:line="240" w:lineRule="auto" w:before="1"/>
              <w:ind w:left="443" w:right="0"/>
              <w:jc w:val="left"/>
              <w:rPr>
                <w:rFonts w:ascii="Times New Roman" w:hAnsi="Times New Roman" w:cs="Times New Roman" w:eastAsia="Times New Roman" w:hint="default"/>
                <w:sz w:val="21"/>
                <w:szCs w:val="21"/>
              </w:rPr>
            </w:pPr>
            <w:r>
              <w:rPr>
                <w:rFonts w:ascii="Times New Roman"/>
                <w:sz w:val="21"/>
              </w:rPr>
              <w:t>62</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70" w:right="0"/>
              <w:jc w:val="left"/>
              <w:rPr>
                <w:rFonts w:ascii="Times New Roman" w:hAnsi="Times New Roman" w:cs="Times New Roman" w:eastAsia="Times New Roman" w:hint="default"/>
                <w:sz w:val="21"/>
                <w:szCs w:val="21"/>
              </w:rPr>
            </w:pPr>
            <w:r>
              <w:rPr>
                <w:rFonts w:ascii="Times New Roman"/>
                <w:sz w:val="21"/>
              </w:rPr>
              <w:t>28,69</w:t>
            </w:r>
          </w:p>
          <w:p>
            <w:pPr>
              <w:pStyle w:val="TableParagraph"/>
              <w:spacing w:line="241" w:lineRule="exact"/>
              <w:ind w:left="117" w:right="0"/>
              <w:jc w:val="left"/>
              <w:rPr>
                <w:rFonts w:ascii="Times New Roman" w:hAnsi="Times New Roman" w:cs="Times New Roman" w:eastAsia="Times New Roman" w:hint="default"/>
                <w:sz w:val="21"/>
                <w:szCs w:val="21"/>
              </w:rPr>
            </w:pPr>
            <w:r>
              <w:rPr>
                <w:rFonts w:ascii="Times New Roman"/>
                <w:sz w:val="21"/>
              </w:rPr>
              <w:t>6,471.</w:t>
            </w:r>
          </w:p>
          <w:p>
            <w:pPr>
              <w:pStyle w:val="TableParagraph"/>
              <w:spacing w:line="240" w:lineRule="auto" w:before="1"/>
              <w:ind w:left="431" w:right="0"/>
              <w:jc w:val="left"/>
              <w:rPr>
                <w:rFonts w:ascii="Times New Roman" w:hAnsi="Times New Roman" w:cs="Times New Roman" w:eastAsia="Times New Roman" w:hint="default"/>
                <w:sz w:val="21"/>
                <w:szCs w:val="21"/>
              </w:rPr>
            </w:pPr>
            <w:r>
              <w:rPr>
                <w:rFonts w:ascii="Times New Roman"/>
                <w:sz w:val="21"/>
              </w:rPr>
              <w:t>84</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z w:val="21"/>
              </w:rPr>
              <w:t>5,944,</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527.7</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5</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z w:val="21"/>
              </w:rPr>
              <w:t>4,380,</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82" w:right="0"/>
              <w:jc w:val="left"/>
              <w:rPr>
                <w:rFonts w:ascii="Times New Roman" w:hAnsi="Times New Roman" w:cs="Times New Roman" w:eastAsia="Times New Roman" w:hint="default"/>
                <w:sz w:val="21"/>
                <w:szCs w:val="21"/>
              </w:rPr>
            </w:pPr>
            <w:r>
              <w:rPr>
                <w:rFonts w:ascii="Times New Roman"/>
                <w:sz w:val="21"/>
              </w:rPr>
              <w:t>30,26</w:t>
            </w: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0,999.</w:t>
            </w:r>
          </w:p>
          <w:p>
            <w:pPr>
              <w:pStyle w:val="TableParagraph"/>
              <w:spacing w:line="240" w:lineRule="auto" w:before="1"/>
              <w:ind w:left="443" w:right="0"/>
              <w:jc w:val="left"/>
              <w:rPr>
                <w:rFonts w:ascii="Times New Roman" w:hAnsi="Times New Roman" w:cs="Times New Roman" w:eastAsia="Times New Roman" w:hint="default"/>
                <w:sz w:val="21"/>
                <w:szCs w:val="21"/>
              </w:rPr>
            </w:pPr>
            <w:r>
              <w:rPr>
                <w:rFonts w:ascii="Times New Roman"/>
                <w:sz w:val="21"/>
              </w:rPr>
              <w:t>59</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735"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0" w:right="0"/>
              <w:jc w:val="left"/>
              <w:rPr>
                <w:rFonts w:ascii="Times New Roman" w:hAnsi="Times New Roman" w:cs="Times New Roman" w:eastAsia="Times New Roman" w:hint="default"/>
                <w:sz w:val="21"/>
                <w:szCs w:val="21"/>
              </w:rPr>
            </w:pPr>
            <w:r>
              <w:rPr>
                <w:rFonts w:ascii="Times New Roman"/>
                <w:sz w:val="21"/>
              </w:rPr>
              <w:t>28,69</w:t>
            </w:r>
          </w:p>
          <w:p>
            <w:pPr>
              <w:pStyle w:val="TableParagraph"/>
              <w:spacing w:line="241" w:lineRule="exact"/>
              <w:ind w:left="117" w:right="0"/>
              <w:jc w:val="left"/>
              <w:rPr>
                <w:rFonts w:ascii="Times New Roman" w:hAnsi="Times New Roman" w:cs="Times New Roman" w:eastAsia="Times New Roman" w:hint="default"/>
                <w:sz w:val="21"/>
                <w:szCs w:val="21"/>
              </w:rPr>
            </w:pPr>
            <w:r>
              <w:rPr>
                <w:rFonts w:ascii="Times New Roman"/>
                <w:sz w:val="21"/>
              </w:rPr>
              <w:t>6,471.</w:t>
            </w:r>
          </w:p>
          <w:p>
            <w:pPr>
              <w:pStyle w:val="TableParagraph"/>
              <w:spacing w:line="240" w:lineRule="auto" w:before="1"/>
              <w:ind w:left="431" w:right="0"/>
              <w:jc w:val="left"/>
              <w:rPr>
                <w:rFonts w:ascii="Times New Roman" w:hAnsi="Times New Roman" w:cs="Times New Roman" w:eastAsia="Times New Roman" w:hint="default"/>
                <w:sz w:val="21"/>
                <w:szCs w:val="21"/>
              </w:rPr>
            </w:pPr>
            <w:r>
              <w:rPr>
                <w:rFonts w:ascii="Times New Roman"/>
                <w:sz w:val="21"/>
              </w:rPr>
              <w:t>84</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5,944,</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527.7</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5</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4,380,</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2" w:right="0"/>
              <w:jc w:val="left"/>
              <w:rPr>
                <w:rFonts w:ascii="Times New Roman" w:hAnsi="Times New Roman" w:cs="Times New Roman" w:eastAsia="Times New Roman" w:hint="default"/>
                <w:sz w:val="21"/>
                <w:szCs w:val="21"/>
              </w:rPr>
            </w:pPr>
            <w:r>
              <w:rPr>
                <w:rFonts w:ascii="Times New Roman"/>
                <w:sz w:val="21"/>
              </w:rPr>
              <w:t>30,26</w:t>
            </w: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0,999.</w:t>
            </w:r>
          </w:p>
          <w:p>
            <w:pPr>
              <w:pStyle w:val="TableParagraph"/>
              <w:spacing w:line="240" w:lineRule="auto" w:before="1"/>
              <w:ind w:left="443" w:right="0"/>
              <w:jc w:val="left"/>
              <w:rPr>
                <w:rFonts w:ascii="Times New Roman" w:hAnsi="Times New Roman" w:cs="Times New Roman" w:eastAsia="Times New Roman" w:hint="default"/>
                <w:sz w:val="21"/>
                <w:szCs w:val="21"/>
              </w:rPr>
            </w:pPr>
            <w:r>
              <w:rPr>
                <w:rFonts w:ascii="Times New Roman"/>
                <w:sz w:val="21"/>
              </w:rPr>
              <w:t>59</w:t>
            </w:r>
          </w:p>
        </w:tc>
        <w:tc>
          <w:tcPr>
            <w:tcW w:w="73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1580" w:right="1040"/>
        </w:sectPr>
      </w:pPr>
    </w:p>
    <w:p>
      <w:pPr>
        <w:pStyle w:val="Heading2"/>
        <w:spacing w:line="240" w:lineRule="auto" w:before="36"/>
        <w:ind w:right="-19"/>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53" w:space="376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16"/>
        <w:gridCol w:w="1642"/>
        <w:gridCol w:w="1640"/>
        <w:gridCol w:w="1529"/>
        <w:gridCol w:w="1423"/>
      </w:tblGrid>
      <w:tr>
        <w:trPr>
          <w:trHeight w:val="283" w:hRule="exact"/>
        </w:trPr>
        <w:tc>
          <w:tcPr>
            <w:tcW w:w="2816"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9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816" w:type="dxa"/>
            <w:vMerge/>
            <w:tcBorders>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139,887,596.25</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71,701,186.15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193,245,922.51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98,792,896.78</w:t>
            </w:r>
          </w:p>
        </w:tc>
      </w:tr>
      <w:tr>
        <w:trPr>
          <w:trHeight w:val="284"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216,216.20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100,156.48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180,000.00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140,103,812.45</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71,801,342.63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193,425,922.51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98,792,896.78</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5" w:top="1120" w:bottom="1380" w:left="1580" w:right="1040"/>
        </w:sectPr>
      </w:pPr>
    </w:p>
    <w:p>
      <w:pPr>
        <w:pStyle w:val="Heading2"/>
        <w:spacing w:line="240" w:lineRule="auto" w:before="36"/>
        <w:ind w:right="-10"/>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right="-10"/>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692" w:space="5041"/>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8,000,000.00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8,000,000.00</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5,944,527.75</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2"/>
                <w:sz w:val="21"/>
              </w:rPr>
              <w:t>5,022,511.08</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366,513.01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结构性存款利息</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2,752,703.27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17,063,744.03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13,022,511.08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40" w:lineRule="auto" w:before="36"/>
        <w:ind w:right="2465"/>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spacing w:line="240" w:lineRule="auto" w:before="58"/>
        <w:ind w:right="2465"/>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tabs>
          <w:tab w:pos="1057" w:val="left" w:leader="none"/>
        </w:tabs>
        <w:spacing w:line="240" w:lineRule="auto" w:before="36"/>
        <w:ind w:right="-19"/>
        <w:jc w:val="left"/>
        <w:rPr>
          <w:b w:val="0"/>
          <w:bCs w:val="0"/>
        </w:rPr>
      </w:pPr>
      <w:r>
        <w:rPr/>
        <w:t>十八、</w:t>
        <w:tab/>
        <w:t>补充资料</w:t>
      </w:r>
      <w:r>
        <w:rPr>
          <w:b w:val="0"/>
          <w:bCs w:val="0"/>
        </w:rPr>
      </w:r>
    </w:p>
    <w:p>
      <w:pPr>
        <w:pStyle w:val="Heading2"/>
        <w:spacing w:line="240" w:lineRule="auto" w:before="56"/>
        <w:ind w:right="-19"/>
        <w:jc w:val="left"/>
        <w:rPr>
          <w:b w:val="0"/>
          <w:bCs w:val="0"/>
        </w:rPr>
      </w:pPr>
      <w:r>
        <w:rPr>
          <w:rFonts w:ascii="宋体" w:hAnsi="宋体" w:cs="宋体" w:eastAsia="宋体" w:hint="default"/>
        </w:rPr>
        <w:t>1</w:t>
      </w:r>
      <w:r>
        <w:rPr/>
        <w:t>、 当期非经常性损益明细表</w:t>
      </w:r>
      <w:r>
        <w:rPr>
          <w:b w:val="0"/>
          <w:bCs w:val="0"/>
        </w:rPr>
      </w:r>
    </w:p>
    <w:p>
      <w:pPr>
        <w:pStyle w:val="BodyText"/>
        <w:spacing w:line="240" w:lineRule="auto" w:before="58"/>
        <w:ind w:right="-19"/>
        <w:jc w:val="left"/>
      </w:pP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0"/>
          <w:szCs w:val="30"/>
        </w:rPr>
      </w:pPr>
    </w:p>
    <w:p>
      <w:pPr>
        <w:pStyle w:val="BodyText"/>
        <w:spacing w:line="240" w:lineRule="auto"/>
        <w:ind w:right="0"/>
        <w:jc w:val="left"/>
        <w:rPr>
          <w:rFonts w:ascii="Times New Roman" w:hAnsi="Times New Roman" w:cs="Times New Roman" w:eastAsia="Times New Roman" w:hint="default"/>
        </w:rPr>
      </w:pPr>
      <w:r>
        <w:rPr/>
        <w:t>单位：</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币种：</w:t>
      </w:r>
      <w:r>
        <w:rPr>
          <w:rFonts w:ascii="Times New Roman" w:hAnsi="Times New Roman" w:cs="Times New Roman" w:eastAsia="Times New Roman" w:hint="default"/>
        </w:rPr>
        <w:t>CNY</w:t>
      </w:r>
    </w:p>
    <w:p>
      <w:pPr>
        <w:spacing w:after="0" w:line="240" w:lineRule="auto"/>
        <w:jc w:val="left"/>
        <w:rPr>
          <w:rFonts w:ascii="Times New Roman" w:hAnsi="Times New Roman" w:cs="Times New Roman" w:eastAsia="Times New Roman" w:hint="default"/>
        </w:rPr>
        <w:sectPr>
          <w:type w:val="continuous"/>
          <w:pgSz w:w="11910" w:h="16840"/>
          <w:pgMar w:top="1120" w:bottom="1380" w:left="1580" w:right="1040"/>
          <w:cols w:num="2" w:equalWidth="0">
            <w:col w:w="2962" w:space="4011"/>
            <w:col w:w="2317"/>
          </w:cols>
        </w:sect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-365,072.96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切相关，按照国家统一标准定额或定量享</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6,191,108.48</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投资成本小于取得投资时应享有被投资单</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3,475,371.84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值业务外，持有交易性金融资产、交易性</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金融负债产生的公允价值变动损益，以及</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处置交易性金融资产、交易性金融负债和</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-15.79</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-1,203,680.40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3"/>
                <w:sz w:val="21"/>
              </w:rPr>
              <w:t>-111,642.00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7,986,069.17</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Times New Roman" w:hAnsi="Times New Roman" w:cs="Times New Roman" w:eastAsia="Times New Roman" w:hint="default"/>
          <w:sz w:val="14"/>
          <w:szCs w:val="14"/>
        </w:rPr>
      </w:pPr>
    </w:p>
    <w:p>
      <w:pPr>
        <w:pStyle w:val="BodyText"/>
        <w:spacing w:line="281" w:lineRule="exact" w:before="36"/>
        <w:ind w:right="65"/>
        <w:jc w:val="left"/>
      </w:pPr>
      <w:r>
        <w:rPr/>
        <w:t>对公司根据《公开发行证券的公司信息披露解释性公告第</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非经常性损益》定义界定的非</w:t>
      </w:r>
    </w:p>
    <w:p>
      <w:pPr>
        <w:pStyle w:val="BodyText"/>
        <w:spacing w:line="274" w:lineRule="exact" w:before="16"/>
        <w:ind w:right="223"/>
        <w:jc w:val="left"/>
      </w:pPr>
      <w:r>
        <w:rPr/>
        <w:t>经常性损益项目，以及把《公开发行证券的公司信息披露解释性公告第</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非经常性损益》</w:t>
      </w:r>
      <w:r>
        <w:rPr>
          <w:w w:val="100"/>
        </w:rPr>
        <w:t> </w:t>
      </w:r>
      <w:r>
        <w:rPr/>
        <w:t>中列举的非经常性损益项目界定为经常性损益的项目，应说明原因。</w:t>
      </w:r>
    </w:p>
    <w:p>
      <w:pPr>
        <w:pStyle w:val="BodyText"/>
        <w:spacing w:line="246" w:lineRule="exact"/>
        <w:ind w:right="2465"/>
        <w:jc w:val="left"/>
      </w:pPr>
      <w:r>
        <w:rPr/>
        <w:t>□适用√不适用</w:t>
      </w:r>
    </w:p>
    <w:p>
      <w:pPr>
        <w:pStyle w:val="Heading2"/>
        <w:spacing w:line="240" w:lineRule="auto" w:before="58"/>
        <w:ind w:right="2465"/>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6"/>
        <w:ind w:right="2465"/>
        <w:jc w:val="left"/>
      </w:pP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1"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4"/>
              <w:ind w:left="302" w:right="175" w:hanging="123"/>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2"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5"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14.83%</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1.26</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1.26</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13.14%</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1.11</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1.11</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2"/>
        <w:spacing w:line="240" w:lineRule="auto" w:before="36"/>
        <w:ind w:right="2465"/>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8"/>
        <w:ind w:right="2465"/>
        <w:jc w:val="left"/>
      </w:pPr>
      <w:r>
        <w:rPr/>
        <w:t>□适用√不适用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2"/>
        <w:spacing w:line="240" w:lineRule="auto"/>
        <w:ind w:right="2465"/>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spacing w:line="240" w:lineRule="auto" w:before="58"/>
        <w:ind w:right="2465"/>
        <w:jc w:val="left"/>
      </w:pPr>
      <w:r>
        <w:rPr/>
        <w:t>□适用√不适用</w:t>
      </w:r>
    </w:p>
    <w:p>
      <w:pPr>
        <w:spacing w:after="0" w:line="240" w:lineRule="auto"/>
        <w:jc w:val="left"/>
        <w:sectPr>
          <w:pgSz w:w="11910" w:h="16840"/>
          <w:pgMar w:header="0" w:footer="1195" w:top="1120" w:bottom="1380" w:left="1580" w:right="1040"/>
        </w:sectPr>
      </w:pPr>
    </w:p>
    <w:p>
      <w:pPr>
        <w:spacing w:line="240" w:lineRule="auto" w:before="9"/>
        <w:rPr>
          <w:rFonts w:ascii="宋体" w:hAnsi="宋体" w:cs="宋体" w:eastAsia="宋体" w:hint="default"/>
          <w:sz w:val="25"/>
          <w:szCs w:val="25"/>
        </w:rPr>
      </w:pPr>
    </w:p>
    <w:p>
      <w:pPr>
        <w:pStyle w:val="Heading1"/>
        <w:spacing w:line="240" w:lineRule="auto"/>
        <w:ind w:left="3063" w:right="307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载有法定代表人签名的年度报告文本</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再有法定代表人、主管会计工作负责人、会计机构负责人签名并盖章的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会计报表</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p>
        </w:tc>
      </w:tr>
    </w:tbl>
    <w:p>
      <w:pPr>
        <w:pStyle w:val="BodyText"/>
        <w:spacing w:line="314" w:lineRule="auto" w:before="42"/>
        <w:ind w:left="5239" w:right="148" w:firstLine="2256"/>
        <w:jc w:val="left"/>
      </w:pPr>
      <w:r>
        <w:rPr>
          <w:spacing w:val="-1"/>
        </w:rPr>
        <w:t>董事长：孔令钢</w:t>
      </w:r>
      <w:r>
        <w:rPr>
          <w:w w:val="100"/>
        </w:rPr>
        <w:t> </w:t>
      </w:r>
      <w:r>
        <w:rPr/>
        <w:t>董事会批准报送日期：</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59"/>
        <w:ind w:left="138" w:right="146"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pStyle w:val="BodyText"/>
        <w:spacing w:line="240" w:lineRule="auto" w:before="4"/>
        <w:ind w:left="138" w:right="14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sectPr>
      <w:pgSz w:w="11910" w:h="16840"/>
      <w:pgMar w:header="0" w:footer="1195"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微软雅黑">
    <w:altName w:val="微软雅黑"/>
    <w:charset w:val="86"/>
    <w:family w:val="swiss"/>
    <w:pitch w:val="variable"/>
  </w:font>
  <w:font w:name="Garamond">
    <w:altName w:val="Garamond"/>
    <w:charset w:val="0"/>
    <w:family w:val="roman"/>
    <w:pitch w:val="variable"/>
  </w:font>
  <w:font w:name="Cambria">
    <w:altName w:val="Cambria"/>
    <w:charset w:val="0"/>
    <w:family w:val="roman"/>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715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155</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715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42</w:t>
                </w:r>
                <w:r>
                  <w:rPr/>
                  <w:fldChar w:fldCharType="end"/>
                </w:r>
                <w:r>
                  <w:rPr>
                    <w:rFonts w:ascii="Calibri"/>
                    <w:b/>
                    <w:sz w:val="18"/>
                  </w:rPr>
                  <w:t> </w:t>
                </w:r>
                <w:r>
                  <w:rPr>
                    <w:rFonts w:ascii="Calibri"/>
                    <w:sz w:val="18"/>
                  </w:rPr>
                  <w:t>/</w:t>
                </w:r>
                <w:r>
                  <w:rPr>
                    <w:rFonts w:ascii="Calibri"/>
                    <w:spacing w:val="-3"/>
                    <w:sz w:val="18"/>
                  </w:rPr>
                  <w:t> </w:t>
                </w:r>
                <w:r>
                  <w:rPr>
                    <w:rFonts w:ascii="Calibri"/>
                    <w:b/>
                    <w:sz w:val="18"/>
                  </w:rPr>
                  <w:t>155</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4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46</w:t>
                </w:r>
                <w:r>
                  <w:rPr/>
                  <w:fldChar w:fldCharType="end"/>
                </w:r>
                <w:r>
                  <w:rPr>
                    <w:rFonts w:ascii="Calibri"/>
                    <w:b/>
                    <w:sz w:val="18"/>
                  </w:rPr>
                  <w:t> </w:t>
                </w:r>
                <w:r>
                  <w:rPr>
                    <w:rFonts w:ascii="Calibri"/>
                    <w:sz w:val="18"/>
                  </w:rPr>
                  <w:t>/</w:t>
                </w:r>
                <w:r>
                  <w:rPr>
                    <w:rFonts w:ascii="Calibri"/>
                    <w:spacing w:val="-3"/>
                    <w:sz w:val="18"/>
                  </w:rPr>
                  <w:t> </w:t>
                </w:r>
                <w:r>
                  <w:rPr>
                    <w:rFonts w:ascii="Calibri"/>
                    <w:b/>
                    <w:sz w:val="18"/>
                  </w:rPr>
                  <w:t>155</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149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155</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49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155</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7148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55</w:t>
                </w:r>
                <w:r>
                  <w:rPr/>
                  <w:fldChar w:fldCharType="end"/>
                </w:r>
                <w:r>
                  <w:rPr>
                    <w:rFonts w:ascii="Calibri"/>
                    <w:b/>
                    <w:sz w:val="18"/>
                  </w:rPr>
                  <w:t> </w:t>
                </w:r>
                <w:r>
                  <w:rPr>
                    <w:rFonts w:ascii="Calibri"/>
                    <w:sz w:val="18"/>
                  </w:rPr>
                  <w:t>/</w:t>
                </w:r>
                <w:r>
                  <w:rPr>
                    <w:rFonts w:ascii="Calibri"/>
                    <w:spacing w:val="-3"/>
                    <w:sz w:val="18"/>
                  </w:rPr>
                  <w:t> </w:t>
                </w:r>
                <w:r>
                  <w:rPr>
                    <w:rFonts w:ascii="Calibri"/>
                    <w:b/>
                    <w:sz w:val="18"/>
                  </w:rPr>
                  <w:t>155</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4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60</w:t>
                </w:r>
                <w:r>
                  <w:rPr/>
                  <w:fldChar w:fldCharType="end"/>
                </w:r>
                <w:r>
                  <w:rPr>
                    <w:rFonts w:ascii="Calibri"/>
                    <w:b/>
                    <w:sz w:val="18"/>
                  </w:rPr>
                  <w:t> </w:t>
                </w:r>
                <w:r>
                  <w:rPr>
                    <w:rFonts w:ascii="Calibri"/>
                    <w:sz w:val="18"/>
                  </w:rPr>
                  <w:t>/</w:t>
                </w:r>
                <w:r>
                  <w:rPr>
                    <w:rFonts w:ascii="Calibri"/>
                    <w:spacing w:val="-3"/>
                    <w:sz w:val="18"/>
                  </w:rPr>
                  <w:t> </w:t>
                </w:r>
                <w:r>
                  <w:rPr>
                    <w:rFonts w:ascii="Calibri"/>
                    <w:b/>
                    <w:sz w:val="18"/>
                  </w:rPr>
                  <w:t>155</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147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155</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4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155</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4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77</w:t>
                </w:r>
                <w:r>
                  <w:rPr/>
                  <w:fldChar w:fldCharType="end"/>
                </w:r>
                <w:r>
                  <w:rPr>
                    <w:rFonts w:ascii="Calibri"/>
                    <w:b/>
                    <w:sz w:val="18"/>
                  </w:rPr>
                  <w:t> </w:t>
                </w:r>
                <w:r>
                  <w:rPr>
                    <w:rFonts w:ascii="Calibri"/>
                    <w:sz w:val="18"/>
                  </w:rPr>
                  <w:t>/</w:t>
                </w:r>
                <w:r>
                  <w:rPr>
                    <w:rFonts w:ascii="Calibri"/>
                    <w:spacing w:val="-3"/>
                    <w:sz w:val="18"/>
                  </w:rPr>
                  <w:t> </w:t>
                </w:r>
                <w:r>
                  <w:rPr>
                    <w:rFonts w:ascii="Calibri"/>
                    <w:b/>
                    <w:sz w:val="18"/>
                  </w:rPr>
                  <w:t>155</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714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78</w:t>
                </w:r>
                <w:r>
                  <w:rPr/>
                  <w:fldChar w:fldCharType="end"/>
                </w:r>
                <w:r>
                  <w:rPr>
                    <w:rFonts w:ascii="Calibri"/>
                    <w:b/>
                    <w:sz w:val="18"/>
                  </w:rPr>
                  <w:t> </w:t>
                </w:r>
                <w:r>
                  <w:rPr>
                    <w:rFonts w:ascii="Calibri"/>
                    <w:sz w:val="18"/>
                  </w:rPr>
                  <w:t>/</w:t>
                </w:r>
                <w:r>
                  <w:rPr>
                    <w:rFonts w:ascii="Calibri"/>
                    <w:spacing w:val="-3"/>
                    <w:sz w:val="18"/>
                  </w:rPr>
                  <w:t> </w:t>
                </w:r>
                <w:r>
                  <w:rPr>
                    <w:rFonts w:ascii="Calibri"/>
                    <w:b/>
                    <w:sz w:val="18"/>
                  </w:rPr>
                  <w:t>155</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153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155</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7146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155</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714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155</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45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84</w:t>
                </w:r>
                <w:r>
                  <w:rPr/>
                  <w:fldChar w:fldCharType="end"/>
                </w:r>
                <w:r>
                  <w:rPr>
                    <w:rFonts w:ascii="Calibri"/>
                    <w:b/>
                    <w:sz w:val="18"/>
                  </w:rPr>
                  <w:t> </w:t>
                </w:r>
                <w:r>
                  <w:rPr>
                    <w:rFonts w:ascii="Calibri"/>
                    <w:sz w:val="18"/>
                  </w:rPr>
                  <w:t>/</w:t>
                </w:r>
                <w:r>
                  <w:rPr>
                    <w:rFonts w:ascii="Calibri"/>
                    <w:spacing w:val="-3"/>
                    <w:sz w:val="18"/>
                  </w:rPr>
                  <w:t> </w:t>
                </w:r>
                <w:r>
                  <w:rPr>
                    <w:rFonts w:ascii="Calibri"/>
                    <w:b/>
                    <w:sz w:val="18"/>
                  </w:rPr>
                  <w:t>155</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4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85</w:t>
                </w:r>
                <w:r>
                  <w:rPr/>
                  <w:fldChar w:fldCharType="end"/>
                </w:r>
                <w:r>
                  <w:rPr>
                    <w:rFonts w:ascii="Calibri"/>
                    <w:b/>
                    <w:sz w:val="18"/>
                  </w:rPr>
                  <w:t> </w:t>
                </w:r>
                <w:r>
                  <w:rPr>
                    <w:rFonts w:ascii="Calibri"/>
                    <w:sz w:val="18"/>
                  </w:rPr>
                  <w:t>/</w:t>
                </w:r>
                <w:r>
                  <w:rPr>
                    <w:rFonts w:ascii="Calibri"/>
                    <w:spacing w:val="-3"/>
                    <w:sz w:val="18"/>
                  </w:rPr>
                  <w:t> </w:t>
                </w:r>
                <w:r>
                  <w:rPr>
                    <w:rFonts w:ascii="Calibri"/>
                    <w:b/>
                    <w:sz w:val="18"/>
                  </w:rPr>
                  <w:t>155</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144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155</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4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155</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144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155</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144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155</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143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155</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14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2"/>
                    <w:sz w:val="18"/>
                  </w:rPr>
                  <w:t> </w:t>
                </w:r>
                <w:r>
                  <w:rPr>
                    <w:rFonts w:ascii="Calibri"/>
                    <w:b/>
                    <w:sz w:val="18"/>
                  </w:rPr>
                  <w:t>155</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5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155</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143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155</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14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155</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14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123</w:t>
                </w:r>
                <w:r>
                  <w:rPr/>
                  <w:fldChar w:fldCharType="end"/>
                </w:r>
                <w:r>
                  <w:rPr>
                    <w:rFonts w:ascii="Calibri"/>
                    <w:b/>
                    <w:sz w:val="18"/>
                  </w:rPr>
                  <w:t> </w:t>
                </w:r>
                <w:r>
                  <w:rPr>
                    <w:rFonts w:ascii="Calibri"/>
                    <w:sz w:val="18"/>
                  </w:rPr>
                  <w:t>/</w:t>
                </w:r>
                <w:r>
                  <w:rPr>
                    <w:rFonts w:ascii="Calibri"/>
                    <w:spacing w:val="-3"/>
                    <w:sz w:val="18"/>
                  </w:rPr>
                  <w:t> </w:t>
                </w:r>
                <w:r>
                  <w:rPr>
                    <w:rFonts w:ascii="Calibri"/>
                    <w:b/>
                    <w:sz w:val="18"/>
                  </w:rPr>
                  <w:t>155</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14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126</w:t>
                </w:r>
                <w:r>
                  <w:rPr/>
                  <w:fldChar w:fldCharType="end"/>
                </w:r>
                <w:r>
                  <w:rPr>
                    <w:rFonts w:ascii="Calibri"/>
                    <w:b/>
                    <w:sz w:val="18"/>
                  </w:rPr>
                  <w:t> </w:t>
                </w:r>
                <w:r>
                  <w:rPr>
                    <w:rFonts w:ascii="Calibri"/>
                    <w:sz w:val="18"/>
                  </w:rPr>
                  <w:t>/</w:t>
                </w:r>
                <w:r>
                  <w:rPr>
                    <w:rFonts w:ascii="Calibri"/>
                    <w:spacing w:val="-3"/>
                    <w:sz w:val="18"/>
                  </w:rPr>
                  <w:t> </w:t>
                </w:r>
                <w:r>
                  <w:rPr>
                    <w:rFonts w:ascii="Calibri"/>
                    <w:b/>
                    <w:sz w:val="18"/>
                  </w:rPr>
                  <w:t>155</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142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155</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142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155</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14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138</w:t>
                </w:r>
                <w:r>
                  <w:rPr/>
                  <w:fldChar w:fldCharType="end"/>
                </w:r>
                <w:r>
                  <w:rPr>
                    <w:rFonts w:ascii="Calibri"/>
                    <w:b/>
                    <w:sz w:val="18"/>
                  </w:rPr>
                  <w:t> </w:t>
                </w:r>
                <w:r>
                  <w:rPr>
                    <w:rFonts w:ascii="Calibri"/>
                    <w:sz w:val="18"/>
                  </w:rPr>
                  <w:t>/</w:t>
                </w:r>
                <w:r>
                  <w:rPr>
                    <w:rFonts w:ascii="Calibri"/>
                    <w:spacing w:val="-3"/>
                    <w:sz w:val="18"/>
                  </w:rPr>
                  <w:t> </w:t>
                </w:r>
                <w:r>
                  <w:rPr>
                    <w:rFonts w:ascii="Calibri"/>
                    <w:b/>
                    <w:sz w:val="18"/>
                  </w:rPr>
                  <w:t>155</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141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155</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14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155</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153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155</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141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155</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140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155</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5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155</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152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155</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715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155</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5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38</w:t>
                </w:r>
                <w:r>
                  <w:rPr/>
                  <w:fldChar w:fldCharType="end"/>
                </w:r>
                <w:r>
                  <w:rPr>
                    <w:rFonts w:ascii="Calibri"/>
                    <w:b/>
                    <w:sz w:val="18"/>
                  </w:rPr>
                  <w:t> </w:t>
                </w:r>
                <w:r>
                  <w:rPr>
                    <w:rFonts w:ascii="Calibri"/>
                    <w:sz w:val="18"/>
                  </w:rPr>
                  <w:t>/</w:t>
                </w:r>
                <w:r>
                  <w:rPr>
                    <w:rFonts w:ascii="Calibri"/>
                    <w:spacing w:val="-3"/>
                    <w:sz w:val="18"/>
                  </w:rPr>
                  <w:t> </w:t>
                </w:r>
                <w:r>
                  <w:rPr>
                    <w:rFonts w:ascii="Calibri"/>
                    <w:b/>
                    <w:sz w:val="18"/>
                  </w:rPr>
                  <w:t>155</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5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40</w:t>
                </w:r>
                <w:r>
                  <w:rPr/>
                  <w:fldChar w:fldCharType="end"/>
                </w:r>
                <w:r>
                  <w:rPr>
                    <w:rFonts w:ascii="Calibri"/>
                    <w:b/>
                    <w:sz w:val="18"/>
                  </w:rPr>
                  <w:t> </w:t>
                </w:r>
                <w:r>
                  <w:rPr>
                    <w:rFonts w:ascii="Calibri"/>
                    <w:sz w:val="18"/>
                  </w:rPr>
                  <w:t>/</w:t>
                </w:r>
                <w:r>
                  <w:rPr>
                    <w:rFonts w:ascii="Calibri"/>
                    <w:spacing w:val="-3"/>
                    <w:sz w:val="18"/>
                  </w:rPr>
                  <w:t> </w:t>
                </w:r>
                <w:r>
                  <w:rPr>
                    <w:rFonts w:ascii="Calibri"/>
                    <w:b/>
                    <w:sz w:val="18"/>
                  </w:rPr>
                  <w:t>155</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71545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7154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715264"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7152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715192"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7151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715096"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7150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71502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7150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714904"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7148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714832"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7148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714688"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7146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71456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7145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ind w:left="21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http://www.sse.com.cn/" TargetMode="External"/><Relationship Id="rId9" Type="http://schemas.openxmlformats.org/officeDocument/2006/relationships/hyperlink" Target="mailto:stock@koal.com" TargetMode="External"/><Relationship Id="rId10" Type="http://schemas.openxmlformats.org/officeDocument/2006/relationships/hyperlink" Target="http://www.koal.com/"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footer" Target="footer4.xml"/><Relationship Id="rId24" Type="http://schemas.openxmlformats.org/officeDocument/2006/relationships/footer" Target="footer5.xml"/><Relationship Id="rId25" Type="http://schemas.openxmlformats.org/officeDocument/2006/relationships/footer" Target="footer6.xml"/><Relationship Id="rId26" Type="http://schemas.openxmlformats.org/officeDocument/2006/relationships/header" Target="header2.xml"/><Relationship Id="rId27" Type="http://schemas.openxmlformats.org/officeDocument/2006/relationships/footer" Target="footer7.xml"/><Relationship Id="rId28" Type="http://schemas.openxmlformats.org/officeDocument/2006/relationships/header" Target="header3.xml"/><Relationship Id="rId29" Type="http://schemas.openxmlformats.org/officeDocument/2006/relationships/footer" Target="footer8.xml"/><Relationship Id="rId30" Type="http://schemas.openxmlformats.org/officeDocument/2006/relationships/footer" Target="footer9.xml"/><Relationship Id="rId31" Type="http://schemas.openxmlformats.org/officeDocument/2006/relationships/header" Target="header4.xml"/><Relationship Id="rId32" Type="http://schemas.openxmlformats.org/officeDocument/2006/relationships/footer" Target="footer10.xml"/><Relationship Id="rId33" Type="http://schemas.openxmlformats.org/officeDocument/2006/relationships/header" Target="header5.xml"/><Relationship Id="rId34" Type="http://schemas.openxmlformats.org/officeDocument/2006/relationships/footer" Target="footer11.xml"/><Relationship Id="rId35" Type="http://schemas.openxmlformats.org/officeDocument/2006/relationships/footer" Target="footer12.xml"/><Relationship Id="rId36" Type="http://schemas.openxmlformats.org/officeDocument/2006/relationships/footer" Target="footer13.xml"/><Relationship Id="rId37" Type="http://schemas.openxmlformats.org/officeDocument/2006/relationships/image" Target="media/image12.png"/><Relationship Id="rId38" Type="http://schemas.openxmlformats.org/officeDocument/2006/relationships/header" Target="header6.xml"/><Relationship Id="rId39" Type="http://schemas.openxmlformats.org/officeDocument/2006/relationships/footer" Target="footer14.xml"/><Relationship Id="rId40" Type="http://schemas.openxmlformats.org/officeDocument/2006/relationships/header" Target="header7.xml"/><Relationship Id="rId41" Type="http://schemas.openxmlformats.org/officeDocument/2006/relationships/footer" Target="footer15.xml"/><Relationship Id="rId42" Type="http://schemas.openxmlformats.org/officeDocument/2006/relationships/footer" Target="footer16.xml"/><Relationship Id="rId43" Type="http://schemas.openxmlformats.org/officeDocument/2006/relationships/footer" Target="footer17.xml"/><Relationship Id="rId44" Type="http://schemas.openxmlformats.org/officeDocument/2006/relationships/footer" Target="footer18.xml"/><Relationship Id="rId45" Type="http://schemas.openxmlformats.org/officeDocument/2006/relationships/header" Target="header8.xml"/><Relationship Id="rId46" Type="http://schemas.openxmlformats.org/officeDocument/2006/relationships/footer" Target="footer19.xml"/><Relationship Id="rId47" Type="http://schemas.openxmlformats.org/officeDocument/2006/relationships/footer" Target="footer20.xml"/><Relationship Id="rId48" Type="http://schemas.openxmlformats.org/officeDocument/2006/relationships/footer" Target="footer21.xml"/><Relationship Id="rId49" Type="http://schemas.openxmlformats.org/officeDocument/2006/relationships/header" Target="header9.xml"/><Relationship Id="rId50" Type="http://schemas.openxmlformats.org/officeDocument/2006/relationships/footer" Target="footer22.xml"/><Relationship Id="rId51" Type="http://schemas.openxmlformats.org/officeDocument/2006/relationships/footer" Target="footer23.xml"/><Relationship Id="rId52" Type="http://schemas.openxmlformats.org/officeDocument/2006/relationships/footer" Target="footer24.xml"/><Relationship Id="rId53" Type="http://schemas.openxmlformats.org/officeDocument/2006/relationships/footer" Target="footer25.xml"/><Relationship Id="rId54" Type="http://schemas.openxmlformats.org/officeDocument/2006/relationships/footer" Target="footer26.xml"/><Relationship Id="rId55" Type="http://schemas.openxmlformats.org/officeDocument/2006/relationships/footer" Target="footer27.xml"/><Relationship Id="rId56" Type="http://schemas.openxmlformats.org/officeDocument/2006/relationships/footer" Target="footer28.xml"/><Relationship Id="rId57" Type="http://schemas.openxmlformats.org/officeDocument/2006/relationships/footer" Target="footer29.xml"/><Relationship Id="rId58" Type="http://schemas.openxmlformats.org/officeDocument/2006/relationships/footer" Target="footer30.xml"/><Relationship Id="rId59" Type="http://schemas.openxmlformats.org/officeDocument/2006/relationships/footer" Target="footer31.xml"/><Relationship Id="rId60" Type="http://schemas.openxmlformats.org/officeDocument/2006/relationships/footer" Target="footer32.xml"/><Relationship Id="rId61" Type="http://schemas.openxmlformats.org/officeDocument/2006/relationships/footer" Target="footer33.xml"/><Relationship Id="rId62" Type="http://schemas.openxmlformats.org/officeDocument/2006/relationships/footer" Target="footer34.xml"/><Relationship Id="rId63" Type="http://schemas.openxmlformats.org/officeDocument/2006/relationships/footer" Target="footer35.xml"/><Relationship Id="rId64" Type="http://schemas.openxmlformats.org/officeDocument/2006/relationships/header" Target="header10.xml"/><Relationship Id="rId65" Type="http://schemas.openxmlformats.org/officeDocument/2006/relationships/footer" Target="footer36.xml"/><Relationship Id="rId66" Type="http://schemas.openxmlformats.org/officeDocument/2006/relationships/footer" Target="footer37.xml"/><Relationship Id="rId67" Type="http://schemas.openxmlformats.org/officeDocument/2006/relationships/footer" Target="footer38.xml"/><Relationship Id="rId68" Type="http://schemas.openxmlformats.org/officeDocument/2006/relationships/footer" Target="footer39.xml"/><Relationship Id="rId69" Type="http://schemas.openxmlformats.org/officeDocument/2006/relationships/footer" Target="footer40.xml"/><Relationship Id="rId70" Type="http://schemas.openxmlformats.org/officeDocument/2006/relationships/footer" Target="footer4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2020-05-03T06:03:50Z</dcterms:created>
  <dcterms:modified xsi:type="dcterms:W3CDTF">2020-05-03T06:03:50Z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2018-04-27T00:00:00Z</vt:filetime>
  </property>
  <property fmtid="{D5CDD505-2E9C-101B-9397-08002B2CF9AE}" pid="3" name="Creator">
    <vt:lpwstr>Microsoft® Office Word 2007</vt:lpwstr>
  </property>
  <property fmtid="{D5CDD505-2E9C-101B-9397-08002B2CF9AE}" pid="4" name="LastSaved">
    <vt:filetime>2020-05-02T00:00:00Z</vt:filetime>
  </property>
</Properties>
</file>