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0.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1.xml" ContentType="application/vnd.openxmlformats-officedocument.wordprocessingml.header+xml"/>
  <Override PartName="/word/footer37.xml" ContentType="application/vnd.openxmlformats-officedocument.wordprocessingml.footer+xml"/>
  <Override PartName="/word/header1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1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14.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5.xml" ContentType="application/vnd.openxmlformats-officedocument.wordprocessingml.header+xml"/>
  <Override PartName="/word/footer46.xml" ContentType="application/vnd.openxmlformats-officedocument.wordprocessingml.footer+xml"/>
  <Override PartName="/word/header1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7.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603366</w:t>
        <w:tab/>
      </w:r>
      <w:r>
        <w:rPr>
          <w:spacing w:val="-2"/>
        </w:rPr>
        <w:t>公司简称：日出东方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661" w:hanging="1268"/>
        <w:jc w:val="left"/>
        <w:rPr>
          <w:rFonts w:ascii="黑体" w:hAnsi="黑体" w:cs="黑体" w:eastAsia="黑体" w:hint="default"/>
          <w:sz w:val="44"/>
          <w:szCs w:val="44"/>
        </w:rPr>
      </w:pPr>
      <w:r>
        <w:rPr>
          <w:rFonts w:ascii="黑体" w:hAnsi="黑体" w:cs="黑体" w:eastAsia="黑体" w:hint="default"/>
          <w:b/>
          <w:bCs/>
          <w:color w:val="FF0000"/>
          <w:sz w:val="44"/>
          <w:szCs w:val="44"/>
        </w:rPr>
        <w:t>日出东方太阳能股份有限公司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5"/>
          <w:szCs w:val="15"/>
        </w:rPr>
      </w:pPr>
    </w:p>
    <w:p>
      <w:pPr>
        <w:spacing w:line="2025" w:lineRule="exact"/>
        <w:ind w:left="2498" w:right="0" w:firstLine="0"/>
        <w:rPr>
          <w:rFonts w:ascii="黑体" w:hAnsi="黑体" w:cs="黑体" w:eastAsia="黑体" w:hint="default"/>
          <w:sz w:val="20"/>
          <w:szCs w:val="20"/>
        </w:rPr>
      </w:pPr>
      <w:r>
        <w:rPr>
          <w:rFonts w:ascii="黑体" w:hAnsi="黑体" w:cs="黑体" w:eastAsia="黑体" w:hint="default"/>
          <w:position w:val="-40"/>
          <w:sz w:val="20"/>
          <w:szCs w:val="20"/>
        </w:rPr>
        <w:drawing>
          <wp:inline distT="0" distB="0" distL="0" distR="0">
            <wp:extent cx="2583148" cy="128606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583148" cy="1286065"/>
                    </a:xfrm>
                    <a:prstGeom prst="rect">
                      <a:avLst/>
                    </a:prstGeom>
                  </pic:spPr>
                </pic:pic>
              </a:graphicData>
            </a:graphic>
          </wp:inline>
        </w:drawing>
      </w:r>
      <w:r>
        <w:rPr>
          <w:rFonts w:ascii="黑体" w:hAnsi="黑体" w:cs="黑体" w:eastAsia="黑体" w:hint="default"/>
          <w:position w:val="-40"/>
          <w:sz w:val="20"/>
          <w:szCs w:val="20"/>
        </w:rPr>
      </w:r>
    </w:p>
    <w:p>
      <w:pPr>
        <w:spacing w:after="0" w:line="2025"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2" w:right="398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5"/>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5"/>
        <w:spacing w:line="240" w:lineRule="auto"/>
        <w:ind w:left="138" w:right="0"/>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因公务未出席</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高允斌</w:t>
            </w:r>
          </w:p>
        </w:tc>
      </w:tr>
    </w:tbl>
    <w:p>
      <w:pPr>
        <w:spacing w:line="240" w:lineRule="auto" w:before="7"/>
        <w:rPr>
          <w:rFonts w:ascii="宋体" w:hAnsi="宋体" w:cs="宋体" w:eastAsia="宋体" w:hint="default"/>
          <w:b/>
          <w:bCs/>
          <w:sz w:val="15"/>
          <w:szCs w:val="15"/>
        </w:rPr>
      </w:pPr>
    </w:p>
    <w:p>
      <w:pPr>
        <w:pStyle w:val="Heading5"/>
        <w:spacing w:line="240" w:lineRule="auto" w:before="36"/>
        <w:ind w:left="138" w:right="0"/>
        <w:jc w:val="left"/>
        <w:rPr>
          <w:b w:val="0"/>
          <w:bCs w:val="0"/>
        </w:rPr>
      </w:pPr>
      <w:r>
        <w:rPr/>
        <w:t>三、</w:t>
      </w:r>
      <w:r>
        <w:rPr>
          <w:spacing w:val="-14"/>
        </w:rPr>
        <w:t> </w:t>
      </w:r>
      <w:r>
        <w:rPr/>
        <w:t>致同会计师事务所（特殊普通合伙）为本公司出具了标准无保留意见的审计报告。</w:t>
      </w:r>
      <w:r>
        <w:rPr>
          <w:b w:val="0"/>
          <w:bCs w:val="0"/>
        </w:rPr>
      </w:r>
    </w:p>
    <w:p>
      <w:pPr>
        <w:pStyle w:val="Heading5"/>
        <w:spacing w:line="355" w:lineRule="auto" w:before="133"/>
        <w:ind w:left="505" w:right="0" w:hanging="368"/>
        <w:jc w:val="left"/>
        <w:rPr>
          <w:b w:val="0"/>
          <w:bCs w:val="0"/>
        </w:rPr>
      </w:pPr>
      <w:r>
        <w:rPr>
          <w:spacing w:val="-1"/>
        </w:rPr>
        <w:t>四、公司负责人徐新建、主管会计工作负责人李立干及会计机构负责人（会计主管人员）吉超声</w:t>
      </w:r>
      <w:r>
        <w:rPr>
          <w:spacing w:val="-88"/>
        </w:rPr>
        <w:t> </w:t>
      </w:r>
      <w:r>
        <w:rPr>
          <w:spacing w:val="-88"/>
        </w:rPr>
      </w:r>
      <w:r>
        <w:rPr/>
        <w:t>明：保证年度报告中财务报告的真实、准确、完整。</w:t>
      </w:r>
      <w:r>
        <w:rPr>
          <w:b w:val="0"/>
          <w:bCs w:val="0"/>
        </w:rPr>
      </w:r>
    </w:p>
    <w:p>
      <w:pPr>
        <w:spacing w:line="480" w:lineRule="atLeast" w:before="10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经董事会审议的报告期利润分配预案或公积金转增股本预案：以</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日的公司总股</w:t>
      </w:r>
    </w:p>
    <w:p>
      <w:pPr>
        <w:pStyle w:val="BodyText"/>
        <w:spacing w:line="314" w:lineRule="auto" w:before="85"/>
        <w:ind w:left="138" w:right="148"/>
        <w:jc w:val="both"/>
      </w:pPr>
      <w:r>
        <w:rPr>
          <w:spacing w:val="-2"/>
        </w:rPr>
        <w:t>本</w:t>
      </w:r>
      <w:r>
        <w:rPr>
          <w:rFonts w:ascii="宋体" w:hAnsi="宋体" w:cs="宋体" w:eastAsia="宋体" w:hint="default"/>
          <w:spacing w:val="-2"/>
        </w:rPr>
        <w:t>800,000,000</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0.4</w:t>
      </w:r>
      <w:r>
        <w:rPr>
          <w:spacing w:val="-2"/>
        </w:rPr>
        <w:t>元（含税），共计派发现金红利总</w:t>
      </w:r>
      <w:r>
        <w:rPr>
          <w:spacing w:val="-16"/>
        </w:rPr>
        <w:t> </w:t>
      </w:r>
      <w:r>
        <w:rPr>
          <w:spacing w:val="-16"/>
        </w:rPr>
      </w:r>
      <w:r>
        <w:rPr>
          <w:spacing w:val="-4"/>
        </w:rPr>
        <w:t>额为人民币</w:t>
      </w:r>
      <w:r>
        <w:rPr>
          <w:rFonts w:ascii="宋体" w:hAnsi="宋体" w:cs="宋体" w:eastAsia="宋体" w:hint="default"/>
          <w:spacing w:val="-4"/>
        </w:rPr>
        <w:t>32,000,000.00</w:t>
      </w:r>
      <w:r>
        <w:rPr>
          <w:spacing w:val="-4"/>
        </w:rPr>
        <w:t>元，剩余未分配利润暂不分配，结转下一年度。公司不实施资本公积金</w:t>
      </w:r>
      <w:r>
        <w:rPr>
          <w:spacing w:val="-8"/>
        </w:rPr>
        <w:t> </w:t>
      </w:r>
      <w:r>
        <w:rPr>
          <w:spacing w:val="-8"/>
        </w:rPr>
      </w:r>
      <w:r>
        <w:rPr/>
        <w:t>转增股本。</w:t>
      </w:r>
    </w:p>
    <w:p>
      <w:pPr>
        <w:pStyle w:val="BodyText"/>
        <w:spacing w:line="240" w:lineRule="auto" w:before="20"/>
        <w:ind w:left="349" w:right="0"/>
        <w:jc w:val="left"/>
      </w:pPr>
      <w:r>
        <w:rPr/>
        <w:t>上述分配预案需提交</w:t>
      </w:r>
      <w:r>
        <w:rPr>
          <w:rFonts w:ascii="宋体" w:hAnsi="宋体" w:cs="宋体" w:eastAsia="宋体" w:hint="default"/>
        </w:rPr>
        <w:t>2017</w:t>
      </w:r>
      <w:r>
        <w:rPr/>
        <w:t>年年度股东大会审议通过后实施。</w:t>
      </w:r>
    </w:p>
    <w:p>
      <w:pPr>
        <w:spacing w:line="240" w:lineRule="auto" w:before="2"/>
        <w:rPr>
          <w:rFonts w:ascii="宋体" w:hAnsi="宋体" w:cs="宋体" w:eastAsia="宋体" w:hint="default"/>
          <w:sz w:val="28"/>
          <w:szCs w:val="28"/>
        </w:rPr>
      </w:pPr>
    </w:p>
    <w:p>
      <w:pPr>
        <w:pStyle w:val="Heading5"/>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558" w:right="0" w:hanging="420"/>
        <w:jc w:val="left"/>
      </w:pPr>
      <w:r>
        <w:rPr/>
        <w:t>√适用</w:t>
      </w:r>
      <w:r>
        <w:rPr>
          <w:spacing w:val="-2"/>
        </w:rPr>
        <w:t> </w:t>
      </w:r>
      <w:r>
        <w:rPr/>
        <w:t>□不适用</w:t>
      </w:r>
      <w:r>
        <w:rPr>
          <w:w w:val="100"/>
        </w:rPr>
        <w:t> </w:t>
      </w:r>
      <w:r>
        <w:rPr>
          <w:spacing w:val="-2"/>
        </w:rPr>
        <w:t>本报告中所涉及的未来计划、发展战略等前瞻性陈述，不构成公司对投资者的实质承诺，敬</w:t>
      </w:r>
    </w:p>
    <w:p>
      <w:pPr>
        <w:pStyle w:val="BodyText"/>
        <w:spacing w:line="271" w:lineRule="exact"/>
        <w:ind w:left="138" w:right="0"/>
        <w:jc w:val="left"/>
      </w:pPr>
      <w:r>
        <w:rPr/>
        <w:t>请投资者注意投资风险。</w:t>
      </w:r>
    </w:p>
    <w:p>
      <w:pPr>
        <w:spacing w:line="240" w:lineRule="auto" w:before="3"/>
        <w:rPr>
          <w:rFonts w:ascii="宋体" w:hAnsi="宋体" w:cs="宋体" w:eastAsia="宋体" w:hint="default"/>
          <w:sz w:val="27"/>
          <w:szCs w:val="27"/>
        </w:rPr>
      </w:pPr>
    </w:p>
    <w:p>
      <w:pPr>
        <w:pStyle w:val="Heading5"/>
        <w:spacing w:line="427" w:lineRule="auto"/>
        <w:ind w:left="138"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8"/>
        <w:rPr>
          <w:rFonts w:ascii="宋体" w:hAnsi="宋体" w:cs="宋体" w:eastAsia="宋体" w:hint="default"/>
          <w:sz w:val="15"/>
          <w:szCs w:val="15"/>
        </w:rPr>
      </w:pPr>
    </w:p>
    <w:p>
      <w:pPr>
        <w:pStyle w:val="Heading5"/>
        <w:tabs>
          <w:tab w:pos="781" w:val="left" w:leader="none"/>
        </w:tabs>
        <w:spacing w:line="355" w:lineRule="auto"/>
        <w:ind w:left="138" w:right="370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516" w:lineRule="exact" w:before="1"/>
        <w:ind w:left="558" w:right="157"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公司已在本报告中详细描述了可能存在的相关风险，具体内容和应对措施详见本年度报告第</w:t>
      </w:r>
    </w:p>
    <w:p>
      <w:pPr>
        <w:pStyle w:val="BodyText"/>
        <w:spacing w:line="240" w:lineRule="auto" w:before="52"/>
        <w:ind w:left="138" w:right="0"/>
        <w:jc w:val="left"/>
      </w:pPr>
      <w:r>
        <w:rPr/>
        <w:t>四节经营情况讨论与分析中“可能面对的风险”部分。敬请投资者注意投资风险。</w:t>
      </w:r>
    </w:p>
    <w:p>
      <w:pPr>
        <w:spacing w:line="240" w:lineRule="auto" w:before="8"/>
        <w:rPr>
          <w:rFonts w:ascii="宋体" w:hAnsi="宋体" w:cs="宋体" w:eastAsia="宋体" w:hint="default"/>
          <w:sz w:val="21"/>
          <w:szCs w:val="21"/>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8"/>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549"/>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653"/>
        <w:gridCol w:w="708"/>
        <w:gridCol w:w="4688"/>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公司、本公司、股份公司、日出东方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太阳雨控股、控股集团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帅康电气、帅康股份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r>
              <w:rPr>
                <w:rFonts w:ascii="宋体" w:hAnsi="宋体" w:cs="宋体" w:eastAsia="宋体" w:hint="default"/>
                <w:sz w:val="21"/>
                <w:szCs w:val="21"/>
              </w:rPr>
              <w:t>&gt;</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江苏苏宁银行股份有限公司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太阳雨集团有限公司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北京四季沐歌太阳能技术集团有限公司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广东空气能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广东日出东方空气能股份有限公司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阿康桑马克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阿康桑马克大型太阳能系统工程技术有限公司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康索沃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江苏日出东方康索沃太阳墙技术有限公司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江苏省证监局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中国证券监督管理委员会江苏监管局</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《日出东方太阳能股份有限公司章程》</w:t>
            </w:r>
          </w:p>
        </w:tc>
      </w:tr>
    </w:tbl>
    <w:p>
      <w:pPr>
        <w:spacing w:line="240" w:lineRule="auto" w:before="9"/>
        <w:rPr>
          <w:rFonts w:ascii="宋体" w:hAnsi="宋体" w:cs="宋体" w:eastAsia="宋体" w:hint="default"/>
          <w:sz w:val="41"/>
          <w:szCs w:val="41"/>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5"/>
        <w:spacing w:line="240" w:lineRule="auto" w:before="36"/>
        <w:ind w:right="2549"/>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日出东方</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Jiangsu Sunrain Solar Energy</w:t>
            </w:r>
            <w:r>
              <w:rPr>
                <w:rFonts w:ascii="宋体"/>
                <w:spacing w:val="-3"/>
                <w:sz w:val="21"/>
              </w:rPr>
              <w:t> </w:t>
            </w:r>
            <w:r>
              <w:rPr>
                <w:rFonts w:ascii="宋体"/>
                <w:sz w:val="21"/>
              </w:rPr>
              <w:t>Co.,Ltd</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SOLAREAST</w:t>
            </w:r>
            <w:r>
              <w:rPr>
                <w:rFonts w:ascii="宋体"/>
                <w:spacing w:val="1"/>
                <w:sz w:val="21"/>
              </w:rPr>
              <w:t> </w:t>
            </w:r>
            <w:r>
              <w:rPr>
                <w:rFonts w:ascii="宋体"/>
                <w:sz w:val="21"/>
              </w:rPr>
              <w:t>CORPORATION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徐新建</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5"/>
        <w:spacing w:line="240" w:lineRule="auto" w:before="36"/>
        <w:ind w:right="2549"/>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450"/>
        <w:gridCol w:w="3685"/>
        <w:gridCol w:w="3761"/>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刘文玲</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刘文玲</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江苏省连云港市海洲区瀛洲南路</w:t>
            </w:r>
            <w:r>
              <w:rPr>
                <w:rFonts w:ascii="宋体" w:hAnsi="宋体" w:cs="宋体" w:eastAsia="宋体" w:hint="default"/>
                <w:sz w:val="21"/>
                <w:szCs w:val="21"/>
              </w:rPr>
              <w:t>199</w:t>
            </w:r>
            <w:r>
              <w:rPr>
                <w:rFonts w:ascii="宋体" w:hAnsi="宋体" w:cs="宋体" w:eastAsia="宋体" w:hint="default"/>
                <w:sz w:val="21"/>
                <w:szCs w:val="21"/>
              </w:rPr>
              <w:t>号</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江苏省连云港市海洲区瀛洲南路</w:t>
            </w:r>
            <w:r>
              <w:rPr>
                <w:rFonts w:ascii="宋体" w:hAnsi="宋体" w:cs="宋体" w:eastAsia="宋体" w:hint="default"/>
                <w:sz w:val="21"/>
                <w:szCs w:val="21"/>
              </w:rPr>
              <w:t>199</w:t>
            </w:r>
            <w:r>
              <w:rPr>
                <w:rFonts w:ascii="宋体" w:hAnsi="宋体" w:cs="宋体" w:eastAsia="宋体" w:hint="default"/>
                <w:sz w:val="21"/>
                <w:szCs w:val="21"/>
              </w:rPr>
              <w:t>号</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0518-85959992</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0518-85959992</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0518-85807993</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0518-85807993</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liuwenling@solareast.com</w:t>
              </w:r>
            </w:hyperlink>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9">
              <w:r>
                <w:rPr>
                  <w:rFonts w:ascii="宋体"/>
                  <w:sz w:val="21"/>
                </w:rPr>
                <w:t>zqb@solareast.com</w:t>
              </w:r>
            </w:hyperlink>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5"/>
        <w:spacing w:line="240" w:lineRule="auto" w:before="36"/>
        <w:ind w:right="2549"/>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222243</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江苏省连云港市海宁工贸园瀛洲南路</w:t>
            </w:r>
            <w:r>
              <w:rPr>
                <w:rFonts w:ascii="宋体" w:hAnsi="宋体" w:cs="宋体" w:eastAsia="宋体" w:hint="default"/>
                <w:sz w:val="21"/>
                <w:szCs w:val="21"/>
              </w:rPr>
              <w:t>199</w:t>
            </w:r>
            <w:r>
              <w:rPr>
                <w:rFonts w:ascii="宋体" w:hAnsi="宋体" w:cs="宋体" w:eastAsia="宋体" w:hint="default"/>
                <w:sz w:val="21"/>
                <w:szCs w:val="21"/>
              </w:rPr>
              <w:t>号</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sz w:val="21"/>
              </w:rPr>
              <w:t>222243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http</w:t>
            </w:r>
            <w:r>
              <w:rPr>
                <w:rFonts w:ascii="宋体" w:hAnsi="宋体" w:cs="宋体" w:eastAsia="宋体" w:hint="default"/>
                <w:sz w:val="21"/>
                <w:szCs w:val="21"/>
              </w:rPr>
              <w:t>：</w:t>
            </w:r>
            <w:hyperlink r:id="rId10">
              <w:r>
                <w:rPr>
                  <w:rFonts w:ascii="宋体" w:hAnsi="宋体" w:cs="宋体" w:eastAsia="宋体" w:hint="default"/>
                  <w:sz w:val="21"/>
                  <w:szCs w:val="21"/>
                </w:rPr>
                <w:t>//www.solareast.</w:t>
              </w:r>
            </w:hyperlink>
            <w:r>
              <w:rPr>
                <w:rFonts w:ascii="宋体" w:hAnsi="宋体" w:cs="宋体" w:eastAsia="宋体" w:hint="default"/>
                <w:sz w:val="21"/>
                <w:szCs w:val="21"/>
              </w:rPr>
              <w:t>c</w:t>
            </w:r>
            <w:hyperlink r:id="rId10">
              <w:r>
                <w:rPr>
                  <w:rFonts w:ascii="宋体" w:hAnsi="宋体" w:cs="宋体" w:eastAsia="宋体" w:hint="default"/>
                  <w:sz w:val="21"/>
                  <w:szCs w:val="21"/>
                </w:rPr>
                <w:t>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zqb@solareast.com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5"/>
        <w:spacing w:line="240" w:lineRule="auto" w:before="36"/>
        <w:ind w:right="2549"/>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1">
              <w:r>
                <w:rPr>
                  <w:rFonts w:ascii="宋体" w:hAnsi="宋体" w:cs="宋体" w:eastAsia="宋体" w:hint="default"/>
                  <w:sz w:val="21"/>
                  <w:szCs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江苏省连云港市海宁工贸园公司董事会办公室</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5"/>
        <w:spacing w:line="240" w:lineRule="auto" w:before="36"/>
        <w:ind w:right="2549"/>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日出东方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603366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5"/>
        <w:spacing w:line="240" w:lineRule="auto" w:before="36"/>
        <w:ind w:right="2549"/>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77"/>
        <w:gridCol w:w="2126"/>
        <w:gridCol w:w="4547"/>
      </w:tblGrid>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72" w:lineRule="exact" w:before="142"/>
              <w:ind w:left="103" w:right="100"/>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3" w:hRule="exact"/>
        </w:trPr>
        <w:tc>
          <w:tcPr>
            <w:tcW w:w="2377"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号赛特广场</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1" w:hRule="exact"/>
        </w:trPr>
        <w:tc>
          <w:tcPr>
            <w:tcW w:w="2377"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涂振连、马云峰</w:t>
            </w:r>
          </w:p>
        </w:tc>
      </w:tr>
      <w:tr>
        <w:trPr>
          <w:trHeight w:val="284"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0"/>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377"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2377"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103" w:right="100"/>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职责的保荐机构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554" w:hRule="exact"/>
        </w:trPr>
        <w:tc>
          <w:tcPr>
            <w:tcW w:w="2377"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广东省广州市天河区天河北路 </w:t>
            </w:r>
            <w:r>
              <w:rPr>
                <w:rFonts w:ascii="宋体" w:hAnsi="宋体" w:cs="宋体" w:eastAsia="宋体" w:hint="default"/>
                <w:sz w:val="21"/>
                <w:szCs w:val="21"/>
              </w:rPr>
              <w:t>183-187</w:t>
            </w:r>
            <w:r>
              <w:rPr>
                <w:rFonts w:ascii="宋体" w:hAnsi="宋体" w:cs="宋体" w:eastAsia="宋体" w:hint="default"/>
                <w:spacing w:val="27"/>
                <w:sz w:val="21"/>
                <w:szCs w:val="21"/>
              </w:rPr>
              <w:t> </w:t>
            </w:r>
            <w:r>
              <w:rPr>
                <w:rFonts w:ascii="宋体" w:hAnsi="宋体" w:cs="宋体" w:eastAsia="宋体" w:hint="default"/>
                <w:sz w:val="21"/>
                <w:szCs w:val="21"/>
              </w:rPr>
              <w:t>号大都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会广场</w:t>
            </w:r>
            <w:r>
              <w:rPr>
                <w:rFonts w:ascii="宋体" w:hAnsi="宋体" w:cs="宋体" w:eastAsia="宋体" w:hint="default"/>
                <w:spacing w:val="-51"/>
                <w:sz w:val="21"/>
                <w:szCs w:val="21"/>
              </w:rPr>
              <w:t> </w:t>
            </w:r>
            <w:r>
              <w:rPr>
                <w:rFonts w:ascii="宋体" w:hAnsi="宋体" w:cs="宋体" w:eastAsia="宋体" w:hint="default"/>
                <w:sz w:val="21"/>
                <w:szCs w:val="21"/>
              </w:rPr>
              <w:t>43</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554" w:hRule="exact"/>
        </w:trPr>
        <w:tc>
          <w:tcPr>
            <w:tcW w:w="2377"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林文坛、张鹏</w:t>
            </w:r>
          </w:p>
        </w:tc>
      </w:tr>
      <w:tr>
        <w:trPr>
          <w:trHeight w:val="554" w:hRule="exact"/>
        </w:trPr>
        <w:tc>
          <w:tcPr>
            <w:tcW w:w="2377"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股票上市当年剩余时间及其后两个完整会计年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度，即</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职责的财务顾问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377"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5" w:hRule="exact"/>
        </w:trPr>
        <w:tc>
          <w:tcPr>
            <w:tcW w:w="2377" w:type="dxa"/>
            <w:vMerge/>
            <w:tcBorders>
              <w:left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签字的财务顾问主办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5"/>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5"/>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951"/>
        <w:gridCol w:w="1985"/>
        <w:gridCol w:w="1985"/>
        <w:gridCol w:w="1231"/>
        <w:gridCol w:w="1897"/>
      </w:tblGrid>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345" w:right="189"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2,783,914,360.60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2,351,760,250.50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2,594,827,679.16</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54,768,831.34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243,815,063.88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269,460,145.50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1985"/>
        <w:gridCol w:w="1985"/>
        <w:gridCol w:w="1231"/>
        <w:gridCol w:w="1897"/>
      </w:tblGrid>
      <w:tr>
        <w:trPr>
          <w:trHeight w:val="29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-35,651,876.48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132,829,828.11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-126.84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174,930,433.93</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99,483,674.69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199,623,434.15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499,205,419.21</w:t>
            </w:r>
          </w:p>
        </w:tc>
      </w:tr>
      <w:tr>
        <w:trPr>
          <w:trHeight w:val="1099"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34" w:right="137"/>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r>
              <w:rPr>
                <w:rFonts w:ascii="宋体" w:hAnsi="宋体" w:cs="宋体" w:eastAsia="宋体" w:hint="default"/>
                <w:sz w:val="21"/>
                <w:szCs w:val="21"/>
              </w:rPr>
              <w:t>%</w:t>
            </w:r>
          </w:p>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3,691,940,593.17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3,781,355,157.55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3,685,876,916.18</w:t>
            </w:r>
          </w:p>
        </w:tc>
      </w:tr>
      <w:tr>
        <w:trPr>
          <w:trHeight w:val="29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6,321,241,660.96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5,221,421,443.26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21.06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4,802,254,335.74</w:t>
            </w:r>
          </w:p>
        </w:tc>
      </w:tr>
    </w:tbl>
    <w:p>
      <w:pPr>
        <w:spacing w:line="240" w:lineRule="auto" w:before="2"/>
        <w:rPr>
          <w:rFonts w:ascii="宋体" w:hAnsi="宋体" w:cs="宋体" w:eastAsia="宋体" w:hint="default"/>
          <w:sz w:val="20"/>
          <w:szCs w:val="20"/>
        </w:rPr>
      </w:pPr>
    </w:p>
    <w:p>
      <w:pPr>
        <w:pStyle w:val="Heading5"/>
        <w:tabs>
          <w:tab w:pos="1057" w:val="left" w:leader="none"/>
        </w:tabs>
        <w:spacing w:line="240" w:lineRule="auto" w:before="36"/>
        <w:ind w:right="254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0.0685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0.3048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-77.53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0.3368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0.0685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0.3048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0.3368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-0.0446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0.166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-126.87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5.07</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4.51</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4.86</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549"/>
        <w:jc w:val="left"/>
      </w:pPr>
      <w:r>
        <w:rPr/>
        <w:t>报告期末公司前三年主要会计数据和财务指标的说明</w:t>
      </w:r>
    </w:p>
    <w:p>
      <w:pPr>
        <w:pStyle w:val="BodyText"/>
        <w:spacing w:line="273" w:lineRule="exact"/>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t>八、</w:t>
      </w:r>
      <w:r>
        <w:rPr>
          <w:spacing w:val="-32"/>
        </w:rPr>
        <w:t> </w:t>
      </w:r>
      <w:r>
        <w:rPr/>
        <w:t>境内外会计准则下会计数据差异</w:t>
      </w:r>
      <w:r>
        <w:rPr>
          <w:b w:val="0"/>
          <w:bCs w:val="0"/>
        </w:rPr>
      </w:r>
    </w:p>
    <w:p>
      <w:pPr>
        <w:pStyle w:val="Heading5"/>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8" w:right="2549"/>
        <w:jc w:val="left"/>
      </w:pPr>
      <w:r>
        <w:rPr/>
        <w:t>□适用</w:t>
      </w:r>
      <w:r>
        <w:rPr>
          <w:spacing w:val="-1"/>
        </w:rPr>
        <w:t> </w:t>
      </w:r>
      <w:r>
        <w:rPr/>
        <w:t>√不适用</w:t>
      </w:r>
    </w:p>
    <w:p>
      <w:pPr>
        <w:pStyle w:val="Heading5"/>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218" w:right="2549"/>
        <w:jc w:val="left"/>
      </w:pPr>
      <w:r>
        <w:rPr/>
        <w:t>□适用</w:t>
      </w:r>
      <w:r>
        <w:rPr>
          <w:spacing w:val="-1"/>
        </w:rPr>
        <w:t> </w:t>
      </w:r>
      <w:r>
        <w:rPr/>
        <w:t>√不适用</w:t>
      </w:r>
    </w:p>
    <w:p>
      <w:pPr>
        <w:pStyle w:val="Heading5"/>
        <w:spacing w:line="240" w:lineRule="auto" w:before="56"/>
        <w:ind w:right="254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8" w:right="25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5"/>
        <w:spacing w:line="240" w:lineRule="auto" w:before="36"/>
        <w:ind w:right="2549"/>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01"/>
        <w:gridCol w:w="1790"/>
        <w:gridCol w:w="1685"/>
        <w:gridCol w:w="1688"/>
        <w:gridCol w:w="1685"/>
      </w:tblGrid>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383,300,515.84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792,294,070.61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742,931,544.28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865,388,229.87</w:t>
            </w:r>
          </w:p>
        </w:tc>
      </w:tr>
      <w:tr>
        <w:trPr>
          <w:trHeight w:val="55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16,820,044.78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59,281,450.53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3" w:right="0"/>
              <w:jc w:val="center"/>
              <w:rPr>
                <w:rFonts w:ascii="宋体" w:hAnsi="宋体" w:cs="宋体" w:eastAsia="宋体" w:hint="default"/>
                <w:sz w:val="21"/>
                <w:szCs w:val="21"/>
              </w:rPr>
            </w:pPr>
            <w:r>
              <w:rPr>
                <w:rFonts w:ascii="宋体"/>
                <w:sz w:val="21"/>
              </w:rPr>
              <w:t>5,566,077.30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-26,898,741.27</w:t>
            </w:r>
          </w:p>
        </w:tc>
      </w:tr>
      <w:tr>
        <w:trPr>
          <w:trHeight w:val="283"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-6,300,713.07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22,694,468.75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-6,172,350.41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-45,873,281.75</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01"/>
        <w:gridCol w:w="1790"/>
        <w:gridCol w:w="1685"/>
        <w:gridCol w:w="1688"/>
        <w:gridCol w:w="1685"/>
      </w:tblGrid>
      <w:tr>
        <w:trPr>
          <w:trHeight w:val="55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的扣除非经常性损益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后的净利润</w:t>
            </w:r>
          </w:p>
        </w:tc>
        <w:tc>
          <w:tcPr>
            <w:tcW w:w="17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-309,312,136.86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sz w:val="21"/>
              </w:rPr>
              <w:t>37,163,188.26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4" w:right="0"/>
              <w:jc w:val="left"/>
              <w:rPr>
                <w:rFonts w:ascii="宋体" w:hAnsi="宋体" w:cs="宋体" w:eastAsia="宋体" w:hint="default"/>
                <w:sz w:val="21"/>
                <w:szCs w:val="21"/>
              </w:rPr>
            </w:pPr>
            <w:r>
              <w:rPr>
                <w:rFonts w:ascii="宋体"/>
                <w:sz w:val="21"/>
              </w:rPr>
              <w:t>8,091,585.03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363,541,038.26</w:t>
            </w:r>
          </w:p>
        </w:tc>
      </w:tr>
    </w:tbl>
    <w:p>
      <w:pPr>
        <w:spacing w:line="240" w:lineRule="auto" w:before="5"/>
        <w:rPr>
          <w:rFonts w:ascii="宋体" w:hAnsi="宋体" w:cs="宋体" w:eastAsia="宋体" w:hint="default"/>
          <w:sz w:val="15"/>
          <w:szCs w:val="15"/>
        </w:rPr>
      </w:pPr>
    </w:p>
    <w:p>
      <w:pPr>
        <w:pStyle w:val="BodyText"/>
        <w:spacing w:line="274" w:lineRule="exact" w:before="36"/>
        <w:ind w:left="218" w:right="2549"/>
        <w:jc w:val="left"/>
      </w:pPr>
      <w:r>
        <w:rPr/>
        <w:t>季度数据与已披露定期报告数据差异说明</w:t>
      </w:r>
    </w:p>
    <w:p>
      <w:pPr>
        <w:pStyle w:val="BodyText"/>
        <w:tabs>
          <w:tab w:pos="1060" w:val="left" w:leader="none"/>
        </w:tabs>
        <w:spacing w:line="274" w:lineRule="exact"/>
        <w:ind w:left="218" w:right="254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5"/>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82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51"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-2,395,557.14</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-6,335,264.03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1,243,808.92</w:t>
            </w: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ind w:left="103" w:right="197"/>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20,837,824.10</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13,201,644.28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15,968,858.22</w:t>
            </w:r>
          </w:p>
        </w:tc>
      </w:tr>
      <w:tr>
        <w:trPr>
          <w:trHeight w:val="55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77,244,821.95</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126,503,304.08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88,795,712.43</w:t>
            </w: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16,828,265.33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1,571,957.68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46"/>
        <w:gridCol w:w="1685"/>
        <w:gridCol w:w="946"/>
        <w:gridCol w:w="1688"/>
        <w:gridCol w:w="1685"/>
      </w:tblGrid>
      <w:tr>
        <w:trPr>
          <w:trHeight w:val="557"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易性金融负债和可供出售金融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资产取得的投资收益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7,683,347.22</w:t>
            </w:r>
          </w:p>
        </w:tc>
      </w:tr>
      <w:tr>
        <w:trPr>
          <w:trHeight w:val="82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-4,942,998.43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-2,548,560.80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-2,084,607.16</w:t>
            </w:r>
          </w:p>
        </w:tc>
      </w:tr>
      <w:tr>
        <w:trPr>
          <w:trHeight w:val="55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-766,564.96</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-2,502.96</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-16,385,083.03</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-19,833,384.80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-18,649,365.74</w:t>
            </w:r>
          </w:p>
        </w:tc>
      </w:tr>
      <w:tr>
        <w:trPr>
          <w:trHeight w:val="281"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90,420,707.82</w:t>
            </w:r>
          </w:p>
        </w:tc>
        <w:tc>
          <w:tcPr>
            <w:tcW w:w="9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110,985,235.77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94,529,711.57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1057" w:val="left" w:leader="none"/>
        </w:tabs>
        <w:spacing w:line="240" w:lineRule="auto" w:before="36"/>
        <w:ind w:right="2549"/>
        <w:jc w:val="left"/>
        <w:rPr>
          <w:b w:val="0"/>
          <w:bCs w:val="0"/>
        </w:rPr>
      </w:pPr>
      <w:r>
        <w:rPr/>
        <w:t>十一、</w:t>
        <w:tab/>
        <w:t>采用公允价值计量的项目</w:t>
      </w:r>
      <w:r>
        <w:rPr>
          <w:b w:val="0"/>
          <w:bCs w:val="0"/>
        </w:rPr>
      </w:r>
    </w:p>
    <w:p>
      <w:pPr>
        <w:tabs>
          <w:tab w:pos="1057" w:val="left" w:leader="none"/>
        </w:tabs>
        <w:spacing w:line="290" w:lineRule="auto" w:before="58"/>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4"/>
        <w:ind w:left="218" w:right="2549"/>
        <w:jc w:val="left"/>
      </w:pPr>
      <w:r>
        <w:rPr/>
        <w:t>□适用</w:t>
      </w:r>
      <w:r>
        <w:rPr>
          <w:spacing w:val="-1"/>
        </w:rPr>
        <w:t> </w:t>
      </w:r>
      <w:r>
        <w:rPr/>
        <w:t>√不适用</w:t>
      </w:r>
    </w:p>
    <w:p>
      <w:pPr>
        <w:pStyle w:val="Heading1"/>
        <w:tabs>
          <w:tab w:pos="1259" w:val="left" w:leader="none"/>
        </w:tabs>
        <w:spacing w:line="240" w:lineRule="auto" w:before="42"/>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2549"/>
        <w:jc w:val="left"/>
        <w:rPr>
          <w:b w:val="0"/>
          <w:bCs w:val="0"/>
        </w:rPr>
      </w:pPr>
      <w:r>
        <w:rPr/>
        <w:t>一、报告期内公司所从事的主要业务、经营模式及行业情况说明</w:t>
      </w:r>
      <w:r>
        <w:rPr>
          <w:b w:val="0"/>
          <w:bCs w:val="0"/>
        </w:rPr>
      </w:r>
    </w:p>
    <w:p>
      <w:pPr>
        <w:pStyle w:val="BodyText"/>
        <w:spacing w:line="355" w:lineRule="auto" w:before="58"/>
        <w:ind w:left="638" w:right="227" w:hanging="209"/>
        <w:jc w:val="left"/>
      </w:pPr>
      <w:r>
        <w:rPr>
          <w:rFonts w:ascii="宋体" w:hAnsi="宋体" w:cs="宋体" w:eastAsia="宋体" w:hint="default"/>
          <w:b/>
          <w:bCs/>
        </w:rPr>
        <w:t>（一）公司主要业务</w:t>
      </w:r>
      <w:r>
        <w:rPr>
          <w:rFonts w:ascii="宋体" w:hAnsi="宋体" w:cs="宋体" w:eastAsia="宋体" w:hint="default"/>
          <w:b/>
          <w:bCs/>
          <w:spacing w:val="-103"/>
        </w:rPr>
        <w:t> </w:t>
      </w:r>
      <w:r>
        <w:rPr>
          <w:rFonts w:ascii="宋体" w:hAnsi="宋体" w:cs="宋体" w:eastAsia="宋体" w:hint="default"/>
          <w:spacing w:val="-2"/>
        </w:rPr>
        <w:t>1.</w:t>
      </w:r>
      <w:r>
        <w:rPr>
          <w:spacing w:val="-2"/>
        </w:rPr>
        <w:t>公司原有主营业务：太阳能、净水机、空气能等产品的研发、生产和销售。公司凭借多年</w:t>
      </w:r>
    </w:p>
    <w:p>
      <w:pPr>
        <w:pStyle w:val="BodyText"/>
        <w:spacing w:line="355" w:lineRule="auto" w:before="32"/>
        <w:ind w:left="218" w:right="227"/>
        <w:jc w:val="left"/>
      </w:pPr>
      <w:r>
        <w:rPr>
          <w:spacing w:val="-2"/>
        </w:rPr>
        <w:t>来在太阳能项目中积累的丰富的运营经验，专业知识及技能，致力于绿色科技的创新和应用，致</w:t>
      </w:r>
      <w:r>
        <w:rPr>
          <w:spacing w:val="-25"/>
        </w:rPr>
        <w:t> </w:t>
      </w:r>
      <w:r>
        <w:rPr>
          <w:spacing w:val="-25"/>
        </w:rPr>
      </w:r>
      <w:r>
        <w:rPr/>
        <w:t>力于环保、健康、时尚生活方式的推广。</w:t>
      </w:r>
    </w:p>
    <w:p>
      <w:pPr>
        <w:pStyle w:val="BodyText"/>
        <w:spacing w:line="240" w:lineRule="auto" w:before="35"/>
        <w:ind w:left="638" w:right="227"/>
        <w:jc w:val="left"/>
      </w:pPr>
      <w:r>
        <w:rPr>
          <w:rFonts w:ascii="宋体" w:hAnsi="宋体" w:cs="宋体" w:eastAsia="宋体" w:hint="default"/>
        </w:rPr>
        <w:t>2.</w:t>
      </w:r>
      <w:r>
        <w:rPr/>
        <w:t>新进入的厨电业务：</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7"/>
        </w:rPr>
        <w:t> </w:t>
      </w:r>
      <w:r>
        <w:rPr/>
        <w:t>月底，公司通过支付现金人民币</w:t>
      </w:r>
      <w:r>
        <w:rPr>
          <w:spacing w:val="-55"/>
        </w:rPr>
        <w:t> </w:t>
      </w:r>
      <w:r>
        <w:rPr>
          <w:rFonts w:ascii="宋体" w:hAnsi="宋体" w:cs="宋体" w:eastAsia="宋体" w:hint="default"/>
        </w:rPr>
        <w:t>73,500</w:t>
      </w:r>
      <w:r>
        <w:rPr>
          <w:rFonts w:ascii="宋体" w:hAnsi="宋体" w:cs="宋体" w:eastAsia="宋体" w:hint="default"/>
          <w:spacing w:val="-54"/>
        </w:rPr>
        <w:t> </w:t>
      </w:r>
      <w:r>
        <w:rPr/>
        <w:t>万元收购帅康股份</w:t>
      </w:r>
    </w:p>
    <w:p>
      <w:pPr>
        <w:pStyle w:val="BodyText"/>
        <w:spacing w:line="355" w:lineRule="auto" w:before="133"/>
        <w:ind w:left="218" w:right="227"/>
        <w:jc w:val="left"/>
      </w:pPr>
      <w:r>
        <w:rPr>
          <w:rFonts w:ascii="宋体" w:hAnsi="宋体" w:cs="宋体" w:eastAsia="宋体" w:hint="default"/>
          <w:spacing w:val="-4"/>
        </w:rPr>
        <w:t>75%</w:t>
      </w:r>
      <w:r>
        <w:rPr>
          <w:spacing w:val="-4"/>
        </w:rPr>
        <w:t>的股权，进军厨电行业。帅康股份主要产品有厨电系列（吸油烟机、燃气灶、消毒柜）和热水</w:t>
      </w:r>
      <w:r>
        <w:rPr>
          <w:spacing w:val="-31"/>
        </w:rPr>
        <w:t> </w:t>
      </w:r>
      <w:r>
        <w:rPr>
          <w:spacing w:val="-31"/>
        </w:rPr>
      </w:r>
      <w:r>
        <w:rPr/>
        <w:t>器系列（电热水器、燃气热水器）。</w:t>
      </w:r>
    </w:p>
    <w:p>
      <w:pPr>
        <w:pStyle w:val="BodyText"/>
        <w:spacing w:line="355" w:lineRule="auto" w:before="32"/>
        <w:ind w:left="218" w:right="227" w:firstLine="419"/>
        <w:jc w:val="left"/>
      </w:pPr>
      <w:r>
        <w:rPr>
          <w:rFonts w:ascii="宋体" w:hAnsi="宋体" w:cs="宋体" w:eastAsia="宋体" w:hint="default"/>
          <w:spacing w:val="-2"/>
        </w:rPr>
        <w:t>3.</w:t>
      </w:r>
      <w:r>
        <w:rPr>
          <w:spacing w:val="-2"/>
        </w:rPr>
        <w:t>纵向太阳能延伸业务：报告期内，公司积极布局跨季节储热采暖、太阳墙业务等太阳能纵</w:t>
      </w:r>
      <w:r>
        <w:rPr>
          <w:w w:val="100"/>
        </w:rPr>
        <w:t> </w:t>
      </w:r>
      <w:r>
        <w:rPr/>
        <w:t>深业务。</w:t>
      </w:r>
    </w:p>
    <w:p>
      <w:pPr>
        <w:pStyle w:val="BodyText"/>
        <w:spacing w:line="357" w:lineRule="auto" w:before="34"/>
        <w:ind w:left="218" w:right="121" w:firstLine="422"/>
        <w:jc w:val="left"/>
      </w:pPr>
      <w:r>
        <w:rPr>
          <w:rFonts w:ascii="宋体" w:hAnsi="宋体" w:cs="宋体" w:eastAsia="宋体" w:hint="default"/>
          <w:b/>
          <w:bCs/>
          <w:spacing w:val="-6"/>
          <w:w w:val="100"/>
        </w:rPr>
        <w:t>(1)</w:t>
      </w:r>
      <w:r>
        <w:rPr>
          <w:rFonts w:ascii="宋体" w:hAnsi="宋体" w:cs="宋体" w:eastAsia="宋体" w:hint="default"/>
          <w:b/>
          <w:bCs/>
          <w:spacing w:val="-6"/>
          <w:w w:val="100"/>
        </w:rPr>
        <w:t>采购模式</w:t>
      </w:r>
      <w:r>
        <w:rPr>
          <w:spacing w:val="-6"/>
          <w:w w:val="100"/>
        </w:rPr>
        <w:t>：本公司由采购部门统一负责对外采购工作，保证公司生产经营工作的正常进行。</w:t>
      </w:r>
      <w:r>
        <w:rPr>
          <w:w w:val="100"/>
        </w:rPr>
        <w:t> </w:t>
      </w:r>
      <w:r>
        <w:rPr/>
        <w:t>采购部门根据生产计划确定最佳原材料、包装材料等物料的采购计划，通过采购订单管理、采购</w:t>
      </w:r>
      <w:r>
        <w:rPr>
          <w:w w:val="100"/>
        </w:rPr>
        <w:t> </w:t>
      </w:r>
      <w:r>
        <w:rPr/>
        <w:t>付款管理，合理控制采购库存，降低资金占用。通过对大宗物资供应链及产业链的深入研究，根</w:t>
      </w:r>
      <w:r>
        <w:rPr>
          <w:w w:val="100"/>
        </w:rPr>
        <w:t> </w:t>
      </w:r>
      <w:r>
        <w:rPr/>
        <w:t>据采购品种上、下游产业的价格分析，结合市场信息的采集与分析，实现专业集中招标管理，降</w:t>
      </w:r>
      <w:r>
        <w:rPr>
          <w:w w:val="100"/>
        </w:rPr>
        <w:t> </w:t>
      </w:r>
      <w:r>
        <w:rPr/>
        <w:t>低公司采购成本。</w:t>
      </w:r>
    </w:p>
    <w:p>
      <w:pPr>
        <w:spacing w:after="0" w:line="357"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208" w:firstLine="422"/>
        <w:jc w:val="both"/>
      </w:pPr>
      <w:r>
        <w:rPr>
          <w:rFonts w:ascii="宋体" w:hAnsi="宋体" w:cs="宋体" w:eastAsia="宋体" w:hint="default"/>
          <w:b/>
          <w:bCs/>
          <w:spacing w:val="-4"/>
        </w:rPr>
        <w:t>(2)</w:t>
      </w:r>
      <w:r>
        <w:rPr>
          <w:rFonts w:ascii="宋体" w:hAnsi="宋体" w:cs="宋体" w:eastAsia="宋体" w:hint="default"/>
          <w:b/>
          <w:bCs/>
          <w:spacing w:val="-4"/>
        </w:rPr>
        <w:t>生产模式：</w:t>
      </w:r>
      <w:r>
        <w:rPr>
          <w:spacing w:val="-4"/>
        </w:rPr>
        <w:t>公司主要采用“以销定产”的生产经营模式，即根据产品的订单情况，下达生</w:t>
      </w:r>
      <w:r>
        <w:rPr>
          <w:w w:val="100"/>
        </w:rPr>
        <w:t> </w:t>
      </w:r>
      <w:r>
        <w:rPr>
          <w:spacing w:val="-2"/>
        </w:rPr>
        <w:t>产订单，实行按单生产、按需生产，从而有效的降低库存，减少资金占用，保证现金流，降低经</w:t>
      </w:r>
      <w:r>
        <w:rPr>
          <w:spacing w:val="-25"/>
        </w:rPr>
        <w:t> </w:t>
      </w:r>
      <w:r>
        <w:rPr>
          <w:spacing w:val="-25"/>
        </w:rPr>
      </w:r>
      <w:r>
        <w:rPr>
          <w:spacing w:val="-2"/>
        </w:rPr>
        <w:t>营风险。同时，为了能够及时满足经销商的订货需求，公司通过提升产品部件配套率，有效控制</w:t>
      </w:r>
      <w:r>
        <w:rPr>
          <w:spacing w:val="-25"/>
        </w:rPr>
        <w:t> </w:t>
      </w:r>
      <w:r>
        <w:rPr>
          <w:spacing w:val="-25"/>
        </w:rPr>
      </w:r>
      <w:r>
        <w:rPr/>
        <w:t>在产品和缩短生产周期，保证按时交货。</w:t>
      </w:r>
    </w:p>
    <w:p>
      <w:pPr>
        <w:pStyle w:val="BodyText"/>
        <w:spacing w:line="357" w:lineRule="auto" w:before="30"/>
        <w:ind w:left="138" w:right="208" w:firstLine="311"/>
        <w:jc w:val="both"/>
      </w:pPr>
      <w:r>
        <w:rPr>
          <w:rFonts w:ascii="宋体" w:hAnsi="宋体" w:cs="宋体" w:eastAsia="宋体" w:hint="default"/>
          <w:b/>
          <w:bCs/>
          <w:spacing w:val="-2"/>
        </w:rPr>
        <w:t>（</w:t>
      </w:r>
      <w:r>
        <w:rPr>
          <w:rFonts w:ascii="宋体" w:hAnsi="宋体" w:cs="宋体" w:eastAsia="宋体" w:hint="default"/>
          <w:b/>
          <w:bCs/>
          <w:spacing w:val="-2"/>
        </w:rPr>
        <w:t>3</w:t>
      </w:r>
      <w:r>
        <w:rPr>
          <w:rFonts w:ascii="宋体" w:hAnsi="宋体" w:cs="宋体" w:eastAsia="宋体" w:hint="default"/>
          <w:b/>
          <w:bCs/>
          <w:spacing w:val="-2"/>
        </w:rPr>
        <w:t>）销售模式：</w:t>
      </w:r>
      <w:r>
        <w:rPr>
          <w:spacing w:val="-2"/>
        </w:rPr>
        <w:t>一是内销产品：公司主要是通过将产品销售给在全国各地的经销商，再由经</w:t>
      </w:r>
      <w:r>
        <w:rPr>
          <w:w w:val="100"/>
        </w:rPr>
        <w:t> </w:t>
      </w:r>
      <w:r>
        <w:rPr>
          <w:spacing w:val="-2"/>
        </w:rPr>
        <w:t>销商以设立专卖店的形式进行产品销售。公司经销商分为一级和二级，公司按照既定的经销单元</w:t>
      </w:r>
      <w:r>
        <w:rPr>
          <w:spacing w:val="-25"/>
        </w:rPr>
        <w:t> </w:t>
      </w:r>
      <w:r>
        <w:rPr>
          <w:spacing w:val="-25"/>
        </w:rPr>
      </w:r>
      <w:r>
        <w:rPr>
          <w:spacing w:val="-2"/>
        </w:rPr>
        <w:t>区域，在每个经销单元设立一个一级经销商，一级经销商在公司的协助下发展二级经销商。公司</w:t>
      </w:r>
      <w:r>
        <w:rPr>
          <w:spacing w:val="-25"/>
        </w:rPr>
        <w:t> </w:t>
      </w:r>
      <w:r>
        <w:rPr>
          <w:spacing w:val="-25"/>
        </w:rPr>
      </w:r>
      <w:r>
        <w:rPr>
          <w:spacing w:val="-6"/>
          <w:w w:val="100"/>
        </w:rPr>
        <w:t>实行产品买断式经销，一级经销商为公司的直接客户，二级经销商仅与一级经销商发生业务关系，</w:t>
      </w:r>
      <w:r>
        <w:rPr>
          <w:w w:val="100"/>
        </w:rPr>
        <w:t> </w:t>
      </w:r>
      <w:r>
        <w:rPr>
          <w:spacing w:val="-6"/>
        </w:rPr>
        <w:t>不直接与公司发生购销业务。公司与经销商之间的产品购销主要采用“先付款，后生产，再发货”</w:t>
      </w:r>
      <w:r>
        <w:rPr>
          <w:spacing w:val="-54"/>
        </w:rPr>
        <w:t> </w:t>
      </w:r>
      <w:r>
        <w:rPr>
          <w:spacing w:val="-54"/>
        </w:rPr>
      </w:r>
      <w:r>
        <w:rPr>
          <w:spacing w:val="-2"/>
        </w:rPr>
        <w:t>的销售模式，即经销商在下订单并预付全款后，公司安排生产并发货。除经销商渠道外，公司工</w:t>
      </w:r>
      <w:r>
        <w:rPr>
          <w:spacing w:val="-25"/>
        </w:rPr>
        <w:t> </w:t>
      </w:r>
      <w:r>
        <w:rPr>
          <w:spacing w:val="-25"/>
        </w:rPr>
      </w:r>
      <w:r>
        <w:rPr>
          <w:spacing w:val="-2"/>
        </w:rPr>
        <w:t>程产品可采取直销的方式。二是外销产品：公司的外销产品主要通过电子商务平台和参加各类专</w:t>
      </w:r>
      <w:r>
        <w:rPr>
          <w:spacing w:val="-26"/>
        </w:rPr>
        <w:t> </w:t>
      </w:r>
      <w:r>
        <w:rPr>
          <w:spacing w:val="-26"/>
        </w:rPr>
      </w:r>
      <w:r>
        <w:rPr/>
        <w:t>业展会来拓展市场，并以</w:t>
      </w:r>
      <w:r>
        <w:rPr>
          <w:spacing w:val="-55"/>
        </w:rPr>
        <w:t> </w:t>
      </w:r>
      <w:r>
        <w:rPr>
          <w:rFonts w:ascii="宋体" w:hAnsi="宋体" w:cs="宋体" w:eastAsia="宋体" w:hint="default"/>
        </w:rPr>
        <w:t>OEM</w:t>
      </w:r>
      <w:r>
        <w:rPr>
          <w:rFonts w:ascii="宋体" w:hAnsi="宋体" w:cs="宋体" w:eastAsia="宋体" w:hint="default"/>
          <w:spacing w:val="-53"/>
        </w:rPr>
        <w:t> </w:t>
      </w:r>
      <w:r>
        <w:rPr/>
        <w:t>或</w:t>
      </w:r>
      <w:r>
        <w:rPr>
          <w:spacing w:val="-55"/>
        </w:rPr>
        <w:t> </w:t>
      </w:r>
      <w:r>
        <w:rPr>
          <w:rFonts w:ascii="宋体" w:hAnsi="宋体" w:cs="宋体" w:eastAsia="宋体" w:hint="default"/>
        </w:rPr>
        <w:t>ODM</w:t>
      </w:r>
      <w:r>
        <w:rPr>
          <w:rFonts w:ascii="宋体" w:hAnsi="宋体" w:cs="宋体" w:eastAsia="宋体" w:hint="default"/>
          <w:spacing w:val="-55"/>
        </w:rPr>
        <w:t> </w:t>
      </w:r>
      <w:r>
        <w:rPr/>
        <w:t>的方式为国外品牌制造商和专业太阳能热水器销售商进行贴</w:t>
      </w:r>
      <w:r>
        <w:rPr>
          <w:w w:val="100"/>
        </w:rPr>
        <w:t> </w:t>
      </w:r>
      <w:r>
        <w:rPr>
          <w:spacing w:val="-2"/>
        </w:rPr>
        <w:t>牌生产。公司产品出口采用自营出口方式，公司的营销人员直接接触国外客户，洽谈订货意向，</w:t>
      </w:r>
      <w:r>
        <w:rPr>
          <w:spacing w:val="-25"/>
        </w:rPr>
        <w:t> </w:t>
      </w:r>
      <w:r>
        <w:rPr>
          <w:spacing w:val="-25"/>
        </w:rPr>
      </w:r>
      <w:r>
        <w:rPr>
          <w:spacing w:val="-2"/>
        </w:rPr>
        <w:t>达成订单合同，产品生产完成后直接发运至客户指定的国外交货地点。公司通常预收国外客户的</w:t>
      </w:r>
      <w:r>
        <w:rPr>
          <w:spacing w:val="-25"/>
        </w:rPr>
        <w:t> </w:t>
      </w:r>
      <w:r>
        <w:rPr>
          <w:spacing w:val="-25"/>
        </w:rPr>
      </w:r>
      <w:r>
        <w:rPr>
          <w:spacing w:val="-2"/>
        </w:rPr>
        <w:t>订金，然后安排生产，一般要求在全款到账后对外发货，资金结算主要以美元结算，收款方式有</w:t>
      </w:r>
      <w:r>
        <w:rPr>
          <w:spacing w:val="-25"/>
        </w:rPr>
        <w:t> </w:t>
      </w:r>
      <w:r>
        <w:rPr>
          <w:spacing w:val="-25"/>
        </w:rPr>
      </w:r>
      <w:r>
        <w:rPr/>
        <w:t>电汇（</w:t>
      </w:r>
      <w:r>
        <w:rPr>
          <w:rFonts w:ascii="宋体" w:hAnsi="宋体" w:cs="宋体" w:eastAsia="宋体" w:hint="default"/>
        </w:rPr>
        <w:t>T/T</w:t>
      </w:r>
      <w:r>
        <w:rPr/>
        <w:t>）、信用证（</w:t>
      </w:r>
      <w:r>
        <w:rPr>
          <w:rFonts w:ascii="宋体" w:hAnsi="宋体" w:cs="宋体" w:eastAsia="宋体" w:hint="default"/>
        </w:rPr>
        <w:t>L/C</w:t>
      </w:r>
      <w:r>
        <w:rPr/>
        <w:t>）等；其中，对大部分客户采用</w:t>
      </w:r>
      <w:r>
        <w:rPr>
          <w:spacing w:val="-54"/>
        </w:rPr>
        <w:t> </w:t>
      </w:r>
      <w:r>
        <w:rPr>
          <w:rFonts w:ascii="宋体" w:hAnsi="宋体" w:cs="宋体" w:eastAsia="宋体" w:hint="default"/>
        </w:rPr>
        <w:t>T/T</w:t>
      </w:r>
      <w:r>
        <w:rPr>
          <w:rFonts w:ascii="宋体" w:hAnsi="宋体" w:cs="宋体" w:eastAsia="宋体" w:hint="default"/>
          <w:spacing w:val="-56"/>
        </w:rPr>
        <w:t> </w:t>
      </w:r>
      <w:r>
        <w:rPr/>
        <w:t>的方式，对部分客户采用</w:t>
      </w:r>
      <w:r>
        <w:rPr>
          <w:spacing w:val="-53"/>
        </w:rPr>
        <w:t> </w:t>
      </w:r>
      <w:r>
        <w:rPr>
          <w:rFonts w:ascii="宋体" w:hAnsi="宋体" w:cs="宋体" w:eastAsia="宋体" w:hint="default"/>
        </w:rPr>
        <w:t>L/C</w:t>
      </w:r>
      <w:r>
        <w:rPr>
          <w:rFonts w:ascii="宋体" w:hAnsi="宋体" w:cs="宋体" w:eastAsia="宋体" w:hint="default"/>
          <w:spacing w:val="-56"/>
        </w:rPr>
        <w:t> </w:t>
      </w:r>
      <w:r>
        <w:rPr/>
        <w:t>采</w:t>
      </w:r>
      <w:r>
        <w:rPr>
          <w:w w:val="100"/>
        </w:rPr>
        <w:t> </w:t>
      </w:r>
      <w:r>
        <w:rPr/>
        <w:t>用方式结算。</w:t>
      </w:r>
    </w:p>
    <w:p>
      <w:pPr>
        <w:pStyle w:val="Heading5"/>
        <w:spacing w:line="355" w:lineRule="auto" w:before="30"/>
        <w:ind w:left="560" w:right="6708" w:hanging="216"/>
        <w:jc w:val="left"/>
        <w:rPr>
          <w:b w:val="0"/>
          <w:bCs w:val="0"/>
        </w:rPr>
      </w:pPr>
      <w:r>
        <w:rPr/>
        <w:t>（三）行业情况</w:t>
      </w:r>
      <w:r>
        <w:rPr>
          <w:spacing w:val="-104"/>
        </w:rPr>
        <w:t> </w:t>
      </w:r>
      <w:r>
        <w:rPr>
          <w:rFonts w:ascii="宋体" w:hAnsi="宋体" w:cs="宋体" w:eastAsia="宋体" w:hint="default"/>
        </w:rPr>
        <w:t>1.</w:t>
      </w:r>
      <w:r>
        <w:rPr/>
        <w:t>太阳能热利用行业</w:t>
      </w:r>
      <w:r>
        <w:rPr>
          <w:b w:val="0"/>
          <w:bCs w:val="0"/>
        </w:rPr>
      </w:r>
    </w:p>
    <w:p>
      <w:pPr>
        <w:pStyle w:val="BodyText"/>
        <w:spacing w:line="357" w:lineRule="auto" w:before="32"/>
        <w:ind w:left="138" w:right="207" w:firstLine="419"/>
        <w:jc w:val="both"/>
      </w:pPr>
      <w:r>
        <w:rPr>
          <w:rFonts w:ascii="宋体" w:hAnsi="宋体" w:cs="宋体" w:eastAsia="宋体" w:hint="default"/>
        </w:rPr>
        <w:t>2017</w:t>
      </w:r>
      <w:r>
        <w:rPr>
          <w:rFonts w:ascii="宋体" w:hAnsi="宋体" w:cs="宋体" w:eastAsia="宋体" w:hint="default"/>
          <w:spacing w:val="-11"/>
        </w:rPr>
        <w:t> </w:t>
      </w:r>
      <w:r>
        <w:rPr>
          <w:spacing w:val="-3"/>
        </w:rPr>
        <w:t>年太阳能光热行业整体略有下滑，下滑原因主要来自于家用热水系统市场的萎缩，但建</w:t>
      </w:r>
      <w:r>
        <w:rPr>
          <w:w w:val="100"/>
        </w:rPr>
        <w:t> </w:t>
      </w:r>
      <w:r>
        <w:rPr>
          <w:spacing w:val="-6"/>
        </w:rPr>
        <w:t>筑热水工程保持稳定增长，采暖和工农业应用等新领域蓄势起步，市场应用走向多元，三块叠加，</w:t>
      </w:r>
      <w:r>
        <w:rPr>
          <w:spacing w:val="-54"/>
        </w:rPr>
        <w:t> </w:t>
      </w:r>
      <w:r>
        <w:rPr>
          <w:spacing w:val="-54"/>
        </w:rPr>
      </w:r>
      <w:r>
        <w:rPr>
          <w:spacing w:val="-2"/>
        </w:rPr>
        <w:t>虽社会保有量增幅继续下降，但行业销售量降速已经放缓，触底和整体回暖趋势显现。同时，内</w:t>
      </w:r>
      <w:r>
        <w:rPr>
          <w:spacing w:val="-25"/>
        </w:rPr>
        <w:t> </w:t>
      </w:r>
      <w:r>
        <w:rPr>
          <w:spacing w:val="-25"/>
        </w:rPr>
      </w:r>
      <w:r>
        <w:rPr>
          <w:spacing w:val="-2"/>
        </w:rPr>
        <w:t>部创新力量不足，少数轻视质量和服务，偷工减料，部分地区部分项目上低于成本价恶性竞争现</w:t>
      </w:r>
      <w:r>
        <w:rPr>
          <w:spacing w:val="-25"/>
        </w:rPr>
        <w:t> </w:t>
      </w:r>
      <w:r>
        <w:rPr>
          <w:spacing w:val="-25"/>
        </w:rPr>
      </w:r>
      <w:r>
        <w:rPr/>
        <w:t>象还时有发生。</w:t>
      </w:r>
    </w:p>
    <w:p>
      <w:pPr>
        <w:pStyle w:val="BodyText"/>
        <w:spacing w:line="240" w:lineRule="auto" w:before="33"/>
        <w:ind w:left="558" w:right="108"/>
        <w:jc w:val="left"/>
      </w:pPr>
      <w:r>
        <w:rPr>
          <w:rFonts w:ascii="宋体" w:hAnsi="宋体" w:cs="宋体" w:eastAsia="宋体" w:hint="default"/>
        </w:rPr>
        <w:t>2017</w:t>
      </w:r>
      <w:r>
        <w:rPr>
          <w:rFonts w:ascii="宋体" w:hAnsi="宋体" w:cs="宋体" w:eastAsia="宋体" w:hint="default"/>
          <w:spacing w:val="-55"/>
        </w:rPr>
        <w:t> </w:t>
      </w:r>
      <w:r>
        <w:rPr/>
        <w:t>年整个太阳能热利用市场总产值</w:t>
      </w:r>
      <w:r>
        <w:rPr>
          <w:spacing w:val="-53"/>
        </w:rPr>
        <w:t> </w:t>
      </w:r>
      <w:r>
        <w:rPr>
          <w:rFonts w:ascii="宋体" w:hAnsi="宋体" w:cs="宋体" w:eastAsia="宋体" w:hint="default"/>
        </w:rPr>
        <w:t>599</w:t>
      </w:r>
      <w:r>
        <w:rPr>
          <w:rFonts w:ascii="宋体" w:hAnsi="宋体" w:cs="宋体" w:eastAsia="宋体" w:hint="default"/>
          <w:spacing w:val="-55"/>
        </w:rPr>
        <w:t> </w:t>
      </w:r>
      <w:r>
        <w:rPr/>
        <w:t>亿元，同比</w:t>
      </w:r>
      <w:r>
        <w:rPr>
          <w:spacing w:val="-52"/>
        </w:rPr>
        <w:t> </w:t>
      </w:r>
      <w:r>
        <w:rPr>
          <w:rFonts w:ascii="宋体" w:hAnsi="宋体" w:cs="宋体" w:eastAsia="宋体" w:hint="default"/>
        </w:rPr>
        <w:t>2016</w:t>
      </w:r>
      <w:r>
        <w:rPr>
          <w:rFonts w:ascii="宋体" w:hAnsi="宋体" w:cs="宋体" w:eastAsia="宋体" w:hint="default"/>
          <w:spacing w:val="-53"/>
        </w:rPr>
        <w:t> </w:t>
      </w:r>
      <w:r>
        <w:rPr/>
        <w:t>年下降</w:t>
      </w:r>
      <w:r>
        <w:rPr>
          <w:spacing w:val="-55"/>
        </w:rPr>
        <w:t> </w:t>
      </w:r>
      <w:r>
        <w:rPr>
          <w:rFonts w:ascii="宋体" w:hAnsi="宋体" w:cs="宋体" w:eastAsia="宋体" w:hint="default"/>
        </w:rPr>
        <w:t>5.7%</w:t>
      </w:r>
      <w:r>
        <w:rPr/>
        <w:t>。</w:t>
      </w:r>
      <w:r>
        <w:rPr>
          <w:rFonts w:ascii="宋体" w:hAnsi="宋体" w:cs="宋体" w:eastAsia="宋体" w:hint="default"/>
        </w:rPr>
        <w:t>599</w:t>
      </w:r>
      <w:r>
        <w:rPr>
          <w:rFonts w:ascii="宋体" w:hAnsi="宋体" w:cs="宋体" w:eastAsia="宋体" w:hint="default"/>
          <w:spacing w:val="-55"/>
        </w:rPr>
        <w:t> </w:t>
      </w:r>
      <w:r>
        <w:rPr/>
        <w:t>亿元中零售市</w:t>
      </w:r>
    </w:p>
    <w:p>
      <w:pPr>
        <w:pStyle w:val="BodyText"/>
        <w:spacing w:line="240" w:lineRule="auto" w:before="133"/>
        <w:ind w:left="138" w:right="108"/>
        <w:jc w:val="left"/>
        <w:rPr>
          <w:rFonts w:ascii="宋体" w:hAnsi="宋体" w:cs="宋体" w:eastAsia="宋体" w:hint="default"/>
        </w:rPr>
      </w:pPr>
      <w:r>
        <w:rPr/>
        <w:t>场份额占比</w:t>
      </w:r>
      <w:r>
        <w:rPr>
          <w:spacing w:val="-44"/>
        </w:rPr>
        <w:t> </w:t>
      </w:r>
      <w:r>
        <w:rPr>
          <w:rFonts w:ascii="宋体" w:hAnsi="宋体" w:cs="宋体" w:eastAsia="宋体" w:hint="default"/>
          <w:spacing w:val="-3"/>
        </w:rPr>
        <w:t>29%</w:t>
      </w:r>
      <w:r>
        <w:rPr>
          <w:spacing w:val="-3"/>
        </w:rPr>
        <w:t>，工程市场占比</w:t>
      </w:r>
      <w:r>
        <w:rPr>
          <w:spacing w:val="-43"/>
        </w:rPr>
        <w:t> </w:t>
      </w:r>
      <w:r>
        <w:rPr>
          <w:rFonts w:ascii="宋体" w:hAnsi="宋体" w:cs="宋体" w:eastAsia="宋体" w:hint="default"/>
          <w:spacing w:val="-3"/>
        </w:rPr>
        <w:t>71%</w:t>
      </w:r>
      <w:r>
        <w:rPr>
          <w:spacing w:val="-3"/>
        </w:rPr>
        <w:t>。从产品细分领域来看，真空管型集热系统</w:t>
      </w:r>
      <w:r>
        <w:rPr>
          <w:spacing w:val="-43"/>
        </w:rPr>
        <w:t> </w:t>
      </w:r>
      <w:r>
        <w:rPr>
          <w:rFonts w:ascii="宋体" w:hAnsi="宋体" w:cs="宋体" w:eastAsia="宋体" w:hint="default"/>
        </w:rPr>
        <w:t>2017</w:t>
      </w:r>
      <w:r>
        <w:rPr>
          <w:rFonts w:ascii="宋体" w:hAnsi="宋体" w:cs="宋体" w:eastAsia="宋体" w:hint="default"/>
          <w:spacing w:val="-44"/>
        </w:rPr>
        <w:t> </w:t>
      </w:r>
      <w:r>
        <w:rPr/>
        <w:t>年销售</w:t>
      </w:r>
      <w:r>
        <w:rPr>
          <w:spacing w:val="-46"/>
        </w:rPr>
        <w:t> </w:t>
      </w:r>
      <w:r>
        <w:rPr>
          <w:rFonts w:ascii="宋体" w:hAnsi="宋体" w:cs="宋体" w:eastAsia="宋体" w:hint="default"/>
        </w:rPr>
        <w:t>3146</w:t>
      </w:r>
    </w:p>
    <w:p>
      <w:pPr>
        <w:pStyle w:val="BodyText"/>
        <w:spacing w:line="240" w:lineRule="auto" w:before="133"/>
        <w:ind w:left="138" w:right="108"/>
        <w:jc w:val="left"/>
      </w:pPr>
      <w:r>
        <w:rPr/>
        <w:t>万平方米，同比</w:t>
      </w:r>
      <w:r>
        <w:rPr>
          <w:spacing w:val="-54"/>
        </w:rPr>
        <w:t> </w:t>
      </w:r>
      <w:r>
        <w:rPr>
          <w:rFonts w:ascii="宋体" w:hAnsi="宋体" w:cs="宋体" w:eastAsia="宋体" w:hint="default"/>
        </w:rPr>
        <w:t>2016</w:t>
      </w:r>
      <w:r>
        <w:rPr>
          <w:rFonts w:ascii="宋体" w:hAnsi="宋体" w:cs="宋体" w:eastAsia="宋体" w:hint="default"/>
          <w:spacing w:val="-54"/>
        </w:rPr>
        <w:t> </w:t>
      </w:r>
      <w:r>
        <w:rPr/>
        <w:t>年下降</w:t>
      </w:r>
      <w:r>
        <w:rPr>
          <w:spacing w:val="-53"/>
        </w:rPr>
        <w:t> </w:t>
      </w:r>
      <w:r>
        <w:rPr>
          <w:rFonts w:ascii="宋体" w:hAnsi="宋体" w:cs="宋体" w:eastAsia="宋体" w:hint="default"/>
        </w:rPr>
        <w:t>8.0%</w:t>
      </w:r>
      <w:r>
        <w:rPr/>
        <w:t>；平板型集热系统</w:t>
      </w:r>
      <w:r>
        <w:rPr>
          <w:spacing w:val="-56"/>
        </w:rPr>
        <w:t> </w:t>
      </w:r>
      <w:r>
        <w:rPr>
          <w:rFonts w:ascii="宋体" w:hAnsi="宋体" w:cs="宋体" w:eastAsia="宋体" w:hint="default"/>
        </w:rPr>
        <w:t>2017</w:t>
      </w:r>
      <w:r>
        <w:rPr>
          <w:rFonts w:ascii="宋体" w:hAnsi="宋体" w:cs="宋体" w:eastAsia="宋体" w:hint="default"/>
          <w:spacing w:val="-56"/>
        </w:rPr>
        <w:t> </w:t>
      </w:r>
      <w:r>
        <w:rPr/>
        <w:t>年销售</w:t>
      </w:r>
      <w:r>
        <w:rPr>
          <w:spacing w:val="-54"/>
        </w:rPr>
        <w:t> </w:t>
      </w:r>
      <w:r>
        <w:rPr>
          <w:rFonts w:ascii="宋体" w:hAnsi="宋体" w:cs="宋体" w:eastAsia="宋体" w:hint="default"/>
        </w:rPr>
        <w:t>577</w:t>
      </w:r>
      <w:r>
        <w:rPr>
          <w:rFonts w:ascii="宋体" w:hAnsi="宋体" w:cs="宋体" w:eastAsia="宋体" w:hint="default"/>
          <w:spacing w:val="-54"/>
        </w:rPr>
        <w:t> </w:t>
      </w:r>
      <w:r>
        <w:rPr/>
        <w:t>万平方米，同比</w:t>
      </w:r>
      <w:r>
        <w:rPr>
          <w:spacing w:val="-53"/>
        </w:rPr>
        <w:t> </w:t>
      </w:r>
      <w:r>
        <w:rPr>
          <w:rFonts w:ascii="宋体" w:hAnsi="宋体" w:cs="宋体" w:eastAsia="宋体" w:hint="default"/>
        </w:rPr>
        <w:t>2016</w:t>
      </w:r>
      <w:r>
        <w:rPr>
          <w:rFonts w:ascii="宋体" w:hAnsi="宋体" w:cs="宋体" w:eastAsia="宋体" w:hint="default"/>
          <w:spacing w:val="-54"/>
        </w:rPr>
        <w:t> </w:t>
      </w:r>
      <w:r>
        <w:rPr>
          <w:spacing w:val="-3"/>
        </w:rPr>
        <w:t>年增</w:t>
      </w:r>
      <w:r>
        <w:rPr/>
      </w:r>
    </w:p>
    <w:p>
      <w:pPr>
        <w:pStyle w:val="BodyText"/>
        <w:spacing w:line="355" w:lineRule="auto" w:before="133"/>
        <w:ind w:left="560" w:right="108" w:hanging="423"/>
        <w:jc w:val="left"/>
        <w:rPr>
          <w:rFonts w:ascii="宋体" w:hAnsi="宋体" w:cs="宋体" w:eastAsia="宋体" w:hint="default"/>
        </w:rPr>
      </w:pPr>
      <w:r>
        <w:rPr/>
        <w:t>长</w:t>
      </w:r>
      <w:r>
        <w:rPr>
          <w:spacing w:val="-55"/>
        </w:rPr>
        <w:t> </w:t>
      </w:r>
      <w:r>
        <w:rPr>
          <w:rFonts w:ascii="宋体" w:hAnsi="宋体" w:cs="宋体" w:eastAsia="宋体" w:hint="default"/>
        </w:rPr>
        <w:t>8.9%</w:t>
      </w:r>
      <w:r>
        <w:rPr/>
        <w:t>；太阳能热利用集热系统</w:t>
      </w:r>
      <w:r>
        <w:rPr>
          <w:spacing w:val="-55"/>
        </w:rPr>
        <w:t> </w:t>
      </w:r>
      <w:r>
        <w:rPr>
          <w:rFonts w:ascii="宋体" w:hAnsi="宋体" w:cs="宋体" w:eastAsia="宋体" w:hint="default"/>
        </w:rPr>
        <w:t>2017</w:t>
      </w:r>
      <w:r>
        <w:rPr>
          <w:rFonts w:ascii="宋体" w:hAnsi="宋体" w:cs="宋体" w:eastAsia="宋体" w:hint="default"/>
          <w:spacing w:val="-55"/>
        </w:rPr>
        <w:t> </w:t>
      </w:r>
      <w:r>
        <w:rPr/>
        <w:t>年销售</w:t>
      </w:r>
      <w:r>
        <w:rPr>
          <w:spacing w:val="-57"/>
        </w:rPr>
        <w:t> </w:t>
      </w:r>
      <w:r>
        <w:rPr>
          <w:rFonts w:ascii="宋体" w:hAnsi="宋体" w:cs="宋体" w:eastAsia="宋体" w:hint="default"/>
        </w:rPr>
        <w:t>3,723</w:t>
      </w:r>
      <w:r>
        <w:rPr>
          <w:rFonts w:ascii="宋体" w:hAnsi="宋体" w:cs="宋体" w:eastAsia="宋体" w:hint="default"/>
          <w:spacing w:val="-57"/>
        </w:rPr>
        <w:t> </w:t>
      </w:r>
      <w:r>
        <w:rPr/>
        <w:t>万平方米，同比</w:t>
      </w:r>
      <w:r>
        <w:rPr>
          <w:spacing w:val="-55"/>
        </w:rPr>
        <w:t> </w:t>
      </w:r>
      <w:r>
        <w:rPr>
          <w:rFonts w:ascii="宋体" w:hAnsi="宋体" w:cs="宋体" w:eastAsia="宋体" w:hint="default"/>
        </w:rPr>
        <w:t>2016</w:t>
      </w:r>
      <w:r>
        <w:rPr>
          <w:rFonts w:ascii="宋体" w:hAnsi="宋体" w:cs="宋体" w:eastAsia="宋体" w:hint="default"/>
          <w:spacing w:val="-55"/>
        </w:rPr>
        <w:t> </w:t>
      </w:r>
      <w:r>
        <w:rPr/>
        <w:t>年下降</w:t>
      </w:r>
      <w:r>
        <w:rPr>
          <w:spacing w:val="-54"/>
        </w:rPr>
        <w:t> </w:t>
      </w:r>
      <w:r>
        <w:rPr>
          <w:rFonts w:ascii="宋体" w:hAnsi="宋体" w:cs="宋体" w:eastAsia="宋体" w:hint="default"/>
        </w:rPr>
        <w:t>5.7%</w:t>
      </w:r>
      <w:r>
        <w:rPr/>
        <w:t>。</w:t>
      </w:r>
      <w:r>
        <w:rPr>
          <w:w w:val="100"/>
        </w:rPr>
        <w:t> </w:t>
      </w:r>
      <w:r>
        <w:rPr>
          <w:rFonts w:ascii="宋体" w:hAnsi="宋体" w:cs="宋体" w:eastAsia="宋体" w:hint="default"/>
          <w:b/>
          <w:bCs/>
        </w:rPr>
        <w:t>2.</w:t>
      </w:r>
      <w:r>
        <w:rPr>
          <w:rFonts w:ascii="宋体" w:hAnsi="宋体" w:cs="宋体" w:eastAsia="宋体" w:hint="default"/>
          <w:b/>
          <w:bCs/>
        </w:rPr>
        <w:t>净水行业</w:t>
      </w:r>
      <w:r>
        <w:rPr>
          <w:rFonts w:ascii="宋体" w:hAnsi="宋体" w:cs="宋体" w:eastAsia="宋体" w:hint="default"/>
        </w:rPr>
      </w:r>
    </w:p>
    <w:p>
      <w:pPr>
        <w:pStyle w:val="BodyText"/>
        <w:spacing w:line="357" w:lineRule="auto" w:before="34"/>
        <w:ind w:left="138" w:right="108" w:firstLine="419"/>
        <w:jc w:val="left"/>
      </w:pPr>
      <w:r>
        <w:rPr/>
        <w:t>净水行业</w:t>
      </w:r>
      <w:r>
        <w:rPr>
          <w:spacing w:val="-54"/>
        </w:rPr>
        <w:t> </w:t>
      </w:r>
      <w:r>
        <w:rPr>
          <w:rFonts w:ascii="宋体" w:hAnsi="宋体" w:cs="宋体" w:eastAsia="宋体" w:hint="default"/>
        </w:rPr>
        <w:t>2017</w:t>
      </w:r>
      <w:r>
        <w:rPr>
          <w:rFonts w:ascii="宋体" w:hAnsi="宋体" w:cs="宋体" w:eastAsia="宋体" w:hint="default"/>
          <w:spacing w:val="-56"/>
        </w:rPr>
        <w:t> </w:t>
      </w:r>
      <w:r>
        <w:rPr/>
        <w:t>年总体仍然保持着快速发展的趋势，根据中怡康的数据显示，</w:t>
      </w:r>
      <w:r>
        <w:rPr>
          <w:rFonts w:ascii="宋体" w:hAnsi="宋体" w:cs="宋体" w:eastAsia="宋体" w:hint="default"/>
        </w:rPr>
        <w:t>2017</w:t>
      </w:r>
      <w:r>
        <w:rPr>
          <w:rFonts w:ascii="宋体" w:hAnsi="宋体" w:cs="宋体" w:eastAsia="宋体" w:hint="default"/>
          <w:spacing w:val="-54"/>
        </w:rPr>
        <w:t> </w:t>
      </w:r>
      <w:r>
        <w:rPr/>
        <w:t>年全年家</w:t>
      </w:r>
      <w:r>
        <w:rPr>
          <w:w w:val="100"/>
        </w:rPr>
        <w:t> </w:t>
      </w:r>
      <w:r>
        <w:rPr/>
        <w:t>用净水设备市值规模为</w:t>
      </w:r>
      <w:r>
        <w:rPr>
          <w:spacing w:val="-50"/>
        </w:rPr>
        <w:t> </w:t>
      </w:r>
      <w:r>
        <w:rPr>
          <w:rFonts w:ascii="宋体" w:hAnsi="宋体" w:cs="宋体" w:eastAsia="宋体" w:hint="default"/>
        </w:rPr>
        <w:t>336</w:t>
      </w:r>
      <w:r>
        <w:rPr>
          <w:rFonts w:ascii="宋体" w:hAnsi="宋体" w:cs="宋体" w:eastAsia="宋体" w:hint="default"/>
          <w:spacing w:val="-51"/>
        </w:rPr>
        <w:t> </w:t>
      </w:r>
      <w:r>
        <w:rPr>
          <w:spacing w:val="-7"/>
        </w:rPr>
        <w:t>亿元，较</w:t>
      </w:r>
      <w:r>
        <w:rPr>
          <w:spacing w:val="-51"/>
        </w:rPr>
        <w:t> </w:t>
      </w:r>
      <w:r>
        <w:rPr>
          <w:rFonts w:ascii="宋体" w:hAnsi="宋体" w:cs="宋体" w:eastAsia="宋体" w:hint="default"/>
        </w:rPr>
        <w:t>2016</w:t>
      </w:r>
      <w:r>
        <w:rPr>
          <w:rFonts w:ascii="宋体" w:hAnsi="宋体" w:cs="宋体" w:eastAsia="宋体" w:hint="default"/>
          <w:spacing w:val="-51"/>
        </w:rPr>
        <w:t> </w:t>
      </w:r>
      <w:r>
        <w:rPr/>
        <w:t>年全年</w:t>
      </w:r>
      <w:r>
        <w:rPr>
          <w:spacing w:val="-53"/>
        </w:rPr>
        <w:t> </w:t>
      </w:r>
      <w:r>
        <w:rPr>
          <w:rFonts w:ascii="宋体" w:hAnsi="宋体" w:cs="宋体" w:eastAsia="宋体" w:hint="default"/>
        </w:rPr>
        <w:t>278</w:t>
      </w:r>
      <w:r>
        <w:rPr>
          <w:rFonts w:ascii="宋体" w:hAnsi="宋体" w:cs="宋体" w:eastAsia="宋体" w:hint="default"/>
          <w:spacing w:val="-51"/>
        </w:rPr>
        <w:t> </w:t>
      </w:r>
      <w:r>
        <w:rPr/>
        <w:t>亿元的规模有</w:t>
      </w:r>
      <w:r>
        <w:rPr>
          <w:spacing w:val="-53"/>
        </w:rPr>
        <w:t> </w:t>
      </w:r>
      <w:r>
        <w:rPr>
          <w:rFonts w:ascii="宋体" w:hAnsi="宋体" w:cs="宋体" w:eastAsia="宋体" w:hint="default"/>
          <w:spacing w:val="-3"/>
        </w:rPr>
        <w:t>20.9%</w:t>
      </w:r>
      <w:r>
        <w:rPr>
          <w:spacing w:val="-3"/>
        </w:rPr>
        <w:t>的增幅。随着基数的不</w:t>
      </w:r>
      <w:r>
        <w:rPr>
          <w:spacing w:val="-99"/>
        </w:rPr>
        <w:t> </w:t>
      </w:r>
      <w:r>
        <w:rPr>
          <w:spacing w:val="-99"/>
        </w:rPr>
      </w:r>
      <w:r>
        <w:rPr/>
        <w:t>断扩大行业增速较</w:t>
      </w:r>
      <w:r>
        <w:rPr>
          <w:spacing w:val="-36"/>
        </w:rPr>
        <w:t> </w:t>
      </w:r>
      <w:r>
        <w:rPr>
          <w:rFonts w:ascii="宋体" w:hAnsi="宋体" w:cs="宋体" w:eastAsia="宋体" w:hint="default"/>
        </w:rPr>
        <w:t>2014</w:t>
      </w:r>
      <w:r>
        <w:rPr/>
        <w:t>、</w:t>
      </w:r>
      <w:r>
        <w:rPr>
          <w:rFonts w:ascii="宋体" w:hAnsi="宋体" w:cs="宋体" w:eastAsia="宋体" w:hint="default"/>
        </w:rPr>
        <w:t>2015</w:t>
      </w:r>
      <w:r>
        <w:rPr>
          <w:rFonts w:ascii="宋体" w:hAnsi="宋体" w:cs="宋体" w:eastAsia="宋体" w:hint="default"/>
          <w:spacing w:val="-38"/>
        </w:rPr>
        <w:t> </w:t>
      </w:r>
      <w:r>
        <w:rPr/>
        <w:t>年</w:t>
      </w:r>
      <w:r>
        <w:rPr>
          <w:spacing w:val="-36"/>
        </w:rPr>
        <w:t> </w:t>
      </w:r>
      <w:r>
        <w:rPr>
          <w:rFonts w:ascii="宋体" w:hAnsi="宋体" w:cs="宋体" w:eastAsia="宋体" w:hint="default"/>
        </w:rPr>
        <w:t>40%</w:t>
      </w:r>
      <w:r>
        <w:rPr/>
        <w:t>以上的增速略有放缓，但总体上仍保持着高速发展的势头。</w:t>
      </w:r>
      <w:r>
        <w:rPr>
          <w:spacing w:val="-101"/>
        </w:rPr>
        <w:t> </w:t>
      </w:r>
      <w:r>
        <w:rPr>
          <w:spacing w:val="-101"/>
        </w:rPr>
      </w:r>
      <w:r>
        <w:rPr/>
        <w:t>由于中长期无法得到本质改善的水环境以及消费者安全饮水意识的不断提升，和消费能力的大幅</w:t>
      </w:r>
      <w:r>
        <w:rPr>
          <w:w w:val="100"/>
        </w:rPr>
        <w:t> </w:t>
      </w:r>
      <w:r>
        <w:rPr>
          <w:spacing w:val="-4"/>
        </w:rPr>
        <w:t>升级等多重因素为中国净水行业发展创造“温床”。 </w:t>
      </w:r>
      <w:r>
        <w:rPr>
          <w:spacing w:val="-6"/>
        </w:rPr>
        <w:t>近三年，家电整体市场（含</w:t>
      </w:r>
      <w:r>
        <w:rPr>
          <w:spacing w:val="2"/>
        </w:rPr>
        <w:t> </w:t>
      </w:r>
      <w:r>
        <w:rPr>
          <w:rFonts w:ascii="宋体" w:hAnsi="宋体" w:cs="宋体" w:eastAsia="宋体" w:hint="default"/>
          <w:spacing w:val="-5"/>
        </w:rPr>
        <w:t>3C</w:t>
      </w:r>
      <w:r>
        <w:rPr>
          <w:spacing w:val="-5"/>
        </w:rPr>
        <w:t>）相对低迷，</w:t>
      </w:r>
    </w:p>
    <w:p>
      <w:pPr>
        <w:spacing w:after="0" w:line="357" w:lineRule="auto"/>
        <w:jc w:val="left"/>
        <w:sectPr>
          <w:footerReference w:type="default" r:id="rId12"/>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37"/>
        <w:jc w:val="both"/>
      </w:pPr>
      <w:r>
        <w:rPr>
          <w:spacing w:val="-2"/>
        </w:rPr>
        <w:t>家用净水市场则保持着高速增长趋势。然而消费者在净水器使用中仍存在体积太大、不能随时了</w:t>
      </w:r>
      <w:r>
        <w:rPr>
          <w:spacing w:val="-25"/>
        </w:rPr>
        <w:t> </w:t>
      </w:r>
      <w:r>
        <w:rPr>
          <w:spacing w:val="-25"/>
        </w:rPr>
      </w:r>
      <w:r>
        <w:rPr>
          <w:spacing w:val="-2"/>
        </w:rPr>
        <w:t>解水质变化等问题，而这也将成为产品加速升级的主要动力。与此同时，围绕用户体验和服务，</w:t>
      </w:r>
      <w:r>
        <w:rPr>
          <w:spacing w:val="-25"/>
        </w:rPr>
        <w:t> </w:t>
      </w:r>
      <w:r>
        <w:rPr>
          <w:spacing w:val="-25"/>
        </w:rPr>
      </w:r>
      <w:r>
        <w:rPr/>
        <w:t>体验式营销逐渐深入，行业规范也逐渐由产品渗透到了服务。</w:t>
      </w:r>
    </w:p>
    <w:p>
      <w:pPr>
        <w:pStyle w:val="BodyText"/>
        <w:spacing w:line="355" w:lineRule="auto" w:before="30"/>
        <w:ind w:left="138" w:right="137" w:firstLine="419"/>
        <w:jc w:val="both"/>
      </w:pPr>
      <w:r>
        <w:rPr>
          <w:spacing w:val="-2"/>
        </w:rPr>
        <w:t>净水行业首个强制性标准《反渗透净水机水效限定值及水效等级》已经发布，新国标的出炉</w:t>
      </w:r>
      <w:r>
        <w:rPr>
          <w:w w:val="100"/>
        </w:rPr>
        <w:t> </w:t>
      </w:r>
      <w:r>
        <w:rPr/>
        <w:t>意味着国家将强制性约束净水市场的规范生产，倒逼净水技术革新，未来</w:t>
      </w:r>
      <w:r>
        <w:rPr>
          <w:spacing w:val="-56"/>
        </w:rPr>
        <w:t> </w:t>
      </w:r>
      <w:r>
        <w:rPr>
          <w:rFonts w:ascii="宋体" w:hAnsi="宋体" w:cs="宋体" w:eastAsia="宋体" w:hint="default"/>
        </w:rPr>
        <w:t>2-3</w:t>
      </w:r>
      <w:r>
        <w:rPr>
          <w:rFonts w:ascii="宋体" w:hAnsi="宋体" w:cs="宋体" w:eastAsia="宋体" w:hint="default"/>
          <w:spacing w:val="-55"/>
        </w:rPr>
        <w:t> </w:t>
      </w:r>
      <w:r>
        <w:rPr/>
        <w:t>年将加快行业的洗</w:t>
      </w:r>
      <w:r>
        <w:rPr>
          <w:w w:val="100"/>
        </w:rPr>
        <w:t> </w:t>
      </w:r>
      <w:r>
        <w:rPr/>
        <w:t>牌。</w:t>
      </w:r>
    </w:p>
    <w:p>
      <w:pPr>
        <w:pStyle w:val="Heading5"/>
        <w:spacing w:line="240" w:lineRule="auto" w:before="34"/>
        <w:ind w:left="560" w:right="0"/>
        <w:jc w:val="left"/>
        <w:rPr>
          <w:b w:val="0"/>
          <w:bCs w:val="0"/>
        </w:rPr>
      </w:pPr>
      <w:r>
        <w:rPr>
          <w:rFonts w:ascii="宋体" w:hAnsi="宋体" w:cs="宋体" w:eastAsia="宋体" w:hint="default"/>
        </w:rPr>
        <w:t>3.</w:t>
      </w:r>
      <w:r>
        <w:rPr/>
        <w:t>空气能行业</w:t>
      </w:r>
      <w:r>
        <w:rPr>
          <w:b w:val="0"/>
          <w:bCs w:val="0"/>
        </w:rPr>
      </w:r>
    </w:p>
    <w:p>
      <w:pPr>
        <w:pStyle w:val="BodyText"/>
        <w:spacing w:line="357" w:lineRule="auto" w:before="133"/>
        <w:ind w:left="138" w:right="130" w:firstLine="419"/>
        <w:jc w:val="both"/>
      </w:pPr>
      <w:r>
        <w:rPr>
          <w:rFonts w:ascii="宋体" w:hAnsi="宋体" w:cs="宋体" w:eastAsia="宋体" w:hint="default"/>
        </w:rPr>
        <w:t>2017</w:t>
      </w:r>
      <w:r>
        <w:rPr>
          <w:rFonts w:ascii="宋体" w:hAnsi="宋体" w:cs="宋体" w:eastAsia="宋体" w:hint="default"/>
          <w:spacing w:val="-57"/>
        </w:rPr>
        <w:t> </w:t>
      </w:r>
      <w:r>
        <w:rPr/>
        <w:t>年是空气源热泵行业大丰收的年份，市场整体规模突破</w:t>
      </w:r>
      <w:r>
        <w:rPr>
          <w:spacing w:val="-55"/>
        </w:rPr>
        <w:t> </w:t>
      </w:r>
      <w:r>
        <w:rPr>
          <w:rFonts w:ascii="宋体" w:hAnsi="宋体" w:cs="宋体" w:eastAsia="宋体" w:hint="default"/>
        </w:rPr>
        <w:t>160</w:t>
      </w:r>
      <w:r>
        <w:rPr>
          <w:rFonts w:ascii="宋体" w:hAnsi="宋体" w:cs="宋体" w:eastAsia="宋体" w:hint="default"/>
          <w:spacing w:val="-55"/>
        </w:rPr>
        <w:t> </w:t>
      </w:r>
      <w:r>
        <w:rPr/>
        <w:t>个亿，同比增长达到</w:t>
      </w:r>
      <w:r>
        <w:rPr>
          <w:spacing w:val="-54"/>
        </w:rPr>
        <w:t> </w:t>
      </w:r>
      <w:r>
        <w:rPr>
          <w:rFonts w:ascii="宋体" w:hAnsi="宋体" w:cs="宋体" w:eastAsia="宋体" w:hint="default"/>
        </w:rPr>
        <w:t>61%</w:t>
      </w:r>
      <w:r>
        <w:rPr/>
        <w:t>；</w:t>
      </w:r>
      <w:r>
        <w:rPr>
          <w:w w:val="100"/>
        </w:rPr>
        <w:t> </w:t>
      </w:r>
      <w:r>
        <w:rPr>
          <w:spacing w:val="-3"/>
        </w:rPr>
        <w:t>采暖市场首次超过热水市场，并迫近百亿。</w:t>
      </w:r>
      <w:r>
        <w:rPr>
          <w:rFonts w:ascii="宋体" w:hAnsi="宋体" w:cs="宋体" w:eastAsia="宋体" w:hint="default"/>
          <w:spacing w:val="-3"/>
        </w:rPr>
        <w:t>2017 </w:t>
      </w:r>
      <w:r>
        <w:rPr>
          <w:spacing w:val="-3"/>
        </w:rPr>
        <w:t>年出台的《北方地区冬季清洁取暖规划》提出北</w:t>
      </w:r>
      <w:r>
        <w:rPr>
          <w:spacing w:val="-75"/>
        </w:rPr>
        <w:t> </w:t>
      </w:r>
      <w:r>
        <w:rPr>
          <w:spacing w:val="-75"/>
        </w:rPr>
      </w:r>
      <w:r>
        <w:rPr/>
        <w:t>方五年之后替代散煤</w:t>
      </w:r>
      <w:r>
        <w:rPr>
          <w:spacing w:val="-54"/>
        </w:rPr>
        <w:t> </w:t>
      </w:r>
      <w:r>
        <w:rPr>
          <w:rFonts w:ascii="宋体" w:hAnsi="宋体" w:cs="宋体" w:eastAsia="宋体" w:hint="default"/>
        </w:rPr>
        <w:t>1.5</w:t>
      </w:r>
      <w:r>
        <w:rPr>
          <w:rFonts w:ascii="宋体" w:hAnsi="宋体" w:cs="宋体" w:eastAsia="宋体" w:hint="default"/>
          <w:spacing w:val="-55"/>
        </w:rPr>
        <w:t> </w:t>
      </w:r>
      <w:r>
        <w:rPr/>
        <w:t>亿吨，集中供暖和清洁供暖比例达到</w:t>
      </w:r>
      <w:r>
        <w:rPr>
          <w:spacing w:val="-54"/>
        </w:rPr>
        <w:t> </w:t>
      </w:r>
      <w:r>
        <w:rPr>
          <w:rFonts w:ascii="宋体" w:hAnsi="宋体" w:cs="宋体" w:eastAsia="宋体" w:hint="default"/>
        </w:rPr>
        <w:t>50%</w:t>
      </w:r>
      <w:r>
        <w:rPr/>
        <w:t>以上。这一政策给空气源热泵</w:t>
      </w:r>
      <w:r>
        <w:rPr>
          <w:w w:val="100"/>
        </w:rPr>
        <w:t> </w:t>
      </w:r>
      <w:r>
        <w:rPr/>
        <w:t>行业提供了巨大的集中供暖市场的拓展空间。</w:t>
      </w:r>
    </w:p>
    <w:p>
      <w:pPr>
        <w:pStyle w:val="BodyText"/>
        <w:spacing w:line="357" w:lineRule="auto" w:before="30"/>
        <w:ind w:left="138" w:right="128" w:firstLine="419"/>
        <w:jc w:val="both"/>
      </w:pPr>
      <w:r>
        <w:rPr>
          <w:spacing w:val="-6"/>
        </w:rPr>
        <w:t>狂飙突进的“煤改气”工程，导致了 </w:t>
      </w:r>
      <w:r>
        <w:rPr>
          <w:rFonts w:ascii="宋体" w:hAnsi="宋体" w:cs="宋体" w:eastAsia="宋体" w:hint="default"/>
        </w:rPr>
        <w:t>2017</w:t>
      </w:r>
      <w:r>
        <w:rPr>
          <w:rFonts w:ascii="宋体" w:hAnsi="宋体" w:cs="宋体" w:eastAsia="宋体" w:hint="default"/>
          <w:spacing w:val="-48"/>
        </w:rPr>
        <w:t> </w:t>
      </w:r>
      <w:r>
        <w:rPr>
          <w:spacing w:val="-3"/>
        </w:rPr>
        <w:t>年冬天波及全国的天然气气荒。由于天然气管道铺</w:t>
      </w:r>
      <w:r>
        <w:rPr>
          <w:w w:val="100"/>
        </w:rPr>
        <w:t> </w:t>
      </w:r>
      <w:r>
        <w:rPr>
          <w:spacing w:val="-2"/>
        </w:rPr>
        <w:t>设难度大，施工成本高，很多北方地区的天然气管网仍不够完善；再加上我国的天然气消费量远</w:t>
      </w:r>
      <w:r>
        <w:rPr>
          <w:spacing w:val="-25"/>
        </w:rPr>
        <w:t> </w:t>
      </w:r>
      <w:r>
        <w:rPr>
          <w:spacing w:val="-25"/>
        </w:rPr>
      </w:r>
      <w:r>
        <w:rPr>
          <w:spacing w:val="-2"/>
        </w:rPr>
        <w:t>大于供应量，两方面的不足削弱了“煤改气”的可行性，而空气源热泵的大范围应用成为不少当</w:t>
      </w:r>
      <w:r>
        <w:rPr>
          <w:spacing w:val="-26"/>
        </w:rPr>
        <w:t> </w:t>
      </w:r>
      <w:r>
        <w:rPr>
          <w:spacing w:val="-26"/>
        </w:rPr>
      </w:r>
      <w:r>
        <w:rPr>
          <w:spacing w:val="-2"/>
        </w:rPr>
        <w:t>地政府所能想到的最有效解决方式。包括中广欧特斯、清华同方、生能、阿尔普尔、华天成等在</w:t>
      </w:r>
      <w:r>
        <w:rPr>
          <w:spacing w:val="-25"/>
        </w:rPr>
        <w:t> </w:t>
      </w:r>
      <w:r>
        <w:rPr>
          <w:spacing w:val="-25"/>
        </w:rPr>
      </w:r>
      <w:r>
        <w:rPr>
          <w:spacing w:val="-2"/>
        </w:rPr>
        <w:t>内的多家空气源热泵企业迅速抓住机会在集中供暖市场均树有不同规模的样板项目，集中供暖市</w:t>
      </w:r>
      <w:r>
        <w:rPr>
          <w:spacing w:val="-25"/>
        </w:rPr>
        <w:t> </w:t>
      </w:r>
      <w:r>
        <w:rPr>
          <w:spacing w:val="-25"/>
        </w:rPr>
      </w:r>
      <w:r>
        <w:rPr/>
        <w:t>场占有率也从</w:t>
      </w:r>
      <w:r>
        <w:rPr>
          <w:spacing w:val="-55"/>
        </w:rPr>
        <w:t> </w:t>
      </w:r>
      <w:r>
        <w:rPr>
          <w:rFonts w:ascii="宋体" w:hAnsi="宋体" w:cs="宋体" w:eastAsia="宋体" w:hint="default"/>
        </w:rPr>
        <w:t>2016</w:t>
      </w:r>
      <w:r>
        <w:rPr>
          <w:rFonts w:ascii="宋体" w:hAnsi="宋体" w:cs="宋体" w:eastAsia="宋体" w:hint="default"/>
          <w:spacing w:val="-57"/>
        </w:rPr>
        <w:t> </w:t>
      </w:r>
      <w:r>
        <w:rPr/>
        <w:t>年的十分之一，升至直逼采暖总市场的五分之一，迎来“井喷”式发展。</w:t>
      </w:r>
    </w:p>
    <w:p>
      <w:pPr>
        <w:pStyle w:val="BodyText"/>
        <w:spacing w:line="355" w:lineRule="auto" w:before="30"/>
        <w:ind w:left="558" w:right="124" w:firstLine="2"/>
        <w:jc w:val="left"/>
      </w:pPr>
      <w:r>
        <w:rPr>
          <w:rFonts w:ascii="宋体" w:hAnsi="宋体" w:cs="宋体" w:eastAsia="宋体" w:hint="default"/>
          <w:b/>
          <w:bCs/>
        </w:rPr>
        <w:t>4.</w:t>
      </w:r>
      <w:r>
        <w:rPr>
          <w:rFonts w:ascii="宋体" w:hAnsi="宋体" w:cs="宋体" w:eastAsia="宋体" w:hint="default"/>
          <w:b/>
          <w:bCs/>
        </w:rPr>
        <w:t>厨电行业</w:t>
      </w:r>
      <w:r>
        <w:rPr>
          <w:rFonts w:ascii="宋体" w:hAnsi="宋体" w:cs="宋体" w:eastAsia="宋体" w:hint="default"/>
          <w:b/>
          <w:bCs/>
          <w:w w:val="100"/>
        </w:rPr>
        <w:t> </w:t>
      </w:r>
      <w:r>
        <w:rPr>
          <w:spacing w:val="-7"/>
        </w:rPr>
        <w:t>厨电行业面临着房地产调控的后续影响，整体保持小幅增长，根据中怡康的统计，截止 </w:t>
      </w:r>
      <w:r>
        <w:rPr>
          <w:rFonts w:ascii="宋体" w:hAnsi="宋体" w:cs="宋体" w:eastAsia="宋体" w:hint="default"/>
        </w:rPr>
        <w:t>12</w:t>
      </w:r>
      <w:r>
        <w:rPr>
          <w:rFonts w:ascii="宋体" w:hAnsi="宋体" w:cs="宋体" w:eastAsia="宋体" w:hint="default"/>
          <w:spacing w:val="67"/>
        </w:rPr>
        <w:t> </w:t>
      </w:r>
      <w:r>
        <w:rPr/>
        <w:t>月</w:t>
      </w:r>
    </w:p>
    <w:p>
      <w:pPr>
        <w:pStyle w:val="BodyText"/>
        <w:spacing w:line="357" w:lineRule="auto" w:before="32"/>
        <w:ind w:left="138" w:right="190"/>
        <w:jc w:val="left"/>
      </w:pPr>
      <w:r>
        <w:rPr/>
        <w:t>底，吸油烟机、燃气灶、消毒柜、洗碗机销售额分别为：</w:t>
      </w:r>
      <w:r>
        <w:rPr>
          <w:rFonts w:ascii="宋体" w:hAnsi="宋体" w:cs="宋体" w:eastAsia="宋体" w:hint="default"/>
        </w:rPr>
        <w:t>432.9</w:t>
      </w:r>
      <w:r>
        <w:rPr>
          <w:rFonts w:ascii="宋体" w:hAnsi="宋体" w:cs="宋体" w:eastAsia="宋体" w:hint="default"/>
          <w:spacing w:val="-55"/>
        </w:rPr>
        <w:t> </w:t>
      </w:r>
      <w:r>
        <w:rPr/>
        <w:t>亿元、</w:t>
      </w:r>
      <w:r>
        <w:rPr>
          <w:rFonts w:ascii="宋体" w:hAnsi="宋体" w:cs="宋体" w:eastAsia="宋体" w:hint="default"/>
        </w:rPr>
        <w:t>263.6</w:t>
      </w:r>
      <w:r>
        <w:rPr>
          <w:rFonts w:ascii="宋体" w:hAnsi="宋体" w:cs="宋体" w:eastAsia="宋体" w:hint="default"/>
          <w:spacing w:val="-57"/>
        </w:rPr>
        <w:t> </w:t>
      </w:r>
      <w:r>
        <w:rPr/>
        <w:t>亿元、</w:t>
      </w:r>
      <w:r>
        <w:rPr>
          <w:rFonts w:ascii="宋体" w:hAnsi="宋体" w:cs="宋体" w:eastAsia="宋体" w:hint="default"/>
        </w:rPr>
        <w:t>66.7</w:t>
      </w:r>
      <w:r>
        <w:rPr>
          <w:rFonts w:ascii="宋体" w:hAnsi="宋体" w:cs="宋体" w:eastAsia="宋体" w:hint="default"/>
          <w:spacing w:val="-55"/>
        </w:rPr>
        <w:t> </w:t>
      </w:r>
      <w:r>
        <w:rPr/>
        <w:t>亿元、</w:t>
      </w:r>
      <w:r>
        <w:rPr>
          <w:w w:val="100"/>
        </w:rPr>
        <w:t> </w:t>
      </w:r>
      <w:r>
        <w:rPr>
          <w:rFonts w:ascii="宋体" w:hAnsi="宋体" w:cs="宋体" w:eastAsia="宋体" w:hint="default"/>
        </w:rPr>
        <w:t>43.3 </w:t>
      </w:r>
      <w:r>
        <w:rPr/>
        <w:t>亿元，对应的增长率分别为</w:t>
      </w:r>
      <w:r>
        <w:rPr>
          <w:spacing w:val="-63"/>
        </w:rPr>
        <w:t> </w:t>
      </w:r>
      <w:r>
        <w:rPr>
          <w:rFonts w:ascii="宋体" w:hAnsi="宋体" w:cs="宋体" w:eastAsia="宋体" w:hint="default"/>
        </w:rPr>
        <w:t>4.84%</w:t>
      </w:r>
      <w:r>
        <w:rPr/>
        <w:t>、</w:t>
      </w:r>
      <w:r>
        <w:rPr>
          <w:rFonts w:ascii="宋体" w:hAnsi="宋体" w:cs="宋体" w:eastAsia="宋体" w:hint="default"/>
        </w:rPr>
        <w:t>3.18%</w:t>
      </w:r>
      <w:r>
        <w:rPr/>
        <w:t>、</w:t>
      </w:r>
      <w:r>
        <w:rPr>
          <w:rFonts w:ascii="宋体" w:hAnsi="宋体" w:cs="宋体" w:eastAsia="宋体" w:hint="default"/>
        </w:rPr>
        <w:t>-1.19%</w:t>
      </w:r>
      <w:r>
        <w:rPr/>
        <w:t>、</w:t>
      </w:r>
      <w:r>
        <w:rPr>
          <w:rFonts w:ascii="宋体" w:hAnsi="宋体" w:cs="宋体" w:eastAsia="宋体" w:hint="default"/>
        </w:rPr>
        <w:t>119.0%</w:t>
      </w:r>
      <w:r>
        <w:rPr/>
        <w:t>。</w:t>
      </w:r>
    </w:p>
    <w:p>
      <w:pPr>
        <w:pStyle w:val="BodyText"/>
        <w:spacing w:line="357" w:lineRule="auto" w:before="30"/>
        <w:ind w:left="138" w:right="128" w:firstLine="419"/>
        <w:jc w:val="both"/>
      </w:pPr>
      <w:r>
        <w:rPr>
          <w:rFonts w:ascii="宋体" w:hAnsi="宋体" w:cs="宋体" w:eastAsia="宋体" w:hint="default"/>
        </w:rPr>
        <w:t>2017</w:t>
      </w:r>
      <w:r>
        <w:rPr>
          <w:rFonts w:ascii="宋体" w:hAnsi="宋体" w:cs="宋体" w:eastAsia="宋体" w:hint="default"/>
          <w:spacing w:val="-4"/>
        </w:rPr>
        <w:t> </w:t>
      </w:r>
      <w:r>
        <w:rPr>
          <w:spacing w:val="-3"/>
        </w:rPr>
        <w:t>年的厨电市场传统品类结构明显升级、新兴品类特别是洗碗机高速增长是推动行业增长</w:t>
      </w:r>
      <w:r>
        <w:rPr>
          <w:w w:val="100"/>
        </w:rPr>
        <w:t> </w:t>
      </w:r>
      <w:r>
        <w:rPr>
          <w:spacing w:val="-2"/>
        </w:rPr>
        <w:t>的重要因素。高增长、高利润率吸引来更多参与者试图从中分一杯羹，洗碗机、嵌入式微蒸烤品</w:t>
      </w:r>
      <w:r>
        <w:rPr>
          <w:spacing w:val="-25"/>
        </w:rPr>
        <w:t> </w:t>
      </w:r>
      <w:r>
        <w:rPr>
          <w:spacing w:val="-25"/>
        </w:rPr>
      </w:r>
      <w:r>
        <w:rPr/>
        <w:t>类品牌数量大幅增加，</w:t>
      </w:r>
      <w:r>
        <w:rPr>
          <w:rFonts w:ascii="宋体" w:hAnsi="宋体" w:cs="宋体" w:eastAsia="宋体" w:hint="default"/>
        </w:rPr>
        <w:t>TOP</w:t>
      </w:r>
      <w:r>
        <w:rPr>
          <w:rFonts w:ascii="宋体" w:hAnsi="宋体" w:cs="宋体" w:eastAsia="宋体" w:hint="default"/>
          <w:spacing w:val="-55"/>
        </w:rPr>
        <w:t> </w:t>
      </w:r>
      <w:r>
        <w:rPr/>
        <w:t>品牌集中度明显下降，行业竞争激烈程度加剧。面对激烈的竞争，各</w:t>
      </w:r>
      <w:r>
        <w:rPr>
          <w:w w:val="100"/>
        </w:rPr>
        <w:t> </w:t>
      </w:r>
      <w:r>
        <w:rPr>
          <w:spacing w:val="-2"/>
        </w:rPr>
        <w:t>主流品牌纷纷迭代自家产品以保持竞争力，从市场表现上看，油烟机品类性能明显升级，多眼灶</w:t>
      </w:r>
      <w:r>
        <w:rPr>
          <w:spacing w:val="-26"/>
        </w:rPr>
        <w:t> </w:t>
      </w:r>
      <w:r>
        <w:rPr>
          <w:spacing w:val="-26"/>
        </w:rPr>
      </w:r>
      <w:r>
        <w:rPr>
          <w:rFonts w:ascii="宋体" w:hAnsi="宋体" w:cs="宋体" w:eastAsia="宋体" w:hint="default"/>
        </w:rPr>
        <w:t>2017 </w:t>
      </w:r>
      <w:r>
        <w:rPr>
          <w:spacing w:val="-3"/>
        </w:rPr>
        <w:t>年表现突出，不仅同比增长大幅高于行业，均价也大幅提升，或将成为灶具行业结构升级的</w:t>
      </w:r>
      <w:r>
        <w:rPr>
          <w:spacing w:val="-88"/>
        </w:rPr>
        <w:t> </w:t>
      </w:r>
      <w:r>
        <w:rPr>
          <w:spacing w:val="-88"/>
        </w:rPr>
      </w:r>
      <w:r>
        <w:rPr/>
        <w:t>方向。</w:t>
      </w:r>
    </w:p>
    <w:p>
      <w:pPr>
        <w:spacing w:line="240" w:lineRule="auto" w:before="11"/>
        <w:rPr>
          <w:rFonts w:ascii="宋体" w:hAnsi="宋体" w:cs="宋体" w:eastAsia="宋体" w:hint="default"/>
          <w:sz w:val="27"/>
          <w:szCs w:val="27"/>
        </w:rPr>
      </w:pPr>
    </w:p>
    <w:p>
      <w:pPr>
        <w:pStyle w:val="Heading5"/>
        <w:spacing w:line="240" w:lineRule="auto"/>
        <w:ind w:left="138" w:right="0"/>
        <w:jc w:val="both"/>
        <w:rPr>
          <w:b w:val="0"/>
          <w:bCs w:val="0"/>
        </w:rPr>
      </w:pPr>
      <w:r>
        <w:rPr/>
        <w:t>二、报告期内公司主要资产发生重大变化情况的说明</w:t>
      </w:r>
      <w:r>
        <w:rPr>
          <w:b w:val="0"/>
          <w:bCs w:val="0"/>
        </w:rPr>
      </w:r>
    </w:p>
    <w:p>
      <w:pPr>
        <w:pStyle w:val="BodyText"/>
        <w:spacing w:line="274" w:lineRule="exact" w:before="56"/>
        <w:ind w:left="138" w:right="0"/>
        <w:jc w:val="both"/>
      </w:pPr>
      <w:r>
        <w:rPr/>
        <w:t>√适用</w:t>
      </w:r>
      <w:r>
        <w:rPr>
          <w:spacing w:val="-1"/>
        </w:rPr>
        <w:t> </w:t>
      </w:r>
      <w:r>
        <w:rPr/>
        <w:t>□不适用</w:t>
      </w:r>
    </w:p>
    <w:p>
      <w:pPr>
        <w:pStyle w:val="BodyText"/>
        <w:spacing w:line="274" w:lineRule="exact"/>
        <w:ind w:left="138" w:right="0"/>
        <w:jc w:val="both"/>
      </w:pPr>
      <w:r>
        <w:rPr/>
        <w:t>其中：境外资产 </w:t>
      </w:r>
      <w:r>
        <w:rPr>
          <w:rFonts w:ascii="宋体" w:hAnsi="宋体" w:cs="宋体" w:eastAsia="宋体" w:hint="default"/>
        </w:rPr>
        <w:t>17,252.45</w:t>
      </w:r>
      <w:r>
        <w:rPr/>
        <w:t>（单位：万元 币种：人民币），占总资产的比例为</w:t>
      </w:r>
      <w:r>
        <w:rPr>
          <w:spacing w:val="-11"/>
        </w:rPr>
        <w:t> </w:t>
      </w:r>
      <w:r>
        <w:rPr>
          <w:rFonts w:ascii="宋体" w:hAnsi="宋体" w:cs="宋体" w:eastAsia="宋体" w:hint="default"/>
        </w:rPr>
        <w:t>2.73%</w:t>
      </w:r>
      <w:r>
        <w:rPr/>
        <w:t>。</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t>三、报告期内核心竞争力分析</w:t>
      </w:r>
      <w:r>
        <w:rPr>
          <w:b w:val="0"/>
          <w:bCs w:val="0"/>
        </w:rPr>
      </w:r>
    </w:p>
    <w:p>
      <w:pPr>
        <w:pStyle w:val="BodyText"/>
        <w:spacing w:line="274" w:lineRule="exact" w:before="56"/>
        <w:ind w:left="138" w:right="0"/>
        <w:jc w:val="both"/>
      </w:pPr>
      <w:r>
        <w:rPr/>
        <w:t>√适用</w:t>
      </w:r>
      <w:r>
        <w:rPr>
          <w:spacing w:val="-1"/>
        </w:rPr>
        <w:t> </w:t>
      </w:r>
      <w:r>
        <w:rPr/>
        <w:t>□不适用</w:t>
      </w:r>
    </w:p>
    <w:p>
      <w:pPr>
        <w:spacing w:line="331" w:lineRule="auto"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（一）多品牌运营能力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公司经过内在积淀与外延并购后拥有三大全国知名商标：太阳雨、四季沐歌及帅康。</w:t>
      </w:r>
    </w:p>
    <w:p>
      <w:pPr>
        <w:spacing w:after="0" w:line="331" w:lineRule="auto"/>
        <w:jc w:val="left"/>
        <w:rPr>
          <w:rFonts w:ascii="宋体" w:hAnsi="宋体" w:cs="宋体" w:eastAsia="宋体" w:hint="default"/>
          <w:sz w:val="21"/>
          <w:szCs w:val="21"/>
        </w:rPr>
        <w:sectPr>
          <w:footerReference w:type="default" r:id="rId13"/>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210" w:firstLine="419"/>
        <w:jc w:val="both"/>
      </w:pPr>
      <w:r>
        <w:rPr>
          <w:spacing w:val="-4"/>
        </w:rPr>
        <w:t>太阳雨，立足太阳能光热，积极探索太阳能外延，打造太阳能</w:t>
      </w:r>
      <w:r>
        <w:rPr>
          <w:rFonts w:ascii="宋体" w:hAnsi="宋体" w:cs="宋体" w:eastAsia="宋体" w:hint="default"/>
          <w:spacing w:val="-4"/>
        </w:rPr>
        <w:t>+</w:t>
      </w:r>
      <w:r>
        <w:rPr>
          <w:spacing w:val="-4"/>
        </w:rPr>
        <w:t>产品系统集群，以“太阳能一</w:t>
      </w:r>
      <w:r>
        <w:rPr>
          <w:w w:val="100"/>
        </w:rPr>
        <w:t> </w:t>
      </w:r>
      <w:r>
        <w:rPr>
          <w:spacing w:val="-2"/>
        </w:rPr>
        <w:t>切”为战略目标，从单一产品零售转向系统解决方案供应，全面推进光热体验升级和光伏市场普</w:t>
      </w:r>
      <w:r>
        <w:rPr>
          <w:spacing w:val="-26"/>
        </w:rPr>
        <w:t> </w:t>
      </w:r>
      <w:r>
        <w:rPr>
          <w:spacing w:val="-26"/>
        </w:rPr>
      </w:r>
      <w:r>
        <w:rPr/>
        <w:t>及，成为“供电、供暖、供热水”的系统化太阳能解决方案供应商。</w:t>
      </w:r>
    </w:p>
    <w:p>
      <w:pPr>
        <w:pStyle w:val="BodyText"/>
        <w:spacing w:line="350" w:lineRule="auto" w:before="27"/>
        <w:ind w:left="138" w:right="217" w:firstLine="419"/>
        <w:jc w:val="both"/>
      </w:pPr>
      <w:r>
        <w:rPr>
          <w:spacing w:val="-2"/>
        </w:rPr>
        <w:t>四季沐歌专注热水领域，致力于“建立热水新标准、升级卫浴新体验”。针对家用市场，四</w:t>
      </w:r>
      <w:r>
        <w:rPr>
          <w:w w:val="100"/>
        </w:rPr>
        <w:t> </w:t>
      </w:r>
      <w:r>
        <w:rPr>
          <w:spacing w:val="-2"/>
        </w:rPr>
        <w:t>季沐歌定位于中国集成热水专家，通过太阳能、空气能、电、燃气等多能源与家居、建材、建筑</w:t>
      </w:r>
      <w:r>
        <w:rPr>
          <w:spacing w:val="-25"/>
        </w:rPr>
        <w:t> </w:t>
      </w:r>
      <w:r>
        <w:rPr>
          <w:spacing w:val="-25"/>
        </w:rPr>
      </w:r>
      <w:r>
        <w:rPr>
          <w:spacing w:val="-2"/>
        </w:rPr>
        <w:t>的跨界集成，为家庭用户提供节能环保、安全舒适的集成热水、卫浴整体解决方案；针对商用市</w:t>
      </w:r>
      <w:r>
        <w:rPr>
          <w:spacing w:val="-25"/>
        </w:rPr>
        <w:t> </w:t>
      </w:r>
      <w:r>
        <w:rPr>
          <w:spacing w:val="-25"/>
        </w:rPr>
      </w:r>
      <w:r>
        <w:rPr>
          <w:spacing w:val="-2"/>
        </w:rPr>
        <w:t>场，四季沐歌定位于中国热水工程专家，致力于为房地产、学校、医院、酒店等提供定制化、智</w:t>
      </w:r>
      <w:r>
        <w:rPr>
          <w:spacing w:val="-25"/>
        </w:rPr>
        <w:t> </w:t>
      </w:r>
      <w:r>
        <w:rPr>
          <w:spacing w:val="-25"/>
        </w:rPr>
      </w:r>
      <w:r>
        <w:rPr/>
        <w:t>能化的战略性集采业务，全面满足商业、工业客户的热水和采暖需求。</w:t>
      </w:r>
    </w:p>
    <w:p>
      <w:pPr>
        <w:pStyle w:val="BodyText"/>
        <w:spacing w:line="348" w:lineRule="auto" w:before="30"/>
        <w:ind w:left="138" w:right="104" w:firstLine="419"/>
        <w:jc w:val="left"/>
      </w:pPr>
      <w:r>
        <w:rPr>
          <w:spacing w:val="-2"/>
          <w:w w:val="100"/>
        </w:rPr>
        <w:t>帅康曾连续</w:t>
      </w:r>
      <w:r>
        <w:rPr>
          <w:w w:val="100"/>
        </w:rPr>
        <w:t> </w:t>
      </w:r>
      <w:r>
        <w:rPr>
          <w:rFonts w:ascii="宋体" w:hAnsi="宋体" w:cs="宋体" w:eastAsia="宋体" w:hint="default"/>
          <w:w w:val="100"/>
        </w:rPr>
        <w:t>10</w:t>
      </w:r>
      <w:r>
        <w:rPr>
          <w:rFonts w:ascii="宋体" w:hAnsi="宋体" w:cs="宋体" w:eastAsia="宋体" w:hint="default"/>
          <w:spacing w:val="-80"/>
          <w:w w:val="100"/>
        </w:rPr>
        <w:t> </w:t>
      </w:r>
      <w:r>
        <w:rPr>
          <w:spacing w:val="-8"/>
          <w:w w:val="100"/>
        </w:rPr>
        <w:t>年市场占比位居中国厨电品牌第一名，拥有良好的顾客口碑、较强的渠道拉力、</w:t>
      </w:r>
      <w:r>
        <w:rPr>
          <w:w w:val="100"/>
        </w:rPr>
        <w:t> </w:t>
      </w:r>
      <w:r>
        <w:rPr/>
        <w:t>雄厚的技术实力，具备天然的高端厨电基因，帅康品牌定位为中国中高端厨电产品领导者，为顾</w:t>
      </w:r>
      <w:r>
        <w:rPr>
          <w:w w:val="100"/>
        </w:rPr>
        <w:t> </w:t>
      </w:r>
      <w:r>
        <w:rPr/>
        <w:t>客提供品质卓越、科技含量高的套系化厨房电器产品及服务。</w:t>
      </w:r>
    </w:p>
    <w:p>
      <w:pPr>
        <w:pStyle w:val="BodyText"/>
        <w:spacing w:line="348" w:lineRule="auto" w:before="31"/>
        <w:ind w:left="138" w:right="217" w:firstLine="419"/>
        <w:jc w:val="both"/>
      </w:pPr>
      <w:r>
        <w:rPr>
          <w:spacing w:val="-2"/>
        </w:rPr>
        <w:t>公司三大品牌相互独立、产品定位清晰、市场定位清晰、目标消费群体差异化，赋予了公司</w:t>
      </w:r>
      <w:r>
        <w:rPr>
          <w:w w:val="100"/>
        </w:rPr>
        <w:t> </w:t>
      </w:r>
      <w:r>
        <w:rPr/>
        <w:t>多元化基因，为公司面对不同市场、不同目标客户打下良好的基础。</w:t>
      </w:r>
    </w:p>
    <w:p>
      <w:pPr>
        <w:spacing w:line="350" w:lineRule="auto" w:before="31"/>
        <w:ind w:left="558" w:right="108" w:hanging="8"/>
        <w:jc w:val="left"/>
        <w:rPr>
          <w:rFonts w:ascii="宋体" w:hAnsi="宋体" w:cs="宋体" w:eastAsia="宋体" w:hint="default"/>
          <w:sz w:val="21"/>
          <w:szCs w:val="21"/>
        </w:rPr>
      </w:pPr>
      <w:r>
        <w:rPr>
          <w:rFonts w:ascii="宋体" w:hAnsi="宋体" w:cs="宋体" w:eastAsia="宋体" w:hint="default"/>
          <w:b/>
          <w:bCs/>
          <w:sz w:val="21"/>
          <w:szCs w:val="21"/>
        </w:rPr>
        <w:t>（二）全渠道管理能力</w:t>
      </w:r>
      <w:r>
        <w:rPr>
          <w:rFonts w:ascii="宋体" w:hAnsi="宋体" w:cs="宋体" w:eastAsia="宋体" w:hint="default"/>
          <w:b/>
          <w:bCs/>
          <w:w w:val="100"/>
          <w:sz w:val="21"/>
          <w:szCs w:val="21"/>
        </w:rPr>
        <w:t> </w:t>
      </w:r>
      <w:r>
        <w:rPr>
          <w:rFonts w:ascii="宋体" w:hAnsi="宋体" w:cs="宋体" w:eastAsia="宋体" w:hint="default"/>
          <w:spacing w:val="-2"/>
          <w:sz w:val="21"/>
          <w:szCs w:val="21"/>
        </w:rPr>
        <w:t>传统三四线城镇市场以及广大农村市场的经销商体系。太阳雨、四季沐歌长期经营三四线城</w:t>
      </w:r>
    </w:p>
    <w:p>
      <w:pPr>
        <w:pStyle w:val="BodyText"/>
        <w:spacing w:line="350" w:lineRule="auto" w:before="27"/>
        <w:ind w:left="138" w:right="108"/>
        <w:jc w:val="left"/>
      </w:pPr>
      <w:r>
        <w:rPr>
          <w:spacing w:val="-2"/>
        </w:rPr>
        <w:t>镇市场以及广大农村市场，在电商时代，相比于一二线市场的经销商实体渠道，公司拥有三四线</w:t>
      </w:r>
      <w:r>
        <w:rPr>
          <w:spacing w:val="-25"/>
        </w:rPr>
        <w:t> </w:t>
      </w:r>
      <w:r>
        <w:rPr>
          <w:spacing w:val="-25"/>
        </w:rPr>
      </w:r>
      <w:r>
        <w:rPr/>
        <w:t>市场以及广大农村市场的经销商体系极具价值。</w:t>
      </w:r>
    </w:p>
    <w:p>
      <w:pPr>
        <w:pStyle w:val="BodyText"/>
        <w:spacing w:line="350" w:lineRule="auto" w:before="29"/>
        <w:ind w:left="138" w:right="208" w:firstLine="419"/>
        <w:jc w:val="both"/>
      </w:pPr>
      <w:r>
        <w:rPr>
          <w:spacing w:val="-3"/>
        </w:rPr>
        <w:t>一二线城市经销商体系、</w:t>
      </w:r>
      <w:r>
        <w:rPr>
          <w:rFonts w:ascii="宋体" w:hAnsi="宋体" w:cs="宋体" w:eastAsia="宋体" w:hint="default"/>
          <w:spacing w:val="-3"/>
        </w:rPr>
        <w:t>KA </w:t>
      </w:r>
      <w:r>
        <w:rPr>
          <w:spacing w:val="-3"/>
        </w:rPr>
        <w:t>及电商渠道。帅康定位于中高端厨电市场，收购帅康让公司拥有</w:t>
      </w:r>
      <w:r>
        <w:rPr>
          <w:w w:val="100"/>
        </w:rPr>
        <w:t> </w:t>
      </w:r>
      <w:r>
        <w:rPr/>
        <w:t>了一二线城市的经销商体系、</w:t>
      </w:r>
      <w:r>
        <w:rPr>
          <w:rFonts w:ascii="宋体" w:hAnsi="宋体" w:cs="宋体" w:eastAsia="宋体" w:hint="default"/>
        </w:rPr>
        <w:t>KA</w:t>
      </w:r>
      <w:r>
        <w:rPr>
          <w:rFonts w:ascii="宋体" w:hAnsi="宋体" w:cs="宋体" w:eastAsia="宋体" w:hint="default"/>
          <w:spacing w:val="-30"/>
        </w:rPr>
        <w:t> </w:t>
      </w:r>
      <w:r>
        <w:rPr>
          <w:spacing w:val="-3"/>
        </w:rPr>
        <w:t>及电商渠道，提升公司面对中高端消费者的营销能力，也加强了</w:t>
      </w:r>
      <w:r>
        <w:rPr>
          <w:spacing w:val="-95"/>
        </w:rPr>
        <w:t> </w:t>
      </w:r>
      <w:r>
        <w:rPr>
          <w:spacing w:val="-95"/>
        </w:rPr>
      </w:r>
      <w:r>
        <w:rPr>
          <w:spacing w:val="-2"/>
        </w:rPr>
        <w:t>与公司原有渠道的互补性。可以预见，随着帅康与上市公司整合日益深入，公司多渠道互补性的</w:t>
      </w:r>
      <w:r>
        <w:rPr>
          <w:spacing w:val="-25"/>
        </w:rPr>
        <w:t> </w:t>
      </w:r>
      <w:r>
        <w:rPr>
          <w:spacing w:val="-25"/>
        </w:rPr>
      </w:r>
      <w:r>
        <w:rPr/>
        <w:t>优势将逐步体现。</w:t>
      </w:r>
    </w:p>
    <w:p>
      <w:pPr>
        <w:pStyle w:val="BodyText"/>
        <w:spacing w:line="350" w:lineRule="auto" w:before="27"/>
        <w:ind w:left="138" w:right="208" w:firstLine="525"/>
        <w:jc w:val="both"/>
      </w:pPr>
      <w:r>
        <w:rPr>
          <w:spacing w:val="-4"/>
        </w:rPr>
        <w:t>工程业务渠道。随着光热工程业务、厨电工程业务的发展，以及跨季节蓄热采暖、太阳墙业</w:t>
      </w:r>
      <w:r>
        <w:rPr>
          <w:w w:val="100"/>
        </w:rPr>
        <w:t> </w:t>
      </w:r>
      <w:r>
        <w:rPr>
          <w:spacing w:val="-4"/>
        </w:rPr>
        <w:t>务的拓展，公司不断打造工程销售体系，组建工程团队，提升公司</w:t>
      </w:r>
      <w:r>
        <w:rPr>
          <w:spacing w:val="-25"/>
        </w:rPr>
        <w:t> </w:t>
      </w:r>
      <w:r>
        <w:rPr>
          <w:rFonts w:ascii="宋体" w:hAnsi="宋体" w:cs="宋体" w:eastAsia="宋体" w:hint="default"/>
        </w:rPr>
        <w:t>2B</w:t>
      </w:r>
      <w:r>
        <w:rPr>
          <w:rFonts w:ascii="宋体" w:hAnsi="宋体" w:cs="宋体" w:eastAsia="宋体" w:hint="default"/>
          <w:spacing w:val="-27"/>
        </w:rPr>
        <w:t> </w:t>
      </w:r>
      <w:r>
        <w:rPr>
          <w:spacing w:val="-4"/>
        </w:rPr>
        <w:t>业务能力，提升光热工程销</w:t>
      </w:r>
      <w:r>
        <w:rPr>
          <w:spacing w:val="-96"/>
        </w:rPr>
        <w:t> </w:t>
      </w:r>
      <w:r>
        <w:rPr>
          <w:spacing w:val="-96"/>
        </w:rPr>
      </w:r>
      <w:r>
        <w:rPr/>
        <w:t>售占比。</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1"/>
        <w:tabs>
          <w:tab w:pos="3918" w:val="left" w:leader="none"/>
        </w:tabs>
        <w:spacing w:line="240" w:lineRule="auto"/>
        <w:ind w:left="2658" w:right="108"/>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5"/>
        <w:spacing w:line="240" w:lineRule="auto"/>
        <w:ind w:left="138" w:right="108"/>
        <w:jc w:val="left"/>
        <w:rPr>
          <w:b w:val="0"/>
          <w:bCs w:val="0"/>
        </w:rPr>
      </w:pPr>
      <w:r>
        <w:rPr/>
        <w:t>一、经营情况讨论与分析</w:t>
      </w:r>
      <w:r>
        <w:rPr>
          <w:b w:val="0"/>
          <w:bCs w:val="0"/>
        </w:rPr>
      </w:r>
    </w:p>
    <w:p>
      <w:pPr>
        <w:pStyle w:val="BodyText"/>
        <w:spacing w:line="350" w:lineRule="auto" w:before="166"/>
        <w:ind w:left="138" w:right="210" w:firstLine="419"/>
        <w:jc w:val="both"/>
      </w:pPr>
      <w:r>
        <w:rPr>
          <w:rFonts w:ascii="宋体" w:hAnsi="宋体" w:cs="宋体" w:eastAsia="宋体" w:hint="default"/>
        </w:rPr>
        <w:t>2017</w:t>
      </w:r>
      <w:r>
        <w:rPr>
          <w:rFonts w:ascii="宋体" w:hAnsi="宋体" w:cs="宋体" w:eastAsia="宋体" w:hint="default"/>
          <w:spacing w:val="-9"/>
        </w:rPr>
        <w:t> </w:t>
      </w:r>
      <w:r>
        <w:rPr>
          <w:spacing w:val="-3"/>
        </w:rPr>
        <w:t>年，面对太阳能零售热水器行业下行挑战，以及消费升级、雾霾治理、绿色发展、供给</w:t>
      </w:r>
      <w:r>
        <w:rPr>
          <w:w w:val="100"/>
        </w:rPr>
        <w:t> </w:t>
      </w:r>
      <w:r>
        <w:rPr>
          <w:spacing w:val="-2"/>
        </w:rPr>
        <w:t>侧改革等机遇，公司全面深化向“热水、热能、净水”等多元化业务的升级转型，紧紧围绕公司</w:t>
      </w:r>
      <w:r>
        <w:rPr>
          <w:spacing w:val="-24"/>
        </w:rPr>
        <w:t> </w:t>
      </w:r>
      <w:r>
        <w:rPr>
          <w:spacing w:val="-24"/>
        </w:rPr>
      </w:r>
      <w:r>
        <w:rPr>
          <w:spacing w:val="-2"/>
        </w:rPr>
        <w:t>年初提出的“一横一纵”战略发展方向，凝心聚力抓太阳能、空气能、净水等核心业务，加大产</w:t>
      </w:r>
      <w:r>
        <w:rPr>
          <w:spacing w:val="-25"/>
        </w:rPr>
        <w:t> </w:t>
      </w:r>
      <w:r>
        <w:rPr>
          <w:spacing w:val="-25"/>
        </w:rPr>
      </w:r>
      <w:r>
        <w:rPr>
          <w:spacing w:val="-7"/>
        </w:rPr>
        <w:t>品创新，提高产品质量，加强品牌建设，加快与帅康电气的整合步伐，发挥双方市场渠道、管理、</w:t>
      </w:r>
      <w:r>
        <w:rPr>
          <w:spacing w:val="-12"/>
        </w:rPr>
        <w:t> </w:t>
      </w:r>
      <w:r>
        <w:rPr>
          <w:spacing w:val="-12"/>
        </w:rPr>
      </w:r>
      <w:r>
        <w:rPr>
          <w:spacing w:val="-2"/>
        </w:rPr>
        <w:t>技术的协同效应，旨在形成厨电业务与公司原有业务并重的局面，优化产业布局。同时，积极探</w:t>
      </w:r>
      <w:r>
        <w:rPr>
          <w:spacing w:val="-25"/>
        </w:rPr>
        <w:t> </w:t>
      </w:r>
      <w:r>
        <w:rPr>
          <w:spacing w:val="-25"/>
        </w:rPr>
      </w:r>
      <w:r>
        <w:rPr/>
        <w:t>索热水向采暖和建筑节能的纵深拓展。</w:t>
      </w:r>
    </w:p>
    <w:p>
      <w:pPr>
        <w:spacing w:after="0" w:line="350" w:lineRule="auto"/>
        <w:jc w:val="both"/>
        <w:sectPr>
          <w:footerReference w:type="default" r:id="rId14"/>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58" w:right="108"/>
        <w:jc w:val="left"/>
      </w:pPr>
      <w:r>
        <w:rPr>
          <w:rFonts w:ascii="宋体" w:hAnsi="宋体" w:cs="宋体" w:eastAsia="宋体" w:hint="default"/>
        </w:rPr>
        <w:t>2017</w:t>
      </w:r>
      <w:r>
        <w:rPr>
          <w:rFonts w:ascii="宋体" w:hAnsi="宋体" w:cs="宋体" w:eastAsia="宋体" w:hint="default"/>
          <w:spacing w:val="13"/>
        </w:rPr>
        <w:t> </w:t>
      </w:r>
      <w:r>
        <w:rPr>
          <w:spacing w:val="-3"/>
        </w:rPr>
        <w:t>年，公司新业务培育期延长，传统的零售太阳能业务下滑，新收购的帅康厨电业务处于</w:t>
      </w:r>
    </w:p>
    <w:p>
      <w:pPr>
        <w:pStyle w:val="BodyText"/>
        <w:spacing w:line="240" w:lineRule="auto" w:before="126"/>
        <w:ind w:left="138" w:right="0"/>
        <w:jc w:val="both"/>
      </w:pPr>
      <w:r>
        <w:rPr/>
        <w:t>整合期，导致公司经营业绩未达到预期。按照会计准则，公司</w:t>
      </w:r>
      <w:r>
        <w:rPr>
          <w:spacing w:val="-57"/>
        </w:rPr>
        <w:t> </w:t>
      </w:r>
      <w:r>
        <w:rPr>
          <w:rFonts w:ascii="宋体" w:hAnsi="宋体" w:cs="宋体" w:eastAsia="宋体" w:hint="default"/>
        </w:rPr>
        <w:t>2017</w:t>
      </w:r>
      <w:r>
        <w:rPr>
          <w:rFonts w:ascii="宋体" w:hAnsi="宋体" w:cs="宋体" w:eastAsia="宋体" w:hint="default"/>
          <w:spacing w:val="-57"/>
        </w:rPr>
        <w:t> </w:t>
      </w:r>
      <w:r>
        <w:rPr/>
        <w:t>年实现营业收入人民币</w:t>
      </w:r>
    </w:p>
    <w:p>
      <w:pPr>
        <w:pStyle w:val="BodyText"/>
        <w:spacing w:line="348" w:lineRule="auto" w:before="126"/>
        <w:ind w:left="138" w:right="207"/>
        <w:jc w:val="both"/>
      </w:pPr>
      <w:r>
        <w:rPr>
          <w:rFonts w:ascii="宋体" w:hAnsi="宋体" w:cs="宋体" w:eastAsia="宋体" w:hint="default"/>
        </w:rPr>
        <w:t>2,783,914,360.60</w:t>
      </w:r>
      <w:r>
        <w:rPr>
          <w:rFonts w:ascii="宋体" w:hAnsi="宋体" w:cs="宋体" w:eastAsia="宋体" w:hint="default"/>
          <w:spacing w:val="-41"/>
        </w:rPr>
        <w:t> </w:t>
      </w:r>
      <w:r>
        <w:rPr>
          <w:spacing w:val="-3"/>
        </w:rPr>
        <w:t>元，归属于上市公司股东的净利润人民币</w:t>
      </w:r>
      <w:r>
        <w:rPr>
          <w:spacing w:val="-39"/>
        </w:rPr>
        <w:t> </w:t>
      </w:r>
      <w:r>
        <w:rPr>
          <w:rFonts w:ascii="宋体" w:hAnsi="宋体" w:cs="宋体" w:eastAsia="宋体" w:hint="default"/>
        </w:rPr>
        <w:t>54,768,831.34</w:t>
      </w:r>
      <w:r>
        <w:rPr>
          <w:rFonts w:ascii="宋体" w:hAnsi="宋体" w:cs="宋体" w:eastAsia="宋体" w:hint="default"/>
          <w:spacing w:val="-41"/>
        </w:rPr>
        <w:t> </w:t>
      </w:r>
      <w:r>
        <w:rPr>
          <w:spacing w:val="-4"/>
        </w:rPr>
        <w:t>元（具体原因详见经</w:t>
      </w:r>
      <w:r>
        <w:rPr>
          <w:spacing w:val="-100"/>
        </w:rPr>
        <w:t> </w:t>
      </w:r>
      <w:r>
        <w:rPr>
          <w:spacing w:val="-100"/>
        </w:rPr>
      </w:r>
      <w:r>
        <w:rPr/>
        <w:t>营分析）。</w:t>
      </w:r>
    </w:p>
    <w:p>
      <w:pPr>
        <w:pStyle w:val="BodyText"/>
        <w:spacing w:line="350" w:lineRule="auto" w:before="31"/>
        <w:ind w:left="138" w:right="275" w:firstLine="419"/>
        <w:jc w:val="both"/>
      </w:pPr>
      <w:r>
        <w:rPr>
          <w:rFonts w:ascii="宋体" w:hAnsi="宋体" w:cs="宋体" w:eastAsia="宋体" w:hint="default"/>
        </w:rPr>
        <w:t>2017 </w:t>
      </w:r>
      <w:r>
        <w:rPr/>
        <w:t>年，公司确立了新的战略目标：公司透过宏观政策环境，把握</w:t>
      </w:r>
      <w:r>
        <w:rPr>
          <w:spacing w:val="-61"/>
        </w:rPr>
        <w:t> </w:t>
      </w:r>
      <w:r>
        <w:rPr/>
        <w:t>“消费升级”和“绿色</w:t>
      </w:r>
      <w:r>
        <w:rPr>
          <w:w w:val="100"/>
        </w:rPr>
        <w:t> </w:t>
      </w:r>
      <w:r>
        <w:rPr/>
        <w:t>发展、消除雾霾”两大战略性趋势和机遇，确立了“一横一纵”的战略发展目标。</w:t>
      </w:r>
    </w:p>
    <w:p>
      <w:pPr>
        <w:pStyle w:val="BodyText"/>
        <w:spacing w:line="350" w:lineRule="auto" w:before="27"/>
        <w:ind w:left="138" w:right="217" w:firstLine="419"/>
        <w:jc w:val="both"/>
      </w:pPr>
      <w:r>
        <w:rPr>
          <w:rFonts w:ascii="宋体" w:hAnsi="宋体" w:cs="宋体" w:eastAsia="宋体" w:hint="default"/>
        </w:rPr>
        <w:t>2017</w:t>
      </w:r>
      <w:r>
        <w:rPr>
          <w:rFonts w:ascii="宋体" w:hAnsi="宋体" w:cs="宋体" w:eastAsia="宋体" w:hint="default"/>
          <w:spacing w:val="-58"/>
        </w:rPr>
        <w:t> </w:t>
      </w:r>
      <w:r>
        <w:rPr/>
        <w:t>年，太阳能业务方面：零售太阳能继续下滑</w:t>
      </w:r>
      <w:r>
        <w:rPr>
          <w:rFonts w:ascii="宋体" w:hAnsi="宋体" w:cs="宋体" w:eastAsia="宋体" w:hint="default"/>
        </w:rPr>
        <w:t>,</w:t>
      </w:r>
      <w:r>
        <w:rPr/>
        <w:t>公司坚持太阳雨、四季沐歌中高端的市场</w:t>
      </w:r>
      <w:r>
        <w:rPr>
          <w:w w:val="100"/>
        </w:rPr>
        <w:t> </w:t>
      </w:r>
      <w:r>
        <w:rPr>
          <w:spacing w:val="-2"/>
        </w:rPr>
        <w:t>定位和产品定价，加大新品的研发及推广力度，从而最大限度地保证了可持续的市场运作空间。</w:t>
      </w:r>
      <w:r>
        <w:rPr>
          <w:spacing w:val="-25"/>
        </w:rPr>
        <w:t> </w:t>
      </w:r>
      <w:r>
        <w:rPr>
          <w:spacing w:val="-25"/>
        </w:rPr>
      </w:r>
      <w:r>
        <w:rPr>
          <w:spacing w:val="-2"/>
        </w:rPr>
        <w:t>近几年太阳能工程市场呈现快速增长态势，公司紧抓机遇，积极开拓工程市场，与多家房地产公</w:t>
      </w:r>
      <w:r>
        <w:rPr>
          <w:spacing w:val="-25"/>
        </w:rPr>
        <w:t> </w:t>
      </w:r>
      <w:r>
        <w:rPr>
          <w:spacing w:val="-25"/>
        </w:rPr>
      </w:r>
      <w:r>
        <w:rPr>
          <w:spacing w:val="-2"/>
        </w:rPr>
        <w:t>司开展了深度合作，同时加大工程项目人员和资金投入力度，推进多能源互补应用，以太阳能加</w:t>
      </w:r>
      <w:r>
        <w:rPr>
          <w:spacing w:val="-24"/>
        </w:rPr>
        <w:t> </w:t>
      </w:r>
      <w:r>
        <w:rPr>
          <w:spacing w:val="-24"/>
        </w:rPr>
      </w:r>
      <w:r>
        <w:rPr/>
        <w:t>空气能、地源、水源热泵等能源互补形式，建立不同领域的示范工程。</w:t>
      </w:r>
    </w:p>
    <w:p>
      <w:pPr>
        <w:pStyle w:val="BodyText"/>
        <w:spacing w:line="348" w:lineRule="auto" w:before="29"/>
        <w:ind w:left="138" w:right="210" w:firstLine="419"/>
        <w:jc w:val="both"/>
      </w:pPr>
      <w:r>
        <w:rPr>
          <w:rFonts w:ascii="宋体" w:hAnsi="宋体" w:cs="宋体" w:eastAsia="宋体" w:hint="default"/>
        </w:rPr>
        <w:t>2017</w:t>
      </w:r>
      <w:r>
        <w:rPr>
          <w:rFonts w:ascii="宋体" w:hAnsi="宋体" w:cs="宋体" w:eastAsia="宋体" w:hint="default"/>
          <w:spacing w:val="-38"/>
        </w:rPr>
        <w:t> </w:t>
      </w:r>
      <w:r>
        <w:rPr>
          <w:spacing w:val="-3"/>
        </w:rPr>
        <w:t>年，净水业务方面：太阳雨成为水效国标起草单位；并通过美国</w:t>
      </w:r>
      <w:r>
        <w:rPr>
          <w:spacing w:val="-35"/>
        </w:rPr>
        <w:t> </w:t>
      </w:r>
      <w:r>
        <w:rPr>
          <w:rFonts w:ascii="宋体" w:hAnsi="宋体" w:cs="宋体" w:eastAsia="宋体" w:hint="default"/>
        </w:rPr>
        <w:t>WQA</w:t>
      </w:r>
      <w:r>
        <w:rPr>
          <w:rFonts w:ascii="宋体" w:hAnsi="宋体" w:cs="宋体" w:eastAsia="宋体" w:hint="default"/>
          <w:spacing w:val="-38"/>
        </w:rPr>
        <w:t> </w:t>
      </w:r>
      <w:r>
        <w:rPr>
          <w:spacing w:val="-3"/>
        </w:rPr>
        <w:t>水质认证；先后推</w:t>
      </w:r>
      <w:r>
        <w:rPr>
          <w:w w:val="100"/>
        </w:rPr>
        <w:t> </w:t>
      </w:r>
      <w:r>
        <w:rPr>
          <w:spacing w:val="-2"/>
        </w:rPr>
        <w:t>出智尚、智净、智芯系列净水机，以“不费水、不用电、不换芯”的零能耗净水技术，以及创新</w:t>
      </w:r>
      <w:r>
        <w:rPr>
          <w:spacing w:val="-26"/>
        </w:rPr>
        <w:t> </w:t>
      </w:r>
      <w:r>
        <w:rPr>
          <w:spacing w:val="-26"/>
        </w:rPr>
      </w:r>
      <w:r>
        <w:rPr/>
        <w:t>型母婴净水机，引领中国净水新时代。四季沐歌</w:t>
      </w:r>
      <w:r>
        <w:rPr>
          <w:spacing w:val="-56"/>
        </w:rPr>
        <w:t> </w:t>
      </w:r>
      <w:r>
        <w:rPr>
          <w:rFonts w:ascii="宋体" w:hAnsi="宋体" w:cs="宋体" w:eastAsia="宋体" w:hint="default"/>
        </w:rPr>
        <w:t>WOW</w:t>
      </w:r>
      <w:r>
        <w:rPr>
          <w:rFonts w:ascii="宋体" w:hAnsi="宋体" w:cs="宋体" w:eastAsia="宋体" w:hint="default"/>
          <w:spacing w:val="-55"/>
        </w:rPr>
        <w:t> </w:t>
      </w:r>
      <w:r>
        <w:rPr/>
        <w:t>净水机，引进美国先进技术，开创无电、无</w:t>
      </w:r>
      <w:r>
        <w:rPr>
          <w:w w:val="100"/>
        </w:rPr>
        <w:t> </w:t>
      </w:r>
      <w:r>
        <w:rPr>
          <w:spacing w:val="-2"/>
        </w:rPr>
        <w:t>泵的三秒一杯水大流量时代；同时升级航天双净技术，推出新一代航天净水机；成为首批进入校</w:t>
      </w:r>
      <w:r>
        <w:rPr>
          <w:spacing w:val="-24"/>
        </w:rPr>
        <w:t> </w:t>
      </w:r>
      <w:r>
        <w:rPr>
          <w:spacing w:val="-24"/>
        </w:rPr>
      </w:r>
      <w:r>
        <w:rPr/>
        <w:t>园的饮用水设备推荐试点单位。</w:t>
      </w:r>
    </w:p>
    <w:p>
      <w:pPr>
        <w:pStyle w:val="BodyText"/>
        <w:spacing w:line="240" w:lineRule="auto" w:before="32"/>
        <w:ind w:left="558" w:right="108"/>
        <w:jc w:val="left"/>
      </w:pPr>
      <w:r>
        <w:rPr>
          <w:rFonts w:ascii="宋体" w:hAnsi="宋体" w:cs="宋体" w:eastAsia="宋体" w:hint="default"/>
        </w:rPr>
        <w:t>2017</w:t>
      </w:r>
      <w:r>
        <w:rPr>
          <w:rFonts w:ascii="宋体" w:hAnsi="宋体" w:cs="宋体" w:eastAsia="宋体" w:hint="default"/>
          <w:spacing w:val="14"/>
        </w:rPr>
        <w:t> </w:t>
      </w:r>
      <w:r>
        <w:rPr>
          <w:spacing w:val="-2"/>
        </w:rPr>
        <w:t>年，空气能业务方面：广东空气能搬迁到新工厂</w:t>
      </w:r>
      <w:r>
        <w:rPr>
          <w:rFonts w:ascii="宋体" w:hAnsi="宋体" w:cs="宋体" w:eastAsia="宋体" w:hint="default"/>
          <w:spacing w:val="-2"/>
        </w:rPr>
        <w:t>-</w:t>
      </w:r>
      <w:r>
        <w:rPr>
          <w:spacing w:val="-2"/>
        </w:rPr>
        <w:t>顺德基地空气能新产业园，公司加大</w:t>
      </w:r>
    </w:p>
    <w:p>
      <w:pPr>
        <w:pStyle w:val="BodyText"/>
        <w:spacing w:line="350" w:lineRule="auto" w:before="126"/>
        <w:ind w:left="138" w:right="207"/>
        <w:jc w:val="both"/>
      </w:pPr>
      <w:r>
        <w:rPr>
          <w:spacing w:val="-5"/>
        </w:rPr>
        <w:t>了技改投入，产品线进一步扩充，涵括了</w:t>
      </w:r>
      <w:r>
        <w:rPr>
          <w:spacing w:val="-45"/>
        </w:rPr>
        <w:t> </w:t>
      </w:r>
      <w:r>
        <w:rPr>
          <w:rFonts w:ascii="宋体" w:hAnsi="宋体" w:cs="宋体" w:eastAsia="宋体" w:hint="default"/>
        </w:rPr>
        <w:t>80</w:t>
      </w:r>
      <w:r>
        <w:rPr>
          <w:rFonts w:ascii="宋体" w:hAnsi="宋体" w:cs="宋体" w:eastAsia="宋体" w:hint="default"/>
          <w:spacing w:val="-43"/>
        </w:rPr>
        <w:t> </w:t>
      </w:r>
      <w:r>
        <w:rPr/>
        <w:t>升到</w:t>
      </w:r>
      <w:r>
        <w:rPr>
          <w:spacing w:val="-43"/>
        </w:rPr>
        <w:t> </w:t>
      </w:r>
      <w:r>
        <w:rPr>
          <w:rFonts w:ascii="宋体" w:hAnsi="宋体" w:cs="宋体" w:eastAsia="宋体" w:hint="default"/>
        </w:rPr>
        <w:t>300</w:t>
      </w:r>
      <w:r>
        <w:rPr>
          <w:rFonts w:ascii="宋体" w:hAnsi="宋体" w:cs="宋体" w:eastAsia="宋体" w:hint="default"/>
          <w:spacing w:val="-42"/>
        </w:rPr>
        <w:t> </w:t>
      </w:r>
      <w:r>
        <w:rPr>
          <w:spacing w:val="-3"/>
        </w:rPr>
        <w:t>升的房地产单机集采工程产品、北方超低温</w:t>
      </w:r>
      <w:r>
        <w:rPr>
          <w:spacing w:val="-101"/>
        </w:rPr>
        <w:t> </w:t>
      </w:r>
      <w:r>
        <w:rPr>
          <w:spacing w:val="-101"/>
        </w:rPr>
      </w:r>
      <w:r>
        <w:rPr/>
        <w:t>采暖机组由</w:t>
      </w:r>
      <w:r>
        <w:rPr>
          <w:spacing w:val="-55"/>
        </w:rPr>
        <w:t> </w:t>
      </w:r>
      <w:r>
        <w:rPr>
          <w:rFonts w:ascii="宋体" w:hAnsi="宋体" w:cs="宋体" w:eastAsia="宋体" w:hint="default"/>
        </w:rPr>
        <w:t>20P</w:t>
      </w:r>
      <w:r>
        <w:rPr>
          <w:rFonts w:ascii="宋体" w:hAnsi="宋体" w:cs="宋体" w:eastAsia="宋体" w:hint="default"/>
          <w:spacing w:val="-57"/>
        </w:rPr>
        <w:t> </w:t>
      </w:r>
      <w:r>
        <w:rPr/>
        <w:t>拓宽到</w:t>
      </w:r>
      <w:r>
        <w:rPr>
          <w:spacing w:val="-54"/>
        </w:rPr>
        <w:t> </w:t>
      </w:r>
      <w:r>
        <w:rPr>
          <w:rFonts w:ascii="宋体" w:hAnsi="宋体" w:cs="宋体" w:eastAsia="宋体" w:hint="default"/>
        </w:rPr>
        <w:t>40P</w:t>
      </w:r>
      <w:r>
        <w:rPr/>
        <w:t>，提升了精益制造能力，实现了产品品质的可控性。</w:t>
      </w:r>
      <w:r>
        <w:rPr>
          <w:rFonts w:ascii="宋体" w:hAnsi="宋体" w:cs="宋体" w:eastAsia="宋体" w:hint="default"/>
        </w:rPr>
        <w:t>2017</w:t>
      </w:r>
      <w:r>
        <w:rPr>
          <w:rFonts w:ascii="宋体" w:hAnsi="宋体" w:cs="宋体" w:eastAsia="宋体" w:hint="default"/>
          <w:spacing w:val="-55"/>
        </w:rPr>
        <w:t> </w:t>
      </w:r>
      <w:r>
        <w:rPr/>
        <w:t>年，公司空</w:t>
      </w:r>
      <w:r>
        <w:rPr>
          <w:w w:val="100"/>
        </w:rPr>
        <w:t> </w:t>
      </w:r>
      <w:r>
        <w:rPr>
          <w:spacing w:val="-2"/>
        </w:rPr>
        <w:t>气能产业取得突破性进展，太阳雨及四季沐歌先后发布多款空气能新品，中标北京昌平、房山、</w:t>
      </w:r>
      <w:r>
        <w:rPr>
          <w:spacing w:val="-25"/>
        </w:rPr>
        <w:t> </w:t>
      </w:r>
      <w:r>
        <w:rPr>
          <w:spacing w:val="-25"/>
        </w:rPr>
      </w:r>
      <w:r>
        <w:rPr/>
        <w:t>保定、廊坊等多地煤改电项目，斩获众多行业奖项，成为空气能产业的强势新军。</w:t>
      </w:r>
    </w:p>
    <w:p>
      <w:pPr>
        <w:pStyle w:val="BodyText"/>
        <w:spacing w:line="350" w:lineRule="auto" w:before="27"/>
        <w:ind w:left="138" w:right="217" w:firstLine="419"/>
        <w:jc w:val="both"/>
      </w:pPr>
      <w:r>
        <w:rPr>
          <w:rFonts w:ascii="宋体" w:hAnsi="宋体" w:cs="宋体" w:eastAsia="宋体" w:hint="default"/>
        </w:rPr>
        <w:t>2017</w:t>
      </w:r>
      <w:r>
        <w:rPr>
          <w:rFonts w:ascii="宋体" w:hAnsi="宋体" w:cs="宋体" w:eastAsia="宋体" w:hint="default"/>
          <w:spacing w:val="-56"/>
        </w:rPr>
        <w:t> </w:t>
      </w:r>
      <w:r>
        <w:rPr/>
        <w:t>年，厨电业务方面：</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月底，公司出资人民币</w:t>
      </w:r>
      <w:r>
        <w:rPr>
          <w:spacing w:val="-54"/>
        </w:rPr>
        <w:t> </w:t>
      </w:r>
      <w:r>
        <w:rPr>
          <w:rFonts w:ascii="宋体" w:hAnsi="宋体" w:cs="宋体" w:eastAsia="宋体" w:hint="default"/>
        </w:rPr>
        <w:t>7.35</w:t>
      </w:r>
      <w:r>
        <w:rPr>
          <w:rFonts w:ascii="宋体" w:hAnsi="宋体" w:cs="宋体" w:eastAsia="宋体" w:hint="default"/>
          <w:spacing w:val="-54"/>
        </w:rPr>
        <w:t> </w:t>
      </w:r>
      <w:r>
        <w:rPr/>
        <w:t>亿完成了对帅康电气</w:t>
      </w:r>
      <w:r>
        <w:rPr>
          <w:spacing w:val="-53"/>
        </w:rPr>
        <w:t> </w:t>
      </w:r>
      <w:r>
        <w:rPr>
          <w:rFonts w:ascii="宋体" w:hAnsi="宋体" w:cs="宋体" w:eastAsia="宋体" w:hint="default"/>
        </w:rPr>
        <w:t>75%</w:t>
      </w:r>
      <w:r>
        <w:rPr/>
        <w:t>股</w:t>
      </w:r>
      <w:r>
        <w:rPr>
          <w:w w:val="100"/>
        </w:rPr>
        <w:t> </w:t>
      </w:r>
      <w:r>
        <w:rPr>
          <w:spacing w:val="-2"/>
        </w:rPr>
        <w:t>权的收购，之后双方围绕“采购协同、生产协同、管理协同、品牌协同、物流协同、渠道协同”</w:t>
      </w:r>
      <w:r>
        <w:rPr>
          <w:spacing w:val="-25"/>
        </w:rPr>
        <w:t> </w:t>
      </w:r>
      <w:r>
        <w:rPr>
          <w:spacing w:val="-25"/>
        </w:rPr>
      </w:r>
      <w:r>
        <w:rPr>
          <w:spacing w:val="-2"/>
        </w:rPr>
        <w:t>六大协同开展工作，通过整合互补，目前，帅康股份在产品研发、供应链管理、品牌传播上取得</w:t>
      </w:r>
      <w:r>
        <w:rPr>
          <w:spacing w:val="-25"/>
        </w:rPr>
        <w:t> </w:t>
      </w:r>
      <w:r>
        <w:rPr>
          <w:spacing w:val="-25"/>
        </w:rPr>
      </w:r>
      <w:r>
        <w:rPr/>
        <w:t>突破，部分业务有了较大的增长。帅康厨电业务从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日开始纳入合并报表，</w:t>
      </w:r>
      <w:r>
        <w:rPr>
          <w:rFonts w:ascii="宋体" w:hAnsi="宋体" w:cs="宋体" w:eastAsia="宋体" w:hint="default"/>
        </w:rPr>
        <w:t>4</w:t>
      </w:r>
      <w:r>
        <w:rPr>
          <w:rFonts w:ascii="宋体" w:hAnsi="宋体" w:cs="宋体" w:eastAsia="宋体" w:hint="default"/>
          <w:spacing w:val="-55"/>
        </w:rPr>
        <w:t> </w:t>
      </w:r>
      <w:r>
        <w:rPr/>
        <w:t>月至</w:t>
      </w:r>
    </w:p>
    <w:p>
      <w:pPr>
        <w:pStyle w:val="BodyText"/>
        <w:spacing w:line="240" w:lineRule="auto" w:before="29"/>
        <w:ind w:left="138" w:right="0"/>
        <w:jc w:val="both"/>
      </w:pPr>
      <w:r>
        <w:rPr>
          <w:rFonts w:ascii="宋体" w:hAnsi="宋体" w:cs="宋体" w:eastAsia="宋体" w:hint="default"/>
        </w:rPr>
        <w:t>12</w:t>
      </w:r>
      <w:r>
        <w:rPr>
          <w:rFonts w:ascii="宋体" w:hAnsi="宋体" w:cs="宋体" w:eastAsia="宋体" w:hint="default"/>
          <w:spacing w:val="-43"/>
        </w:rPr>
        <w:t> </w:t>
      </w:r>
      <w:r>
        <w:rPr/>
        <w:t>月实现销售收入</w:t>
      </w:r>
      <w:r>
        <w:rPr>
          <w:spacing w:val="-43"/>
        </w:rPr>
        <w:t> </w:t>
      </w:r>
      <w:r>
        <w:rPr>
          <w:rFonts w:ascii="宋体" w:hAnsi="宋体" w:cs="宋体" w:eastAsia="宋体" w:hint="default"/>
        </w:rPr>
        <w:t>6.34</w:t>
      </w:r>
      <w:r>
        <w:rPr>
          <w:rFonts w:ascii="宋体" w:hAnsi="宋体" w:cs="宋体" w:eastAsia="宋体" w:hint="default"/>
          <w:spacing w:val="-46"/>
        </w:rPr>
        <w:t> </w:t>
      </w:r>
      <w:r>
        <w:rPr>
          <w:spacing w:val="-4"/>
        </w:rPr>
        <w:t>亿元，单体报表净利润</w:t>
      </w:r>
      <w:r>
        <w:rPr>
          <w:spacing w:val="-46"/>
        </w:rPr>
        <w:t> </w:t>
      </w:r>
      <w:r>
        <w:rPr>
          <w:rFonts w:ascii="宋体" w:hAnsi="宋体" w:cs="宋体" w:eastAsia="宋体" w:hint="default"/>
        </w:rPr>
        <w:t>2,684.51</w:t>
      </w:r>
      <w:r>
        <w:rPr>
          <w:rFonts w:ascii="宋体" w:hAnsi="宋体" w:cs="宋体" w:eastAsia="宋体" w:hint="default"/>
          <w:spacing w:val="-46"/>
        </w:rPr>
        <w:t> </w:t>
      </w:r>
      <w:r>
        <w:rPr>
          <w:spacing w:val="-3"/>
        </w:rPr>
        <w:t>万元，考虑到非同一控制企业合并评估</w:t>
      </w:r>
    </w:p>
    <w:p>
      <w:pPr>
        <w:pStyle w:val="BodyText"/>
        <w:spacing w:line="240" w:lineRule="auto" w:before="126"/>
        <w:ind w:left="138" w:right="0"/>
        <w:jc w:val="both"/>
      </w:pPr>
      <w:r>
        <w:rPr/>
        <w:t>增值的折旧与摊销之影响，并表净利润为</w:t>
      </w:r>
      <w:r>
        <w:rPr>
          <w:spacing w:val="-56"/>
        </w:rPr>
        <w:t> </w:t>
      </w:r>
      <w:r>
        <w:rPr>
          <w:rFonts w:ascii="宋体" w:hAnsi="宋体" w:cs="宋体" w:eastAsia="宋体" w:hint="default"/>
        </w:rPr>
        <w:t>2,397.69</w:t>
      </w:r>
      <w:r>
        <w:rPr>
          <w:rFonts w:ascii="宋体" w:hAnsi="宋体" w:cs="宋体" w:eastAsia="宋体" w:hint="default"/>
          <w:spacing w:val="-58"/>
        </w:rPr>
        <w:t> </w:t>
      </w:r>
      <w:r>
        <w:rPr/>
        <w:t>万元，其中归属于上市公司股东的净利润为</w:t>
      </w:r>
    </w:p>
    <w:p>
      <w:pPr>
        <w:pStyle w:val="BodyText"/>
        <w:spacing w:line="240" w:lineRule="auto" w:before="123"/>
        <w:ind w:left="138" w:right="0"/>
        <w:jc w:val="both"/>
      </w:pPr>
      <w:r>
        <w:rPr>
          <w:rFonts w:ascii="宋体" w:hAnsi="宋体" w:cs="宋体" w:eastAsia="宋体" w:hint="default"/>
        </w:rPr>
        <w:t>1,798.26</w:t>
      </w:r>
      <w:r>
        <w:rPr>
          <w:rFonts w:ascii="宋体" w:hAnsi="宋体" w:cs="宋体" w:eastAsia="宋体" w:hint="default"/>
          <w:spacing w:val="-54"/>
        </w:rPr>
        <w:t> </w:t>
      </w:r>
      <w:r>
        <w:rPr/>
        <w:t>万元。</w:t>
      </w:r>
    </w:p>
    <w:p>
      <w:pPr>
        <w:pStyle w:val="BodyText"/>
        <w:spacing w:line="350" w:lineRule="auto" w:before="126"/>
        <w:ind w:left="138" w:right="104" w:firstLine="525"/>
        <w:jc w:val="left"/>
      </w:pPr>
      <w:r>
        <w:rPr>
          <w:rFonts w:ascii="宋体" w:hAnsi="宋体" w:cs="宋体" w:eastAsia="宋体" w:hint="default"/>
        </w:rPr>
        <w:t>2017</w:t>
      </w:r>
      <w:r>
        <w:rPr>
          <w:rFonts w:ascii="宋体" w:hAnsi="宋体" w:cs="宋体" w:eastAsia="宋体" w:hint="default"/>
          <w:spacing w:val="-39"/>
        </w:rPr>
        <w:t> </w:t>
      </w:r>
      <w:r>
        <w:rPr/>
        <w:t>年，品牌建设方面：太阳雨与央广联合，面向</w:t>
      </w:r>
      <w:r>
        <w:rPr>
          <w:spacing w:val="-34"/>
        </w:rPr>
        <w:t> </w:t>
      </w:r>
      <w:r>
        <w:rPr>
          <w:rFonts w:ascii="宋体" w:hAnsi="宋体" w:cs="宋体" w:eastAsia="宋体" w:hint="default"/>
        </w:rPr>
        <w:t>14</w:t>
      </w:r>
      <w:r>
        <w:rPr>
          <w:rFonts w:ascii="宋体" w:hAnsi="宋体" w:cs="宋体" w:eastAsia="宋体" w:hint="default"/>
          <w:spacing w:val="-33"/>
        </w:rPr>
        <w:t> </w:t>
      </w:r>
      <w:r>
        <w:rPr/>
        <w:t>亿人群，实现中国全领土无缝覆盖，</w:t>
      </w:r>
      <w:r>
        <w:rPr>
          <w:w w:val="100"/>
        </w:rPr>
        <w:t> </w:t>
      </w:r>
      <w:r>
        <w:rPr/>
        <w:t>以国家电台传递太阳雨品牌最强音；晋级中国环保事业战略合作伙伴，助力生态中国建设；林志</w:t>
      </w:r>
      <w:r>
        <w:rPr>
          <w:w w:val="100"/>
        </w:rPr>
        <w:t> </w:t>
      </w:r>
      <w:r>
        <w:rPr/>
        <w:t>玲正式出任“太阳雨集团全球首席品牌官”。四季沐歌登上中国品牌价值</w:t>
      </w:r>
      <w:r>
        <w:rPr>
          <w:spacing w:val="-55"/>
        </w:rPr>
        <w:t> </w:t>
      </w:r>
      <w:r>
        <w:rPr>
          <w:rFonts w:ascii="宋体" w:hAnsi="宋体" w:cs="宋体" w:eastAsia="宋体" w:hint="default"/>
        </w:rPr>
        <w:t>500</w:t>
      </w:r>
      <w:r>
        <w:rPr>
          <w:rFonts w:ascii="宋体" w:hAnsi="宋体" w:cs="宋体" w:eastAsia="宋体" w:hint="default"/>
          <w:spacing w:val="-54"/>
        </w:rPr>
        <w:t> </w:t>
      </w:r>
      <w:r>
        <w:rPr/>
        <w:t>强论坛；整合全媒</w:t>
      </w:r>
      <w:r>
        <w:rPr>
          <w:w w:val="100"/>
        </w:rPr>
        <w:t> </w:t>
      </w:r>
      <w:r>
        <w:rPr/>
        <w:t>体资源，携手新浪微博、《奔跑吧》热门综艺，《亲爱的她们》、《漂亮的李慧珍》等热门电视</w:t>
      </w:r>
      <w:r>
        <w:rPr>
          <w:w w:val="100"/>
        </w:rPr>
        <w:t> </w:t>
      </w:r>
      <w:r>
        <w:rPr/>
        <w:t>剧，打造出</w:t>
      </w:r>
      <w:r>
        <w:rPr>
          <w:spacing w:val="-55"/>
        </w:rPr>
        <w:t> </w:t>
      </w:r>
      <w:r>
        <w:rPr>
          <w:rFonts w:ascii="宋体" w:hAnsi="宋体" w:cs="宋体" w:eastAsia="宋体" w:hint="default"/>
        </w:rPr>
        <w:t>2017</w:t>
      </w:r>
      <w:r>
        <w:rPr>
          <w:rFonts w:ascii="宋体" w:hAnsi="宋体" w:cs="宋体" w:eastAsia="宋体" w:hint="default"/>
          <w:spacing w:val="-55"/>
        </w:rPr>
        <w:t> </w:t>
      </w:r>
      <w:r>
        <w:rPr/>
        <w:t>营销新范式；同时入选</w:t>
      </w:r>
      <w:r>
        <w:rPr>
          <w:spacing w:val="-54"/>
        </w:rPr>
        <w:t> </w:t>
      </w:r>
      <w:r>
        <w:rPr>
          <w:rFonts w:ascii="宋体" w:hAnsi="宋体" w:cs="宋体" w:eastAsia="宋体" w:hint="default"/>
        </w:rPr>
        <w:t>2017</w:t>
      </w:r>
      <w:r>
        <w:rPr>
          <w:rFonts w:ascii="宋体" w:hAnsi="宋体" w:cs="宋体" w:eastAsia="宋体" w:hint="default"/>
          <w:spacing w:val="-57"/>
        </w:rPr>
        <w:t> </w:t>
      </w:r>
      <w:r>
        <w:rPr/>
        <w:t>阿斯塔纳世博会指定用品供应商。帅康通过对品牌</w:t>
      </w:r>
      <w:r>
        <w:rPr>
          <w:w w:val="100"/>
        </w:rPr>
        <w:t> </w:t>
      </w:r>
      <w:r>
        <w:rPr/>
        <w:t>的重新定位，焕新品牌内涵，通过高铁、户外、央视等媒介渠道，不断加大帅康的传播广度，同</w:t>
      </w:r>
    </w:p>
    <w:p>
      <w:pPr>
        <w:spacing w:after="0" w:line="35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137"/>
        <w:jc w:val="both"/>
      </w:pPr>
      <w:r>
        <w:rPr>
          <w:spacing w:val="-2"/>
        </w:rPr>
        <w:t>时在微博、微信、头条和知乎等社会化媒体渠道，用年轻化的营销方式，与消费者互动，加深年</w:t>
      </w:r>
      <w:r>
        <w:rPr>
          <w:spacing w:val="-25"/>
        </w:rPr>
        <w:t> </w:t>
      </w:r>
      <w:r>
        <w:rPr>
          <w:spacing w:val="-25"/>
        </w:rPr>
      </w:r>
      <w:r>
        <w:rPr/>
        <w:t>轻消费者对帅康的知名度和美誉度，取得了良好的效果。</w:t>
      </w:r>
    </w:p>
    <w:p>
      <w:pPr>
        <w:pStyle w:val="BodyText"/>
        <w:spacing w:line="240" w:lineRule="auto" w:before="29"/>
        <w:ind w:left="558" w:right="0"/>
        <w:jc w:val="left"/>
      </w:pPr>
      <w:r>
        <w:rPr>
          <w:rFonts w:ascii="宋体" w:hAnsi="宋体" w:cs="宋体" w:eastAsia="宋体" w:hint="default"/>
        </w:rPr>
        <w:t>2017</w:t>
      </w:r>
      <w:r>
        <w:rPr>
          <w:rFonts w:ascii="宋体" w:hAnsi="宋体" w:cs="宋体" w:eastAsia="宋体" w:hint="default"/>
          <w:spacing w:val="7"/>
        </w:rPr>
        <w:t> </w:t>
      </w:r>
      <w:r>
        <w:rPr>
          <w:spacing w:val="-3"/>
        </w:rPr>
        <w:t>年，公司根据产业布局总体规划，结合自身经营实际需求，不断开拓新技术，加快推进</w:t>
      </w:r>
    </w:p>
    <w:p>
      <w:pPr>
        <w:pStyle w:val="BodyText"/>
        <w:spacing w:line="350" w:lineRule="auto" w:before="123"/>
        <w:ind w:left="138" w:right="130"/>
        <w:jc w:val="both"/>
      </w:pPr>
      <w:r>
        <w:rPr/>
        <w:t>研发新产品。太阳雨先后推出太阳能直膨式热泵热水一体机、太阳能采暖机、保热墙</w:t>
      </w:r>
      <w:r>
        <w:rPr>
          <w:spacing w:val="-54"/>
        </w:rPr>
        <w:t> </w:t>
      </w:r>
      <w:r>
        <w:rPr>
          <w:rFonts w:ascii="宋体" w:hAnsi="宋体" w:cs="宋体" w:eastAsia="宋体" w:hint="default"/>
        </w:rPr>
        <w:t>4.0</w:t>
      </w:r>
      <w:r>
        <w:rPr>
          <w:rFonts w:ascii="宋体" w:hAnsi="宋体" w:cs="宋体" w:eastAsia="宋体" w:hint="default"/>
          <w:spacing w:val="-55"/>
        </w:rPr>
        <w:t> </w:t>
      </w:r>
      <w:r>
        <w:rPr/>
        <w:t>排空太</w:t>
      </w:r>
      <w:r>
        <w:rPr>
          <w:w w:val="100"/>
        </w:rPr>
        <w:t> </w:t>
      </w:r>
      <w:r>
        <w:rPr>
          <w:spacing w:val="-2"/>
        </w:rPr>
        <w:t>阳能、双舱秒热太阳能、太空一体机等颠覆性产品，成就行业标杆。四季沐歌全自动太阳能全新</w:t>
      </w:r>
      <w:r>
        <w:rPr>
          <w:spacing w:val="-26"/>
        </w:rPr>
        <w:t> </w:t>
      </w:r>
      <w:r>
        <w:rPr>
          <w:spacing w:val="-26"/>
        </w:rPr>
      </w:r>
      <w:r>
        <w:rPr>
          <w:spacing w:val="-2"/>
        </w:rPr>
        <w:t>上市，设计开发出浴室柜集成热水机、太空集成热水机、相变储能热水器等一系列跨界集成热水</w:t>
      </w:r>
      <w:r>
        <w:rPr>
          <w:spacing w:val="-25"/>
        </w:rPr>
        <w:t> </w:t>
      </w:r>
      <w:r>
        <w:rPr>
          <w:spacing w:val="-25"/>
        </w:rPr>
      </w:r>
      <w:r>
        <w:rPr>
          <w:spacing w:val="-7"/>
        </w:rPr>
        <w:t>产品。帅康加大研发投入，引入国内外知名研发团队，接连推出“弧影”、“风立方”等油烟机，</w:t>
      </w:r>
      <w:r>
        <w:rPr>
          <w:spacing w:val="-17"/>
        </w:rPr>
        <w:t> </w:t>
      </w:r>
      <w:r>
        <w:rPr>
          <w:spacing w:val="-17"/>
        </w:rPr>
      </w:r>
      <w:r>
        <w:rPr>
          <w:spacing w:val="-2"/>
        </w:rPr>
        <w:t>用帅康的核心技术解决厨房吸油烟问题。同时在燃气灶上研发出“移锅熄火”、“防干烧”等核</w:t>
      </w:r>
      <w:r>
        <w:rPr>
          <w:spacing w:val="-25"/>
        </w:rPr>
        <w:t> </w:t>
      </w:r>
      <w:r>
        <w:rPr>
          <w:spacing w:val="-25"/>
        </w:rPr>
      </w:r>
      <w:r>
        <w:rPr/>
        <w:t>心技术，在嵌入式的电蒸箱、电烤箱、微波炉和电热水器、燃气热水器品类上推出新品。</w:t>
      </w:r>
    </w:p>
    <w:p>
      <w:pPr>
        <w:pStyle w:val="BodyText"/>
        <w:spacing w:line="350" w:lineRule="auto" w:before="27"/>
        <w:ind w:left="138" w:right="132" w:firstLine="419"/>
        <w:jc w:val="both"/>
      </w:pPr>
      <w:r>
        <w:rPr>
          <w:rFonts w:ascii="宋体" w:hAnsi="宋体" w:cs="宋体" w:eastAsia="宋体" w:hint="default"/>
        </w:rPr>
        <w:t>2017</w:t>
      </w:r>
      <w:r>
        <w:rPr>
          <w:rFonts w:ascii="宋体" w:hAnsi="宋体" w:cs="宋体" w:eastAsia="宋体" w:hint="default"/>
          <w:spacing w:val="-9"/>
        </w:rPr>
        <w:t> </w:t>
      </w:r>
      <w:r>
        <w:rPr>
          <w:spacing w:val="-3"/>
        </w:rPr>
        <w:t>年，公司流程再度优化简化，企业微信全面推广上线，移动</w:t>
      </w:r>
      <w:r>
        <w:rPr>
          <w:rFonts w:ascii="宋体" w:hAnsi="宋体" w:cs="宋体" w:eastAsia="宋体" w:hint="default"/>
          <w:spacing w:val="-3"/>
        </w:rPr>
        <w:t>BI</w:t>
      </w:r>
      <w:r>
        <w:rPr>
          <w:spacing w:val="-3"/>
        </w:rPr>
        <w:t>系统上线，新呼叫中心系</w:t>
      </w:r>
      <w:r>
        <w:rPr>
          <w:w w:val="100"/>
        </w:rPr>
        <w:t> </w:t>
      </w:r>
      <w:r>
        <w:rPr>
          <w:spacing w:val="-2"/>
        </w:rPr>
        <w:t>统切换上线；奈固</w:t>
      </w:r>
      <w:r>
        <w:rPr>
          <w:rFonts w:ascii="宋体" w:hAnsi="宋体" w:cs="宋体" w:eastAsia="宋体" w:hint="default"/>
          <w:spacing w:val="-2"/>
        </w:rPr>
        <w:t>ERP</w:t>
      </w:r>
      <w:r>
        <w:rPr>
          <w:spacing w:val="-2"/>
        </w:rPr>
        <w:t>系统和</w:t>
      </w:r>
      <w:r>
        <w:rPr>
          <w:rFonts w:ascii="宋体" w:hAnsi="宋体" w:cs="宋体" w:eastAsia="宋体" w:hint="default"/>
          <w:spacing w:val="-2"/>
        </w:rPr>
        <w:t>CRM</w:t>
      </w:r>
      <w:r>
        <w:rPr>
          <w:spacing w:val="-2"/>
        </w:rPr>
        <w:t>系统上线；质量可追溯系统上线，信息与数据中心着力打造的企</w:t>
      </w:r>
      <w:r>
        <w:rPr>
          <w:spacing w:val="-27"/>
        </w:rPr>
        <w:t> </w:t>
      </w:r>
      <w:r>
        <w:rPr>
          <w:spacing w:val="-27"/>
        </w:rPr>
      </w:r>
      <w:r>
        <w:rPr/>
        <w:t>业移动互联网化能力和已有系统的升级扩展应用取得显著成效。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ind w:left="138" w:right="0"/>
        <w:jc w:val="left"/>
        <w:rPr>
          <w:b w:val="0"/>
          <w:bCs w:val="0"/>
        </w:rPr>
      </w:pPr>
      <w:r>
        <w:rPr/>
        <w:t>二、报告期内主要经营情况</w:t>
      </w:r>
      <w:r>
        <w:rPr>
          <w:b w:val="0"/>
          <w:bCs w:val="0"/>
        </w:rPr>
      </w:r>
    </w:p>
    <w:p>
      <w:pPr>
        <w:pStyle w:val="BodyText"/>
        <w:spacing w:line="348" w:lineRule="auto" w:before="166"/>
        <w:ind w:left="138" w:right="130" w:firstLine="419"/>
        <w:jc w:val="both"/>
      </w:pPr>
      <w:r>
        <w:rPr/>
        <w:t>报告期内，公司实现营业收入</w:t>
      </w:r>
      <w:r>
        <w:rPr>
          <w:spacing w:val="-54"/>
        </w:rPr>
        <w:t> </w:t>
      </w:r>
      <w:r>
        <w:rPr>
          <w:rFonts w:ascii="宋体" w:hAnsi="宋体" w:cs="宋体" w:eastAsia="宋体" w:hint="default"/>
        </w:rPr>
        <w:t>2,783,914,360.60</w:t>
      </w:r>
      <w:r>
        <w:rPr>
          <w:rFonts w:ascii="宋体" w:hAnsi="宋体" w:cs="宋体" w:eastAsia="宋体" w:hint="default"/>
          <w:spacing w:val="-57"/>
        </w:rPr>
        <w:t> </w:t>
      </w:r>
      <w:r>
        <w:rPr/>
        <w:t>元，同比上升</w:t>
      </w:r>
      <w:r>
        <w:rPr>
          <w:spacing w:val="-55"/>
        </w:rPr>
        <w:t> </w:t>
      </w:r>
      <w:r>
        <w:rPr>
          <w:rFonts w:ascii="宋体" w:hAnsi="宋体" w:cs="宋体" w:eastAsia="宋体" w:hint="default"/>
        </w:rPr>
        <w:t>18.38%</w:t>
      </w:r>
      <w:r>
        <w:rPr/>
        <w:t>；实现归属于上市公</w:t>
      </w:r>
      <w:r>
        <w:rPr>
          <w:w w:val="100"/>
        </w:rPr>
        <w:t> </w:t>
      </w:r>
      <w:r>
        <w:rPr/>
        <w:t>司股东的净利润</w:t>
      </w:r>
      <w:r>
        <w:rPr>
          <w:spacing w:val="-37"/>
        </w:rPr>
        <w:t> </w:t>
      </w:r>
      <w:r>
        <w:rPr>
          <w:rFonts w:ascii="宋体" w:hAnsi="宋体" w:cs="宋体" w:eastAsia="宋体" w:hint="default"/>
        </w:rPr>
        <w:t>54,768,831.34</w:t>
      </w:r>
      <w:r>
        <w:rPr>
          <w:rFonts w:ascii="宋体" w:hAnsi="宋体" w:cs="宋体" w:eastAsia="宋体" w:hint="default"/>
          <w:spacing w:val="-40"/>
        </w:rPr>
        <w:t> </w:t>
      </w:r>
      <w:r>
        <w:rPr>
          <w:spacing w:val="-5"/>
        </w:rPr>
        <w:t>元，同比下降</w:t>
      </w:r>
      <w:r>
        <w:rPr>
          <w:spacing w:val="-37"/>
        </w:rPr>
        <w:t> </w:t>
      </w:r>
      <w:r>
        <w:rPr>
          <w:rFonts w:ascii="宋体" w:hAnsi="宋体" w:cs="宋体" w:eastAsia="宋体" w:hint="default"/>
          <w:spacing w:val="-3"/>
        </w:rPr>
        <w:t>77.54%</w:t>
      </w:r>
      <w:r>
        <w:rPr>
          <w:spacing w:val="-3"/>
        </w:rPr>
        <w:t>；归属于上市公司股东的扣除非经常性损益</w:t>
      </w:r>
      <w:r>
        <w:rPr>
          <w:spacing w:val="-98"/>
        </w:rPr>
        <w:t> </w:t>
      </w:r>
      <w:r>
        <w:rPr>
          <w:spacing w:val="-98"/>
        </w:rPr>
      </w:r>
      <w:r>
        <w:rPr/>
        <w:t>的净利润为</w:t>
      </w:r>
      <w:r>
        <w:rPr>
          <w:rFonts w:ascii="宋体" w:hAnsi="宋体" w:cs="宋体" w:eastAsia="宋体" w:hint="default"/>
        </w:rPr>
        <w:t>-35,651,876.48</w:t>
      </w:r>
      <w:r>
        <w:rPr>
          <w:rFonts w:ascii="宋体" w:hAnsi="宋体" w:cs="宋体" w:eastAsia="宋体" w:hint="default"/>
          <w:spacing w:val="-57"/>
        </w:rPr>
        <w:t> </w:t>
      </w:r>
      <w:r>
        <w:rPr/>
        <w:t>万元，同比下降</w:t>
      </w:r>
      <w:r>
        <w:rPr>
          <w:spacing w:val="-57"/>
        </w:rPr>
        <w:t> </w:t>
      </w:r>
      <w:r>
        <w:rPr>
          <w:rFonts w:ascii="宋体" w:hAnsi="宋体" w:cs="宋体" w:eastAsia="宋体" w:hint="default"/>
        </w:rPr>
        <w:t>126.84%</w:t>
      </w:r>
      <w:r>
        <w:rPr/>
        <w:t>。</w:t>
      </w:r>
    </w:p>
    <w:p>
      <w:pPr>
        <w:pStyle w:val="BodyText"/>
        <w:spacing w:line="350" w:lineRule="auto" w:before="31"/>
        <w:ind w:left="558" w:right="4324"/>
        <w:jc w:val="left"/>
      </w:pPr>
      <w:r>
        <w:rPr>
          <w:spacing w:val="-2"/>
        </w:rPr>
        <w:t>报告期公司净利润下降的原因分析</w:t>
      </w:r>
      <w:r>
        <w:rPr>
          <w:rFonts w:ascii="宋体" w:hAnsi="宋体" w:cs="宋体" w:eastAsia="宋体" w:hint="default"/>
          <w:spacing w:val="-2"/>
        </w:rPr>
        <w:t>:</w:t>
      </w:r>
      <w:r>
        <w:rPr>
          <w:rFonts w:ascii="宋体" w:hAnsi="宋体" w:cs="宋体" w:eastAsia="宋体" w:hint="default"/>
          <w:spacing w:val="-74"/>
        </w:rPr>
        <w:t> </w:t>
      </w:r>
      <w:r>
        <w:rPr>
          <w:rFonts w:ascii="宋体" w:hAnsi="宋体" w:cs="宋体" w:eastAsia="宋体" w:hint="default"/>
        </w:rPr>
        <w:t>1.</w:t>
      </w:r>
      <w:r>
        <w:rPr/>
        <w:t>主营业务影响</w:t>
      </w:r>
    </w:p>
    <w:p>
      <w:pPr>
        <w:pStyle w:val="BodyText"/>
        <w:spacing w:line="350" w:lineRule="auto" w:before="27"/>
        <w:ind w:left="138" w:right="130" w:firstLine="419"/>
        <w:jc w:val="both"/>
      </w:pPr>
      <w:r>
        <w:rPr>
          <w:spacing w:val="-2"/>
        </w:rPr>
        <w:t>报告期内，受零售太阳能行业宏观环境影响，公司基本面继续下行。虽然报告期合并报表营</w:t>
      </w:r>
      <w:r>
        <w:rPr>
          <w:w w:val="100"/>
        </w:rPr>
        <w:t> </w:t>
      </w:r>
      <w:r>
        <w:rPr/>
        <w:t>业收入较去年同期增长</w:t>
      </w:r>
      <w:r>
        <w:rPr>
          <w:spacing w:val="-47"/>
        </w:rPr>
        <w:t> </w:t>
      </w:r>
      <w:r>
        <w:rPr>
          <w:rFonts w:ascii="宋体" w:hAnsi="宋体" w:cs="宋体" w:eastAsia="宋体" w:hint="default"/>
          <w:spacing w:val="-3"/>
        </w:rPr>
        <w:t>18.38%</w:t>
      </w:r>
      <w:r>
        <w:rPr>
          <w:spacing w:val="-3"/>
        </w:rPr>
        <w:t>，但是剔除从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3"/>
        </w:rPr>
        <w:t>日开始并表的帅康电气数据外，报告</w:t>
      </w:r>
      <w:r>
        <w:rPr>
          <w:spacing w:val="-103"/>
        </w:rPr>
        <w:t> </w:t>
      </w:r>
      <w:r>
        <w:rPr>
          <w:spacing w:val="-103"/>
        </w:rPr>
      </w:r>
      <w:r>
        <w:rPr/>
        <w:t>期太阳能内销业务较去年同期下降</w:t>
      </w:r>
      <w:r>
        <w:rPr>
          <w:spacing w:val="-36"/>
        </w:rPr>
        <w:t> </w:t>
      </w:r>
      <w:r>
        <w:rPr>
          <w:rFonts w:ascii="宋体" w:hAnsi="宋体" w:cs="宋体" w:eastAsia="宋体" w:hint="default"/>
          <w:spacing w:val="-4"/>
        </w:rPr>
        <w:t>18.47%</w:t>
      </w:r>
      <w:r>
        <w:rPr>
          <w:spacing w:val="-4"/>
        </w:rPr>
        <w:t>，净水业务较去年同期下降</w:t>
      </w:r>
      <w:r>
        <w:rPr>
          <w:spacing w:val="-36"/>
        </w:rPr>
        <w:t> </w:t>
      </w:r>
      <w:r>
        <w:rPr>
          <w:rFonts w:ascii="宋体" w:hAnsi="宋体" w:cs="宋体" w:eastAsia="宋体" w:hint="default"/>
          <w:spacing w:val="-5"/>
        </w:rPr>
        <w:t>19.52%</w:t>
      </w:r>
      <w:r>
        <w:rPr>
          <w:spacing w:val="-5"/>
        </w:rPr>
        <w:t>。另外受原材料价格</w:t>
      </w:r>
      <w:r>
        <w:rPr>
          <w:spacing w:val="-98"/>
        </w:rPr>
        <w:t> </w:t>
      </w:r>
      <w:r>
        <w:rPr>
          <w:spacing w:val="-98"/>
        </w:rPr>
      </w:r>
      <w:r>
        <w:rPr/>
        <w:t>大幅上涨等因素影响，太阳能业务盈利空间压缩，毛利率下降</w:t>
      </w:r>
      <w:r>
        <w:rPr>
          <w:spacing w:val="-57"/>
        </w:rPr>
        <w:t> </w:t>
      </w:r>
      <w:r>
        <w:rPr>
          <w:rFonts w:ascii="宋体" w:hAnsi="宋体" w:cs="宋体" w:eastAsia="宋体" w:hint="default"/>
        </w:rPr>
        <w:t>5.12</w:t>
      </w:r>
      <w:r>
        <w:rPr>
          <w:rFonts w:ascii="宋体" w:hAnsi="宋体" w:cs="宋体" w:eastAsia="宋体" w:hint="default"/>
          <w:spacing w:val="-57"/>
        </w:rPr>
        <w:t> </w:t>
      </w:r>
      <w:r>
        <w:rPr/>
        <w:t>个百分点。</w:t>
      </w:r>
    </w:p>
    <w:p>
      <w:pPr>
        <w:pStyle w:val="BodyText"/>
        <w:spacing w:line="240" w:lineRule="auto" w:before="29"/>
        <w:ind w:left="558" w:right="0"/>
        <w:jc w:val="left"/>
      </w:pPr>
      <w:r>
        <w:rPr>
          <w:w w:val="100"/>
        </w:rPr>
        <w:t>帅康</w:t>
      </w:r>
      <w:r>
        <w:rPr>
          <w:spacing w:val="-3"/>
          <w:w w:val="100"/>
        </w:rPr>
        <w:t>厨</w:t>
      </w:r>
      <w:r>
        <w:rPr>
          <w:w w:val="100"/>
        </w:rPr>
        <w:t>电</w:t>
      </w:r>
      <w:r>
        <w:rPr>
          <w:spacing w:val="-3"/>
          <w:w w:val="100"/>
        </w:rPr>
        <w:t>业</w:t>
      </w:r>
      <w:r>
        <w:rPr>
          <w:w w:val="100"/>
        </w:rPr>
        <w:t>务从</w:t>
      </w:r>
      <w:r>
        <w:rPr>
          <w:spacing w:val="-58"/>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7"/>
        </w:rPr>
        <w:t> </w:t>
      </w:r>
      <w:r>
        <w:rPr>
          <w:w w:val="100"/>
        </w:rPr>
        <w:t>年</w:t>
      </w:r>
      <w:r>
        <w:rPr>
          <w:spacing w:val="-57"/>
        </w:rPr>
        <w:t> </w:t>
      </w:r>
      <w:r>
        <w:rPr>
          <w:rFonts w:ascii="宋体" w:hAnsi="宋体" w:cs="宋体" w:eastAsia="宋体" w:hint="default"/>
          <w:w w:val="100"/>
        </w:rPr>
        <w:t>3</w:t>
      </w:r>
      <w:r>
        <w:rPr>
          <w:rFonts w:ascii="宋体" w:hAnsi="宋体" w:cs="宋体" w:eastAsia="宋体" w:hint="default"/>
          <w:spacing w:val="-60"/>
        </w:rPr>
        <w:t> </w:t>
      </w:r>
      <w:r>
        <w:rPr>
          <w:w w:val="100"/>
        </w:rPr>
        <w:t>月</w:t>
      </w:r>
      <w:r>
        <w:rPr>
          <w:spacing w:val="-57"/>
        </w:rPr>
        <w:t> </w:t>
      </w:r>
      <w:r>
        <w:rPr>
          <w:rFonts w:ascii="宋体" w:hAnsi="宋体" w:cs="宋体" w:eastAsia="宋体" w:hint="default"/>
          <w:w w:val="100"/>
        </w:rPr>
        <w:t>31</w:t>
      </w:r>
      <w:r>
        <w:rPr>
          <w:rFonts w:ascii="宋体" w:hAnsi="宋体" w:cs="宋体" w:eastAsia="宋体" w:hint="default"/>
          <w:spacing w:val="-57"/>
        </w:rPr>
        <w:t> </w:t>
      </w:r>
      <w:r>
        <w:rPr>
          <w:w w:val="100"/>
        </w:rPr>
        <w:t>日</w:t>
      </w:r>
      <w:r>
        <w:rPr>
          <w:spacing w:val="-3"/>
          <w:w w:val="100"/>
        </w:rPr>
        <w:t>开</w:t>
      </w:r>
      <w:r>
        <w:rPr>
          <w:w w:val="100"/>
        </w:rPr>
        <w:t>始</w:t>
      </w:r>
      <w:r>
        <w:rPr>
          <w:spacing w:val="-3"/>
          <w:w w:val="100"/>
        </w:rPr>
        <w:t>纳</w:t>
      </w:r>
      <w:r>
        <w:rPr>
          <w:w w:val="100"/>
        </w:rPr>
        <w:t>入</w:t>
      </w:r>
      <w:r>
        <w:rPr>
          <w:spacing w:val="-3"/>
          <w:w w:val="100"/>
        </w:rPr>
        <w:t>合</w:t>
      </w:r>
      <w:r>
        <w:rPr>
          <w:w w:val="100"/>
        </w:rPr>
        <w:t>并</w:t>
      </w:r>
      <w:r>
        <w:rPr>
          <w:spacing w:val="-3"/>
          <w:w w:val="100"/>
        </w:rPr>
        <w:t>报表</w:t>
      </w:r>
      <w:r>
        <w:rPr>
          <w:spacing w:val="-106"/>
          <w:w w:val="100"/>
        </w:rPr>
        <w:t>，</w:t>
      </w:r>
      <w:r>
        <w:rPr>
          <w:rFonts w:ascii="宋体" w:hAnsi="宋体" w:cs="宋体" w:eastAsia="宋体" w:hint="default"/>
          <w:w w:val="100"/>
        </w:rPr>
        <w:t>4</w:t>
      </w:r>
      <w:r>
        <w:rPr>
          <w:rFonts w:ascii="宋体" w:hAnsi="宋体" w:cs="宋体" w:eastAsia="宋体" w:hint="default"/>
          <w:spacing w:val="-57"/>
        </w:rPr>
        <w:t> </w:t>
      </w:r>
      <w:r>
        <w:rPr>
          <w:w w:val="100"/>
        </w:rPr>
        <w:t>月至</w:t>
      </w:r>
      <w:r>
        <w:rPr>
          <w:spacing w:val="-57"/>
        </w:rPr>
        <w:t> </w:t>
      </w:r>
      <w:r>
        <w:rPr>
          <w:rFonts w:ascii="宋体" w:hAnsi="宋体" w:cs="宋体" w:eastAsia="宋体" w:hint="default"/>
          <w:w w:val="100"/>
        </w:rPr>
        <w:t>12</w:t>
      </w:r>
      <w:r>
        <w:rPr>
          <w:rFonts w:ascii="宋体" w:hAnsi="宋体" w:cs="宋体" w:eastAsia="宋体" w:hint="default"/>
          <w:spacing w:val="-57"/>
        </w:rPr>
        <w:t> </w:t>
      </w:r>
      <w:r>
        <w:rPr>
          <w:spacing w:val="-3"/>
          <w:w w:val="100"/>
        </w:rPr>
        <w:t>月</w:t>
      </w:r>
      <w:r>
        <w:rPr>
          <w:w w:val="100"/>
        </w:rPr>
        <w:t>实</w:t>
      </w:r>
      <w:r>
        <w:rPr>
          <w:spacing w:val="-3"/>
          <w:w w:val="100"/>
        </w:rPr>
        <w:t>现</w:t>
      </w:r>
      <w:r>
        <w:rPr>
          <w:w w:val="100"/>
        </w:rPr>
        <w:t>销</w:t>
      </w:r>
      <w:r>
        <w:rPr>
          <w:spacing w:val="-3"/>
          <w:w w:val="100"/>
        </w:rPr>
        <w:t>售收</w:t>
      </w:r>
      <w:r>
        <w:rPr>
          <w:w w:val="100"/>
        </w:rPr>
        <w:t>入</w:t>
      </w:r>
      <w:r>
        <w:rPr>
          <w:spacing w:val="-57"/>
        </w:rPr>
        <w:t> </w:t>
      </w:r>
      <w:r>
        <w:rPr>
          <w:rFonts w:ascii="宋体" w:hAnsi="宋体" w:cs="宋体" w:eastAsia="宋体" w:hint="default"/>
          <w:w w:val="100"/>
        </w:rPr>
        <w:t>6.34</w:t>
      </w:r>
      <w:r>
        <w:rPr>
          <w:rFonts w:ascii="宋体" w:hAnsi="宋体" w:cs="宋体" w:eastAsia="宋体" w:hint="default"/>
          <w:spacing w:val="-57"/>
        </w:rPr>
        <w:t> </w:t>
      </w:r>
      <w:r>
        <w:rPr>
          <w:spacing w:val="-3"/>
          <w:w w:val="100"/>
        </w:rPr>
        <w:t>亿</w:t>
      </w:r>
      <w:r>
        <w:rPr>
          <w:w w:val="100"/>
        </w:rPr>
        <w:t>元，</w:t>
      </w:r>
    </w:p>
    <w:p>
      <w:pPr>
        <w:pStyle w:val="BodyText"/>
        <w:spacing w:line="240" w:lineRule="auto" w:before="126"/>
        <w:ind w:left="138" w:right="0"/>
        <w:jc w:val="left"/>
      </w:pPr>
      <w:r>
        <w:rPr/>
        <w:t>单体报表净利润</w:t>
      </w:r>
      <w:r>
        <w:rPr>
          <w:spacing w:val="-54"/>
        </w:rPr>
        <w:t> </w:t>
      </w:r>
      <w:r>
        <w:rPr>
          <w:rFonts w:ascii="宋体" w:hAnsi="宋体" w:cs="宋体" w:eastAsia="宋体" w:hint="default"/>
        </w:rPr>
        <w:t>2684.51</w:t>
      </w:r>
      <w:r>
        <w:rPr>
          <w:rFonts w:ascii="宋体" w:hAnsi="宋体" w:cs="宋体" w:eastAsia="宋体" w:hint="default"/>
          <w:spacing w:val="-56"/>
        </w:rPr>
        <w:t> </w:t>
      </w:r>
      <w:r>
        <w:rPr/>
        <w:t>万元，考虑到非同一控制企业合并评估增值的折旧与摊销之影响，并表</w:t>
      </w:r>
    </w:p>
    <w:p>
      <w:pPr>
        <w:pStyle w:val="BodyText"/>
        <w:spacing w:line="350" w:lineRule="auto" w:before="123"/>
        <w:ind w:left="558" w:right="0" w:hanging="420"/>
        <w:jc w:val="left"/>
      </w:pPr>
      <w:r>
        <w:rPr/>
        <w:t>净利润为</w:t>
      </w:r>
      <w:r>
        <w:rPr>
          <w:spacing w:val="-53"/>
        </w:rPr>
        <w:t> </w:t>
      </w:r>
      <w:r>
        <w:rPr>
          <w:rFonts w:ascii="宋体" w:hAnsi="宋体" w:cs="宋体" w:eastAsia="宋体" w:hint="default"/>
        </w:rPr>
        <w:t>2,397.69</w:t>
      </w:r>
      <w:r>
        <w:rPr>
          <w:rFonts w:ascii="宋体" w:hAnsi="宋体" w:cs="宋体" w:eastAsia="宋体" w:hint="default"/>
          <w:spacing w:val="-55"/>
        </w:rPr>
        <w:t> </w:t>
      </w:r>
      <w:r>
        <w:rPr/>
        <w:t>万元，其中归属于上市公司股东的净利润为</w:t>
      </w:r>
      <w:r>
        <w:rPr>
          <w:spacing w:val="-53"/>
        </w:rPr>
        <w:t> </w:t>
      </w:r>
      <w:r>
        <w:rPr>
          <w:rFonts w:ascii="宋体" w:hAnsi="宋体" w:cs="宋体" w:eastAsia="宋体" w:hint="default"/>
        </w:rPr>
        <w:t>1798.26</w:t>
      </w:r>
      <w:r>
        <w:rPr>
          <w:rFonts w:ascii="宋体" w:hAnsi="宋体" w:cs="宋体" w:eastAsia="宋体" w:hint="default"/>
          <w:spacing w:val="-55"/>
        </w:rPr>
        <w:t> </w:t>
      </w:r>
      <w:r>
        <w:rPr/>
        <w:t>万元。</w:t>
      </w:r>
      <w:r>
        <w:rPr>
          <w:w w:val="100"/>
        </w:rPr>
        <w:t> </w:t>
      </w:r>
      <w:r>
        <w:rPr>
          <w:spacing w:val="-2"/>
        </w:rPr>
        <w:t>公司基于企业未来战略、业务的考量，管理成本和渠道成本没有做大幅调整，管理费用和销</w:t>
      </w:r>
    </w:p>
    <w:p>
      <w:pPr>
        <w:pStyle w:val="BodyText"/>
        <w:spacing w:line="348" w:lineRule="auto" w:before="29"/>
        <w:ind w:left="138" w:right="137"/>
        <w:jc w:val="both"/>
        <w:rPr>
          <w:rFonts w:ascii="宋体" w:hAnsi="宋体" w:cs="宋体" w:eastAsia="宋体" w:hint="default"/>
        </w:rPr>
      </w:pPr>
      <w:r>
        <w:rPr>
          <w:spacing w:val="-2"/>
        </w:rPr>
        <w:t>售费用大幅增加的主要原因是，收购帅康电气纳入合并报表所致。报告期借款增加、汇率波动，</w:t>
      </w:r>
      <w:r>
        <w:rPr>
          <w:spacing w:val="-25"/>
        </w:rPr>
        <w:t> </w:t>
      </w:r>
      <w:r>
        <w:rPr>
          <w:spacing w:val="-25"/>
        </w:rPr>
      </w:r>
      <w:r>
        <w:rPr/>
        <w:t>财务费用较去年同期增加</w:t>
      </w:r>
      <w:r>
        <w:rPr>
          <w:spacing w:val="-57"/>
        </w:rPr>
        <w:t> </w:t>
      </w:r>
      <w:r>
        <w:rPr>
          <w:rFonts w:ascii="宋体" w:hAnsi="宋体" w:cs="宋体" w:eastAsia="宋体" w:hint="default"/>
        </w:rPr>
        <w:t>3841.91</w:t>
      </w:r>
      <w:r>
        <w:rPr>
          <w:rFonts w:ascii="宋体" w:hAnsi="宋体" w:cs="宋体" w:eastAsia="宋体" w:hint="default"/>
          <w:spacing w:val="-56"/>
        </w:rPr>
        <w:t> </w:t>
      </w:r>
      <w:r>
        <w:rPr/>
        <w:t>万元。资产减值损失主要为可供出售金融资产减值</w:t>
      </w:r>
      <w:r>
        <w:rPr>
          <w:spacing w:val="-55"/>
        </w:rPr>
        <w:t> </w:t>
      </w:r>
      <w:r>
        <w:rPr>
          <w:rFonts w:ascii="宋体" w:hAnsi="宋体" w:cs="宋体" w:eastAsia="宋体" w:hint="default"/>
        </w:rPr>
        <w:t>1,102.90</w:t>
      </w:r>
    </w:p>
    <w:p>
      <w:pPr>
        <w:pStyle w:val="BodyText"/>
        <w:spacing w:line="350" w:lineRule="auto" w:before="31"/>
        <w:ind w:left="558" w:right="0" w:hanging="420"/>
        <w:jc w:val="left"/>
      </w:pPr>
      <w:r>
        <w:rPr/>
        <w:t>万元与坏账准备</w:t>
      </w:r>
      <w:r>
        <w:rPr>
          <w:spacing w:val="-54"/>
        </w:rPr>
        <w:t> </w:t>
      </w:r>
      <w:r>
        <w:rPr>
          <w:rFonts w:ascii="宋体" w:hAnsi="宋体" w:cs="宋体" w:eastAsia="宋体" w:hint="default"/>
        </w:rPr>
        <w:t>1775.2</w:t>
      </w:r>
      <w:r>
        <w:rPr>
          <w:rFonts w:ascii="宋体" w:hAnsi="宋体" w:cs="宋体" w:eastAsia="宋体" w:hint="default"/>
          <w:spacing w:val="-56"/>
        </w:rPr>
        <w:t> </w:t>
      </w:r>
      <w:r>
        <w:rPr/>
        <w:t>万元，较去年同期增加</w:t>
      </w:r>
      <w:r>
        <w:rPr>
          <w:spacing w:val="-54"/>
        </w:rPr>
        <w:t> </w:t>
      </w:r>
      <w:r>
        <w:rPr>
          <w:rFonts w:ascii="宋体" w:hAnsi="宋体" w:cs="宋体" w:eastAsia="宋体" w:hint="default"/>
        </w:rPr>
        <w:t>2401.46</w:t>
      </w:r>
      <w:r>
        <w:rPr>
          <w:rFonts w:ascii="宋体" w:hAnsi="宋体" w:cs="宋体" w:eastAsia="宋体" w:hint="default"/>
          <w:spacing w:val="-53"/>
        </w:rPr>
        <w:t> </w:t>
      </w:r>
      <w:r>
        <w:rPr/>
        <w:t>万元。</w:t>
      </w:r>
      <w:r>
        <w:rPr>
          <w:w w:val="100"/>
        </w:rPr>
        <w:t> </w:t>
      </w:r>
      <w:r>
        <w:rPr>
          <w:spacing w:val="-2"/>
        </w:rPr>
        <w:t>以上原因导致公司归属于上市公司股东的扣除非经常性损益的净利润较去年同期下降</w:t>
      </w:r>
    </w:p>
    <w:p>
      <w:pPr>
        <w:pStyle w:val="BodyText"/>
        <w:spacing w:line="240" w:lineRule="auto" w:before="27"/>
        <w:ind w:left="138" w:right="0"/>
        <w:jc w:val="left"/>
      </w:pPr>
      <w:r>
        <w:rPr>
          <w:rFonts w:ascii="宋体" w:hAnsi="宋体" w:cs="宋体" w:eastAsia="宋体" w:hint="default"/>
        </w:rPr>
        <w:t>126.84%</w:t>
      </w:r>
      <w:r>
        <w:rPr/>
        <w:t>。</w:t>
      </w:r>
    </w:p>
    <w:p>
      <w:pPr>
        <w:pStyle w:val="BodyText"/>
        <w:spacing w:line="240" w:lineRule="auto" w:before="126"/>
        <w:ind w:left="558" w:right="0"/>
        <w:jc w:val="left"/>
      </w:pPr>
      <w:r>
        <w:rPr>
          <w:rFonts w:ascii="宋体" w:hAnsi="宋体" w:cs="宋体" w:eastAsia="宋体" w:hint="default"/>
        </w:rPr>
        <w:t>2.</w:t>
      </w:r>
      <w:r>
        <w:rPr/>
        <w:t>非经营性损益的影响。</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218" w:right="240" w:firstLine="419"/>
        <w:jc w:val="left"/>
      </w:pPr>
      <w:r>
        <w:rPr/>
        <w:t>报告期公司投资</w:t>
      </w:r>
      <w:r>
        <w:rPr>
          <w:spacing w:val="-55"/>
        </w:rPr>
        <w:t> </w:t>
      </w:r>
      <w:r>
        <w:rPr>
          <w:rFonts w:ascii="宋体" w:hAnsi="宋体" w:cs="宋体" w:eastAsia="宋体" w:hint="default"/>
        </w:rPr>
        <w:t>9.44</w:t>
      </w:r>
      <w:r>
        <w:rPr>
          <w:rFonts w:ascii="宋体" w:hAnsi="宋体" w:cs="宋体" w:eastAsia="宋体" w:hint="default"/>
          <w:spacing w:val="-54"/>
        </w:rPr>
        <w:t> </w:t>
      </w:r>
      <w:r>
        <w:rPr/>
        <w:t>亿元参股苏宁银行，银行尚处于开办初期；投资</w:t>
      </w:r>
      <w:r>
        <w:rPr>
          <w:spacing w:val="-55"/>
        </w:rPr>
        <w:t> </w:t>
      </w:r>
      <w:r>
        <w:rPr>
          <w:rFonts w:ascii="宋体" w:hAnsi="宋体" w:cs="宋体" w:eastAsia="宋体" w:hint="default"/>
        </w:rPr>
        <w:t>7.35</w:t>
      </w:r>
      <w:r>
        <w:rPr>
          <w:rFonts w:ascii="宋体" w:hAnsi="宋体" w:cs="宋体" w:eastAsia="宋体" w:hint="default"/>
          <w:spacing w:val="-57"/>
        </w:rPr>
        <w:t> </w:t>
      </w:r>
      <w:r>
        <w:rPr/>
        <w:t>亿元收购帅康电</w:t>
      </w:r>
      <w:r>
        <w:rPr>
          <w:w w:val="100"/>
        </w:rPr>
        <w:t> </w:t>
      </w:r>
      <w:r>
        <w:rPr/>
        <w:t>气</w:t>
      </w:r>
      <w:r>
        <w:rPr>
          <w:spacing w:val="-55"/>
        </w:rPr>
        <w:t> </w:t>
      </w:r>
      <w:r>
        <w:rPr>
          <w:rFonts w:ascii="宋体" w:hAnsi="宋体" w:cs="宋体" w:eastAsia="宋体" w:hint="default"/>
        </w:rPr>
        <w:t>75%</w:t>
      </w:r>
      <w:r>
        <w:rPr/>
        <w:t>股权，导致公司财务性理财收益较去年同期下降</w:t>
      </w:r>
      <w:r>
        <w:rPr>
          <w:spacing w:val="-54"/>
        </w:rPr>
        <w:t> </w:t>
      </w:r>
      <w:r>
        <w:rPr>
          <w:rFonts w:ascii="宋体" w:hAnsi="宋体" w:cs="宋体" w:eastAsia="宋体" w:hint="default"/>
        </w:rPr>
        <w:t>19.33%</w:t>
      </w:r>
      <w:r>
        <w:rPr/>
        <w:t>。</w:t>
      </w:r>
    </w:p>
    <w:p>
      <w:pPr>
        <w:pStyle w:val="BodyText"/>
        <w:spacing w:line="240" w:lineRule="auto" w:before="29"/>
        <w:ind w:left="638" w:right="227"/>
        <w:jc w:val="left"/>
      </w:pPr>
      <w:r>
        <w:rPr/>
        <w:t>以上两方面导致</w:t>
      </w:r>
      <w:r>
        <w:rPr>
          <w:spacing w:val="-56"/>
        </w:rPr>
        <w:t> </w:t>
      </w:r>
      <w:r>
        <w:rPr>
          <w:rFonts w:ascii="宋体" w:hAnsi="宋体" w:cs="宋体" w:eastAsia="宋体" w:hint="default"/>
        </w:rPr>
        <w:t>2017</w:t>
      </w:r>
      <w:r>
        <w:rPr>
          <w:rFonts w:ascii="宋体" w:hAnsi="宋体" w:cs="宋体" w:eastAsia="宋体" w:hint="default"/>
          <w:spacing w:val="-55"/>
        </w:rPr>
        <w:t> </w:t>
      </w:r>
      <w:r>
        <w:rPr/>
        <w:t>年年度实现归属于上市公司股东的净利润较去年同期下降</w:t>
      </w:r>
      <w:r>
        <w:rPr>
          <w:spacing w:val="-56"/>
        </w:rPr>
        <w:t> </w:t>
      </w:r>
      <w:r>
        <w:rPr>
          <w:rFonts w:ascii="宋体" w:hAnsi="宋体" w:cs="宋体" w:eastAsia="宋体" w:hint="default"/>
        </w:rPr>
        <w:t>77.54%</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spacing w:line="240" w:lineRule="auto" w:before="5"/>
        <w:rPr>
          <w:rFonts w:ascii="宋体" w:hAnsi="宋体" w:cs="宋体" w:eastAsia="宋体" w:hint="default"/>
          <w:sz w:val="16"/>
          <w:szCs w:val="16"/>
        </w:rPr>
      </w:pPr>
    </w:p>
    <w:p>
      <w:pPr>
        <w:pStyle w:val="Heading5"/>
        <w:tabs>
          <w:tab w:pos="1057" w:val="left" w:leader="none"/>
        </w:tabs>
        <w:spacing w:line="240" w:lineRule="auto"/>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1"/>
          <w:szCs w:val="21"/>
        </w:rPr>
      </w:pPr>
    </w:p>
    <w:p>
      <w:pPr>
        <w:pStyle w:val="Heading5"/>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6"/>
        <w:gridCol w:w="1899"/>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2,783,914,360.60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2,351,760,250.50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18.38</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1,760,207,253.18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1,438,694,443.50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22.35</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694,632,599.12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520,519,392.78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33.45</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260,360,027.83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195,808,694.99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32.97</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42,679,089.31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4,260,039.77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901.85</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99,483,674.69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199,623,434.15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-50.16</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-610,322,389.63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368,624,813.02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-265.57</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-20,058,612.97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81,136,490.78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-124.72</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63,567,869.77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37,883,770.26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67.80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tabs>
          <w:tab w:pos="637" w:val="left" w:leader="none"/>
        </w:tabs>
        <w:spacing w:line="240" w:lineRule="auto" w:before="36"/>
        <w:ind w:right="2549"/>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58"/>
        <w:ind w:left="218" w:right="2549"/>
        <w:jc w:val="left"/>
      </w:pPr>
      <w:r>
        <w:rPr/>
        <w:t>□适用 √不适用</w:t>
      </w:r>
    </w:p>
    <w:p>
      <w:pPr>
        <w:spacing w:line="240" w:lineRule="auto" w:before="6"/>
        <w:rPr>
          <w:rFonts w:ascii="宋体" w:hAnsi="宋体" w:cs="宋体" w:eastAsia="宋体" w:hint="default"/>
          <w:sz w:val="22"/>
          <w:szCs w:val="22"/>
        </w:rPr>
      </w:pPr>
    </w:p>
    <w:p>
      <w:pPr>
        <w:pStyle w:val="Heading5"/>
        <w:spacing w:line="240" w:lineRule="auto" w:before="36"/>
        <w:ind w:right="2549"/>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0"/>
        <w:gridCol w:w="1657"/>
        <w:gridCol w:w="1656"/>
        <w:gridCol w:w="1150"/>
        <w:gridCol w:w="1147"/>
        <w:gridCol w:w="1148"/>
        <w:gridCol w:w="1142"/>
      </w:tblGrid>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7"/>
              <w:jc w:val="right"/>
              <w:rPr>
                <w:rFonts w:ascii="宋体" w:hAnsi="宋体" w:cs="宋体" w:eastAsia="宋体" w:hint="default"/>
                <w:sz w:val="18"/>
                <w:szCs w:val="18"/>
              </w:rPr>
            </w:pPr>
            <w:r>
              <w:rPr>
                <w:rFonts w:ascii="宋体" w:hAnsi="宋体" w:cs="宋体" w:eastAsia="宋体" w:hint="default"/>
                <w:sz w:val="18"/>
                <w:szCs w:val="18"/>
              </w:rPr>
              <w:t>分行业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6" w:firstLine="12"/>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太阳能热水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1,400,434,973.37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897,864,838.00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-18.47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-11.39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5.12</w:t>
            </w: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空气能</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162,755,928.09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120,789,584.54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25.78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37.91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38.86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0.51</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6"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净水机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137,739,242.96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79,683,829.63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42.15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-19.52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-24.34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3.69</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光伏产品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50,658,360.73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37,962,720.56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25.06</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565,875,058.51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264,581,849.40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53.24</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电热水器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183,602,802.23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117,651,228.96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35.92</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71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7"/>
              <w:jc w:val="right"/>
              <w:rPr>
                <w:rFonts w:ascii="宋体" w:hAnsi="宋体" w:cs="宋体" w:eastAsia="宋体" w:hint="default"/>
                <w:sz w:val="18"/>
                <w:szCs w:val="18"/>
              </w:rPr>
            </w:pPr>
            <w:r>
              <w:rPr>
                <w:rFonts w:ascii="宋体" w:hAnsi="宋体" w:cs="宋体" w:eastAsia="宋体" w:hint="default"/>
                <w:sz w:val="18"/>
                <w:szCs w:val="18"/>
              </w:rPr>
              <w:t>分产品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6" w:firstLine="12"/>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太阳能热水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1,400,434,973.37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897,864,838.00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-18.47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-11.39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5.12</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空气能</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162,755,928.09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120,789,584.54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25.78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37.91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38.86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0.51</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净水机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137,739,242.96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79,683,829.63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42.15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-19.52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-24.34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3.69</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3"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光伏产品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50,658,360.73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37,962,720.56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25.06</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565,875,058.51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264,581,849.40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53.24</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电热水器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183,602,802.23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117,651,228.96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35.92</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50"/>
        <w:gridCol w:w="1657"/>
        <w:gridCol w:w="1656"/>
        <w:gridCol w:w="1150"/>
        <w:gridCol w:w="1147"/>
        <w:gridCol w:w="1148"/>
        <w:gridCol w:w="1142"/>
      </w:tblGrid>
      <w:tr>
        <w:trPr>
          <w:trHeight w:val="245"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71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6" w:firstLine="12"/>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2,364,327,299.10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1,416,613,156.96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22.11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0.38</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136,739,066.79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101,920,894.13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25.46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93.87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92.57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0.50</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bl>
    <w:p>
      <w:pPr>
        <w:spacing w:line="240" w:lineRule="auto" w:before="7"/>
        <w:rPr>
          <w:rFonts w:ascii="宋体" w:hAnsi="宋体" w:cs="宋体" w:eastAsia="宋体" w:hint="default"/>
          <w:sz w:val="15"/>
          <w:szCs w:val="15"/>
        </w:rPr>
      </w:pPr>
    </w:p>
    <w:p>
      <w:pPr>
        <w:pStyle w:val="BodyText"/>
        <w:spacing w:line="273" w:lineRule="exact" w:before="36"/>
        <w:ind w:left="218" w:right="2549"/>
        <w:jc w:val="left"/>
      </w:pPr>
      <w:r>
        <w:rPr/>
        <w:t>主营业务分行业、分产品、分地区情况的说明</w:t>
      </w:r>
    </w:p>
    <w:p>
      <w:pPr>
        <w:pStyle w:val="BodyText"/>
        <w:spacing w:line="273" w:lineRule="exact"/>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9"/>
        <w:ind w:left="218" w:right="254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太阳能热水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664,111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666,705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10,056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-37.93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-37.31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-20.51</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36,474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31,112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5,701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39.00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12.22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1,581.71</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158,472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145,293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38,635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51.77</w:t>
            </w:r>
          </w:p>
        </w:tc>
      </w:tr>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519,194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502,367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124,992</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电热水器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234,545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228,212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56,840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1040"/>
        </w:sectPr>
      </w:pPr>
    </w:p>
    <w:p>
      <w:pPr>
        <w:pStyle w:val="BodyText"/>
        <w:spacing w:line="272" w:lineRule="exact" w:before="64"/>
        <w:ind w:left="218" w:right="139"/>
        <w:jc w:val="left"/>
      </w:pPr>
      <w:r>
        <w:rPr>
          <w:spacing w:val="-1"/>
        </w:rPr>
        <w:t>产销量情况说明</w:t>
      </w:r>
      <w:r>
        <w:rPr>
          <w:spacing w:val="-96"/>
        </w:rPr>
        <w:t> </w:t>
      </w:r>
      <w:r>
        <w:rPr>
          <w:spacing w:val="-96"/>
        </w:rPr>
      </w:r>
      <w:r>
        <w:rPr/>
        <w:t>无</w:t>
      </w:r>
    </w:p>
    <w:p>
      <w:pPr>
        <w:pStyle w:val="Heading5"/>
        <w:spacing w:line="240" w:lineRule="auto" w:before="34"/>
        <w:ind w:right="-2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841" w:space="6153"/>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1"/>
        <w:gridCol w:w="974"/>
        <w:gridCol w:w="1685"/>
        <w:gridCol w:w="946"/>
        <w:gridCol w:w="1896"/>
        <w:gridCol w:w="877"/>
        <w:gridCol w:w="847"/>
        <w:gridCol w:w="773"/>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5" w:right="16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3"/>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776,024,579.48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848,422,014.97</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84.19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52,704,665.99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70,850,786.15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-25.61</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69,135,592.53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88,513,582.81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-21.89</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897,864,838.00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1,007,786,383.93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105,304,359.80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81,187,294.49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29.71</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9,095,455.72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7,375,167.00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6,389,769.02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6,571,444.51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120,789,584.54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95,133,906.00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26.97</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67,739,223.57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65,358,126.25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5,306,943.05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5,541,981.56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w:t>
            </w: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51"/>
        <w:gridCol w:w="974"/>
        <w:gridCol w:w="1685"/>
        <w:gridCol w:w="946"/>
        <w:gridCol w:w="1896"/>
        <w:gridCol w:w="877"/>
        <w:gridCol w:w="847"/>
        <w:gridCol w:w="773"/>
      </w:tblGrid>
      <w:tr>
        <w:trPr>
          <w:trHeight w:val="28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6,637,663.01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6,661,114.50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79,683,829.63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77,561,222.31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235,656,998.57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89.07</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13,862,495.18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5.24</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15,062,355.64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5.69</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264,581,849.40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电热水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92,500,980.77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78.62</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8,408,107.08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7.15</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16,742,141.10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14.23</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117,651,228.96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65" w:right="16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3"/>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776,024,579.48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848,422,014.97</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84.19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52,704,665.99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70,850,786.15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-25.61</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69,135,592.53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88,513,582.81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-21.89</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897,864,838.00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1,007,786,383.93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-56.04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105,304,359.80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81,187,294.49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29.71</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9,095,455.72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7,375,167.00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6,389,769.02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6,571,444.51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120,789,584.54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95,133,906.00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26.97</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67,739,223.57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65,358,126.25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5,306,943.05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5,541,981.56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6,637,663.01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6,661,114.50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79,683,829.63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77,561,222.31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235,656,998.57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89.07</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13,862,495.18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5.24</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565" w:type="dxa"/>
        <w:tblLayout w:type="fixed"/>
        <w:tblCellMar>
          <w:top w:w="0" w:type="dxa"/>
          <w:left w:w="0" w:type="dxa"/>
          <w:bottom w:w="0" w:type="dxa"/>
          <w:right w:w="0" w:type="dxa"/>
        </w:tblCellMar>
        <w:tblLook w:val="01E0"/>
      </w:tblPr>
      <w:tblGrid>
        <w:gridCol w:w="1051"/>
        <w:gridCol w:w="974"/>
        <w:gridCol w:w="1685"/>
        <w:gridCol w:w="946"/>
        <w:gridCol w:w="1896"/>
        <w:gridCol w:w="877"/>
        <w:gridCol w:w="847"/>
        <w:gridCol w:w="773"/>
      </w:tblGrid>
      <w:tr>
        <w:trPr>
          <w:trHeight w:val="557"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15,062,355.64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5.69</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264,581,849.40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电热水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92,500,980.77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78.62</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8,408,107.08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7.15</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16,742,141.10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14.23</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5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117,651,228.96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678" w:right="550"/>
        <w:jc w:val="left"/>
      </w:pPr>
      <w:r>
        <w:rPr/>
        <w:t>成本分析其他情况说明</w:t>
      </w:r>
    </w:p>
    <w:p>
      <w:pPr>
        <w:pStyle w:val="BodyText"/>
        <w:spacing w:line="273" w:lineRule="exact"/>
        <w:ind w:left="678" w:right="55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678" w:right="55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8"/>
        <w:ind w:left="678" w:right="550"/>
        <w:jc w:val="left"/>
      </w:pPr>
      <w:r>
        <w:rPr/>
        <w:t>√适用</w:t>
      </w:r>
      <w:r>
        <w:rPr>
          <w:spacing w:val="-1"/>
        </w:rPr>
        <w:t> </w:t>
      </w:r>
      <w:r>
        <w:rPr/>
        <w:t>□不适用</w:t>
      </w:r>
    </w:p>
    <w:p>
      <w:pPr>
        <w:pStyle w:val="BodyText"/>
        <w:spacing w:line="386" w:lineRule="auto" w:before="138"/>
        <w:ind w:left="678" w:right="550"/>
        <w:jc w:val="left"/>
      </w:pPr>
      <w:r>
        <w:rPr/>
        <w:t>前五名客户销售额</w:t>
      </w:r>
      <w:r>
        <w:rPr>
          <w:spacing w:val="-56"/>
        </w:rPr>
        <w:t> </w:t>
      </w:r>
      <w:r>
        <w:rPr>
          <w:rFonts w:ascii="宋体" w:hAnsi="宋体" w:cs="宋体" w:eastAsia="宋体" w:hint="default"/>
        </w:rPr>
        <w:t>15,865.53</w:t>
      </w:r>
      <w:r>
        <w:rPr>
          <w:rFonts w:ascii="宋体" w:hAnsi="宋体" w:cs="宋体" w:eastAsia="宋体" w:hint="default"/>
          <w:spacing w:val="-55"/>
        </w:rPr>
        <w:t> </w:t>
      </w:r>
      <w:r>
        <w:rPr/>
        <w:t>万元，占年度销售总额</w:t>
      </w:r>
      <w:r>
        <w:rPr>
          <w:spacing w:val="-56"/>
        </w:rPr>
        <w:t> </w:t>
      </w:r>
      <w:r>
        <w:rPr>
          <w:rFonts w:ascii="宋体" w:hAnsi="宋体" w:cs="宋体" w:eastAsia="宋体" w:hint="default"/>
        </w:rPr>
        <w:t>5.70%</w:t>
      </w:r>
      <w:r>
        <w:rPr/>
        <w:t>；其中前五名客户销售额中关联方销</w:t>
      </w:r>
      <w:r>
        <w:rPr>
          <w:w w:val="100"/>
        </w:rPr>
        <w:t> </w:t>
      </w:r>
      <w:r>
        <w:rPr/>
        <w:t>售额</w:t>
      </w:r>
      <w:r>
        <w:rPr>
          <w:spacing w:val="-54"/>
        </w:rPr>
        <w:t> </w:t>
      </w:r>
      <w:r>
        <w:rPr>
          <w:rFonts w:ascii="宋体" w:hAnsi="宋体" w:cs="宋体" w:eastAsia="宋体" w:hint="default"/>
        </w:rPr>
        <w:t>0.00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0.00</w:t>
      </w:r>
      <w:r>
        <w:rPr>
          <w:rFonts w:ascii="宋体" w:hAnsi="宋体" w:cs="宋体" w:eastAsia="宋体" w:hint="default"/>
          <w:spacing w:val="-2"/>
        </w:rPr>
        <w:t> </w:t>
      </w:r>
      <w:r>
        <w:rPr>
          <w:rFonts w:ascii="宋体" w:hAnsi="宋体" w:cs="宋体" w:eastAsia="宋体" w:hint="default"/>
        </w:rPr>
        <w:t>%</w:t>
      </w:r>
      <w:r>
        <w:rPr/>
        <w:t>。</w:t>
      </w:r>
    </w:p>
    <w:p>
      <w:pPr>
        <w:pStyle w:val="BodyText"/>
        <w:spacing w:line="384" w:lineRule="auto" w:before="36"/>
        <w:ind w:left="678" w:right="0"/>
        <w:jc w:val="left"/>
      </w:pPr>
      <w:r>
        <w:rPr/>
        <w:t>前五名供应商采购额</w:t>
      </w:r>
      <w:r>
        <w:rPr>
          <w:spacing w:val="-38"/>
        </w:rPr>
        <w:t> </w:t>
      </w:r>
      <w:r>
        <w:rPr>
          <w:rFonts w:ascii="宋体" w:hAnsi="宋体" w:cs="宋体" w:eastAsia="宋体" w:hint="default"/>
        </w:rPr>
        <w:t>20,775.50</w:t>
      </w:r>
      <w:r>
        <w:rPr>
          <w:rFonts w:ascii="宋体" w:hAnsi="宋体" w:cs="宋体" w:eastAsia="宋体" w:hint="default"/>
          <w:spacing w:val="-41"/>
        </w:rPr>
        <w:t> </w:t>
      </w:r>
      <w:r>
        <w:rPr>
          <w:spacing w:val="-4"/>
        </w:rPr>
        <w:t>万元，占年度采购总额</w:t>
      </w:r>
      <w:r>
        <w:rPr>
          <w:spacing w:val="-38"/>
        </w:rPr>
        <w:t> </w:t>
      </w:r>
      <w:r>
        <w:rPr>
          <w:rFonts w:ascii="宋体" w:hAnsi="宋体" w:cs="宋体" w:eastAsia="宋体" w:hint="default"/>
          <w:spacing w:val="-3"/>
        </w:rPr>
        <w:t>14.75%</w:t>
      </w:r>
      <w:r>
        <w:rPr>
          <w:spacing w:val="-3"/>
        </w:rPr>
        <w:t>；其中前五名供应商采购额中关联</w:t>
      </w:r>
      <w:r>
        <w:rPr>
          <w:spacing w:val="-99"/>
        </w:rPr>
        <w:t> </w:t>
      </w:r>
      <w:r>
        <w:rPr>
          <w:spacing w:val="-99"/>
        </w:rPr>
      </w:r>
      <w:r>
        <w:rPr/>
        <w:t>方采购额</w:t>
      </w:r>
      <w:r>
        <w:rPr>
          <w:spacing w:val="-54"/>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0.00%</w:t>
      </w:r>
      <w:r>
        <w:rPr/>
        <w:t>。</w:t>
      </w:r>
    </w:p>
    <w:p>
      <w:pPr>
        <w:spacing w:line="240" w:lineRule="auto" w:before="0"/>
        <w:rPr>
          <w:rFonts w:ascii="宋体" w:hAnsi="宋体" w:cs="宋体" w:eastAsia="宋体" w:hint="default"/>
          <w:sz w:val="28"/>
          <w:szCs w:val="28"/>
        </w:rPr>
      </w:pPr>
    </w:p>
    <w:p>
      <w:pPr>
        <w:pStyle w:val="BodyText"/>
        <w:spacing w:line="272" w:lineRule="exact"/>
        <w:ind w:left="678" w:right="846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5"/>
        <w:tabs>
          <w:tab w:pos="1097" w:val="left" w:leader="none"/>
        </w:tabs>
        <w:spacing w:line="240" w:lineRule="auto"/>
        <w:ind w:left="678" w:right="55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8"/>
        <w:ind w:left="678" w:right="55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1114"/>
        <w:gridCol w:w="1685"/>
        <w:gridCol w:w="1687"/>
        <w:gridCol w:w="1755"/>
        <w:gridCol w:w="1130"/>
        <w:gridCol w:w="2410"/>
      </w:tblGrid>
      <w:tr>
        <w:trPr>
          <w:trHeight w:val="51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b/>
                <w:bCs/>
                <w:sz w:val="21"/>
                <w:szCs w:val="21"/>
              </w:rPr>
              <w:t>费用项目</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0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1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48" w:right="0"/>
              <w:jc w:val="left"/>
              <w:rPr>
                <w:rFonts w:ascii="宋体" w:hAnsi="宋体" w:cs="宋体" w:eastAsia="宋体" w:hint="default"/>
                <w:sz w:val="21"/>
                <w:szCs w:val="21"/>
              </w:rPr>
            </w:pPr>
            <w:r>
              <w:rPr>
                <w:rFonts w:ascii="宋体" w:hAnsi="宋体" w:cs="宋体" w:eastAsia="宋体" w:hint="default"/>
                <w:b/>
                <w:bCs/>
                <w:sz w:val="21"/>
                <w:szCs w:val="21"/>
              </w:rPr>
              <w:t>变动金额</w:t>
            </w:r>
            <w:r>
              <w:rPr>
                <w:rFonts w:ascii="宋体" w:hAnsi="宋体" w:cs="宋体" w:eastAsia="宋体" w:hint="default"/>
                <w:sz w:val="21"/>
                <w:szCs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变动率</w:t>
            </w:r>
            <w:r>
              <w:rPr>
                <w:rFonts w:ascii="宋体" w:hAnsi="宋体" w:cs="宋体" w:eastAsia="宋体" w:hint="default"/>
                <w:b/>
                <w:bCs/>
                <w:sz w:val="21"/>
                <w:szCs w:val="21"/>
              </w:rPr>
              <w:t>%</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86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7"/>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694,632,599.12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520,519,392.78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174,113,206.34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sz w:val="22"/>
              </w:rPr>
              <w:t>33.45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主要系本公司报告期</w:t>
            </w:r>
          </w:p>
          <w:p>
            <w:pPr>
              <w:pStyle w:val="TableParagraph"/>
              <w:spacing w:line="286" w:lineRule="exact" w:before="26"/>
              <w:ind w:left="103" w:right="99"/>
              <w:jc w:val="left"/>
              <w:rPr>
                <w:rFonts w:ascii="宋体" w:hAnsi="宋体" w:cs="宋体" w:eastAsia="宋体" w:hint="default"/>
                <w:sz w:val="22"/>
                <w:szCs w:val="22"/>
              </w:rPr>
            </w:pPr>
            <w:r>
              <w:rPr>
                <w:rFonts w:ascii="宋体" w:hAnsi="宋体" w:cs="宋体" w:eastAsia="宋体" w:hint="default"/>
                <w:spacing w:val="-2"/>
                <w:sz w:val="22"/>
                <w:szCs w:val="22"/>
              </w:rPr>
              <w:t>收购帅康电气，纳入合</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并报表所致。</w:t>
            </w:r>
          </w:p>
        </w:tc>
      </w:tr>
      <w:tr>
        <w:trPr>
          <w:trHeight w:val="86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7"/>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260,360,027.83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195,808,694.99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64,551,332.84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sz w:val="22"/>
              </w:rPr>
              <w:t>32.97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主要系本公司报告期</w:t>
            </w:r>
          </w:p>
          <w:p>
            <w:pPr>
              <w:pStyle w:val="TableParagraph"/>
              <w:spacing w:line="286" w:lineRule="exact" w:before="27"/>
              <w:ind w:left="103" w:right="99"/>
              <w:jc w:val="left"/>
              <w:rPr>
                <w:rFonts w:ascii="宋体" w:hAnsi="宋体" w:cs="宋体" w:eastAsia="宋体" w:hint="default"/>
                <w:sz w:val="22"/>
                <w:szCs w:val="22"/>
              </w:rPr>
            </w:pPr>
            <w:r>
              <w:rPr>
                <w:rFonts w:ascii="宋体" w:hAnsi="宋体" w:cs="宋体" w:eastAsia="宋体" w:hint="default"/>
                <w:spacing w:val="-2"/>
                <w:sz w:val="22"/>
                <w:szCs w:val="22"/>
              </w:rPr>
              <w:t>收购帅康电气，纳入合</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并报表所致。</w:t>
            </w:r>
          </w:p>
        </w:tc>
      </w:tr>
      <w:tr>
        <w:trPr>
          <w:trHeight w:val="29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7"/>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42,679,089.31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4,260,039.77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38,419,049.54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901.85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 w:right="0"/>
              <w:jc w:val="center"/>
              <w:rPr>
                <w:rFonts w:ascii="宋体" w:hAnsi="宋体" w:cs="宋体" w:eastAsia="宋体" w:hint="default"/>
                <w:sz w:val="22"/>
                <w:szCs w:val="22"/>
              </w:rPr>
            </w:pPr>
            <w:r>
              <w:rPr>
                <w:rFonts w:ascii="宋体" w:hAnsi="宋体" w:cs="宋体" w:eastAsia="宋体" w:hint="default"/>
                <w:sz w:val="22"/>
                <w:szCs w:val="22"/>
              </w:rPr>
              <w:t>主要系借款增加所致。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120" w:right="780"/>
        </w:sectPr>
      </w:pPr>
    </w:p>
    <w:p>
      <w:pPr>
        <w:pStyle w:val="Heading5"/>
        <w:tabs>
          <w:tab w:pos="1097" w:val="left" w:leader="none"/>
        </w:tabs>
        <w:spacing w:line="290" w:lineRule="auto" w:before="36"/>
        <w:ind w:left="678"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520" w:val="left" w:leader="none"/>
        </w:tabs>
        <w:spacing w:line="240" w:lineRule="auto" w:before="12"/>
        <w:ind w:left="6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678" w:right="0"/>
        <w:jc w:val="left"/>
      </w:pPr>
      <w:r>
        <w:rPr/>
        <w:t>单位：元</w:t>
      </w:r>
    </w:p>
    <w:p>
      <w:pPr>
        <w:spacing w:after="0" w:line="240" w:lineRule="auto"/>
        <w:jc w:val="left"/>
        <w:sectPr>
          <w:type w:val="continuous"/>
          <w:pgSz w:w="11910" w:h="16840"/>
          <w:pgMar w:top="1120" w:bottom="1380" w:left="1120" w:right="780"/>
          <w:cols w:num="2" w:equalWidth="0">
            <w:col w:w="2361" w:space="5633"/>
            <w:col w:w="2016"/>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63,567,869.77</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63,567,869.77</w:t>
            </w:r>
          </w:p>
        </w:tc>
      </w:tr>
    </w:tbl>
    <w:p>
      <w:pPr>
        <w:spacing w:after="0" w:line="243" w:lineRule="exact"/>
        <w:jc w:val="right"/>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2.28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5"/>
        <w:spacing w:line="240" w:lineRule="auto" w:before="36"/>
        <w:ind w:right="2549"/>
        <w:jc w:val="left"/>
        <w:rPr>
          <w:b w:val="0"/>
          <w:bCs w:val="0"/>
        </w:rPr>
      </w:pPr>
      <w:r>
        <w:rPr/>
        <w:t>情况说明</w:t>
      </w:r>
      <w:r>
        <w:rPr>
          <w:b w:val="0"/>
          <w:bCs w:val="0"/>
        </w:rPr>
      </w:r>
    </w:p>
    <w:p>
      <w:pPr>
        <w:pStyle w:val="BodyText"/>
        <w:tabs>
          <w:tab w:pos="1060" w:val="left" w:leader="none"/>
        </w:tabs>
        <w:spacing w:line="290" w:lineRule="auto" w:before="56"/>
        <w:ind w:left="638" w:right="240" w:hanging="420"/>
        <w:jc w:val="left"/>
      </w:pPr>
      <w:r>
        <w:rPr>
          <w:spacing w:val="-1"/>
        </w:rPr>
        <w:t>√适用</w:t>
        <w:tab/>
      </w:r>
      <w:r>
        <w:rPr>
          <w:spacing w:val="-2"/>
        </w:rPr>
        <w:t>□不适用</w:t>
      </w:r>
      <w:r>
        <w:rPr>
          <w:spacing w:val="-99"/>
        </w:rPr>
        <w:t> </w:t>
      </w:r>
      <w:r>
        <w:rPr>
          <w:spacing w:val="-99"/>
        </w:rPr>
      </w:r>
      <w:r>
        <w:rPr>
          <w:spacing w:val="-2"/>
        </w:rPr>
        <w:t>公司秉承通过技术创新提高公司竞争优势的发展战略，强化技术创新对公司的支撑和保证作</w:t>
      </w:r>
    </w:p>
    <w:p>
      <w:pPr>
        <w:pStyle w:val="BodyText"/>
        <w:spacing w:line="355" w:lineRule="auto" w:before="89"/>
        <w:ind w:left="218" w:right="227"/>
        <w:jc w:val="left"/>
      </w:pPr>
      <w:r>
        <w:rPr>
          <w:spacing w:val="-2"/>
        </w:rPr>
        <w:t>用，通过技术的创新改造寻求公司新的利润增长点以及降低销售产品的生产成本，使公司产品更</w:t>
      </w:r>
      <w:r>
        <w:rPr>
          <w:spacing w:val="-25"/>
        </w:rPr>
        <w:t> </w:t>
      </w:r>
      <w:r>
        <w:rPr>
          <w:spacing w:val="-25"/>
        </w:rPr>
      </w:r>
      <w:r>
        <w:rPr/>
        <w:t>具市场竞争力，以提高企业的综合效益。</w:t>
      </w:r>
    </w:p>
    <w:p>
      <w:pPr>
        <w:pStyle w:val="Heading5"/>
        <w:tabs>
          <w:tab w:pos="637" w:val="left" w:leader="none"/>
        </w:tabs>
        <w:spacing w:line="240" w:lineRule="auto" w:before="93"/>
        <w:ind w:right="2549"/>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8"/>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1057" w:val="left" w:leader="none"/>
        </w:tabs>
        <w:spacing w:line="240" w:lineRule="auto"/>
        <w:ind w:right="254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638" w:right="227"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根据《企业会计准则》以及公司会计政策的相关规定，为更加真实、准确地反映公司截止</w:t>
      </w:r>
    </w:p>
    <w:p>
      <w:pPr>
        <w:pStyle w:val="BodyText"/>
        <w:spacing w:line="355" w:lineRule="auto" w:before="133"/>
        <w:ind w:left="218" w:right="227"/>
        <w:jc w:val="left"/>
      </w:pPr>
      <w:r>
        <w:rPr>
          <w:rFonts w:ascii="宋体" w:hAnsi="宋体" w:cs="宋体" w:eastAsia="宋体" w:hint="default"/>
        </w:rPr>
        <w:t>2017</w:t>
      </w:r>
      <w:r>
        <w:rPr>
          <w:rFonts w:ascii="宋体" w:hAnsi="宋体" w:cs="宋体" w:eastAsia="宋体" w:hint="default"/>
          <w:spacing w:val="12"/>
        </w:rPr>
        <w:t> </w:t>
      </w:r>
      <w:r>
        <w:rPr/>
        <w:t>年</w:t>
      </w:r>
      <w:r>
        <w:rPr>
          <w:spacing w:val="14"/>
        </w:rPr>
        <w:t> </w:t>
      </w:r>
      <w:r>
        <w:rPr>
          <w:rFonts w:ascii="宋体" w:hAnsi="宋体" w:cs="宋体" w:eastAsia="宋体" w:hint="default"/>
        </w:rPr>
        <w:t>12</w:t>
      </w:r>
      <w:r>
        <w:rPr>
          <w:rFonts w:ascii="宋体" w:hAnsi="宋体" w:cs="宋体" w:eastAsia="宋体" w:hint="default"/>
          <w:spacing w:val="12"/>
        </w:rPr>
        <w:t> </w:t>
      </w:r>
      <w:r>
        <w:rPr/>
        <w:t>月</w:t>
      </w:r>
      <w:r>
        <w:rPr>
          <w:spacing w:val="12"/>
        </w:rPr>
        <w:t> </w:t>
      </w:r>
      <w:r>
        <w:rPr>
          <w:rFonts w:ascii="宋体" w:hAnsi="宋体" w:cs="宋体" w:eastAsia="宋体" w:hint="default"/>
        </w:rPr>
        <w:t>31</w:t>
      </w:r>
      <w:r>
        <w:rPr>
          <w:rFonts w:ascii="宋体" w:hAnsi="宋体" w:cs="宋体" w:eastAsia="宋体" w:hint="default"/>
          <w:spacing w:val="12"/>
        </w:rPr>
        <w:t> </w:t>
      </w:r>
      <w:r>
        <w:rPr>
          <w:spacing w:val="-5"/>
        </w:rPr>
        <w:t>日的资产状况和财务状况，公司及下属子公司对各项资产进行了全面清查，对</w:t>
      </w:r>
      <w:r>
        <w:rPr>
          <w:spacing w:val="-103"/>
        </w:rPr>
        <w:t> </w:t>
      </w:r>
      <w:r>
        <w:rPr>
          <w:spacing w:val="-103"/>
        </w:rPr>
      </w:r>
      <w:r>
        <w:rPr/>
        <w:t>可能发生资产减值损失的资产计提减值准备，具体如下表：</w:t>
      </w:r>
    </w:p>
    <w:p>
      <w:pPr>
        <w:spacing w:line="240" w:lineRule="auto" w:before="1"/>
        <w:rPr>
          <w:rFonts w:ascii="宋体" w:hAnsi="宋体" w:cs="宋体" w:eastAsia="宋体" w:hint="default"/>
          <w:sz w:val="5"/>
          <w:szCs w:val="5"/>
        </w:rPr>
      </w:pPr>
    </w:p>
    <w:tbl>
      <w:tblPr>
        <w:tblW w:w="0" w:type="auto"/>
        <w:jc w:val="left"/>
        <w:tblInd w:w="198" w:type="dxa"/>
        <w:tblLayout w:type="fixed"/>
        <w:tblCellMar>
          <w:top w:w="0" w:type="dxa"/>
          <w:left w:w="0" w:type="dxa"/>
          <w:bottom w:w="0" w:type="dxa"/>
          <w:right w:w="0" w:type="dxa"/>
        </w:tblCellMar>
        <w:tblLook w:val="01E0"/>
      </w:tblPr>
      <w:tblGrid>
        <w:gridCol w:w="1896"/>
        <w:gridCol w:w="1767"/>
        <w:gridCol w:w="1695"/>
        <w:gridCol w:w="1767"/>
        <w:gridCol w:w="1831"/>
      </w:tblGrid>
      <w:tr>
        <w:trPr>
          <w:trHeight w:val="828"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报表项目（万元）</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日账面余额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日减值准备</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日账面净值</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计提减值准备金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10,737.54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2,179.18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8,558.36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457.44</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11,844.34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3,330.99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8,513.35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1,317.84</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45,012.17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220.90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44,791.28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61.18</w:t>
            </w: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51,410.65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50,410.65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1,102.90</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114,637.79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18,642.19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95,995.61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4,055.13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4,019.78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35.35</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237,697.64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25,408.60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212,289.03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2,974.70</w:t>
            </w:r>
          </w:p>
        </w:tc>
      </w:tr>
    </w:tbl>
    <w:p>
      <w:pPr>
        <w:pStyle w:val="BodyText"/>
        <w:spacing w:line="241" w:lineRule="exact"/>
        <w:ind w:left="218" w:right="2549"/>
        <w:jc w:val="left"/>
      </w:pPr>
      <w:r>
        <w:rPr>
          <w:rFonts w:ascii="宋体" w:hAnsi="宋体" w:cs="宋体" w:eastAsia="宋体" w:hint="default"/>
        </w:rPr>
        <w:t>2.</w:t>
      </w:r>
      <w:r>
        <w:rPr/>
        <w:t>本期投资收益减少。</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5"/>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9"/>
        <w:ind w:left="218" w:right="-16"/>
        <w:jc w:val="left"/>
      </w:pPr>
      <w:r>
        <w:rPr>
          <w:spacing w:val="-1"/>
        </w:rPr>
        <w:t>√适用</w:t>
        <w:tab/>
      </w:r>
      <w:r>
        <w:rPr>
          <w:spacing w:val="-2"/>
        </w:rPr>
        <w:t>□不适用</w:t>
      </w:r>
    </w:p>
    <w:p>
      <w:pPr>
        <w:pStyle w:val="Heading5"/>
        <w:tabs>
          <w:tab w:pos="642" w:val="left" w:leader="none"/>
        </w:tabs>
        <w:spacing w:line="240" w:lineRule="auto" w:before="56"/>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18" w:right="0"/>
        <w:jc w:val="left"/>
      </w:pPr>
      <w:r>
        <w:rPr/>
        <w:t>单位：万元</w:t>
      </w:r>
    </w:p>
    <w:p>
      <w:pPr>
        <w:spacing w:after="0" w:line="240" w:lineRule="auto"/>
        <w:jc w:val="left"/>
        <w:sectPr>
          <w:type w:val="continuous"/>
          <w:pgSz w:w="11910" w:h="16840"/>
          <w:pgMar w:top="1120" w:bottom="1380" w:left="1580" w:right="1040"/>
          <w:cols w:num="2" w:equalWidth="0">
            <w:col w:w="2959" w:space="4823"/>
            <w:col w:w="150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65"/>
        <w:gridCol w:w="1265"/>
        <w:gridCol w:w="1217"/>
        <w:gridCol w:w="1265"/>
        <w:gridCol w:w="1217"/>
        <w:gridCol w:w="1676"/>
        <w:gridCol w:w="1745"/>
      </w:tblGrid>
      <w:tr>
        <w:trPr>
          <w:trHeight w:val="109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113"/>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本期期末数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40" w:lineRule="auto"/>
              <w:ind w:left="182" w:right="180"/>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上期期末数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40" w:lineRule="auto"/>
              <w:ind w:left="182" w:right="180"/>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1" w:right="200"/>
              <w:jc w:val="both"/>
              <w:rPr>
                <w:rFonts w:ascii="宋体" w:hAnsi="宋体" w:cs="宋体" w:eastAsia="宋体" w:hint="default"/>
                <w:sz w:val="21"/>
                <w:szCs w:val="21"/>
              </w:rPr>
            </w:pPr>
            <w:r>
              <w:rPr>
                <w:rFonts w:ascii="宋体" w:hAnsi="宋体" w:cs="宋体" w:eastAsia="宋体" w:hint="default"/>
                <w:sz w:val="21"/>
                <w:szCs w:val="21"/>
              </w:rPr>
              <w:t>本期期末金额</w:t>
            </w:r>
            <w:r>
              <w:rPr>
                <w:rFonts w:ascii="宋体" w:hAnsi="宋体" w:cs="宋体" w:eastAsia="宋体" w:hint="default"/>
                <w:w w:val="100"/>
                <w:sz w:val="21"/>
                <w:szCs w:val="21"/>
              </w:rPr>
              <w:t> </w:t>
            </w: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1373"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货币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38,567.36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83,314.45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15.96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-53.71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告期收购帅康电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气及参股苏宁银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行支付的股权款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所致</w:t>
            </w:r>
          </w:p>
        </w:tc>
      </w:tr>
      <w:tr>
        <w:trPr>
          <w:trHeight w:val="283"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3,741.97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2,032.93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84.07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主要系承兑汇票</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5"/>
        <w:gridCol w:w="1265"/>
        <w:gridCol w:w="1217"/>
        <w:gridCol w:w="1265"/>
        <w:gridCol w:w="1217"/>
        <w:gridCol w:w="1676"/>
        <w:gridCol w:w="1745"/>
      </w:tblGrid>
      <w:tr>
        <w:trPr>
          <w:trHeight w:val="28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center"/>
              <w:rPr>
                <w:rFonts w:ascii="宋体" w:hAnsi="宋体" w:cs="宋体" w:eastAsia="宋体" w:hint="default"/>
                <w:sz w:val="21"/>
                <w:szCs w:val="21"/>
              </w:rPr>
            </w:pPr>
            <w:r>
              <w:rPr>
                <w:rFonts w:ascii="宋体" w:hAnsi="宋体" w:cs="宋体" w:eastAsia="宋体" w:hint="default"/>
                <w:sz w:val="21"/>
                <w:szCs w:val="21"/>
              </w:rPr>
              <w:t>票据</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
              <w:jc w:val="center"/>
              <w:rPr>
                <w:rFonts w:ascii="宋体" w:hAnsi="宋体" w:cs="宋体" w:eastAsia="宋体" w:hint="default"/>
                <w:sz w:val="21"/>
                <w:szCs w:val="21"/>
              </w:rPr>
            </w:pPr>
            <w:r>
              <w:rPr>
                <w:rFonts w:ascii="宋体" w:hAnsi="宋体" w:cs="宋体" w:eastAsia="宋体" w:hint="default"/>
                <w:sz w:val="21"/>
                <w:szCs w:val="21"/>
              </w:rPr>
              <w:t>结算增加所致。</w:t>
            </w:r>
          </w:p>
        </w:tc>
      </w:tr>
      <w:tr>
        <w:trPr>
          <w:trHeight w:val="109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8,558.36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2,874.21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197.76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告期收购帅康电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气，纳入合并报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表所致。</w:t>
            </w:r>
          </w:p>
        </w:tc>
      </w:tr>
      <w:tr>
        <w:trPr>
          <w:trHeight w:val="109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13"/>
                <w:sz w:val="21"/>
                <w:szCs w:val="21"/>
              </w:rPr>
              <w:t>应收</w:t>
            </w:r>
            <w:r>
              <w:rPr>
                <w:rFonts w:ascii="宋体" w:hAnsi="宋体" w:cs="宋体" w:eastAsia="宋体" w:hint="default"/>
                <w:spacing w:val="-101"/>
                <w:sz w:val="21"/>
                <w:szCs w:val="21"/>
              </w:rPr>
              <w:t> </w:t>
            </w:r>
            <w:r>
              <w:rPr>
                <w:rFonts w:ascii="宋体" w:hAnsi="宋体" w:cs="宋体" w:eastAsia="宋体" w:hint="default"/>
                <w:sz w:val="21"/>
                <w:szCs w:val="21"/>
              </w:rPr>
              <w:t>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8,513.35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5,205.03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63.56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告期收购帅康电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气，纳入合并报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表所致。</w:t>
            </w:r>
          </w:p>
        </w:tc>
      </w:tr>
      <w:tr>
        <w:trPr>
          <w:trHeight w:val="1100"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存货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44,791.28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27,325.79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告期收购帅康电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气，纳入合并报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表所致。</w:t>
            </w:r>
          </w:p>
        </w:tc>
      </w:tr>
      <w:tr>
        <w:trPr>
          <w:trHeight w:val="82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13"/>
                <w:sz w:val="21"/>
                <w:szCs w:val="21"/>
              </w:rPr>
              <w:t>流动</w:t>
            </w:r>
            <w:r>
              <w:rPr>
                <w:rFonts w:ascii="宋体" w:hAnsi="宋体" w:cs="宋体" w:eastAsia="宋体" w:hint="default"/>
                <w:spacing w:val="-101"/>
                <w:sz w:val="21"/>
                <w:szCs w:val="21"/>
              </w:rPr>
              <w:t> </w:t>
            </w:r>
            <w:r>
              <w:rPr>
                <w:rFonts w:ascii="宋体" w:hAnsi="宋体" w:cs="宋体" w:eastAsia="宋体" w:hint="default"/>
                <w:sz w:val="21"/>
                <w:szCs w:val="21"/>
              </w:rPr>
              <w:t>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64,874.15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186,198.57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-65.16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主要系报告期投</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6"/>
                <w:sz w:val="21"/>
                <w:szCs w:val="21"/>
              </w:rPr>
              <w:t>资理财的收回所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致。</w:t>
            </w:r>
          </w:p>
        </w:tc>
      </w:tr>
      <w:tr>
        <w:trPr>
          <w:trHeight w:val="82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长期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13"/>
                <w:sz w:val="21"/>
                <w:szCs w:val="21"/>
              </w:rPr>
              <w:t>股权</w:t>
            </w:r>
            <w:r>
              <w:rPr>
                <w:rFonts w:ascii="宋体" w:hAnsi="宋体" w:cs="宋体" w:eastAsia="宋体" w:hint="default"/>
                <w:spacing w:val="-101"/>
                <w:sz w:val="21"/>
                <w:szCs w:val="21"/>
              </w:rPr>
              <w:t> </w:t>
            </w:r>
            <w:r>
              <w:rPr>
                <w:rFonts w:ascii="宋体" w:hAnsi="宋体" w:cs="宋体" w:eastAsia="宋体" w:hint="default"/>
                <w:sz w:val="21"/>
                <w:szCs w:val="21"/>
              </w:rPr>
              <w:t>投资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95,995.61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490.53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19,469.78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主要系报告期投</w:t>
            </w:r>
          </w:p>
          <w:p>
            <w:pPr>
              <w:pStyle w:val="TableParagraph"/>
              <w:spacing w:line="272" w:lineRule="exact" w:before="27"/>
              <w:ind w:left="103" w:right="47"/>
              <w:jc w:val="left"/>
              <w:rPr>
                <w:rFonts w:ascii="宋体" w:hAnsi="宋体" w:cs="宋体" w:eastAsia="宋体" w:hint="default"/>
                <w:sz w:val="21"/>
                <w:szCs w:val="21"/>
              </w:rPr>
            </w:pPr>
            <w:r>
              <w:rPr>
                <w:rFonts w:ascii="宋体" w:hAnsi="宋体" w:cs="宋体" w:eastAsia="宋体" w:hint="default"/>
                <w:spacing w:val="42"/>
                <w:sz w:val="21"/>
                <w:szCs w:val="21"/>
              </w:rPr>
              <w:t>资苏宁银行所</w:t>
            </w:r>
            <w:r>
              <w:rPr>
                <w:rFonts w:ascii="宋体" w:hAnsi="宋体" w:cs="宋体" w:eastAsia="宋体" w:hint="default"/>
                <w:spacing w:val="-90"/>
                <w:sz w:val="21"/>
                <w:szCs w:val="21"/>
              </w:rPr>
              <w:t> </w:t>
            </w:r>
            <w:r>
              <w:rPr>
                <w:rFonts w:ascii="宋体" w:hAnsi="宋体" w:cs="宋体" w:eastAsia="宋体" w:hint="default"/>
                <w:sz w:val="21"/>
                <w:szCs w:val="21"/>
              </w:rPr>
              <w:t>致。</w:t>
            </w:r>
          </w:p>
        </w:tc>
      </w:tr>
      <w:tr>
        <w:trPr>
          <w:trHeight w:val="1102"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固定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123,663.76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77,802.27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14.90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58.95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主要系报告期在</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6"/>
                <w:sz w:val="21"/>
                <w:szCs w:val="21"/>
              </w:rPr>
              <w:t>建工程转入固定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资产，及帅康电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气并表所致。</w:t>
            </w:r>
          </w:p>
        </w:tc>
      </w:tr>
      <w:tr>
        <w:trPr>
          <w:trHeight w:val="82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在建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4,019.78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21,516.16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-81.32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主要系报告期在</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6"/>
                <w:sz w:val="21"/>
                <w:szCs w:val="21"/>
              </w:rPr>
              <w:t>建工程转入固定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资产所致。</w:t>
            </w:r>
          </w:p>
        </w:tc>
      </w:tr>
      <w:tr>
        <w:trPr>
          <w:trHeight w:val="1373"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无形</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51,122.84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21,111.10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142.16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告期收购帅康电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气，及其合并报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表层面的评估增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值。</w:t>
            </w:r>
          </w:p>
        </w:tc>
      </w:tr>
      <w:tr>
        <w:trPr>
          <w:trHeight w:val="82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商誉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49,972.04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184.32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27,011.65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主要系收购帅康</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6"/>
                <w:sz w:val="21"/>
                <w:szCs w:val="21"/>
              </w:rPr>
              <w:t>电气所形成的商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誉。</w:t>
            </w:r>
          </w:p>
        </w:tc>
      </w:tr>
      <w:tr>
        <w:trPr>
          <w:trHeight w:val="82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长期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13"/>
                <w:sz w:val="21"/>
                <w:szCs w:val="21"/>
              </w:rPr>
              <w:t>待摊</w:t>
            </w:r>
            <w:r>
              <w:rPr>
                <w:rFonts w:ascii="宋体" w:hAnsi="宋体" w:cs="宋体" w:eastAsia="宋体" w:hint="default"/>
                <w:spacing w:val="-101"/>
                <w:sz w:val="21"/>
                <w:szCs w:val="21"/>
              </w:rPr>
              <w:t> </w:t>
            </w:r>
            <w:r>
              <w:rPr>
                <w:rFonts w:ascii="宋体" w:hAnsi="宋体" w:cs="宋体" w:eastAsia="宋体" w:hint="default"/>
                <w:sz w:val="21"/>
                <w:szCs w:val="21"/>
              </w:rPr>
              <w:t>费用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731.90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260.22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181.27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主要系租入固定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资产装修费等</w:t>
            </w:r>
          </w:p>
        </w:tc>
      </w:tr>
      <w:tr>
        <w:trPr>
          <w:trHeight w:val="55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短期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60,465.00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141.86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主要系借款增加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应付</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22,613.00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15,634.00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44.64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主要系承兑汇票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结算增加所致。</w:t>
            </w:r>
          </w:p>
        </w:tc>
      </w:tr>
      <w:tr>
        <w:trPr>
          <w:trHeight w:val="109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应付</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40,913.13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30,694.63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告期收购帅康电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气，纳入合并报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表所致。</w:t>
            </w:r>
          </w:p>
        </w:tc>
      </w:tr>
      <w:tr>
        <w:trPr>
          <w:trHeight w:val="1100"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应交</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4,033.29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2,764.11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告期收购帅康电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气，纳入合并报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表所致。</w:t>
            </w:r>
          </w:p>
        </w:tc>
      </w:tr>
      <w:tr>
        <w:trPr>
          <w:trHeight w:val="283"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pacing w:val="13"/>
                <w:sz w:val="21"/>
                <w:szCs w:val="21"/>
              </w:rPr>
              <w:t>应付</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30.21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141.66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主要系借款增加</w:t>
            </w:r>
          </w:p>
        </w:tc>
      </w:tr>
    </w:tbl>
    <w:p>
      <w:pPr>
        <w:spacing w:after="0" w:line="241"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65"/>
        <w:gridCol w:w="1265"/>
        <w:gridCol w:w="1217"/>
        <w:gridCol w:w="1265"/>
        <w:gridCol w:w="1217"/>
        <w:gridCol w:w="1676"/>
        <w:gridCol w:w="1745"/>
      </w:tblGrid>
      <w:tr>
        <w:trPr>
          <w:trHeight w:val="28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828"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13"/>
                <w:sz w:val="21"/>
                <w:szCs w:val="21"/>
              </w:rPr>
              <w:t>应付</w:t>
            </w:r>
            <w:r>
              <w:rPr>
                <w:rFonts w:ascii="宋体" w:hAnsi="宋体" w:cs="宋体" w:eastAsia="宋体" w:hint="default"/>
                <w:spacing w:val="-101"/>
                <w:sz w:val="21"/>
                <w:szCs w:val="21"/>
              </w:rPr>
              <w:t> </w:t>
            </w:r>
            <w:r>
              <w:rPr>
                <w:rFonts w:ascii="宋体" w:hAnsi="宋体" w:cs="宋体" w:eastAsia="宋体" w:hint="default"/>
                <w:sz w:val="21"/>
                <w:szCs w:val="21"/>
              </w:rPr>
              <w:t>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65,413.12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15,134.75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332.20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主要系控股公司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借款所致。</w:t>
            </w:r>
          </w:p>
        </w:tc>
      </w:tr>
      <w:tr>
        <w:trPr>
          <w:trHeight w:val="1099"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递延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03" w:right="69"/>
              <w:jc w:val="both"/>
              <w:rPr>
                <w:rFonts w:ascii="宋体" w:hAnsi="宋体" w:cs="宋体" w:eastAsia="宋体" w:hint="default"/>
                <w:sz w:val="21"/>
                <w:szCs w:val="21"/>
              </w:rPr>
            </w:pPr>
            <w:r>
              <w:rPr>
                <w:rFonts w:ascii="宋体" w:hAnsi="宋体" w:cs="宋体" w:eastAsia="宋体" w:hint="default"/>
                <w:spacing w:val="13"/>
                <w:sz w:val="21"/>
                <w:szCs w:val="21"/>
              </w:rPr>
              <w:t>所得</w:t>
            </w:r>
            <w:r>
              <w:rPr>
                <w:rFonts w:ascii="宋体" w:hAnsi="宋体" w:cs="宋体" w:eastAsia="宋体" w:hint="default"/>
                <w:spacing w:val="-101"/>
                <w:sz w:val="21"/>
                <w:szCs w:val="21"/>
              </w:rPr>
              <w:t> </w:t>
            </w:r>
            <w:r>
              <w:rPr>
                <w:rFonts w:ascii="宋体" w:hAnsi="宋体" w:cs="宋体" w:eastAsia="宋体" w:hint="default"/>
                <w:spacing w:val="13"/>
                <w:sz w:val="21"/>
                <w:szCs w:val="21"/>
              </w:rPr>
              <w:t>税负</w:t>
            </w:r>
            <w:r>
              <w:rPr>
                <w:rFonts w:ascii="宋体" w:hAnsi="宋体" w:cs="宋体" w:eastAsia="宋体" w:hint="default"/>
                <w:spacing w:val="-101"/>
                <w:sz w:val="21"/>
                <w:szCs w:val="21"/>
              </w:rPr>
              <w:t> </w:t>
            </w:r>
            <w:r>
              <w:rPr>
                <w:rFonts w:ascii="宋体" w:hAnsi="宋体" w:cs="宋体" w:eastAsia="宋体" w:hint="default"/>
                <w:sz w:val="21"/>
                <w:szCs w:val="21"/>
              </w:rPr>
              <w:t>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3,537.70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238.25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1,384.88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主要系本公司报</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6"/>
                <w:sz w:val="21"/>
                <w:szCs w:val="21"/>
              </w:rPr>
              <w:t>告期非同一控制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企业合并资产评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估增值所致。</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8" w:right="82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5"/>
        <w:tabs>
          <w:tab w:pos="642" w:val="left" w:leader="none"/>
        </w:tabs>
        <w:spacing w:line="240" w:lineRule="auto"/>
        <w:ind w:right="2549"/>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94" w:type="dxa"/>
        <w:tblLayout w:type="fixed"/>
        <w:tblCellMar>
          <w:top w:w="0" w:type="dxa"/>
          <w:left w:w="0" w:type="dxa"/>
          <w:bottom w:w="0" w:type="dxa"/>
          <w:right w:w="0" w:type="dxa"/>
        </w:tblCellMar>
        <w:tblLook w:val="01E0"/>
      </w:tblPr>
      <w:tblGrid>
        <w:gridCol w:w="1858"/>
        <w:gridCol w:w="2410"/>
        <w:gridCol w:w="4537"/>
      </w:tblGrid>
      <w:tr>
        <w:trPr>
          <w:trHeight w:val="545"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707"/>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56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05"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142,569,090.46</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、说明</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545"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宋体" w:hAnsi="宋体" w:cs="宋体" w:eastAsia="宋体" w:hint="default"/>
                <w:sz w:val="21"/>
                <w:szCs w:val="21"/>
              </w:rPr>
            </w:pPr>
            <w:r>
              <w:rPr>
                <w:rFonts w:ascii="宋体"/>
                <w:spacing w:val="-1"/>
                <w:sz w:val="21"/>
              </w:rPr>
              <w:t>14,336,475.59</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票据质押，银行承兑保证金</w:t>
            </w:r>
          </w:p>
        </w:tc>
      </w:tr>
      <w:tr>
        <w:trPr>
          <w:trHeight w:val="307"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167,363,632.14</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4"/>
                <w:sz w:val="21"/>
                <w:szCs w:val="21"/>
              </w:rPr>
              <w:t> </w:t>
            </w:r>
            <w:r>
              <w:rPr>
                <w:rFonts w:ascii="宋体" w:hAnsi="宋体" w:cs="宋体" w:eastAsia="宋体" w:hint="default"/>
                <w:sz w:val="21"/>
                <w:szCs w:val="21"/>
              </w:rPr>
              <w:t>3</w:t>
            </w:r>
          </w:p>
        </w:tc>
      </w:tr>
      <w:tr>
        <w:trPr>
          <w:trHeight w:val="305"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64,163,451.79</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4"/>
                <w:sz w:val="21"/>
                <w:szCs w:val="21"/>
              </w:rPr>
              <w:t> </w:t>
            </w:r>
            <w:r>
              <w:rPr>
                <w:rFonts w:ascii="宋体" w:hAnsi="宋体" w:cs="宋体" w:eastAsia="宋体" w:hint="default"/>
                <w:sz w:val="21"/>
                <w:szCs w:val="21"/>
              </w:rPr>
              <w:t>3</w:t>
            </w:r>
          </w:p>
        </w:tc>
      </w:tr>
      <w:tr>
        <w:trPr>
          <w:trHeight w:val="305" w:hRule="exact"/>
        </w:trPr>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707"/>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388,432,649.98</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218" w:right="0"/>
        <w:jc w:val="both"/>
      </w:pPr>
      <w:r>
        <w:rPr/>
        <w:t>说明</w:t>
      </w:r>
      <w:r>
        <w:rPr>
          <w:spacing w:val="23"/>
        </w:rPr>
        <w:t> </w:t>
      </w:r>
      <w:r>
        <w:rPr>
          <w:rFonts w:ascii="宋体" w:hAnsi="宋体" w:cs="宋体" w:eastAsia="宋体" w:hint="default"/>
          <w:spacing w:val="-2"/>
        </w:rPr>
        <w:t>1</w:t>
      </w:r>
      <w:r>
        <w:rPr>
          <w:spacing w:val="-2"/>
        </w:rPr>
        <w:t>：子公司四季沐歌（洛阳）太阳能有限公司收到的洛阳国家高新区洛龙科技园区管委会往</w:t>
      </w:r>
    </w:p>
    <w:p>
      <w:pPr>
        <w:pStyle w:val="BodyText"/>
        <w:spacing w:line="272" w:lineRule="exact" w:before="27"/>
        <w:ind w:left="218" w:right="227"/>
        <w:jc w:val="both"/>
      </w:pPr>
      <w:r>
        <w:rPr>
          <w:spacing w:val="-2"/>
        </w:rPr>
        <w:t>来款项，根据双方在开户银行的约定，对该笔款项用途尚未明确之前，需要双方共同确认方可使</w:t>
      </w:r>
      <w:r>
        <w:rPr>
          <w:spacing w:val="-25"/>
        </w:rPr>
        <w:t> </w:t>
      </w:r>
      <w:r>
        <w:rPr>
          <w:spacing w:val="-25"/>
        </w:rPr>
      </w:r>
      <w:r>
        <w:rPr>
          <w:spacing w:val="-3"/>
        </w:rPr>
        <w:t>用，因此作为使用权受到限制的资金。截止</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3"/>
        </w:rPr>
        <w:t>日，该账户余额共计</w:t>
      </w:r>
      <w:r>
        <w:rPr>
          <w:spacing w:val="-47"/>
        </w:rPr>
        <w:t> </w:t>
      </w:r>
      <w:r>
        <w:rPr>
          <w:rFonts w:ascii="宋体" w:hAnsi="宋体" w:cs="宋体" w:eastAsia="宋体" w:hint="default"/>
        </w:rPr>
        <w:t>12,359,684.79</w:t>
      </w:r>
      <w:r>
        <w:rPr>
          <w:rFonts w:ascii="宋体" w:hAnsi="宋体" w:cs="宋体" w:eastAsia="宋体" w:hint="default"/>
          <w:spacing w:val="-103"/>
        </w:rPr>
        <w:t> </w:t>
      </w:r>
      <w:r>
        <w:rPr>
          <w:rFonts w:ascii="宋体" w:hAnsi="宋体" w:cs="宋体" w:eastAsia="宋体" w:hint="default"/>
          <w:spacing w:val="-103"/>
        </w:rPr>
      </w:r>
      <w:r>
        <w:rPr/>
        <w:t>元。</w:t>
      </w:r>
    </w:p>
    <w:p>
      <w:pPr>
        <w:pStyle w:val="BodyText"/>
        <w:spacing w:line="272" w:lineRule="exact" w:before="1"/>
        <w:ind w:left="218" w:right="230"/>
        <w:jc w:val="both"/>
      </w:pPr>
      <w:r>
        <w:rPr/>
        <w:t>说明</w:t>
      </w:r>
      <w:r>
        <w:rPr>
          <w:spacing w:val="-54"/>
        </w:rPr>
        <w:t> </w:t>
      </w:r>
      <w:r>
        <w:rPr>
          <w:rFonts w:ascii="宋体" w:hAnsi="宋体" w:cs="宋体" w:eastAsia="宋体" w:hint="default"/>
        </w:rPr>
        <w:t>2</w:t>
      </w:r>
      <w:r>
        <w:rPr/>
        <w:t>：截止至</w:t>
      </w:r>
      <w:r>
        <w:rPr>
          <w:spacing w:val="-56"/>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日，本公司其他货币资金期末余额中存在</w:t>
      </w:r>
      <w:r>
        <w:rPr>
          <w:spacing w:val="-54"/>
        </w:rPr>
        <w:t> </w:t>
      </w:r>
      <w:r>
        <w:rPr>
          <w:rFonts w:ascii="宋体" w:hAnsi="宋体" w:cs="宋体" w:eastAsia="宋体" w:hint="default"/>
        </w:rPr>
        <w:t>103,758,221.48</w:t>
      </w:r>
      <w:r>
        <w:rPr>
          <w:rFonts w:ascii="宋体" w:hAnsi="宋体" w:cs="宋体" w:eastAsia="宋体" w:hint="default"/>
          <w:spacing w:val="-56"/>
        </w:rPr>
        <w:t> </w:t>
      </w:r>
      <w:r>
        <w:rPr/>
        <w:t>元的</w:t>
      </w:r>
      <w:r>
        <w:rPr>
          <w:w w:val="100"/>
        </w:rPr>
        <w:t> </w:t>
      </w:r>
      <w:r>
        <w:rPr>
          <w:spacing w:val="-3"/>
        </w:rPr>
        <w:t>银行承兑汇票保证金、</w:t>
      </w:r>
      <w:r>
        <w:rPr>
          <w:rFonts w:ascii="宋体" w:hAnsi="宋体" w:cs="宋体" w:eastAsia="宋体" w:hint="default"/>
          <w:spacing w:val="-3"/>
        </w:rPr>
        <w:t>17,451,184.19</w:t>
      </w:r>
      <w:r>
        <w:rPr>
          <w:rFonts w:ascii="宋体" w:hAnsi="宋体" w:cs="宋体" w:eastAsia="宋体" w:hint="default"/>
          <w:spacing w:val="-46"/>
        </w:rPr>
        <w:t> </w:t>
      </w:r>
      <w:r>
        <w:rPr/>
        <w:t>元的工程项目履约保函保证金以及</w:t>
      </w:r>
      <w:r>
        <w:rPr>
          <w:spacing w:val="-46"/>
        </w:rPr>
        <w:t> </w:t>
      </w:r>
      <w:r>
        <w:rPr>
          <w:rFonts w:ascii="宋体" w:hAnsi="宋体" w:cs="宋体" w:eastAsia="宋体" w:hint="default"/>
        </w:rPr>
        <w:t>9,000,000.00</w:t>
      </w:r>
      <w:r>
        <w:rPr>
          <w:rFonts w:ascii="宋体" w:hAnsi="宋体" w:cs="宋体" w:eastAsia="宋体" w:hint="default"/>
          <w:spacing w:val="-49"/>
        </w:rPr>
        <w:t> </w:t>
      </w:r>
      <w:r>
        <w:rPr/>
        <w:t>元的期限</w:t>
      </w:r>
    </w:p>
    <w:p>
      <w:pPr>
        <w:pStyle w:val="BodyText"/>
        <w:spacing w:line="247" w:lineRule="exact"/>
        <w:ind w:left="218" w:right="0"/>
        <w:jc w:val="both"/>
      </w:pPr>
      <w:r>
        <w:rPr/>
        <w:t>在三个月以上的不可随意支取定期存款使用受到限制。</w:t>
      </w:r>
    </w:p>
    <w:p>
      <w:pPr>
        <w:pStyle w:val="BodyText"/>
        <w:spacing w:line="237" w:lineRule="auto"/>
        <w:ind w:left="218" w:right="227"/>
        <w:jc w:val="both"/>
      </w:pPr>
      <w:r>
        <w:rPr/>
        <w:t>说明</w:t>
      </w:r>
      <w:r>
        <w:rPr>
          <w:spacing w:val="-44"/>
        </w:rPr>
        <w:t> </w:t>
      </w:r>
      <w:r>
        <w:rPr>
          <w:rFonts w:ascii="宋体" w:hAnsi="宋体" w:cs="宋体" w:eastAsia="宋体" w:hint="default"/>
          <w:spacing w:val="-3"/>
        </w:rPr>
        <w:t>3</w:t>
      </w:r>
      <w:r>
        <w:rPr>
          <w:spacing w:val="-3"/>
        </w:rPr>
        <w:t>：子公司浙江帅康电气股份有限公司以其余房权证低塘街道字第</w:t>
      </w:r>
      <w:r>
        <w:rPr>
          <w:spacing w:val="-44"/>
        </w:rPr>
        <w:t> </w:t>
      </w:r>
      <w:r>
        <w:rPr>
          <w:rFonts w:ascii="宋体" w:hAnsi="宋体" w:cs="宋体" w:eastAsia="宋体" w:hint="default"/>
        </w:rPr>
        <w:t>A1518587</w:t>
      </w:r>
      <w:r>
        <w:rPr>
          <w:rFonts w:ascii="宋体" w:hAnsi="宋体" w:cs="宋体" w:eastAsia="宋体" w:hint="default"/>
          <w:spacing w:val="-43"/>
        </w:rPr>
        <w:t> </w:t>
      </w:r>
      <w:r>
        <w:rPr>
          <w:spacing w:val="-17"/>
        </w:rPr>
        <w:t>号、第</w:t>
      </w:r>
      <w:r>
        <w:rPr>
          <w:spacing w:val="-47"/>
        </w:rPr>
        <w:t> </w:t>
      </w:r>
      <w:r>
        <w:rPr>
          <w:rFonts w:ascii="宋体" w:hAnsi="宋体" w:cs="宋体" w:eastAsia="宋体" w:hint="default"/>
        </w:rPr>
        <w:t>A1518588</w:t>
      </w:r>
      <w:r>
        <w:rPr>
          <w:rFonts w:ascii="宋体" w:hAnsi="宋体" w:cs="宋体" w:eastAsia="宋体" w:hint="default"/>
          <w:spacing w:val="-102"/>
        </w:rPr>
        <w:t> </w:t>
      </w:r>
      <w:r>
        <w:rPr>
          <w:rFonts w:ascii="宋体" w:hAnsi="宋体" w:cs="宋体" w:eastAsia="宋体" w:hint="default"/>
          <w:spacing w:val="-102"/>
        </w:rPr>
      </w:r>
      <w:r>
        <w:rPr/>
        <w:t>号、第</w:t>
      </w:r>
      <w:r>
        <w:rPr>
          <w:spacing w:val="-53"/>
        </w:rPr>
        <w:t> </w:t>
      </w:r>
      <w:r>
        <w:rPr>
          <w:rFonts w:ascii="宋体" w:hAnsi="宋体" w:cs="宋体" w:eastAsia="宋体" w:hint="default"/>
        </w:rPr>
        <w:t>A1518590</w:t>
      </w:r>
      <w:r>
        <w:rPr>
          <w:rFonts w:ascii="宋体" w:hAnsi="宋体" w:cs="宋体" w:eastAsia="宋体" w:hint="default"/>
          <w:spacing w:val="-53"/>
        </w:rPr>
        <w:t> </w:t>
      </w:r>
      <w:r>
        <w:rPr/>
        <w:t>号、第</w:t>
      </w:r>
      <w:r>
        <w:rPr>
          <w:spacing w:val="-55"/>
        </w:rPr>
        <w:t> </w:t>
      </w:r>
      <w:r>
        <w:rPr>
          <w:rFonts w:ascii="宋体" w:hAnsi="宋体" w:cs="宋体" w:eastAsia="宋体" w:hint="default"/>
        </w:rPr>
        <w:t>A1518591</w:t>
      </w:r>
      <w:r>
        <w:rPr>
          <w:rFonts w:ascii="宋体" w:hAnsi="宋体" w:cs="宋体" w:eastAsia="宋体" w:hint="default"/>
          <w:spacing w:val="-53"/>
        </w:rPr>
        <w:t> </w:t>
      </w:r>
      <w:r>
        <w:rPr/>
        <w:t>号、第</w:t>
      </w:r>
      <w:r>
        <w:rPr>
          <w:spacing w:val="-55"/>
        </w:rPr>
        <w:t> </w:t>
      </w:r>
      <w:r>
        <w:rPr>
          <w:rFonts w:ascii="宋体" w:hAnsi="宋体" w:cs="宋体" w:eastAsia="宋体" w:hint="default"/>
        </w:rPr>
        <w:t>A1518592</w:t>
      </w:r>
      <w:r>
        <w:rPr>
          <w:rFonts w:ascii="宋体" w:hAnsi="宋体" w:cs="宋体" w:eastAsia="宋体" w:hint="default"/>
          <w:spacing w:val="-55"/>
        </w:rPr>
        <w:t> </w:t>
      </w:r>
      <w:r>
        <w:rPr/>
        <w:t>号房屋建筑物以及余国用</w:t>
      </w:r>
      <w:r>
        <w:rPr>
          <w:spacing w:val="-55"/>
        </w:rPr>
        <w:t> </w:t>
      </w:r>
      <w:r>
        <w:rPr>
          <w:rFonts w:ascii="宋体" w:hAnsi="宋体" w:cs="宋体" w:eastAsia="宋体" w:hint="default"/>
        </w:rPr>
        <w:t>2015</w:t>
      </w:r>
      <w:r>
        <w:rPr>
          <w:rFonts w:ascii="宋体" w:hAnsi="宋体" w:cs="宋体" w:eastAsia="宋体" w:hint="default"/>
          <w:spacing w:val="-55"/>
        </w:rPr>
        <w:t> </w:t>
      </w:r>
      <w:r>
        <w:rPr/>
        <w:t>第</w:t>
      </w:r>
      <w:r>
        <w:rPr>
          <w:spacing w:val="-53"/>
        </w:rPr>
        <w:t> </w:t>
      </w:r>
      <w:r>
        <w:rPr>
          <w:rFonts w:ascii="宋体" w:hAnsi="宋体" w:cs="宋体" w:eastAsia="宋体" w:hint="default"/>
        </w:rPr>
        <w:t>14791</w:t>
      </w:r>
      <w:r>
        <w:rPr>
          <w:rFonts w:ascii="宋体" w:hAnsi="宋体" w:cs="宋体" w:eastAsia="宋体" w:hint="default"/>
          <w:spacing w:val="-55"/>
        </w:rPr>
        <w:t> </w:t>
      </w:r>
      <w:r>
        <w:rPr/>
        <w:t>号、</w:t>
      </w:r>
      <w:r>
        <w:rPr>
          <w:w w:val="100"/>
        </w:rPr>
        <w:t> </w:t>
      </w:r>
      <w:r>
        <w:rPr/>
        <w:t>第</w:t>
      </w:r>
      <w:r>
        <w:rPr>
          <w:spacing w:val="-54"/>
        </w:rPr>
        <w:t> </w:t>
      </w:r>
      <w:r>
        <w:rPr>
          <w:rFonts w:ascii="宋体" w:hAnsi="宋体" w:cs="宋体" w:eastAsia="宋体" w:hint="default"/>
        </w:rPr>
        <w:t>14793</w:t>
      </w:r>
      <w:r>
        <w:rPr>
          <w:rFonts w:ascii="宋体" w:hAnsi="宋体" w:cs="宋体" w:eastAsia="宋体" w:hint="default"/>
          <w:spacing w:val="-54"/>
        </w:rPr>
        <w:t> </w:t>
      </w:r>
      <w:r>
        <w:rPr/>
        <w:t>号、第</w:t>
      </w:r>
      <w:r>
        <w:rPr>
          <w:spacing w:val="-54"/>
        </w:rPr>
        <w:t> </w:t>
      </w:r>
      <w:r>
        <w:rPr>
          <w:rFonts w:ascii="宋体" w:hAnsi="宋体" w:cs="宋体" w:eastAsia="宋体" w:hint="default"/>
        </w:rPr>
        <w:t>14794</w:t>
      </w:r>
      <w:r>
        <w:rPr>
          <w:rFonts w:ascii="宋体" w:hAnsi="宋体" w:cs="宋体" w:eastAsia="宋体" w:hint="default"/>
          <w:spacing w:val="-53"/>
        </w:rPr>
        <w:t> </w:t>
      </w:r>
      <w:r>
        <w:rPr/>
        <w:t>号的土地使用权抵押借款。</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9"/>
        <w:ind w:left="21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tabs>
          <w:tab w:pos="1060" w:val="left" w:leader="none"/>
        </w:tabs>
        <w:spacing w:line="272" w:lineRule="exact" w:before="86"/>
        <w:ind w:left="638" w:right="2549" w:hanging="420"/>
        <w:jc w:val="left"/>
      </w:pPr>
      <w:r>
        <w:rPr>
          <w:spacing w:val="-1"/>
        </w:rPr>
        <w:t>√适用</w:t>
        <w:tab/>
      </w:r>
      <w:r>
        <w:rPr>
          <w:spacing w:val="-2"/>
        </w:rPr>
        <w:t>□不适用</w:t>
      </w:r>
      <w:r>
        <w:rPr>
          <w:spacing w:val="-99"/>
        </w:rPr>
        <w:t> </w:t>
      </w:r>
      <w:r>
        <w:rPr>
          <w:spacing w:val="-99"/>
        </w:rPr>
      </w:r>
      <w:r>
        <w:rPr>
          <w:spacing w:val="-2"/>
        </w:rPr>
        <w:t>具体行业经营性信息分析详见本报告三、（一）行业格局和趋势。</w:t>
      </w:r>
    </w:p>
    <w:p>
      <w:pPr>
        <w:spacing w:after="0" w:line="272" w:lineRule="exact"/>
        <w:jc w:val="left"/>
        <w:sectPr>
          <w:footerReference w:type="default" r:id="rId15"/>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1057" w:val="left" w:leader="none"/>
        </w:tabs>
        <w:spacing w:line="240" w:lineRule="auto" w:before="177"/>
        <w:ind w:right="2549"/>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5"/>
        <w:spacing w:line="240" w:lineRule="auto" w:before="56"/>
        <w:ind w:right="2549"/>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8"/>
        <w:ind w:left="218" w:right="2549"/>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078"/>
        <w:gridCol w:w="1133"/>
        <w:gridCol w:w="1135"/>
        <w:gridCol w:w="1561"/>
        <w:gridCol w:w="1142"/>
      </w:tblGrid>
      <w:tr>
        <w:trPr>
          <w:trHeight w:val="80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本期通过设立取得的子公司及控股子公司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9" w:right="0"/>
              <w:jc w:val="left"/>
              <w:rPr>
                <w:rFonts w:ascii="宋体" w:hAnsi="宋体" w:cs="宋体" w:eastAsia="宋体" w:hint="default"/>
                <w:sz w:val="21"/>
                <w:szCs w:val="21"/>
              </w:rPr>
            </w:pPr>
            <w:r>
              <w:rPr>
                <w:rFonts w:ascii="宋体" w:hAnsi="宋体" w:cs="宋体" w:eastAsia="宋体" w:hint="default"/>
                <w:sz w:val="21"/>
                <w:szCs w:val="21"/>
              </w:rPr>
              <w:t>注册资金</w:t>
            </w:r>
          </w:p>
          <w:p>
            <w:pPr>
              <w:pStyle w:val="TableParagraph"/>
              <w:spacing w:line="240" w:lineRule="auto" w:before="126"/>
              <w:ind w:left="139"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出资（万元）</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1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广东四季沐歌空气能有限公司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21"/>
                <w:szCs w:val="21"/>
              </w:rPr>
            </w:pPr>
            <w:r>
              <w:rPr>
                <w:rFonts w:ascii="宋体"/>
                <w:sz w:val="21"/>
              </w:rPr>
              <w:t>12000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江苏日出东方康索沃太阳墙技术有限公司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21"/>
                <w:szCs w:val="21"/>
              </w:rPr>
            </w:pPr>
            <w:r>
              <w:rPr>
                <w:rFonts w:ascii="宋体"/>
                <w:sz w:val="21"/>
              </w:rPr>
              <w:t>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山东四季沐歌光伏科技有限公司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21"/>
                <w:szCs w:val="21"/>
              </w:rPr>
            </w:pPr>
            <w:r>
              <w:rPr>
                <w:rFonts w:ascii="宋体"/>
                <w:sz w:val="21"/>
              </w:rPr>
              <w:t>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280</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东方盛耀（北京）新能源科技有限公司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21"/>
                <w:szCs w:val="21"/>
              </w:rPr>
            </w:pPr>
            <w:r>
              <w:rPr>
                <w:rFonts w:ascii="宋体"/>
                <w:sz w:val="21"/>
              </w:rPr>
              <w:t>5001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江苏四季沐歌新能源科技有限公司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21"/>
                <w:szCs w:val="21"/>
              </w:rPr>
            </w:pPr>
            <w:r>
              <w:rPr>
                <w:rFonts w:ascii="宋体"/>
                <w:sz w:val="21"/>
              </w:rPr>
              <w:t>1010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257.55</w:t>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195" w:header="880" w:top="1120" w:bottom="1380" w:left="1580" w:right="1040"/>
        </w:sectPr>
      </w:pPr>
    </w:p>
    <w:p>
      <w:pPr>
        <w:spacing w:before="17"/>
        <w:ind w:left="6438" w:right="647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5"/>
        <w:spacing w:line="240" w:lineRule="auto"/>
        <w:ind w:left="184"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26" w:val="left" w:leader="none"/>
        </w:tabs>
        <w:spacing w:line="240" w:lineRule="auto" w:before="58"/>
        <w:ind w:left="184" w:right="0"/>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1628"/>
        <w:gridCol w:w="3505"/>
        <w:gridCol w:w="811"/>
        <w:gridCol w:w="1095"/>
        <w:gridCol w:w="950"/>
        <w:gridCol w:w="811"/>
        <w:gridCol w:w="3538"/>
        <w:gridCol w:w="1683"/>
      </w:tblGrid>
      <w:tr>
        <w:trPr>
          <w:trHeight w:val="809"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8" w:right="0"/>
              <w:jc w:val="left"/>
              <w:rPr>
                <w:rFonts w:ascii="宋体" w:hAnsi="宋体" w:cs="宋体" w:eastAsia="宋体" w:hint="default"/>
                <w:sz w:val="21"/>
                <w:szCs w:val="21"/>
              </w:rPr>
            </w:pPr>
            <w:r>
              <w:rPr>
                <w:rFonts w:ascii="宋体" w:hAnsi="宋体" w:cs="宋体" w:eastAsia="宋体" w:hint="default"/>
                <w:sz w:val="21"/>
                <w:szCs w:val="21"/>
              </w:rPr>
              <w:t>被投企业名称</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189" w:right="187"/>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8"/>
              <w:jc w:val="right"/>
              <w:rPr>
                <w:rFonts w:ascii="宋体" w:hAnsi="宋体" w:cs="宋体" w:eastAsia="宋体" w:hint="default"/>
                <w:sz w:val="21"/>
                <w:szCs w:val="21"/>
              </w:rPr>
            </w:pPr>
            <w:r>
              <w:rPr>
                <w:rFonts w:ascii="宋体" w:hAnsi="宋体" w:cs="宋体" w:eastAsia="宋体" w:hint="default"/>
                <w:spacing w:val="-1"/>
                <w:sz w:val="21"/>
                <w:szCs w:val="21"/>
              </w:rPr>
              <w:t>投资金额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364" w:right="149" w:hanging="209"/>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191" w:right="18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23" w:right="0"/>
              <w:jc w:val="left"/>
              <w:rPr>
                <w:rFonts w:ascii="宋体" w:hAnsi="宋体" w:cs="宋体" w:eastAsia="宋体" w:hint="default"/>
                <w:sz w:val="21"/>
                <w:szCs w:val="21"/>
              </w:rPr>
            </w:pPr>
            <w:r>
              <w:rPr>
                <w:rFonts w:ascii="宋体" w:hAnsi="宋体" w:cs="宋体" w:eastAsia="宋体" w:hint="default"/>
                <w:sz w:val="21"/>
                <w:szCs w:val="21"/>
              </w:rPr>
              <w:t>报告期内进展情况</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410"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350" w:lineRule="auto"/>
              <w:ind w:left="103" w:right="10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3"/>
                <w:sz w:val="21"/>
                <w:szCs w:val="21"/>
              </w:rPr>
              <w:t> </w:t>
            </w:r>
            <w:r>
              <w:rPr>
                <w:rFonts w:ascii="宋体" w:hAnsi="宋体" w:cs="宋体" w:eastAsia="宋体" w:hint="default"/>
                <w:sz w:val="21"/>
                <w:szCs w:val="21"/>
              </w:rPr>
              <w:t>帅</w:t>
            </w:r>
            <w:r>
              <w:rPr>
                <w:rFonts w:ascii="宋体" w:hAnsi="宋体" w:cs="宋体" w:eastAsia="宋体" w:hint="default"/>
                <w:spacing w:val="-76"/>
                <w:sz w:val="21"/>
                <w:szCs w:val="21"/>
              </w:rPr>
              <w:t> </w:t>
            </w:r>
            <w:r>
              <w:rPr>
                <w:rFonts w:ascii="宋体" w:hAnsi="宋体" w:cs="宋体" w:eastAsia="宋体" w:hint="default"/>
                <w:sz w:val="21"/>
                <w:szCs w:val="21"/>
              </w:rPr>
              <w:t>康</w:t>
            </w:r>
            <w:r>
              <w:rPr>
                <w:rFonts w:ascii="宋体" w:hAnsi="宋体" w:cs="宋体" w:eastAsia="宋体" w:hint="default"/>
                <w:spacing w:val="-76"/>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p>
          <w:p>
            <w:pPr>
              <w:pStyle w:val="TableParagraph"/>
              <w:spacing w:line="350" w:lineRule="auto" w:before="27"/>
              <w:ind w:left="103" w:right="99"/>
              <w:jc w:val="left"/>
              <w:rPr>
                <w:rFonts w:ascii="宋体" w:hAnsi="宋体" w:cs="宋体" w:eastAsia="宋体" w:hint="default"/>
                <w:sz w:val="21"/>
                <w:szCs w:val="21"/>
              </w:rPr>
            </w:pPr>
            <w:r>
              <w:rPr>
                <w:rFonts w:ascii="宋体" w:hAnsi="宋体" w:cs="宋体" w:eastAsia="宋体" w:hint="default"/>
                <w:spacing w:val="-10"/>
                <w:sz w:val="21"/>
                <w:szCs w:val="21"/>
              </w:rPr>
              <w:t>（简称“帅康股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份”）</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48" w:lineRule="auto"/>
              <w:ind w:left="103" w:right="-5"/>
              <w:jc w:val="left"/>
              <w:rPr>
                <w:rFonts w:ascii="宋体" w:hAnsi="宋体" w:cs="宋体" w:eastAsia="宋体" w:hint="default"/>
                <w:sz w:val="21"/>
                <w:szCs w:val="21"/>
              </w:rPr>
            </w:pPr>
            <w:r>
              <w:rPr>
                <w:rFonts w:ascii="宋体" w:hAnsi="宋体" w:cs="宋体" w:eastAsia="宋体" w:hint="default"/>
                <w:sz w:val="21"/>
                <w:szCs w:val="21"/>
              </w:rPr>
              <w:t>燃气用具、燃气热水器、吸油烟机、</w:t>
            </w:r>
            <w:r>
              <w:rPr>
                <w:rFonts w:ascii="宋体" w:hAnsi="宋体" w:cs="宋体" w:eastAsia="宋体" w:hint="default"/>
                <w:w w:val="100"/>
                <w:sz w:val="21"/>
                <w:szCs w:val="21"/>
              </w:rPr>
              <w:t> </w:t>
            </w:r>
            <w:r>
              <w:rPr>
                <w:rFonts w:ascii="宋体" w:hAnsi="宋体" w:cs="宋体" w:eastAsia="宋体" w:hint="default"/>
                <w:spacing w:val="-12"/>
                <w:sz w:val="21"/>
                <w:szCs w:val="21"/>
              </w:rPr>
              <w:t>空调、家用电器、厨卫产品、净水器、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灯具的制造；自营和代理各类货物和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技术的进出口，但国家限定经营或禁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止进出口的货物和技术除外。</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7.35</w:t>
            </w:r>
            <w:r>
              <w:rPr>
                <w:rFonts w:ascii="宋体" w:hAnsi="宋体" w:cs="宋体" w:eastAsia="宋体" w:hint="default"/>
                <w:spacing w:val="-65"/>
                <w:sz w:val="21"/>
                <w:szCs w:val="21"/>
              </w:rPr>
              <w:t> </w:t>
            </w:r>
            <w:r>
              <w:rPr>
                <w:rFonts w:ascii="宋体" w:hAnsi="宋体" w:cs="宋体" w:eastAsia="宋体" w:hint="default"/>
                <w:sz w:val="21"/>
                <w:szCs w:val="21"/>
              </w:rPr>
              <w:t>亿元</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75%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105" w:right="96"/>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72"/>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4"/>
              <w:ind w:left="105" w:right="96"/>
              <w:jc w:val="both"/>
              <w:rPr>
                <w:rFonts w:ascii="宋体" w:hAnsi="宋体" w:cs="宋体" w:eastAsia="宋体" w:hint="default"/>
                <w:sz w:val="21"/>
                <w:szCs w:val="21"/>
              </w:rPr>
            </w:pPr>
            <w:r>
              <w:rPr>
                <w:rFonts w:ascii="宋体" w:hAnsi="宋体" w:cs="宋体" w:eastAsia="宋体" w:hint="default"/>
                <w:sz w:val="21"/>
                <w:szCs w:val="21"/>
              </w:rPr>
              <w:t>公司通过支付现金人民币 </w:t>
            </w:r>
            <w:r>
              <w:rPr>
                <w:rFonts w:ascii="宋体" w:hAnsi="宋体" w:cs="宋体" w:eastAsia="宋体" w:hint="default"/>
                <w:sz w:val="21"/>
                <w:szCs w:val="21"/>
              </w:rPr>
              <w:t>73,500</w:t>
            </w:r>
            <w:r>
              <w:rPr>
                <w:rFonts w:ascii="宋体" w:hAnsi="宋体" w:cs="宋体" w:eastAsia="宋体" w:hint="default"/>
                <w:spacing w:val="-43"/>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8"/>
                <w:sz w:val="21"/>
                <w:szCs w:val="21"/>
              </w:rPr>
              <w:t>元收购帅康集团所持有帅康股份的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75%</w:t>
            </w:r>
            <w:r>
              <w:rPr>
                <w:rFonts w:ascii="宋体" w:hAnsi="宋体" w:cs="宋体" w:eastAsia="宋体" w:hint="default"/>
                <w:sz w:val="21"/>
                <w:szCs w:val="21"/>
              </w:rPr>
              <w:t>股权，并完成了工商变更登记手</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续，取得由宁波市市场监督管理局换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发的《营业执照》（统一社会信用代</w:t>
            </w:r>
          </w:p>
          <w:p>
            <w:pPr>
              <w:pStyle w:val="TableParagraph"/>
              <w:spacing w:line="240" w:lineRule="auto" w:before="29"/>
              <w:ind w:left="105" w:right="0"/>
              <w:jc w:val="both"/>
              <w:rPr>
                <w:rFonts w:ascii="宋体" w:hAnsi="宋体" w:cs="宋体" w:eastAsia="宋体" w:hint="default"/>
                <w:sz w:val="21"/>
                <w:szCs w:val="21"/>
              </w:rPr>
            </w:pPr>
            <w:r>
              <w:rPr>
                <w:rFonts w:ascii="宋体" w:hAnsi="宋体" w:cs="宋体" w:eastAsia="宋体" w:hint="default"/>
                <w:sz w:val="21"/>
                <w:szCs w:val="21"/>
              </w:rPr>
              <w:t>码：</w:t>
            </w:r>
            <w:r>
              <w:rPr>
                <w:rFonts w:ascii="宋体" w:hAnsi="宋体" w:cs="宋体" w:eastAsia="宋体" w:hint="default"/>
                <w:sz w:val="21"/>
                <w:szCs w:val="21"/>
              </w:rPr>
              <w:t>913302007251758286</w:t>
            </w:r>
            <w:r>
              <w:rPr>
                <w:rFonts w:ascii="宋体" w:hAnsi="宋体" w:cs="宋体" w:eastAsia="宋体" w:hint="default"/>
                <w:sz w:val="21"/>
                <w:szCs w:val="21"/>
              </w:rPr>
              <w:t>）</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4"/>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2</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pacing w:val="-3"/>
                <w:sz w:val="21"/>
                <w:szCs w:val="21"/>
              </w:rPr>
              <w:t>18</w:t>
            </w:r>
            <w:r>
              <w:rPr>
                <w:rFonts w:ascii="宋体" w:hAnsi="宋体" w:cs="宋体" w:eastAsia="宋体" w:hint="default"/>
                <w:spacing w:val="-3"/>
                <w:w w:val="100"/>
                <w:sz w:val="21"/>
                <w:szCs w:val="21"/>
              </w:rPr>
              <w:t> </w:t>
            </w:r>
            <w:r>
              <w:rPr>
                <w:rFonts w:ascii="宋体" w:hAnsi="宋体" w:cs="宋体" w:eastAsia="宋体" w:hint="default"/>
                <w:spacing w:val="-7"/>
                <w:sz w:val="21"/>
                <w:szCs w:val="21"/>
              </w:rPr>
              <w:t>日，</w:t>
            </w:r>
            <w:r>
              <w:rPr>
                <w:rFonts w:ascii="宋体" w:hAnsi="宋体" w:cs="宋体" w:eastAsia="宋体" w:hint="default"/>
                <w:spacing w:val="-7"/>
                <w:sz w:val="21"/>
                <w:szCs w:val="21"/>
              </w:rPr>
              <w:t>2017-003</w:t>
            </w:r>
            <w:r>
              <w:rPr>
                <w:rFonts w:ascii="宋体" w:hAnsi="宋体" w:cs="宋体" w:eastAsia="宋体" w:hint="default"/>
                <w:spacing w:val="-39"/>
                <w:sz w:val="21"/>
                <w:szCs w:val="21"/>
              </w:rPr>
              <w:t> </w:t>
            </w:r>
            <w:r>
              <w:rPr>
                <w:rFonts w:ascii="宋体" w:hAnsi="宋体" w:cs="宋体" w:eastAsia="宋体" w:hint="default"/>
                <w:sz w:val="21"/>
                <w:szCs w:val="21"/>
              </w:rPr>
              <w:t>号</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公告。</w:t>
            </w:r>
          </w:p>
          <w:p>
            <w:pPr>
              <w:pStyle w:val="TableParagraph"/>
              <w:spacing w:line="350" w:lineRule="auto" w:before="123"/>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pacing w:val="-3"/>
                <w:sz w:val="21"/>
                <w:szCs w:val="21"/>
              </w:rPr>
              <w:t>13</w:t>
            </w:r>
            <w:r>
              <w:rPr>
                <w:rFonts w:ascii="宋体" w:hAnsi="宋体" w:cs="宋体" w:eastAsia="宋体" w:hint="default"/>
                <w:spacing w:val="-3"/>
                <w:w w:val="100"/>
                <w:sz w:val="21"/>
                <w:szCs w:val="21"/>
              </w:rPr>
              <w:t> </w:t>
            </w:r>
            <w:r>
              <w:rPr>
                <w:rFonts w:ascii="宋体" w:hAnsi="宋体" w:cs="宋体" w:eastAsia="宋体" w:hint="default"/>
                <w:spacing w:val="-7"/>
                <w:sz w:val="21"/>
                <w:szCs w:val="21"/>
              </w:rPr>
              <w:t>日，</w:t>
            </w:r>
            <w:r>
              <w:rPr>
                <w:rFonts w:ascii="宋体" w:hAnsi="宋体" w:cs="宋体" w:eastAsia="宋体" w:hint="default"/>
                <w:spacing w:val="-7"/>
                <w:sz w:val="21"/>
                <w:szCs w:val="21"/>
              </w:rPr>
              <w:t>2017-010</w:t>
            </w:r>
            <w:r>
              <w:rPr>
                <w:rFonts w:ascii="宋体" w:hAnsi="宋体" w:cs="宋体" w:eastAsia="宋体" w:hint="default"/>
                <w:spacing w:val="-39"/>
                <w:sz w:val="21"/>
                <w:szCs w:val="21"/>
              </w:rPr>
              <w:t> </w:t>
            </w:r>
            <w:r>
              <w:rPr>
                <w:rFonts w:ascii="宋体" w:hAnsi="宋体" w:cs="宋体" w:eastAsia="宋体" w:hint="default"/>
                <w:sz w:val="21"/>
                <w:szCs w:val="21"/>
              </w:rPr>
              <w:t>号</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r>
      <w:tr>
        <w:trPr>
          <w:trHeight w:val="2412" w:hRule="exact"/>
        </w:trPr>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350" w:lineRule="auto"/>
              <w:ind w:left="103" w:right="71"/>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苏</w:t>
            </w:r>
            <w:r>
              <w:rPr>
                <w:rFonts w:ascii="宋体" w:hAnsi="宋体" w:cs="宋体" w:eastAsia="宋体" w:hint="default"/>
                <w:spacing w:val="-73"/>
                <w:sz w:val="21"/>
                <w:szCs w:val="21"/>
              </w:rPr>
              <w:t> </w:t>
            </w:r>
            <w:r>
              <w:rPr>
                <w:rFonts w:ascii="宋体" w:hAnsi="宋体" w:cs="宋体" w:eastAsia="宋体" w:hint="default"/>
                <w:sz w:val="21"/>
                <w:szCs w:val="21"/>
              </w:rPr>
              <w:t>苏</w:t>
            </w:r>
            <w:r>
              <w:rPr>
                <w:rFonts w:ascii="宋体" w:hAnsi="宋体" w:cs="宋体" w:eastAsia="宋体" w:hint="default"/>
                <w:spacing w:val="-76"/>
                <w:sz w:val="21"/>
                <w:szCs w:val="21"/>
              </w:rPr>
              <w:t> </w:t>
            </w: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z w:val="21"/>
                <w:szCs w:val="21"/>
              </w:rPr>
              <w:t>银</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pacing w:val="20"/>
                <w:sz w:val="21"/>
                <w:szCs w:val="21"/>
              </w:rPr>
              <w:t>有限公司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350" w:lineRule="auto" w:before="27"/>
              <w:ind w:left="103" w:right="99"/>
              <w:jc w:val="left"/>
              <w:rPr>
                <w:rFonts w:ascii="宋体" w:hAnsi="宋体" w:cs="宋体" w:eastAsia="宋体" w:hint="default"/>
                <w:sz w:val="21"/>
                <w:szCs w:val="21"/>
              </w:rPr>
            </w:pPr>
            <w:r>
              <w:rPr>
                <w:rFonts w:ascii="宋体" w:hAnsi="宋体" w:cs="宋体" w:eastAsia="宋体" w:hint="default"/>
                <w:spacing w:val="-10"/>
                <w:sz w:val="21"/>
                <w:szCs w:val="21"/>
              </w:rPr>
              <w:t>（简称“江苏苏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宁银行”）</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民营银行</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新设</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9.44</w:t>
            </w:r>
            <w:r>
              <w:rPr>
                <w:rFonts w:ascii="宋体" w:hAnsi="宋体" w:cs="宋体" w:eastAsia="宋体" w:hint="default"/>
                <w:spacing w:val="-65"/>
                <w:sz w:val="21"/>
                <w:szCs w:val="21"/>
              </w:rPr>
              <w:t> </w:t>
            </w:r>
            <w:r>
              <w:rPr>
                <w:rFonts w:ascii="宋体" w:hAnsi="宋体" w:cs="宋体" w:eastAsia="宋体" w:hint="default"/>
                <w:sz w:val="21"/>
                <w:szCs w:val="21"/>
              </w:rPr>
              <w:t>亿元</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23.6%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105" w:right="96"/>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48" w:lineRule="auto"/>
              <w:ind w:left="105" w:right="98"/>
              <w:jc w:val="both"/>
              <w:rPr>
                <w:rFonts w:ascii="宋体" w:hAnsi="宋体" w:cs="宋体" w:eastAsia="宋体" w:hint="default"/>
                <w:sz w:val="21"/>
                <w:szCs w:val="21"/>
              </w:rPr>
            </w:pPr>
            <w:r>
              <w:rPr>
                <w:rFonts w:ascii="宋体" w:hAnsi="宋体" w:cs="宋体" w:eastAsia="宋体" w:hint="default"/>
                <w:sz w:val="21"/>
                <w:szCs w:val="21"/>
              </w:rPr>
              <w:t>江苏苏宁银行</w:t>
            </w:r>
            <w:r>
              <w:rPr>
                <w:rFonts w:ascii="宋体" w:hAnsi="宋体" w:cs="宋体" w:eastAsia="宋体" w:hint="default"/>
                <w:spacing w:val="-59"/>
                <w:sz w:val="21"/>
                <w:szCs w:val="21"/>
              </w:rPr>
              <w:t> </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日收到</w:t>
            </w:r>
            <w:r>
              <w:rPr>
                <w:rFonts w:ascii="宋体" w:hAnsi="宋体" w:cs="宋体" w:eastAsia="宋体" w:hint="default"/>
                <w:w w:val="100"/>
                <w:sz w:val="21"/>
                <w:szCs w:val="21"/>
              </w:rPr>
              <w:t> </w:t>
            </w:r>
            <w:r>
              <w:rPr>
                <w:rFonts w:ascii="宋体" w:hAnsi="宋体" w:cs="宋体" w:eastAsia="宋体" w:hint="default"/>
                <w:spacing w:val="8"/>
                <w:sz w:val="21"/>
                <w:szCs w:val="21"/>
              </w:rPr>
              <w:t>中国银监会江苏监管局核发的开业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批复以及金融。</w:t>
            </w:r>
          </w:p>
          <w:p>
            <w:pPr>
              <w:pStyle w:val="TableParagraph"/>
              <w:spacing w:line="348" w:lineRule="auto" w:before="31"/>
              <w:ind w:left="105" w:right="96"/>
              <w:jc w:val="both"/>
              <w:rPr>
                <w:rFonts w:ascii="宋体" w:hAnsi="宋体" w:cs="宋体" w:eastAsia="宋体" w:hint="default"/>
                <w:sz w:val="21"/>
                <w:szCs w:val="21"/>
              </w:rPr>
            </w:pPr>
            <w:r>
              <w:rPr>
                <w:rFonts w:ascii="宋体" w:hAnsi="宋体" w:cs="宋体" w:eastAsia="宋体" w:hint="default"/>
                <w:spacing w:val="-8"/>
                <w:sz w:val="21"/>
                <w:szCs w:val="21"/>
              </w:rPr>
              <w:t>许可证，并于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日完成</w:t>
            </w:r>
            <w:r>
              <w:rPr>
                <w:rFonts w:ascii="宋体" w:hAnsi="宋体" w:cs="宋体" w:eastAsia="宋体" w:hint="default"/>
                <w:w w:val="100"/>
                <w:sz w:val="21"/>
                <w:szCs w:val="21"/>
              </w:rPr>
              <w:t> </w:t>
            </w:r>
            <w:r>
              <w:rPr>
                <w:rFonts w:ascii="宋体" w:hAnsi="宋体" w:cs="宋体" w:eastAsia="宋体" w:hint="default"/>
                <w:sz w:val="21"/>
                <w:szCs w:val="21"/>
              </w:rPr>
              <w:t>工商注册。</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4"/>
              <w:ind w:left="103" w:right="98"/>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22</w:t>
            </w:r>
            <w:r>
              <w:rPr>
                <w:rFonts w:ascii="宋体" w:hAnsi="宋体" w:cs="宋体" w:eastAsia="宋体" w:hint="default"/>
                <w:spacing w:val="-3"/>
                <w:w w:val="100"/>
                <w:sz w:val="21"/>
                <w:szCs w:val="21"/>
              </w:rPr>
              <w:t> </w:t>
            </w:r>
            <w:r>
              <w:rPr>
                <w:rFonts w:ascii="宋体" w:hAnsi="宋体" w:cs="宋体" w:eastAsia="宋体" w:hint="default"/>
                <w:spacing w:val="-7"/>
                <w:sz w:val="21"/>
                <w:szCs w:val="21"/>
              </w:rPr>
              <w:t>日，</w:t>
            </w:r>
            <w:r>
              <w:rPr>
                <w:rFonts w:ascii="宋体" w:hAnsi="宋体" w:cs="宋体" w:eastAsia="宋体" w:hint="default"/>
                <w:spacing w:val="-7"/>
                <w:sz w:val="21"/>
                <w:szCs w:val="21"/>
              </w:rPr>
              <w:t>2016-078</w:t>
            </w:r>
            <w:r>
              <w:rPr>
                <w:rFonts w:ascii="宋体" w:hAnsi="宋体" w:cs="宋体" w:eastAsia="宋体" w:hint="default"/>
                <w:spacing w:val="-39"/>
                <w:sz w:val="21"/>
                <w:szCs w:val="21"/>
              </w:rPr>
              <w:t> </w:t>
            </w:r>
            <w:r>
              <w:rPr>
                <w:rFonts w:ascii="宋体" w:hAnsi="宋体" w:cs="宋体" w:eastAsia="宋体" w:hint="default"/>
                <w:sz w:val="21"/>
                <w:szCs w:val="21"/>
              </w:rPr>
              <w:t>号</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公告。</w:t>
            </w:r>
          </w:p>
          <w:p>
            <w:pPr>
              <w:pStyle w:val="TableParagraph"/>
              <w:spacing w:line="350" w:lineRule="auto" w:before="123"/>
              <w:ind w:left="103" w:right="98"/>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6</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pacing w:val="-3"/>
                <w:sz w:val="21"/>
                <w:szCs w:val="21"/>
              </w:rPr>
              <w:t>16</w:t>
            </w:r>
            <w:r>
              <w:rPr>
                <w:rFonts w:ascii="宋体" w:hAnsi="宋体" w:cs="宋体" w:eastAsia="宋体" w:hint="default"/>
                <w:spacing w:val="-3"/>
                <w:w w:val="100"/>
                <w:sz w:val="21"/>
                <w:szCs w:val="21"/>
              </w:rPr>
              <w:t> </w:t>
            </w:r>
            <w:r>
              <w:rPr>
                <w:rFonts w:ascii="宋体" w:hAnsi="宋体" w:cs="宋体" w:eastAsia="宋体" w:hint="default"/>
                <w:spacing w:val="-7"/>
                <w:sz w:val="21"/>
                <w:szCs w:val="21"/>
              </w:rPr>
              <w:t>日，</w:t>
            </w:r>
            <w:r>
              <w:rPr>
                <w:rFonts w:ascii="宋体" w:hAnsi="宋体" w:cs="宋体" w:eastAsia="宋体" w:hint="default"/>
                <w:spacing w:val="-7"/>
                <w:sz w:val="21"/>
                <w:szCs w:val="21"/>
              </w:rPr>
              <w:t>2017-025</w:t>
            </w:r>
            <w:r>
              <w:rPr>
                <w:rFonts w:ascii="宋体" w:hAnsi="宋体" w:cs="宋体" w:eastAsia="宋体" w:hint="default"/>
                <w:spacing w:val="-39"/>
                <w:sz w:val="21"/>
                <w:szCs w:val="21"/>
              </w:rPr>
              <w:t> </w:t>
            </w:r>
            <w:r>
              <w:rPr>
                <w:rFonts w:ascii="宋体" w:hAnsi="宋体" w:cs="宋体" w:eastAsia="宋体" w:hint="default"/>
                <w:sz w:val="21"/>
                <w:szCs w:val="21"/>
              </w:rPr>
              <w:t>号</w:t>
            </w:r>
          </w:p>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63"/>
        <w:ind w:left="6438" w:right="6455" w:firstLine="0"/>
        <w:jc w:val="center"/>
        <w:rPr>
          <w:rFonts w:ascii="Calibri" w:hAnsi="Calibri" w:cs="Calibri" w:eastAsia="Calibri" w:hint="default"/>
          <w:sz w:val="18"/>
          <w:szCs w:val="18"/>
        </w:rPr>
      </w:pPr>
      <w:r>
        <w:rPr>
          <w:rFonts w:ascii="Calibri"/>
          <w:b/>
          <w:sz w:val="18"/>
        </w:rPr>
        <w:t>22 </w:t>
      </w:r>
      <w:r>
        <w:rPr>
          <w:rFonts w:ascii="Calibri"/>
          <w:sz w:val="18"/>
        </w:rPr>
        <w:t>/</w:t>
      </w:r>
      <w:r>
        <w:rPr>
          <w:rFonts w:ascii="Calibri"/>
          <w:spacing w:val="-4"/>
          <w:sz w:val="18"/>
        </w:rPr>
        <w:t> </w:t>
      </w:r>
      <w:r>
        <w:rPr>
          <w:rFonts w:ascii="Calibri"/>
          <w:b/>
          <w:sz w:val="18"/>
        </w:rPr>
        <w:t>175</w:t>
      </w:r>
      <w:r>
        <w:rPr>
          <w:rFonts w:ascii="Calibri"/>
          <w:sz w:val="18"/>
        </w:rPr>
      </w:r>
    </w:p>
    <w:p>
      <w:pPr>
        <w:spacing w:after="0"/>
        <w:jc w:val="center"/>
        <w:rPr>
          <w:rFonts w:ascii="Calibri" w:hAnsi="Calibri" w:cs="Calibri" w:eastAsia="Calibri" w:hint="default"/>
          <w:sz w:val="18"/>
          <w:szCs w:val="18"/>
        </w:rPr>
        <w:sectPr>
          <w:headerReference w:type="default" r:id="rId17"/>
          <w:footerReference w:type="default" r:id="rId18"/>
          <w:pgSz w:w="16840" w:h="11910" w:orient="landscape"/>
          <w:pgMar w:header="0" w:footer="0" w:top="800" w:bottom="280" w:left="1340" w:right="1240"/>
        </w:sectPr>
      </w:pPr>
    </w:p>
    <w:p>
      <w:pPr>
        <w:spacing w:line="240" w:lineRule="auto" w:before="1"/>
        <w:rPr>
          <w:rFonts w:ascii="Calibri" w:hAnsi="Calibri" w:cs="Calibri" w:eastAsia="Calibri" w:hint="default"/>
          <w:b/>
          <w:bCs/>
          <w:sz w:val="27"/>
          <w:szCs w:val="27"/>
        </w:rPr>
      </w:pPr>
    </w:p>
    <w:p>
      <w:pPr>
        <w:pStyle w:val="Heading5"/>
        <w:spacing w:line="240" w:lineRule="auto" w:before="36"/>
        <w:ind w:left="398" w:right="5269"/>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240" w:val="left" w:leader="none"/>
        </w:tabs>
        <w:spacing w:line="240" w:lineRule="auto" w:before="58"/>
        <w:ind w:left="398" w:right="52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398" w:right="5269"/>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240" w:val="left" w:leader="none"/>
        </w:tabs>
        <w:spacing w:line="240" w:lineRule="auto" w:before="56"/>
        <w:ind w:left="398" w:right="52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237" w:val="left" w:leader="none"/>
        </w:tabs>
        <w:spacing w:line="240" w:lineRule="auto"/>
        <w:ind w:left="398" w:right="5269"/>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240" w:val="left" w:leader="none"/>
        </w:tabs>
        <w:spacing w:line="240" w:lineRule="auto" w:before="58"/>
        <w:ind w:left="398" w:right="52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237" w:val="left" w:leader="none"/>
        </w:tabs>
        <w:spacing w:line="240" w:lineRule="auto"/>
        <w:ind w:left="398" w:right="5269"/>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240" w:val="left" w:leader="none"/>
        </w:tabs>
        <w:spacing w:line="240" w:lineRule="auto" w:before="56"/>
        <w:ind w:left="398" w:right="5269"/>
        <w:jc w:val="left"/>
      </w:pPr>
      <w:r>
        <w:rPr>
          <w:spacing w:val="-1"/>
        </w:rPr>
        <w:t>√适用</w:t>
        <w:tab/>
      </w:r>
      <w:r>
        <w:rPr>
          <w:spacing w:val="-2"/>
        </w:rPr>
        <w:t>□不适用</w:t>
      </w:r>
    </w:p>
    <w:p>
      <w:pPr>
        <w:spacing w:line="240" w:lineRule="auto" w:before="4"/>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614"/>
        <w:gridCol w:w="2079"/>
        <w:gridCol w:w="1985"/>
        <w:gridCol w:w="1136"/>
        <w:gridCol w:w="1133"/>
        <w:gridCol w:w="1136"/>
        <w:gridCol w:w="1142"/>
      </w:tblGrid>
      <w:tr>
        <w:trPr>
          <w:trHeight w:val="478"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净资产（万</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净利润（万</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478"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太阳雨集团有限公司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太阳能热水器销售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sz w:val="18"/>
              </w:rPr>
              <w:t>11,000.00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8"/>
              <w:jc w:val="right"/>
              <w:rPr>
                <w:rFonts w:ascii="宋体" w:hAnsi="宋体" w:cs="宋体" w:eastAsia="宋体" w:hint="default"/>
                <w:sz w:val="18"/>
                <w:szCs w:val="18"/>
              </w:rPr>
            </w:pPr>
            <w:r>
              <w:rPr>
                <w:rFonts w:ascii="宋体"/>
                <w:spacing w:val="-1"/>
                <w:sz w:val="18"/>
              </w:rPr>
              <w:t>40,055.57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18,874.67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4"/>
              <w:jc w:val="right"/>
              <w:rPr>
                <w:rFonts w:ascii="宋体" w:hAnsi="宋体" w:cs="宋体" w:eastAsia="宋体" w:hint="default"/>
                <w:sz w:val="18"/>
                <w:szCs w:val="18"/>
              </w:rPr>
            </w:pPr>
            <w:r>
              <w:rPr>
                <w:rFonts w:ascii="宋体"/>
                <w:spacing w:val="-1"/>
                <w:sz w:val="18"/>
              </w:rPr>
              <w:t>-401.25</w:t>
            </w:r>
          </w:p>
        </w:tc>
      </w:tr>
      <w:tr>
        <w:trPr>
          <w:trHeight w:val="910"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sz w:val="18"/>
              </w:rPr>
              <w:t>2</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403" w:right="135" w:hanging="272"/>
              <w:jc w:val="left"/>
              <w:rPr>
                <w:rFonts w:ascii="宋体" w:hAnsi="宋体" w:cs="宋体" w:eastAsia="宋体" w:hint="default"/>
                <w:sz w:val="18"/>
                <w:szCs w:val="18"/>
              </w:rPr>
            </w:pPr>
            <w:r>
              <w:rPr>
                <w:rFonts w:ascii="宋体" w:hAnsi="宋体" w:cs="宋体" w:eastAsia="宋体" w:hint="default"/>
                <w:sz w:val="18"/>
                <w:szCs w:val="18"/>
              </w:rPr>
              <w:t>北京四季沐歌太阳能技 术集团有限公司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717" w:right="175" w:hanging="540"/>
              <w:jc w:val="left"/>
              <w:rPr>
                <w:rFonts w:ascii="宋体" w:hAnsi="宋体" w:cs="宋体" w:eastAsia="宋体" w:hint="default"/>
                <w:sz w:val="18"/>
                <w:szCs w:val="18"/>
              </w:rPr>
            </w:pPr>
            <w:r>
              <w:rPr>
                <w:rFonts w:ascii="宋体" w:hAnsi="宋体" w:cs="宋体" w:eastAsia="宋体" w:hint="default"/>
                <w:sz w:val="18"/>
                <w:szCs w:val="18"/>
              </w:rPr>
              <w:t>太阳能热水器的研发 与销售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8"/>
              <w:jc w:val="right"/>
              <w:rPr>
                <w:rFonts w:ascii="宋体" w:hAnsi="宋体" w:cs="宋体" w:eastAsia="宋体" w:hint="default"/>
                <w:sz w:val="18"/>
                <w:szCs w:val="18"/>
              </w:rPr>
            </w:pPr>
            <w:r>
              <w:rPr>
                <w:rFonts w:ascii="宋体"/>
                <w:spacing w:val="-1"/>
                <w:sz w:val="18"/>
              </w:rPr>
              <w:t>29,433.58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5" w:right="0"/>
              <w:jc w:val="left"/>
              <w:rPr>
                <w:rFonts w:ascii="宋体" w:hAnsi="宋体" w:cs="宋体" w:eastAsia="宋体" w:hint="default"/>
                <w:sz w:val="18"/>
                <w:szCs w:val="18"/>
              </w:rPr>
            </w:pPr>
            <w:r>
              <w:rPr>
                <w:rFonts w:ascii="宋体"/>
                <w:sz w:val="18"/>
              </w:rPr>
              <w:t>19,515.58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14"/>
              <w:jc w:val="right"/>
              <w:rPr>
                <w:rFonts w:ascii="宋体" w:hAnsi="宋体" w:cs="宋体" w:eastAsia="宋体" w:hint="default"/>
                <w:sz w:val="18"/>
                <w:szCs w:val="18"/>
              </w:rPr>
            </w:pPr>
            <w:r>
              <w:rPr>
                <w:rFonts w:ascii="宋体"/>
                <w:spacing w:val="-1"/>
                <w:sz w:val="18"/>
              </w:rPr>
              <w:t>977.36</w:t>
            </w:r>
          </w:p>
        </w:tc>
      </w:tr>
      <w:tr>
        <w:trPr>
          <w:trHeight w:val="910"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sz w:val="18"/>
              </w:rPr>
              <w:t>3</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583" w:right="135" w:hanging="452"/>
              <w:jc w:val="left"/>
              <w:rPr>
                <w:rFonts w:ascii="宋体" w:hAnsi="宋体" w:cs="宋体" w:eastAsia="宋体" w:hint="default"/>
                <w:sz w:val="18"/>
                <w:szCs w:val="18"/>
              </w:rPr>
            </w:pPr>
            <w:r>
              <w:rPr>
                <w:rFonts w:ascii="宋体" w:hAnsi="宋体" w:cs="宋体" w:eastAsia="宋体" w:hint="default"/>
                <w:sz w:val="18"/>
                <w:szCs w:val="18"/>
              </w:rPr>
              <w:t>四季沐歌（洛阳）太阳 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806" w:right="71" w:hanging="704"/>
              <w:jc w:val="left"/>
              <w:rPr>
                <w:rFonts w:ascii="宋体" w:hAnsi="宋体" w:cs="宋体" w:eastAsia="宋体" w:hint="default"/>
                <w:sz w:val="18"/>
                <w:szCs w:val="18"/>
              </w:rPr>
            </w:pPr>
            <w:r>
              <w:rPr>
                <w:rFonts w:ascii="宋体" w:hAnsi="宋体" w:cs="宋体" w:eastAsia="宋体" w:hint="default"/>
                <w:sz w:val="18"/>
                <w:szCs w:val="18"/>
              </w:rPr>
              <w:t>太阳能热水器的生产、 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sz w:val="18"/>
              </w:rPr>
              <w:t>10,891.00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8"/>
              <w:jc w:val="right"/>
              <w:rPr>
                <w:rFonts w:ascii="宋体" w:hAnsi="宋体" w:cs="宋体" w:eastAsia="宋体" w:hint="default"/>
                <w:sz w:val="18"/>
                <w:szCs w:val="18"/>
              </w:rPr>
            </w:pPr>
            <w:r>
              <w:rPr>
                <w:rFonts w:ascii="宋体"/>
                <w:spacing w:val="-1"/>
                <w:sz w:val="18"/>
              </w:rPr>
              <w:t>65,672.00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5" w:right="0"/>
              <w:jc w:val="left"/>
              <w:rPr>
                <w:rFonts w:ascii="宋体" w:hAnsi="宋体" w:cs="宋体" w:eastAsia="宋体" w:hint="default"/>
                <w:sz w:val="18"/>
                <w:szCs w:val="18"/>
              </w:rPr>
            </w:pPr>
            <w:r>
              <w:rPr>
                <w:rFonts w:ascii="宋体"/>
                <w:sz w:val="18"/>
              </w:rPr>
              <w:t>55,288.00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16"/>
              <w:jc w:val="right"/>
              <w:rPr>
                <w:rFonts w:ascii="宋体" w:hAnsi="宋体" w:cs="宋体" w:eastAsia="宋体" w:hint="default"/>
                <w:sz w:val="18"/>
                <w:szCs w:val="18"/>
              </w:rPr>
            </w:pPr>
            <w:r>
              <w:rPr>
                <w:rFonts w:ascii="宋体"/>
                <w:spacing w:val="-1"/>
                <w:sz w:val="18"/>
              </w:rPr>
              <w:t>2,655.90</w:t>
            </w:r>
          </w:p>
        </w:tc>
      </w:tr>
      <w:tr>
        <w:trPr>
          <w:trHeight w:val="684"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4</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63" w:right="135" w:hanging="632"/>
              <w:jc w:val="left"/>
              <w:rPr>
                <w:rFonts w:ascii="宋体" w:hAnsi="宋体" w:cs="宋体" w:eastAsia="宋体" w:hint="default"/>
                <w:sz w:val="18"/>
                <w:szCs w:val="18"/>
              </w:rPr>
            </w:pPr>
            <w:r>
              <w:rPr>
                <w:rFonts w:ascii="宋体" w:hAnsi="宋体" w:cs="宋体" w:eastAsia="宋体" w:hint="default"/>
                <w:sz w:val="18"/>
                <w:szCs w:val="18"/>
              </w:rPr>
              <w:t>江苏四季沐歌太阳能有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太阳能热水器的销售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99" w:right="0"/>
              <w:jc w:val="left"/>
              <w:rPr>
                <w:rFonts w:ascii="宋体" w:hAnsi="宋体" w:cs="宋体" w:eastAsia="宋体" w:hint="default"/>
                <w:sz w:val="18"/>
                <w:szCs w:val="18"/>
              </w:rPr>
            </w:pPr>
            <w:r>
              <w:rPr>
                <w:rFonts w:ascii="宋体"/>
                <w:sz w:val="18"/>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8"/>
              <w:jc w:val="right"/>
              <w:rPr>
                <w:rFonts w:ascii="宋体" w:hAnsi="宋体" w:cs="宋体" w:eastAsia="宋体" w:hint="default"/>
                <w:sz w:val="18"/>
                <w:szCs w:val="18"/>
              </w:rPr>
            </w:pPr>
            <w:r>
              <w:rPr>
                <w:rFonts w:ascii="宋体"/>
                <w:spacing w:val="-1"/>
                <w:sz w:val="18"/>
              </w:rPr>
              <w:t>21,633.49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99" w:right="0"/>
              <w:jc w:val="left"/>
              <w:rPr>
                <w:rFonts w:ascii="宋体" w:hAnsi="宋体" w:cs="宋体" w:eastAsia="宋体" w:hint="default"/>
                <w:sz w:val="18"/>
                <w:szCs w:val="18"/>
              </w:rPr>
            </w:pPr>
            <w:r>
              <w:rPr>
                <w:rFonts w:ascii="宋体"/>
                <w:sz w:val="18"/>
              </w:rPr>
              <w:t>2,047.29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4"/>
              <w:jc w:val="right"/>
              <w:rPr>
                <w:rFonts w:ascii="宋体" w:hAnsi="宋体" w:cs="宋体" w:eastAsia="宋体" w:hint="default"/>
                <w:sz w:val="18"/>
                <w:szCs w:val="18"/>
              </w:rPr>
            </w:pPr>
            <w:r>
              <w:rPr>
                <w:rFonts w:ascii="宋体"/>
                <w:spacing w:val="-1"/>
                <w:sz w:val="18"/>
              </w:rPr>
              <w:t>-495.59</w:t>
            </w:r>
          </w:p>
        </w:tc>
      </w:tr>
      <w:tr>
        <w:trPr>
          <w:trHeight w:val="910"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sz w:val="18"/>
              </w:rPr>
              <w:t>5</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763" w:right="135" w:hanging="632"/>
              <w:jc w:val="left"/>
              <w:rPr>
                <w:rFonts w:ascii="宋体" w:hAnsi="宋体" w:cs="宋体" w:eastAsia="宋体" w:hint="default"/>
                <w:sz w:val="18"/>
                <w:szCs w:val="18"/>
              </w:rPr>
            </w:pPr>
            <w:r>
              <w:rPr>
                <w:rFonts w:ascii="宋体" w:hAnsi="宋体" w:cs="宋体" w:eastAsia="宋体" w:hint="default"/>
                <w:sz w:val="18"/>
                <w:szCs w:val="18"/>
              </w:rPr>
              <w:t>广东日出东方空气能有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2"/>
              <w:ind w:left="103" w:right="101"/>
              <w:jc w:val="center"/>
              <w:rPr>
                <w:rFonts w:ascii="宋体" w:hAnsi="宋体" w:cs="宋体" w:eastAsia="宋体" w:hint="default"/>
                <w:sz w:val="18"/>
                <w:szCs w:val="18"/>
              </w:rPr>
            </w:pPr>
            <w:r>
              <w:rPr>
                <w:rFonts w:ascii="宋体" w:hAnsi="宋体" w:cs="宋体" w:eastAsia="宋体" w:hint="default"/>
                <w:spacing w:val="-4"/>
                <w:sz w:val="18"/>
                <w:szCs w:val="18"/>
              </w:rPr>
              <w:t>空气能热水器、空气能</w:t>
            </w:r>
            <w:r>
              <w:rPr>
                <w:rFonts w:ascii="宋体" w:hAnsi="宋体" w:cs="宋体" w:eastAsia="宋体" w:hint="default"/>
                <w:sz w:val="18"/>
                <w:szCs w:val="18"/>
              </w:rPr>
              <w:t> </w:t>
            </w:r>
            <w:r>
              <w:rPr>
                <w:rFonts w:ascii="宋体" w:hAnsi="宋体" w:cs="宋体" w:eastAsia="宋体" w:hint="default"/>
                <w:spacing w:val="-4"/>
                <w:sz w:val="18"/>
                <w:szCs w:val="18"/>
              </w:rPr>
              <w:t>采暖系统、空气能燥系</w:t>
            </w:r>
            <w:r>
              <w:rPr>
                <w:rFonts w:ascii="宋体" w:hAnsi="宋体" w:cs="宋体" w:eastAsia="宋体" w:hint="default"/>
                <w:sz w:val="18"/>
                <w:szCs w:val="18"/>
              </w:rPr>
              <w:t> 统等生产、销售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6" w:right="0"/>
              <w:jc w:val="left"/>
              <w:rPr>
                <w:rFonts w:ascii="宋体" w:hAnsi="宋体" w:cs="宋体" w:eastAsia="宋体" w:hint="default"/>
                <w:sz w:val="18"/>
                <w:szCs w:val="18"/>
              </w:rPr>
            </w:pPr>
            <w:r>
              <w:rPr>
                <w:rFonts w:ascii="宋体"/>
                <w:sz w:val="18"/>
              </w:rPr>
              <w:t>12,000.00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8"/>
              <w:jc w:val="right"/>
              <w:rPr>
                <w:rFonts w:ascii="宋体" w:hAnsi="宋体" w:cs="宋体" w:eastAsia="宋体" w:hint="default"/>
                <w:sz w:val="18"/>
                <w:szCs w:val="18"/>
              </w:rPr>
            </w:pPr>
            <w:r>
              <w:rPr>
                <w:rFonts w:ascii="宋体"/>
                <w:spacing w:val="-1"/>
                <w:sz w:val="18"/>
              </w:rPr>
              <w:t>30,858.02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18"/>
                <w:szCs w:val="18"/>
              </w:rPr>
            </w:pPr>
            <w:r>
              <w:rPr>
                <w:rFonts w:ascii="宋体"/>
                <w:sz w:val="18"/>
              </w:rPr>
              <w:t>22,004.02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16"/>
              <w:jc w:val="right"/>
              <w:rPr>
                <w:rFonts w:ascii="宋体" w:hAnsi="宋体" w:cs="宋体" w:eastAsia="宋体" w:hint="default"/>
                <w:sz w:val="18"/>
                <w:szCs w:val="18"/>
              </w:rPr>
            </w:pPr>
            <w:r>
              <w:rPr>
                <w:rFonts w:ascii="宋体"/>
                <w:spacing w:val="-1"/>
                <w:sz w:val="18"/>
              </w:rPr>
              <w:t>1,129.67</w:t>
            </w:r>
          </w:p>
        </w:tc>
      </w:tr>
      <w:tr>
        <w:trPr>
          <w:trHeight w:val="478"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6</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浙江帅康电气股份有限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公司及其子公司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厨房电器的研发、生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sz w:val="18"/>
              </w:rPr>
              <w:t>5,500.00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5"/>
              <w:jc w:val="right"/>
              <w:rPr>
                <w:rFonts w:ascii="宋体" w:hAnsi="宋体" w:cs="宋体" w:eastAsia="宋体" w:hint="default"/>
                <w:sz w:val="18"/>
                <w:szCs w:val="18"/>
              </w:rPr>
            </w:pPr>
            <w:r>
              <w:rPr>
                <w:rFonts w:ascii="宋体"/>
                <w:spacing w:val="-1"/>
                <w:sz w:val="18"/>
              </w:rPr>
              <w:t>94,500.36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sz w:val="18"/>
              </w:rPr>
              <w:t>15,521.25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sz w:val="18"/>
              </w:rPr>
              <w:t>2,684.51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1237" w:val="left" w:leader="none"/>
        </w:tabs>
        <w:spacing w:line="240" w:lineRule="auto" w:before="36"/>
        <w:ind w:left="398" w:right="526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240" w:val="left" w:leader="none"/>
        </w:tabs>
        <w:spacing w:line="240" w:lineRule="auto" w:before="58"/>
        <w:ind w:left="398" w:right="526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237" w:val="left" w:leader="none"/>
        </w:tabs>
        <w:spacing w:line="290" w:lineRule="auto"/>
        <w:ind w:left="398"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tabs>
          <w:tab w:pos="1240" w:val="left" w:leader="none"/>
        </w:tabs>
        <w:spacing w:line="331" w:lineRule="auto" w:before="14"/>
        <w:ind w:left="398" w:right="7165"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太阳能热利用领域</w:t>
      </w:r>
      <w:r>
        <w:rPr>
          <w:rFonts w:ascii="宋体" w:hAnsi="宋体" w:cs="宋体" w:eastAsia="宋体" w:hint="default"/>
          <w:sz w:val="21"/>
          <w:szCs w:val="21"/>
        </w:rPr>
      </w:r>
    </w:p>
    <w:p>
      <w:pPr>
        <w:pStyle w:val="Heading5"/>
        <w:spacing w:line="240" w:lineRule="auto" w:before="46"/>
        <w:ind w:left="820" w:right="5269"/>
        <w:jc w:val="left"/>
        <w:rPr>
          <w:b w:val="0"/>
          <w:bCs w:val="0"/>
        </w:rPr>
      </w:pPr>
      <w:r>
        <w:rPr>
          <w:rFonts w:ascii="宋体" w:hAnsi="宋体" w:cs="宋体" w:eastAsia="宋体" w:hint="default"/>
        </w:rPr>
        <w:t>1.1</w:t>
      </w:r>
      <w:r>
        <w:rPr>
          <w:rFonts w:ascii="宋体" w:hAnsi="宋体" w:cs="宋体" w:eastAsia="宋体" w:hint="default"/>
          <w:spacing w:val="-54"/>
        </w:rPr>
        <w:t> </w:t>
      </w:r>
      <w:r>
        <w:rPr/>
        <w:t>行业综述</w:t>
      </w:r>
      <w:r>
        <w:rPr>
          <w:b w:val="0"/>
          <w:bCs w:val="0"/>
        </w:rPr>
      </w:r>
    </w:p>
    <w:p>
      <w:pPr>
        <w:pStyle w:val="BodyText"/>
        <w:spacing w:line="350" w:lineRule="auto" w:before="123"/>
        <w:ind w:left="398" w:right="228" w:firstLine="419"/>
        <w:jc w:val="both"/>
      </w:pPr>
      <w:r>
        <w:rPr>
          <w:rFonts w:ascii="宋体" w:hAnsi="宋体" w:cs="宋体" w:eastAsia="宋体" w:hint="default"/>
        </w:rPr>
        <w:t>2017</w:t>
      </w:r>
      <w:r>
        <w:rPr>
          <w:rFonts w:ascii="宋体" w:hAnsi="宋体" w:cs="宋体" w:eastAsia="宋体" w:hint="default"/>
          <w:spacing w:val="-10"/>
        </w:rPr>
        <w:t> </w:t>
      </w:r>
      <w:r>
        <w:rPr>
          <w:spacing w:val="-3"/>
        </w:rPr>
        <w:t>年太阳能光热行业整体略有下滑，下滑原因主要来自于家用热水系统市场的萎缩，但建</w:t>
      </w:r>
      <w:r>
        <w:rPr>
          <w:w w:val="100"/>
        </w:rPr>
        <w:t> </w:t>
      </w:r>
      <w:r>
        <w:rPr>
          <w:spacing w:val="-6"/>
        </w:rPr>
        <w:t>筑热水工程保持稳定增长，采暖和工农业应用等新领域蓄势起步，市场应用走向多元。三块叠加，</w:t>
      </w:r>
      <w:r>
        <w:rPr>
          <w:spacing w:val="-54"/>
        </w:rPr>
        <w:t> </w:t>
      </w:r>
      <w:r>
        <w:rPr>
          <w:spacing w:val="-54"/>
        </w:rPr>
      </w:r>
      <w:r>
        <w:rPr>
          <w:spacing w:val="-2"/>
        </w:rPr>
        <w:t>虽社会保有量增幅继续下降，但行业销售量降速已经放缓，触底和整体回暖趋势显现。同时，内</w:t>
      </w:r>
      <w:r>
        <w:rPr>
          <w:spacing w:val="-25"/>
        </w:rPr>
        <w:t> </w:t>
      </w:r>
      <w:r>
        <w:rPr>
          <w:spacing w:val="-25"/>
        </w:rPr>
      </w:r>
      <w:r>
        <w:rPr>
          <w:spacing w:val="-2"/>
        </w:rPr>
        <w:t>部创新力量不足，少数轻视质量和服务，偷工减料，部分地区部分项目上低于成本价恶性竞争现</w:t>
      </w:r>
      <w:r>
        <w:rPr>
          <w:spacing w:val="-25"/>
        </w:rPr>
        <w:t> </w:t>
      </w:r>
      <w:r>
        <w:rPr>
          <w:spacing w:val="-25"/>
        </w:rPr>
      </w:r>
      <w:r>
        <w:rPr/>
        <w:t>象还时有发生。</w:t>
      </w:r>
    </w:p>
    <w:p>
      <w:pPr>
        <w:spacing w:after="0" w:line="350" w:lineRule="auto"/>
        <w:jc w:val="both"/>
        <w:sectPr>
          <w:footerReference w:type="default" r:id="rId19"/>
          <w:pgSz w:w="11910" w:h="16840"/>
          <w:pgMar w:footer="1195" w:header="0" w:top="1120" w:bottom="1380" w:left="1400" w:right="1040"/>
          <w:pgNumType w:start="23"/>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58" w:right="108"/>
        <w:jc w:val="left"/>
      </w:pPr>
      <w:r>
        <w:rPr>
          <w:rFonts w:ascii="宋体" w:hAnsi="宋体" w:cs="宋体" w:eastAsia="宋体" w:hint="default"/>
        </w:rPr>
        <w:t>2017</w:t>
      </w:r>
      <w:r>
        <w:rPr>
          <w:rFonts w:ascii="宋体" w:hAnsi="宋体" w:cs="宋体" w:eastAsia="宋体" w:hint="default"/>
          <w:spacing w:val="-55"/>
        </w:rPr>
        <w:t> </w:t>
      </w:r>
      <w:r>
        <w:rPr/>
        <w:t>年整个太阳能热利用市场总产值</w:t>
      </w:r>
      <w:r>
        <w:rPr>
          <w:spacing w:val="-53"/>
        </w:rPr>
        <w:t> </w:t>
      </w:r>
      <w:r>
        <w:rPr>
          <w:rFonts w:ascii="宋体" w:hAnsi="宋体" w:cs="宋体" w:eastAsia="宋体" w:hint="default"/>
        </w:rPr>
        <w:t>599</w:t>
      </w:r>
      <w:r>
        <w:rPr>
          <w:rFonts w:ascii="宋体" w:hAnsi="宋体" w:cs="宋体" w:eastAsia="宋体" w:hint="default"/>
          <w:spacing w:val="-55"/>
        </w:rPr>
        <w:t> </w:t>
      </w:r>
      <w:r>
        <w:rPr/>
        <w:t>亿元，同比</w:t>
      </w:r>
      <w:r>
        <w:rPr>
          <w:spacing w:val="-52"/>
        </w:rPr>
        <w:t> </w:t>
      </w:r>
      <w:r>
        <w:rPr>
          <w:rFonts w:ascii="宋体" w:hAnsi="宋体" w:cs="宋体" w:eastAsia="宋体" w:hint="default"/>
        </w:rPr>
        <w:t>2016</w:t>
      </w:r>
      <w:r>
        <w:rPr>
          <w:rFonts w:ascii="宋体" w:hAnsi="宋体" w:cs="宋体" w:eastAsia="宋体" w:hint="default"/>
          <w:spacing w:val="-53"/>
        </w:rPr>
        <w:t> </w:t>
      </w:r>
      <w:r>
        <w:rPr/>
        <w:t>年下降</w:t>
      </w:r>
      <w:r>
        <w:rPr>
          <w:spacing w:val="-55"/>
        </w:rPr>
        <w:t> </w:t>
      </w:r>
      <w:r>
        <w:rPr>
          <w:rFonts w:ascii="宋体" w:hAnsi="宋体" w:cs="宋体" w:eastAsia="宋体" w:hint="default"/>
        </w:rPr>
        <w:t>5.7%</w:t>
      </w:r>
      <w:r>
        <w:rPr/>
        <w:t>。</w:t>
      </w:r>
      <w:r>
        <w:rPr>
          <w:rFonts w:ascii="宋体" w:hAnsi="宋体" w:cs="宋体" w:eastAsia="宋体" w:hint="default"/>
        </w:rPr>
        <w:t>599</w:t>
      </w:r>
      <w:r>
        <w:rPr>
          <w:rFonts w:ascii="宋体" w:hAnsi="宋体" w:cs="宋体" w:eastAsia="宋体" w:hint="default"/>
          <w:spacing w:val="-55"/>
        </w:rPr>
        <w:t> </w:t>
      </w:r>
      <w:r>
        <w:rPr/>
        <w:t>亿元中零售市</w:t>
      </w:r>
    </w:p>
    <w:p>
      <w:pPr>
        <w:pStyle w:val="BodyText"/>
        <w:spacing w:line="240" w:lineRule="auto" w:before="126"/>
        <w:ind w:left="138" w:right="0"/>
        <w:jc w:val="both"/>
        <w:rPr>
          <w:rFonts w:ascii="宋体" w:hAnsi="宋体" w:cs="宋体" w:eastAsia="宋体" w:hint="default"/>
        </w:rPr>
      </w:pPr>
      <w:r>
        <w:rPr/>
        <w:t>场份额占比</w:t>
      </w:r>
      <w:r>
        <w:rPr>
          <w:spacing w:val="-44"/>
        </w:rPr>
        <w:t> </w:t>
      </w:r>
      <w:r>
        <w:rPr>
          <w:rFonts w:ascii="宋体" w:hAnsi="宋体" w:cs="宋体" w:eastAsia="宋体" w:hint="default"/>
          <w:spacing w:val="-3"/>
        </w:rPr>
        <w:t>29%</w:t>
      </w:r>
      <w:r>
        <w:rPr>
          <w:spacing w:val="-3"/>
        </w:rPr>
        <w:t>，工程市场占比</w:t>
      </w:r>
      <w:r>
        <w:rPr>
          <w:spacing w:val="-43"/>
        </w:rPr>
        <w:t> </w:t>
      </w:r>
      <w:r>
        <w:rPr>
          <w:rFonts w:ascii="宋体" w:hAnsi="宋体" w:cs="宋体" w:eastAsia="宋体" w:hint="default"/>
          <w:spacing w:val="-3"/>
        </w:rPr>
        <w:t>71%</w:t>
      </w:r>
      <w:r>
        <w:rPr>
          <w:spacing w:val="-3"/>
        </w:rPr>
        <w:t>。从产品细分领域来看，真空管型集热系统</w:t>
      </w:r>
      <w:r>
        <w:rPr>
          <w:spacing w:val="-43"/>
        </w:rPr>
        <w:t> </w:t>
      </w:r>
      <w:r>
        <w:rPr>
          <w:rFonts w:ascii="宋体" w:hAnsi="宋体" w:cs="宋体" w:eastAsia="宋体" w:hint="default"/>
        </w:rPr>
        <w:t>2017</w:t>
      </w:r>
      <w:r>
        <w:rPr>
          <w:rFonts w:ascii="宋体" w:hAnsi="宋体" w:cs="宋体" w:eastAsia="宋体" w:hint="default"/>
          <w:spacing w:val="-44"/>
        </w:rPr>
        <w:t> </w:t>
      </w:r>
      <w:r>
        <w:rPr/>
        <w:t>年销售</w:t>
      </w:r>
      <w:r>
        <w:rPr>
          <w:spacing w:val="-46"/>
        </w:rPr>
        <w:t> </w:t>
      </w:r>
      <w:r>
        <w:rPr>
          <w:rFonts w:ascii="宋体" w:hAnsi="宋体" w:cs="宋体" w:eastAsia="宋体" w:hint="default"/>
        </w:rPr>
        <w:t>3146</w:t>
      </w:r>
    </w:p>
    <w:p>
      <w:pPr>
        <w:pStyle w:val="BodyText"/>
        <w:spacing w:line="240" w:lineRule="auto" w:before="126"/>
        <w:ind w:left="138" w:right="0"/>
        <w:jc w:val="both"/>
      </w:pPr>
      <w:r>
        <w:rPr/>
        <w:t>万平方米，同比</w:t>
      </w:r>
      <w:r>
        <w:rPr>
          <w:spacing w:val="-54"/>
        </w:rPr>
        <w:t> </w:t>
      </w:r>
      <w:r>
        <w:rPr>
          <w:rFonts w:ascii="宋体" w:hAnsi="宋体" w:cs="宋体" w:eastAsia="宋体" w:hint="default"/>
        </w:rPr>
        <w:t>2016</w:t>
      </w:r>
      <w:r>
        <w:rPr>
          <w:rFonts w:ascii="宋体" w:hAnsi="宋体" w:cs="宋体" w:eastAsia="宋体" w:hint="default"/>
          <w:spacing w:val="-54"/>
        </w:rPr>
        <w:t> </w:t>
      </w:r>
      <w:r>
        <w:rPr/>
        <w:t>年下降</w:t>
      </w:r>
      <w:r>
        <w:rPr>
          <w:spacing w:val="-53"/>
        </w:rPr>
        <w:t> </w:t>
      </w:r>
      <w:r>
        <w:rPr>
          <w:rFonts w:ascii="宋体" w:hAnsi="宋体" w:cs="宋体" w:eastAsia="宋体" w:hint="default"/>
        </w:rPr>
        <w:t>8.0%</w:t>
      </w:r>
      <w:r>
        <w:rPr/>
        <w:t>；平板型集热系统</w:t>
      </w:r>
      <w:r>
        <w:rPr>
          <w:spacing w:val="-56"/>
        </w:rPr>
        <w:t> </w:t>
      </w:r>
      <w:r>
        <w:rPr>
          <w:rFonts w:ascii="宋体" w:hAnsi="宋体" w:cs="宋体" w:eastAsia="宋体" w:hint="default"/>
        </w:rPr>
        <w:t>2017</w:t>
      </w:r>
      <w:r>
        <w:rPr>
          <w:rFonts w:ascii="宋体" w:hAnsi="宋体" w:cs="宋体" w:eastAsia="宋体" w:hint="default"/>
          <w:spacing w:val="-56"/>
        </w:rPr>
        <w:t> </w:t>
      </w:r>
      <w:r>
        <w:rPr/>
        <w:t>年销售</w:t>
      </w:r>
      <w:r>
        <w:rPr>
          <w:spacing w:val="-54"/>
        </w:rPr>
        <w:t> </w:t>
      </w:r>
      <w:r>
        <w:rPr>
          <w:rFonts w:ascii="宋体" w:hAnsi="宋体" w:cs="宋体" w:eastAsia="宋体" w:hint="default"/>
        </w:rPr>
        <w:t>577</w:t>
      </w:r>
      <w:r>
        <w:rPr>
          <w:rFonts w:ascii="宋体" w:hAnsi="宋体" w:cs="宋体" w:eastAsia="宋体" w:hint="default"/>
          <w:spacing w:val="-54"/>
        </w:rPr>
        <w:t> </w:t>
      </w:r>
      <w:r>
        <w:rPr/>
        <w:t>万平方米，同比</w:t>
      </w:r>
      <w:r>
        <w:rPr>
          <w:spacing w:val="-53"/>
        </w:rPr>
        <w:t> </w:t>
      </w:r>
      <w:r>
        <w:rPr>
          <w:rFonts w:ascii="宋体" w:hAnsi="宋体" w:cs="宋体" w:eastAsia="宋体" w:hint="default"/>
        </w:rPr>
        <w:t>2016</w:t>
      </w:r>
      <w:r>
        <w:rPr>
          <w:rFonts w:ascii="宋体" w:hAnsi="宋体" w:cs="宋体" w:eastAsia="宋体" w:hint="default"/>
          <w:spacing w:val="-54"/>
        </w:rPr>
        <w:t> </w:t>
      </w:r>
      <w:r>
        <w:rPr>
          <w:spacing w:val="-3"/>
        </w:rPr>
        <w:t>年增</w:t>
      </w:r>
      <w:r>
        <w:rPr/>
      </w:r>
    </w:p>
    <w:p>
      <w:pPr>
        <w:pStyle w:val="BodyText"/>
        <w:spacing w:line="240" w:lineRule="auto" w:before="123"/>
        <w:ind w:left="138" w:right="0"/>
        <w:jc w:val="both"/>
      </w:pPr>
      <w:r>
        <w:rPr/>
        <w:t>长</w:t>
      </w:r>
      <w:r>
        <w:rPr>
          <w:spacing w:val="-54"/>
        </w:rPr>
        <w:t> </w:t>
      </w:r>
      <w:r>
        <w:rPr>
          <w:rFonts w:ascii="宋体" w:hAnsi="宋体" w:cs="宋体" w:eastAsia="宋体" w:hint="default"/>
        </w:rPr>
        <w:t>8.9%</w:t>
      </w:r>
      <w:r>
        <w:rPr/>
        <w:t>；太阳能热利用集热系统</w:t>
      </w:r>
      <w:r>
        <w:rPr>
          <w:spacing w:val="-54"/>
        </w:rPr>
        <w:t> </w:t>
      </w:r>
      <w:r>
        <w:rPr>
          <w:rFonts w:ascii="宋体" w:hAnsi="宋体" w:cs="宋体" w:eastAsia="宋体" w:hint="default"/>
        </w:rPr>
        <w:t>2017</w:t>
      </w:r>
      <w:r>
        <w:rPr>
          <w:rFonts w:ascii="宋体" w:hAnsi="宋体" w:cs="宋体" w:eastAsia="宋体" w:hint="default"/>
          <w:spacing w:val="-54"/>
        </w:rPr>
        <w:t> </w:t>
      </w:r>
      <w:r>
        <w:rPr/>
        <w:t>年销售</w:t>
      </w:r>
      <w:r>
        <w:rPr>
          <w:spacing w:val="-56"/>
        </w:rPr>
        <w:t> </w:t>
      </w:r>
      <w:r>
        <w:rPr>
          <w:rFonts w:ascii="宋体" w:hAnsi="宋体" w:cs="宋体" w:eastAsia="宋体" w:hint="default"/>
        </w:rPr>
        <w:t>3723</w:t>
      </w:r>
      <w:r>
        <w:rPr>
          <w:rFonts w:ascii="宋体" w:hAnsi="宋体" w:cs="宋体" w:eastAsia="宋体" w:hint="default"/>
          <w:spacing w:val="-56"/>
        </w:rPr>
        <w:t> </w:t>
      </w:r>
      <w:r>
        <w:rPr/>
        <w:t>万平方米，同比</w:t>
      </w:r>
      <w:r>
        <w:rPr>
          <w:spacing w:val="-54"/>
        </w:rPr>
        <w:t> </w:t>
      </w:r>
      <w:r>
        <w:rPr>
          <w:rFonts w:ascii="宋体" w:hAnsi="宋体" w:cs="宋体" w:eastAsia="宋体" w:hint="default"/>
        </w:rPr>
        <w:t>2016</w:t>
      </w:r>
      <w:r>
        <w:rPr>
          <w:rFonts w:ascii="宋体" w:hAnsi="宋体" w:cs="宋体" w:eastAsia="宋体" w:hint="default"/>
          <w:spacing w:val="-54"/>
        </w:rPr>
        <w:t> </w:t>
      </w:r>
      <w:r>
        <w:rPr/>
        <w:t>年下降</w:t>
      </w:r>
      <w:r>
        <w:rPr>
          <w:spacing w:val="-53"/>
        </w:rPr>
        <w:t> </w:t>
      </w:r>
      <w:r>
        <w:rPr>
          <w:rFonts w:ascii="宋体" w:hAnsi="宋体" w:cs="宋体" w:eastAsia="宋体" w:hint="default"/>
        </w:rPr>
        <w:t>5.7%</w:t>
      </w:r>
      <w:r>
        <w:rPr/>
        <w:t>。</w:t>
      </w:r>
    </w:p>
    <w:p>
      <w:pPr>
        <w:pStyle w:val="Heading5"/>
        <w:spacing w:line="240" w:lineRule="auto" w:before="126"/>
        <w:ind w:left="560" w:right="6708"/>
        <w:jc w:val="left"/>
        <w:rPr>
          <w:b w:val="0"/>
          <w:bCs w:val="0"/>
        </w:rPr>
      </w:pPr>
      <w:r>
        <w:rPr>
          <w:rFonts w:ascii="宋体" w:hAnsi="宋体" w:cs="宋体" w:eastAsia="宋体" w:hint="default"/>
        </w:rPr>
        <w:t>1.2</w:t>
      </w:r>
      <w:r>
        <w:rPr>
          <w:rFonts w:ascii="宋体" w:hAnsi="宋体" w:cs="宋体" w:eastAsia="宋体" w:hint="default"/>
          <w:spacing w:val="-53"/>
        </w:rPr>
        <w:t> </w:t>
      </w:r>
      <w:r>
        <w:rPr/>
        <w:t>行业发展趋势</w:t>
      </w:r>
      <w:r>
        <w:rPr>
          <w:b w:val="0"/>
          <w:bCs w:val="0"/>
        </w:rPr>
      </w:r>
    </w:p>
    <w:p>
      <w:pPr>
        <w:pStyle w:val="Heading5"/>
        <w:spacing w:line="240" w:lineRule="auto" w:before="126"/>
        <w:ind w:left="560" w:right="108"/>
        <w:jc w:val="left"/>
        <w:rPr>
          <w:b w:val="0"/>
          <w:bCs w:val="0"/>
        </w:rPr>
      </w:pPr>
      <w:r>
        <w:rPr>
          <w:rFonts w:ascii="宋体" w:hAnsi="宋体" w:cs="宋体" w:eastAsia="宋体" w:hint="default"/>
        </w:rPr>
        <w:t>1.2.1 </w:t>
      </w:r>
      <w:r>
        <w:rPr/>
        <w:t>保有量增幅趋缓</w:t>
      </w:r>
      <w:r>
        <w:rPr>
          <w:b w:val="0"/>
          <w:bCs w:val="0"/>
        </w:rPr>
      </w:r>
    </w:p>
    <w:p>
      <w:pPr>
        <w:pStyle w:val="BodyText"/>
        <w:spacing w:line="350" w:lineRule="auto" w:before="123"/>
        <w:ind w:left="138" w:right="108" w:firstLine="479"/>
        <w:jc w:val="left"/>
      </w:pPr>
      <w:r>
        <w:rPr/>
        <w:t>保有量</w:t>
      </w:r>
      <w:r>
        <w:rPr>
          <w:spacing w:val="-55"/>
        </w:rPr>
        <w:t> </w:t>
      </w:r>
      <w:r>
        <w:rPr>
          <w:rFonts w:ascii="宋体" w:hAnsi="宋体" w:cs="宋体" w:eastAsia="宋体" w:hint="default"/>
        </w:rPr>
        <w:t>2014</w:t>
      </w:r>
      <w:r>
        <w:rPr>
          <w:rFonts w:ascii="宋体" w:hAnsi="宋体" w:cs="宋体" w:eastAsia="宋体" w:hint="default"/>
          <w:spacing w:val="-55"/>
        </w:rPr>
        <w:t> </w:t>
      </w:r>
      <w:r>
        <w:rPr/>
        <w:t>年同比增长</w:t>
      </w:r>
      <w:r>
        <w:rPr>
          <w:spacing w:val="-57"/>
        </w:rPr>
        <w:t> </w:t>
      </w:r>
      <w:r>
        <w:rPr>
          <w:rFonts w:ascii="宋体" w:hAnsi="宋体" w:cs="宋体" w:eastAsia="宋体" w:hint="default"/>
        </w:rPr>
        <w:t>10.4%</w:t>
      </w:r>
      <w:r>
        <w:rPr/>
        <w:t>，</w:t>
      </w:r>
      <w:r>
        <w:rPr>
          <w:rFonts w:ascii="宋体" w:hAnsi="宋体" w:cs="宋体" w:eastAsia="宋体" w:hint="default"/>
        </w:rPr>
        <w:t>2015</w:t>
      </w:r>
      <w:r>
        <w:rPr>
          <w:rFonts w:ascii="宋体" w:hAnsi="宋体" w:cs="宋体" w:eastAsia="宋体" w:hint="default"/>
          <w:spacing w:val="-55"/>
        </w:rPr>
        <w:t> </w:t>
      </w:r>
      <w:r>
        <w:rPr/>
        <w:t>年同比增长</w:t>
      </w:r>
      <w:r>
        <w:rPr>
          <w:spacing w:val="-54"/>
        </w:rPr>
        <w:t> </w:t>
      </w:r>
      <w:r>
        <w:rPr>
          <w:rFonts w:ascii="宋体" w:hAnsi="宋体" w:cs="宋体" w:eastAsia="宋体" w:hint="default"/>
        </w:rPr>
        <w:t>6.8%</w:t>
      </w:r>
      <w:r>
        <w:rPr/>
        <w:t>，</w:t>
      </w:r>
      <w:r>
        <w:rPr>
          <w:rFonts w:ascii="宋体" w:hAnsi="宋体" w:cs="宋体" w:eastAsia="宋体" w:hint="default"/>
        </w:rPr>
        <w:t>2016</w:t>
      </w:r>
      <w:r>
        <w:rPr>
          <w:rFonts w:ascii="宋体" w:hAnsi="宋体" w:cs="宋体" w:eastAsia="宋体" w:hint="default"/>
          <w:spacing w:val="-57"/>
        </w:rPr>
        <w:t> </w:t>
      </w:r>
      <w:r>
        <w:rPr/>
        <w:t>年同比增长</w:t>
      </w:r>
      <w:r>
        <w:rPr>
          <w:spacing w:val="-54"/>
        </w:rPr>
        <w:t> </w:t>
      </w:r>
      <w:r>
        <w:rPr>
          <w:rFonts w:ascii="宋体" w:hAnsi="宋体" w:cs="宋体" w:eastAsia="宋体" w:hint="default"/>
        </w:rPr>
        <w:t>4.9%</w:t>
      </w:r>
      <w:r>
        <w:rPr/>
        <w:t>，预计</w:t>
      </w:r>
      <w:r>
        <w:rPr>
          <w:spacing w:val="-55"/>
        </w:rPr>
        <w:t> </w:t>
      </w:r>
      <w:r>
        <w:rPr>
          <w:rFonts w:ascii="宋体" w:hAnsi="宋体" w:cs="宋体" w:eastAsia="宋体" w:hint="default"/>
        </w:rPr>
        <w:t>2017</w:t>
      </w:r>
      <w:r>
        <w:rPr>
          <w:rFonts w:ascii="宋体" w:hAnsi="宋体" w:cs="宋体" w:eastAsia="宋体" w:hint="default"/>
          <w:w w:val="100"/>
        </w:rPr>
        <w:t> </w:t>
      </w:r>
      <w:r>
        <w:rPr/>
        <w:t>年同比增长</w:t>
      </w:r>
      <w:r>
        <w:rPr>
          <w:spacing w:val="-55"/>
        </w:rPr>
        <w:t> </w:t>
      </w:r>
      <w:r>
        <w:rPr>
          <w:rFonts w:ascii="宋体" w:hAnsi="宋体" w:cs="宋体" w:eastAsia="宋体" w:hint="default"/>
        </w:rPr>
        <w:t>3.1%</w:t>
      </w:r>
      <w:r>
        <w:rPr/>
        <w:t>。保有量增幅连续下降，远低于工作报告</w:t>
      </w:r>
      <w:r>
        <w:rPr>
          <w:spacing w:val="-55"/>
        </w:rPr>
        <w:t> </w:t>
      </w:r>
      <w:r>
        <w:rPr>
          <w:rFonts w:ascii="宋体" w:hAnsi="宋体" w:cs="宋体" w:eastAsia="宋体" w:hint="default"/>
        </w:rPr>
        <w:t>GDP</w:t>
      </w:r>
      <w:r>
        <w:rPr>
          <w:rFonts w:ascii="宋体" w:hAnsi="宋体" w:cs="宋体" w:eastAsia="宋体" w:hint="default"/>
          <w:spacing w:val="-57"/>
        </w:rPr>
        <w:t> </w:t>
      </w:r>
      <w:r>
        <w:rPr/>
        <w:t>预期增长</w:t>
      </w:r>
      <w:r>
        <w:rPr>
          <w:spacing w:val="-55"/>
        </w:rPr>
        <w:t> </w:t>
      </w:r>
      <w:r>
        <w:rPr>
          <w:rFonts w:ascii="宋体" w:hAnsi="宋体" w:cs="宋体" w:eastAsia="宋体" w:hint="default"/>
        </w:rPr>
        <w:t>6.5%</w:t>
      </w:r>
      <w:r>
        <w:rPr/>
        <w:t>的指标。</w:t>
      </w:r>
    </w:p>
    <w:p>
      <w:pPr>
        <w:pStyle w:val="Heading5"/>
        <w:spacing w:line="240" w:lineRule="auto" w:before="30"/>
        <w:ind w:left="618" w:right="108"/>
        <w:jc w:val="left"/>
        <w:rPr>
          <w:b w:val="0"/>
          <w:bCs w:val="0"/>
        </w:rPr>
      </w:pPr>
      <w:r>
        <w:rPr>
          <w:rFonts w:ascii="宋体" w:hAnsi="宋体" w:cs="宋体" w:eastAsia="宋体" w:hint="default"/>
        </w:rPr>
        <w:t>1.2.2</w:t>
      </w:r>
      <w:r>
        <w:rPr>
          <w:rFonts w:ascii="宋体" w:hAnsi="宋体" w:cs="宋体" w:eastAsia="宋体" w:hint="default"/>
          <w:spacing w:val="-53"/>
        </w:rPr>
        <w:t> </w:t>
      </w:r>
      <w:r>
        <w:rPr/>
        <w:t>结构调整继续进行</w:t>
      </w:r>
      <w:r>
        <w:rPr>
          <w:b w:val="0"/>
          <w:bCs w:val="0"/>
        </w:rPr>
      </w:r>
    </w:p>
    <w:p>
      <w:pPr>
        <w:pStyle w:val="BodyText"/>
        <w:spacing w:line="350" w:lineRule="auto" w:before="123"/>
        <w:ind w:left="138" w:right="210" w:firstLine="479"/>
        <w:jc w:val="both"/>
      </w:pPr>
      <w:r>
        <w:rPr/>
        <w:t>零售与工程比例继续稳步变化。零售占比由最高峰时的</w:t>
      </w:r>
      <w:r>
        <w:rPr>
          <w:spacing w:val="-54"/>
        </w:rPr>
        <w:t> </w:t>
      </w:r>
      <w:r>
        <w:rPr>
          <w:rFonts w:ascii="宋体" w:hAnsi="宋体" w:cs="宋体" w:eastAsia="宋体" w:hint="default"/>
        </w:rPr>
        <w:t>75%</w:t>
      </w:r>
      <w:r>
        <w:rPr/>
        <w:t>下降到</w:t>
      </w:r>
      <w:r>
        <w:rPr>
          <w:spacing w:val="-57"/>
        </w:rPr>
        <w:t> </w:t>
      </w:r>
      <w:r>
        <w:rPr>
          <w:rFonts w:ascii="宋体" w:hAnsi="宋体" w:cs="宋体" w:eastAsia="宋体" w:hint="default"/>
        </w:rPr>
        <w:t>29%</w:t>
      </w:r>
      <w:r>
        <w:rPr/>
        <w:t>，单机产能进一步压</w:t>
      </w:r>
      <w:r>
        <w:rPr>
          <w:w w:val="100"/>
        </w:rPr>
        <w:t> </w:t>
      </w:r>
      <w:r>
        <w:rPr>
          <w:spacing w:val="-4"/>
        </w:rPr>
        <w:t>缩，开工不足、闲置、转让、报废情况增多。工程比重由去年下半年占比</w:t>
      </w:r>
      <w:r>
        <w:rPr>
          <w:spacing w:val="-30"/>
        </w:rPr>
        <w:t> </w:t>
      </w:r>
      <w:r>
        <w:rPr>
          <w:rFonts w:ascii="宋体" w:hAnsi="宋体" w:cs="宋体" w:eastAsia="宋体" w:hint="default"/>
        </w:rPr>
        <w:t>68%</w:t>
      </w:r>
      <w:r>
        <w:rPr/>
        <w:t>增长到</w:t>
      </w:r>
      <w:r>
        <w:rPr>
          <w:spacing w:val="-30"/>
        </w:rPr>
        <w:t> </w:t>
      </w:r>
      <w:r>
        <w:rPr>
          <w:rFonts w:ascii="宋体" w:hAnsi="宋体" w:cs="宋体" w:eastAsia="宋体" w:hint="default"/>
          <w:spacing w:val="-4"/>
        </w:rPr>
        <w:t>71%</w:t>
      </w:r>
      <w:r>
        <w:rPr>
          <w:spacing w:val="-4"/>
        </w:rPr>
        <w:t>，不少企</w:t>
      </w:r>
      <w:r>
        <w:rPr>
          <w:spacing w:val="-97"/>
        </w:rPr>
        <w:t> </w:t>
      </w:r>
      <w:r>
        <w:rPr>
          <w:spacing w:val="-97"/>
        </w:rPr>
      </w:r>
      <w:r>
        <w:rPr/>
        <w:t>业工程占比增长幅度较大，太阳雨、四季沐歌、中科蓝天等企业工程市场增幅达到</w:t>
      </w:r>
      <w:r>
        <w:rPr>
          <w:spacing w:val="-54"/>
        </w:rPr>
        <w:t> </w:t>
      </w:r>
      <w:r>
        <w:rPr>
          <w:rFonts w:ascii="宋体" w:hAnsi="宋体" w:cs="宋体" w:eastAsia="宋体" w:hint="default"/>
        </w:rPr>
        <w:t>40%</w:t>
      </w:r>
      <w:r>
        <w:rPr/>
        <w:t>。平板膜</w:t>
      </w:r>
      <w:r>
        <w:rPr>
          <w:w w:val="100"/>
        </w:rPr>
        <w:t> </w:t>
      </w:r>
      <w:r>
        <w:rPr/>
        <w:t>层产量上升较快。预计</w:t>
      </w:r>
      <w:r>
        <w:rPr>
          <w:spacing w:val="-54"/>
        </w:rPr>
        <w:t> </w:t>
      </w:r>
      <w:r>
        <w:rPr>
          <w:rFonts w:ascii="宋体" w:hAnsi="宋体" w:cs="宋体" w:eastAsia="宋体" w:hint="default"/>
        </w:rPr>
        <w:t>2017</w:t>
      </w:r>
      <w:r>
        <w:rPr>
          <w:rFonts w:ascii="宋体" w:hAnsi="宋体" w:cs="宋体" w:eastAsia="宋体" w:hint="default"/>
          <w:spacing w:val="-55"/>
        </w:rPr>
        <w:t> </w:t>
      </w:r>
      <w:r>
        <w:rPr/>
        <w:t>年平板型集热系统销售</w:t>
      </w:r>
      <w:r>
        <w:rPr>
          <w:spacing w:val="-57"/>
        </w:rPr>
        <w:t> </w:t>
      </w:r>
      <w:r>
        <w:rPr>
          <w:rFonts w:ascii="宋体" w:hAnsi="宋体" w:cs="宋体" w:eastAsia="宋体" w:hint="default"/>
        </w:rPr>
        <w:t>577</w:t>
      </w:r>
      <w:r>
        <w:rPr>
          <w:rFonts w:ascii="宋体" w:hAnsi="宋体" w:cs="宋体" w:eastAsia="宋体" w:hint="default"/>
          <w:spacing w:val="-55"/>
        </w:rPr>
        <w:t> </w:t>
      </w:r>
      <w:r>
        <w:rPr/>
        <w:t>万平米，同比增长</w:t>
      </w:r>
      <w:r>
        <w:rPr>
          <w:spacing w:val="-55"/>
        </w:rPr>
        <w:t> </w:t>
      </w:r>
      <w:r>
        <w:rPr>
          <w:rFonts w:ascii="宋体" w:hAnsi="宋体" w:cs="宋体" w:eastAsia="宋体" w:hint="default"/>
        </w:rPr>
        <w:t>8.9%</w:t>
      </w:r>
      <w:r>
        <w:rPr/>
        <w:t>。</w:t>
      </w:r>
    </w:p>
    <w:p>
      <w:pPr>
        <w:spacing w:line="350" w:lineRule="auto" w:before="29"/>
        <w:ind w:left="618" w:right="108" w:firstLine="0"/>
        <w:jc w:val="left"/>
        <w:rPr>
          <w:rFonts w:ascii="宋体" w:hAnsi="宋体" w:cs="宋体" w:eastAsia="宋体" w:hint="default"/>
          <w:sz w:val="21"/>
          <w:szCs w:val="21"/>
        </w:rPr>
      </w:pPr>
      <w:r>
        <w:rPr>
          <w:rFonts w:ascii="宋体" w:hAnsi="宋体" w:cs="宋体" w:eastAsia="宋体" w:hint="default"/>
          <w:b/>
          <w:bCs/>
          <w:sz w:val="21"/>
          <w:szCs w:val="21"/>
        </w:rPr>
        <w:t>1.2.3</w:t>
      </w:r>
      <w:r>
        <w:rPr>
          <w:rFonts w:ascii="宋体" w:hAnsi="宋体" w:cs="宋体" w:eastAsia="宋体" w:hint="default"/>
          <w:b/>
          <w:bCs/>
          <w:spacing w:val="-54"/>
          <w:sz w:val="21"/>
          <w:szCs w:val="21"/>
        </w:rPr>
        <w:t> </w:t>
      </w:r>
      <w:r>
        <w:rPr>
          <w:rFonts w:ascii="宋体" w:hAnsi="宋体" w:cs="宋体" w:eastAsia="宋体" w:hint="default"/>
          <w:b/>
          <w:bCs/>
          <w:sz w:val="21"/>
          <w:szCs w:val="21"/>
        </w:rPr>
        <w:t>采暖和工农业供热蓄势待发。</w:t>
      </w:r>
      <w:r>
        <w:rPr>
          <w:rFonts w:ascii="宋体" w:hAnsi="宋体" w:cs="宋体" w:eastAsia="宋体" w:hint="default"/>
          <w:b/>
          <w:bCs/>
          <w:w w:val="100"/>
          <w:sz w:val="21"/>
          <w:szCs w:val="21"/>
        </w:rPr>
        <w:t> </w:t>
      </w:r>
      <w:r>
        <w:rPr>
          <w:rFonts w:ascii="宋体" w:hAnsi="宋体" w:cs="宋体" w:eastAsia="宋体" w:hint="default"/>
          <w:spacing w:val="-3"/>
          <w:sz w:val="21"/>
          <w:szCs w:val="21"/>
        </w:rPr>
        <w:t>受政策引导和国际同行经验影响，我国太阳能采暖继续沿着户用和集中两个发展方向。户用</w:t>
      </w:r>
    </w:p>
    <w:p>
      <w:pPr>
        <w:pStyle w:val="BodyText"/>
        <w:spacing w:line="350" w:lineRule="auto" w:before="27"/>
        <w:ind w:left="138" w:right="217"/>
        <w:jc w:val="both"/>
      </w:pPr>
      <w:r>
        <w:rPr>
          <w:spacing w:val="-2"/>
        </w:rPr>
        <w:t>采暖示范应用案例继续增加，技术上向提高太阳能贡献率、降低初装费、充分利用低谷电价蓄能</w:t>
      </w:r>
      <w:r>
        <w:rPr>
          <w:spacing w:val="-25"/>
        </w:rPr>
        <w:t> </w:t>
      </w:r>
      <w:r>
        <w:rPr>
          <w:spacing w:val="-25"/>
        </w:rPr>
      </w:r>
      <w:r>
        <w:rPr>
          <w:spacing w:val="-2"/>
        </w:rPr>
        <w:t>发展。集中供暖包括跨季节蓄热示范应用项目开始建设。整合光热、储热、多能互补技术的清洁</w:t>
      </w:r>
      <w:r>
        <w:rPr>
          <w:spacing w:val="-25"/>
        </w:rPr>
        <w:t> </w:t>
      </w:r>
      <w:r>
        <w:rPr>
          <w:spacing w:val="-25"/>
        </w:rPr>
      </w:r>
      <w:r>
        <w:rPr>
          <w:spacing w:val="-2"/>
        </w:rPr>
        <w:t>供热站出现。以山东工业绿动力政策推动的山东工业供热在国内规模最大。各地印染、纺织、食</w:t>
      </w:r>
      <w:r>
        <w:rPr>
          <w:spacing w:val="-25"/>
        </w:rPr>
        <w:t> </w:t>
      </w:r>
      <w:r>
        <w:rPr>
          <w:spacing w:val="-25"/>
        </w:rPr>
      </w:r>
      <w:r>
        <w:rPr>
          <w:spacing w:val="-2"/>
        </w:rPr>
        <w:t>品、干燥、蔬菜、种养殖等工农业供热也继续发展，如江苏纺织印染、浙江养渔业、云南烟草干</w:t>
      </w:r>
      <w:r>
        <w:rPr>
          <w:spacing w:val="-25"/>
        </w:rPr>
        <w:t> </w:t>
      </w:r>
      <w:r>
        <w:rPr>
          <w:spacing w:val="-25"/>
        </w:rPr>
      </w:r>
      <w:r>
        <w:rPr>
          <w:spacing w:val="-2"/>
        </w:rPr>
        <w:t>燥、广西药材干燥、宁夏枸杞干燥等供热，涌现出一批示范项目，巨大的工农业绿色发展市场亟</w:t>
      </w:r>
      <w:r>
        <w:rPr>
          <w:spacing w:val="-26"/>
        </w:rPr>
        <w:t> </w:t>
      </w:r>
      <w:r>
        <w:rPr>
          <w:spacing w:val="-26"/>
        </w:rPr>
      </w:r>
      <w:r>
        <w:rPr/>
        <w:t>待开发。</w:t>
      </w:r>
    </w:p>
    <w:p>
      <w:pPr>
        <w:spacing w:line="350" w:lineRule="auto" w:before="27"/>
        <w:ind w:left="618" w:right="108" w:firstLine="14"/>
        <w:jc w:val="left"/>
        <w:rPr>
          <w:rFonts w:ascii="宋体" w:hAnsi="宋体" w:cs="宋体" w:eastAsia="宋体" w:hint="default"/>
          <w:sz w:val="21"/>
          <w:szCs w:val="21"/>
        </w:rPr>
      </w:pPr>
      <w:r>
        <w:rPr>
          <w:rFonts w:ascii="宋体" w:hAnsi="宋体" w:cs="宋体" w:eastAsia="宋体" w:hint="default"/>
          <w:b/>
          <w:bCs/>
          <w:sz w:val="21"/>
          <w:szCs w:val="21"/>
        </w:rPr>
        <w:t>1.2.4</w:t>
      </w:r>
      <w:r>
        <w:rPr>
          <w:rFonts w:ascii="宋体" w:hAnsi="宋体" w:cs="宋体" w:eastAsia="宋体" w:hint="default"/>
          <w:b/>
          <w:bCs/>
          <w:spacing w:val="-54"/>
          <w:sz w:val="21"/>
          <w:szCs w:val="21"/>
        </w:rPr>
        <w:t> </w:t>
      </w:r>
      <w:r>
        <w:rPr>
          <w:rFonts w:ascii="宋体" w:hAnsi="宋体" w:cs="宋体" w:eastAsia="宋体" w:hint="default"/>
          <w:b/>
          <w:bCs/>
          <w:sz w:val="21"/>
          <w:szCs w:val="21"/>
        </w:rPr>
        <w:t>行业集中度有提高</w:t>
      </w:r>
      <w:r>
        <w:rPr>
          <w:rFonts w:ascii="宋体" w:hAnsi="宋体" w:cs="宋体" w:eastAsia="宋体" w:hint="default"/>
          <w:b/>
          <w:bCs/>
          <w:w w:val="100"/>
          <w:sz w:val="21"/>
          <w:szCs w:val="21"/>
        </w:rPr>
        <w:t> </w:t>
      </w:r>
      <w:r>
        <w:rPr>
          <w:rFonts w:ascii="宋体" w:hAnsi="宋体" w:cs="宋体" w:eastAsia="宋体" w:hint="default"/>
          <w:spacing w:val="-3"/>
          <w:sz w:val="21"/>
          <w:szCs w:val="21"/>
        </w:rPr>
        <w:t>将行业分成制造和工程两个板块来分析，由于家用系统低水平制造企业数量减少，行业市场</w:t>
      </w:r>
    </w:p>
    <w:p>
      <w:pPr>
        <w:pStyle w:val="BodyText"/>
        <w:spacing w:line="348" w:lineRule="auto" w:before="29"/>
        <w:ind w:left="138" w:right="217"/>
        <w:jc w:val="both"/>
      </w:pPr>
      <w:r>
        <w:rPr>
          <w:spacing w:val="-2"/>
        </w:rPr>
        <w:t>领域拓宽，企业分工细化，制造板块可以定性为已从分散竞争型过度到低集中竞争型；工程板块</w:t>
      </w:r>
      <w:r>
        <w:rPr>
          <w:spacing w:val="-25"/>
        </w:rPr>
        <w:t> </w:t>
      </w:r>
      <w:r>
        <w:rPr>
          <w:spacing w:val="-25"/>
        </w:rPr>
      </w:r>
      <w:r>
        <w:rPr>
          <w:spacing w:val="-2"/>
        </w:rPr>
        <w:t>由于储运成本、难以规模化生产等因素限制，仍处于分散竞争型。如按供热领域企业数量分析，</w:t>
      </w:r>
      <w:r>
        <w:rPr>
          <w:spacing w:val="-25"/>
        </w:rPr>
        <w:t> </w:t>
      </w:r>
      <w:r>
        <w:rPr>
          <w:spacing w:val="-25"/>
        </w:rPr>
      </w:r>
      <w:r>
        <w:rPr>
          <w:spacing w:val="-2"/>
        </w:rPr>
        <w:t>户用热水、建筑热水、建筑供暖、工农业供热四块中，从事户用热水和建筑热水企业数量逐步下</w:t>
      </w:r>
      <w:r>
        <w:rPr>
          <w:spacing w:val="-25"/>
        </w:rPr>
        <w:t> </w:t>
      </w:r>
      <w:r>
        <w:rPr>
          <w:spacing w:val="-25"/>
        </w:rPr>
      </w:r>
      <w:r>
        <w:rPr>
          <w:spacing w:val="-2"/>
        </w:rPr>
        <w:t>降，从事建筑供暖、工农业供热企业数量有所增多，但还远低于发展需要。综上，总体上行业集</w:t>
      </w:r>
      <w:r>
        <w:rPr>
          <w:spacing w:val="-25"/>
        </w:rPr>
        <w:t> </w:t>
      </w:r>
      <w:r>
        <w:rPr>
          <w:spacing w:val="-25"/>
        </w:rPr>
      </w:r>
      <w:r>
        <w:rPr/>
        <w:t>中度提升，建筑热水集中度相对较低。</w:t>
      </w:r>
    </w:p>
    <w:p>
      <w:pPr>
        <w:pStyle w:val="Heading5"/>
        <w:spacing w:line="240" w:lineRule="auto" w:before="31"/>
        <w:ind w:left="138" w:right="0"/>
        <w:jc w:val="both"/>
        <w:rPr>
          <w:b w:val="0"/>
          <w:bCs w:val="0"/>
        </w:rPr>
      </w:pPr>
      <w:r>
        <w:rPr>
          <w:rFonts w:ascii="宋体" w:hAnsi="宋体" w:cs="宋体" w:eastAsia="宋体" w:hint="default"/>
        </w:rPr>
        <w:t>2.</w:t>
      </w:r>
      <w:r>
        <w:rPr/>
        <w:t>净水领域</w:t>
      </w:r>
      <w:r>
        <w:rPr>
          <w:b w:val="0"/>
          <w:bCs w:val="0"/>
        </w:rPr>
      </w:r>
    </w:p>
    <w:p>
      <w:pPr>
        <w:pStyle w:val="Heading5"/>
        <w:spacing w:line="240" w:lineRule="auto" w:before="126"/>
        <w:ind w:left="560" w:right="6708"/>
        <w:jc w:val="left"/>
        <w:rPr>
          <w:b w:val="0"/>
          <w:bCs w:val="0"/>
        </w:rPr>
      </w:pPr>
      <w:r>
        <w:rPr>
          <w:rFonts w:ascii="宋体" w:hAnsi="宋体" w:cs="宋体" w:eastAsia="宋体" w:hint="default"/>
        </w:rPr>
        <w:t>2.1</w:t>
      </w:r>
      <w:r>
        <w:rPr>
          <w:rFonts w:ascii="宋体" w:hAnsi="宋体" w:cs="宋体" w:eastAsia="宋体" w:hint="default"/>
          <w:spacing w:val="-54"/>
        </w:rPr>
        <w:t> </w:t>
      </w:r>
      <w:r>
        <w:rPr/>
        <w:t>行业综述</w:t>
      </w:r>
      <w:r>
        <w:rPr>
          <w:b w:val="0"/>
          <w:bCs w:val="0"/>
        </w:rPr>
      </w:r>
    </w:p>
    <w:p>
      <w:pPr>
        <w:pStyle w:val="BodyText"/>
        <w:spacing w:line="350" w:lineRule="auto" w:before="123"/>
        <w:ind w:left="138" w:right="112" w:firstLine="419"/>
        <w:jc w:val="both"/>
      </w:pPr>
      <w:r>
        <w:rPr/>
        <w:t>净水行业</w:t>
      </w:r>
      <w:r>
        <w:rPr>
          <w:spacing w:val="-55"/>
        </w:rPr>
        <w:t> </w:t>
      </w:r>
      <w:r>
        <w:rPr>
          <w:rFonts w:ascii="宋体" w:hAnsi="宋体" w:cs="宋体" w:eastAsia="宋体" w:hint="default"/>
        </w:rPr>
        <w:t>2017</w:t>
      </w:r>
      <w:r>
        <w:rPr>
          <w:rFonts w:ascii="宋体" w:hAnsi="宋体" w:cs="宋体" w:eastAsia="宋体" w:hint="default"/>
          <w:spacing w:val="-57"/>
        </w:rPr>
        <w:t> </w:t>
      </w:r>
      <w:r>
        <w:rPr/>
        <w:t>年总体仍然保持着快速发展的趋势，根据中怡康的数据显示，</w:t>
      </w:r>
      <w:r>
        <w:rPr>
          <w:rFonts w:ascii="宋体" w:hAnsi="宋体" w:cs="宋体" w:eastAsia="宋体" w:hint="default"/>
        </w:rPr>
        <w:t>2017</w:t>
      </w:r>
      <w:r>
        <w:rPr>
          <w:rFonts w:ascii="宋体" w:hAnsi="宋体" w:cs="宋体" w:eastAsia="宋体" w:hint="default"/>
          <w:spacing w:val="-55"/>
        </w:rPr>
        <w:t> </w:t>
      </w:r>
      <w:r>
        <w:rPr/>
        <w:t>年全年家</w:t>
      </w:r>
      <w:r>
        <w:rPr>
          <w:w w:val="100"/>
        </w:rPr>
        <w:t> </w:t>
      </w:r>
      <w:r>
        <w:rPr/>
        <w:t>用净水设备市值规模为</w:t>
      </w:r>
      <w:r>
        <w:rPr>
          <w:spacing w:val="-50"/>
        </w:rPr>
        <w:t> </w:t>
      </w:r>
      <w:r>
        <w:rPr>
          <w:rFonts w:ascii="宋体" w:hAnsi="宋体" w:cs="宋体" w:eastAsia="宋体" w:hint="default"/>
        </w:rPr>
        <w:t>336</w:t>
      </w:r>
      <w:r>
        <w:rPr>
          <w:rFonts w:ascii="宋体" w:hAnsi="宋体" w:cs="宋体" w:eastAsia="宋体" w:hint="default"/>
          <w:spacing w:val="-51"/>
        </w:rPr>
        <w:t> </w:t>
      </w:r>
      <w:r>
        <w:rPr>
          <w:spacing w:val="-7"/>
        </w:rPr>
        <w:t>亿元，较</w:t>
      </w:r>
      <w:r>
        <w:rPr>
          <w:spacing w:val="-51"/>
        </w:rPr>
        <w:t> </w:t>
      </w:r>
      <w:r>
        <w:rPr>
          <w:rFonts w:ascii="宋体" w:hAnsi="宋体" w:cs="宋体" w:eastAsia="宋体" w:hint="default"/>
        </w:rPr>
        <w:t>2016</w:t>
      </w:r>
      <w:r>
        <w:rPr>
          <w:rFonts w:ascii="宋体" w:hAnsi="宋体" w:cs="宋体" w:eastAsia="宋体" w:hint="default"/>
          <w:spacing w:val="-51"/>
        </w:rPr>
        <w:t> </w:t>
      </w:r>
      <w:r>
        <w:rPr/>
        <w:t>年全年</w:t>
      </w:r>
      <w:r>
        <w:rPr>
          <w:spacing w:val="-53"/>
        </w:rPr>
        <w:t> </w:t>
      </w:r>
      <w:r>
        <w:rPr>
          <w:rFonts w:ascii="宋体" w:hAnsi="宋体" w:cs="宋体" w:eastAsia="宋体" w:hint="default"/>
        </w:rPr>
        <w:t>278</w:t>
      </w:r>
      <w:r>
        <w:rPr>
          <w:rFonts w:ascii="宋体" w:hAnsi="宋体" w:cs="宋体" w:eastAsia="宋体" w:hint="default"/>
          <w:spacing w:val="-51"/>
        </w:rPr>
        <w:t> </w:t>
      </w:r>
      <w:r>
        <w:rPr/>
        <w:t>亿元的规模有</w:t>
      </w:r>
      <w:r>
        <w:rPr>
          <w:spacing w:val="-53"/>
        </w:rPr>
        <w:t> </w:t>
      </w:r>
      <w:r>
        <w:rPr>
          <w:rFonts w:ascii="宋体" w:hAnsi="宋体" w:cs="宋体" w:eastAsia="宋体" w:hint="default"/>
          <w:spacing w:val="-3"/>
        </w:rPr>
        <w:t>20.9%</w:t>
      </w:r>
      <w:r>
        <w:rPr>
          <w:spacing w:val="-3"/>
        </w:rPr>
        <w:t>的增幅。随着基数的不</w:t>
      </w:r>
      <w:r>
        <w:rPr>
          <w:spacing w:val="-99"/>
        </w:rPr>
        <w:t> </w:t>
      </w:r>
      <w:r>
        <w:rPr>
          <w:spacing w:val="-99"/>
        </w:rPr>
      </w:r>
      <w:r>
        <w:rPr/>
        <w:t>断扩大行业增速较</w:t>
      </w:r>
      <w:r>
        <w:rPr>
          <w:spacing w:val="-34"/>
        </w:rPr>
        <w:t> </w:t>
      </w:r>
      <w:r>
        <w:rPr>
          <w:rFonts w:ascii="宋体" w:hAnsi="宋体" w:cs="宋体" w:eastAsia="宋体" w:hint="default"/>
        </w:rPr>
        <w:t>2014</w:t>
      </w:r>
      <w:r>
        <w:rPr/>
        <w:t>、</w:t>
      </w:r>
      <w:r>
        <w:rPr>
          <w:rFonts w:ascii="宋体" w:hAnsi="宋体" w:cs="宋体" w:eastAsia="宋体" w:hint="default"/>
        </w:rPr>
        <w:t>2015</w:t>
      </w:r>
      <w:r>
        <w:rPr>
          <w:rFonts w:ascii="宋体" w:hAnsi="宋体" w:cs="宋体" w:eastAsia="宋体" w:hint="default"/>
          <w:spacing w:val="-37"/>
        </w:rPr>
        <w:t> </w:t>
      </w:r>
      <w:r>
        <w:rPr/>
        <w:t>年</w:t>
      </w:r>
      <w:r>
        <w:rPr>
          <w:spacing w:val="-34"/>
        </w:rPr>
        <w:t> </w:t>
      </w:r>
      <w:r>
        <w:rPr>
          <w:rFonts w:ascii="宋体" w:hAnsi="宋体" w:cs="宋体" w:eastAsia="宋体" w:hint="default"/>
        </w:rPr>
        <w:t>40%</w:t>
      </w:r>
      <w:r>
        <w:rPr/>
        <w:t>以上的增速略有放缓，但总体上仍保持着高速发展的势头。</w:t>
      </w:r>
    </w:p>
    <w:p>
      <w:pPr>
        <w:spacing w:after="0" w:line="350" w:lineRule="auto"/>
        <w:jc w:val="both"/>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137" w:firstLine="419"/>
        <w:jc w:val="both"/>
      </w:pPr>
      <w:r>
        <w:rPr>
          <w:spacing w:val="-2"/>
        </w:rPr>
        <w:t>由于中长期无法得到本质改善的水环境以及消费者安全饮水意识的不断提升，和消费能力的</w:t>
      </w:r>
      <w:r>
        <w:rPr>
          <w:w w:val="100"/>
        </w:rPr>
        <w:t> </w:t>
      </w:r>
      <w:r>
        <w:rPr/>
        <w:t>大幅升级等多重因素为中国净水行业发展创造“温床”。 近三年，家电整体市场（含</w:t>
      </w:r>
      <w:r>
        <w:rPr>
          <w:spacing w:val="-59"/>
        </w:rPr>
        <w:t> </w:t>
      </w:r>
      <w:r>
        <w:rPr>
          <w:rFonts w:ascii="宋体" w:hAnsi="宋体" w:cs="宋体" w:eastAsia="宋体" w:hint="default"/>
        </w:rPr>
        <w:t>3C</w:t>
      </w:r>
      <w:r>
        <w:rPr/>
        <w:t>）相对</w:t>
      </w:r>
      <w:r>
        <w:rPr>
          <w:w w:val="100"/>
        </w:rPr>
        <w:t> </w:t>
      </w:r>
      <w:r>
        <w:rPr>
          <w:spacing w:val="-2"/>
        </w:rPr>
        <w:t>低迷，家用净水市场则保持着高速增长趋势。然而消费者在净水器使用中仍存在体积太大、不能</w:t>
      </w:r>
      <w:r>
        <w:rPr>
          <w:spacing w:val="-26"/>
        </w:rPr>
        <w:t> </w:t>
      </w:r>
      <w:r>
        <w:rPr>
          <w:spacing w:val="-26"/>
        </w:rPr>
      </w:r>
      <w:r>
        <w:rPr>
          <w:spacing w:val="-2"/>
        </w:rPr>
        <w:t>随时了解水质变化等问题，而这也将成为产品加速升级的主要动力。与此同时，围绕用户体验和</w:t>
      </w:r>
      <w:r>
        <w:rPr>
          <w:spacing w:val="-25"/>
        </w:rPr>
        <w:t> </w:t>
      </w:r>
      <w:r>
        <w:rPr>
          <w:spacing w:val="-25"/>
        </w:rPr>
      </w:r>
      <w:r>
        <w:rPr/>
        <w:t>服务，体验式营销逐渐深入，行业规范也逐渐由产品渗透到了服务。</w:t>
      </w:r>
    </w:p>
    <w:p>
      <w:pPr>
        <w:pStyle w:val="BodyText"/>
        <w:spacing w:line="348" w:lineRule="auto" w:before="29"/>
        <w:ind w:left="138" w:right="127" w:firstLine="419"/>
        <w:jc w:val="both"/>
      </w:pPr>
      <w:r>
        <w:rPr>
          <w:spacing w:val="-6"/>
        </w:rPr>
        <w:t>近日净水行业首个强制性标准《反渗透净水机水效限定值及水效等级》已经发布，并将于</w:t>
      </w:r>
      <w:r>
        <w:rPr>
          <w:rFonts w:ascii="宋体" w:hAnsi="宋体" w:cs="宋体" w:eastAsia="宋体" w:hint="default"/>
          <w:spacing w:val="-6"/>
        </w:rPr>
        <w:t>2018</w:t>
      </w:r>
      <w:r>
        <w:rPr>
          <w:rFonts w:ascii="宋体" w:hAnsi="宋体" w:cs="宋体" w:eastAsia="宋体" w:hint="default"/>
          <w:w w:val="100"/>
        </w:rPr>
        <w:t> </w:t>
      </w:r>
      <w:r>
        <w:rPr>
          <w:spacing w:val="-6"/>
          <w:w w:val="100"/>
        </w:rPr>
        <w:t>年起正式实施。新国标的出炉意味着国家将强制性约束净水市场的规范生产，倒逼净水技术革新，</w:t>
      </w:r>
      <w:r>
        <w:rPr>
          <w:spacing w:val="-104"/>
          <w:w w:val="100"/>
        </w:rPr>
        <w:t> </w:t>
      </w:r>
      <w:r>
        <w:rPr>
          <w:spacing w:val="-104"/>
          <w:w w:val="100"/>
        </w:rPr>
      </w:r>
      <w:r>
        <w:rPr/>
        <w:t>未来</w:t>
      </w:r>
      <w:r>
        <w:rPr>
          <w:rFonts w:ascii="宋体" w:hAnsi="宋体" w:cs="宋体" w:eastAsia="宋体" w:hint="default"/>
        </w:rPr>
        <w:t>2-3</w:t>
      </w:r>
      <w:r>
        <w:rPr/>
        <w:t>年将加快行业的洗牌。</w:t>
      </w:r>
    </w:p>
    <w:p>
      <w:pPr>
        <w:spacing w:line="348"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54"/>
          <w:sz w:val="21"/>
          <w:szCs w:val="21"/>
        </w:rPr>
        <w:t> </w:t>
      </w:r>
      <w:r>
        <w:rPr>
          <w:rFonts w:ascii="宋体" w:hAnsi="宋体" w:cs="宋体" w:eastAsia="宋体" w:hint="default"/>
          <w:b/>
          <w:bCs/>
          <w:sz w:val="21"/>
          <w:szCs w:val="21"/>
        </w:rPr>
        <w:t>行业发展方向</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随着净水行业的深入发展，消费者已经不仅仅满足于家庭的饮水需求，用水需求逐渐多样化。</w:t>
      </w:r>
    </w:p>
    <w:p>
      <w:pPr>
        <w:pStyle w:val="BodyText"/>
        <w:spacing w:line="348" w:lineRule="auto" w:before="31"/>
        <w:ind w:left="138" w:right="0"/>
        <w:jc w:val="left"/>
      </w:pPr>
      <w:r>
        <w:rPr>
          <w:spacing w:val="-7"/>
        </w:rPr>
        <w:t>另外，从</w:t>
      </w:r>
      <w:r>
        <w:rPr>
          <w:spacing w:val="-23"/>
        </w:rPr>
        <w:t> </w:t>
      </w:r>
      <w:r>
        <w:rPr>
          <w:rFonts w:ascii="宋体" w:hAnsi="宋体" w:cs="宋体" w:eastAsia="宋体" w:hint="default"/>
        </w:rPr>
        <w:t>2016</w:t>
      </w:r>
      <w:r>
        <w:rPr>
          <w:rFonts w:ascii="宋体" w:hAnsi="宋体" w:cs="宋体" w:eastAsia="宋体" w:hint="default"/>
          <w:spacing w:val="-23"/>
        </w:rPr>
        <w:t> </w:t>
      </w:r>
      <w:r>
        <w:rPr>
          <w:spacing w:val="-4"/>
        </w:rPr>
        <w:t>年开始，家用净水设备市场增速开始放缓，正式进入稳定增长阶段，主流净水品牌</w:t>
      </w:r>
      <w:r>
        <w:rPr>
          <w:spacing w:val="-94"/>
        </w:rPr>
        <w:t> </w:t>
      </w:r>
      <w:r>
        <w:rPr>
          <w:spacing w:val="-94"/>
        </w:rPr>
      </w:r>
      <w:r>
        <w:rPr/>
        <w:t>纷纷开始寻找净水行业新的增长点并加速布局。未来净水行业将三分天下</w:t>
      </w:r>
      <w:r>
        <w:rPr>
          <w:rFonts w:ascii="宋体" w:hAnsi="宋体" w:cs="宋体" w:eastAsia="宋体" w:hint="default"/>
        </w:rPr>
        <w:t>,</w:t>
      </w:r>
      <w:r>
        <w:rPr/>
        <w:t>呈现出家用净水设备</w:t>
      </w:r>
      <w:r>
        <w:rPr>
          <w:w w:val="100"/>
        </w:rPr>
        <w:t> </w:t>
      </w:r>
      <w:r>
        <w:rPr>
          <w:rFonts w:ascii="宋体" w:hAnsi="宋体" w:cs="宋体" w:eastAsia="宋体" w:hint="default"/>
        </w:rPr>
        <w:t>(</w:t>
      </w:r>
      <w:r>
        <w:rPr/>
        <w:t>单品为主</w:t>
      </w:r>
      <w:r>
        <w:rPr>
          <w:rFonts w:ascii="宋体" w:hAnsi="宋体" w:cs="宋体" w:eastAsia="宋体" w:hint="default"/>
        </w:rPr>
        <w:t>)</w:t>
      </w:r>
      <w:r>
        <w:rPr/>
        <w:t>、商用净水、家庭细分用水三个发展方向。</w:t>
      </w:r>
    </w:p>
    <w:p>
      <w:pPr>
        <w:spacing w:line="350" w:lineRule="auto" w:before="3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2.2.1</w:t>
      </w:r>
      <w:r>
        <w:rPr>
          <w:rFonts w:ascii="宋体" w:hAnsi="宋体" w:cs="宋体" w:eastAsia="宋体" w:hint="default"/>
          <w:b/>
          <w:bCs/>
          <w:spacing w:val="-1"/>
          <w:sz w:val="21"/>
          <w:szCs w:val="21"/>
        </w:rPr>
        <w:t> </w:t>
      </w:r>
      <w:r>
        <w:rPr>
          <w:rFonts w:ascii="宋体" w:hAnsi="宋体" w:cs="宋体" w:eastAsia="宋体" w:hint="default"/>
          <w:b/>
          <w:bCs/>
          <w:sz w:val="21"/>
          <w:szCs w:val="21"/>
        </w:rPr>
        <w:t>家用净水设备（单品为主）</w:t>
      </w:r>
      <w:r>
        <w:rPr>
          <w:rFonts w:ascii="宋体" w:hAnsi="宋体" w:cs="宋体" w:eastAsia="宋体" w:hint="default"/>
          <w:b/>
          <w:bCs/>
          <w:w w:val="100"/>
          <w:sz w:val="21"/>
          <w:szCs w:val="21"/>
        </w:rPr>
        <w:t> </w:t>
      </w:r>
      <w:r>
        <w:rPr>
          <w:rFonts w:ascii="宋体" w:hAnsi="宋体" w:cs="宋体" w:eastAsia="宋体" w:hint="default"/>
          <w:spacing w:val="-2"/>
          <w:sz w:val="21"/>
          <w:szCs w:val="21"/>
        </w:rPr>
        <w:t>消费者在使用净水器时遇到的主要问题包括：体积太大、不能随时了解水质的变化、不知道</w:t>
      </w:r>
    </w:p>
    <w:p>
      <w:pPr>
        <w:pStyle w:val="BodyText"/>
        <w:spacing w:line="350" w:lineRule="auto" w:before="27"/>
        <w:ind w:left="138" w:right="137"/>
        <w:jc w:val="both"/>
      </w:pPr>
      <w:r>
        <w:rPr>
          <w:spacing w:val="-2"/>
        </w:rPr>
        <w:t>什么时候换芯、废水直接排掉，不能二次利用、出水小、废水多等。随着人们生活水平的不断提</w:t>
      </w:r>
      <w:r>
        <w:rPr>
          <w:spacing w:val="-25"/>
        </w:rPr>
        <w:t> </w:t>
      </w:r>
      <w:r>
        <w:rPr>
          <w:spacing w:val="-25"/>
        </w:rPr>
      </w:r>
      <w:r>
        <w:rPr>
          <w:spacing w:val="-2"/>
        </w:rPr>
        <w:t>高以及对净水器的认识逐渐加深，消费者已经不仅仅满足于净水器净化水质的基本功能，对净水</w:t>
      </w:r>
      <w:r>
        <w:rPr>
          <w:spacing w:val="-25"/>
        </w:rPr>
        <w:t> </w:t>
      </w:r>
      <w:r>
        <w:rPr>
          <w:spacing w:val="-25"/>
        </w:rPr>
      </w:r>
      <w:r>
        <w:rPr/>
        <w:t>器的附加功能也提出了新的要求。净水企业开始深挖用户痛点，加速产品升级的步伐。</w:t>
      </w:r>
    </w:p>
    <w:p>
      <w:pPr>
        <w:pStyle w:val="BodyText"/>
        <w:spacing w:line="350" w:lineRule="auto" w:before="27"/>
        <w:ind w:left="138" w:right="137" w:firstLine="422"/>
        <w:jc w:val="both"/>
      </w:pPr>
      <w:r>
        <w:rPr>
          <w:spacing w:val="-2"/>
        </w:rPr>
        <w:t>在净水产品日益同质化的背景下，净水品牌开始实现定位转换，通过在家电连锁渠道搭建净</w:t>
      </w:r>
      <w:r>
        <w:rPr>
          <w:w w:val="100"/>
        </w:rPr>
        <w:t> </w:t>
      </w:r>
      <w:r>
        <w:rPr>
          <w:spacing w:val="-2"/>
        </w:rPr>
        <w:t>水生活体验馆、独立品牌体验店、科普体验巡展等各种各样的形式来帮助消费者更准确、快速的</w:t>
      </w:r>
      <w:r>
        <w:rPr>
          <w:spacing w:val="-25"/>
        </w:rPr>
        <w:t> </w:t>
      </w:r>
      <w:r>
        <w:rPr>
          <w:spacing w:val="-25"/>
        </w:rPr>
      </w:r>
      <w:r>
        <w:rPr/>
        <w:t>寻找到契合家庭需求的净水设备。</w:t>
      </w:r>
    </w:p>
    <w:p>
      <w:pPr>
        <w:spacing w:line="350" w:lineRule="auto" w:before="27"/>
        <w:ind w:left="558" w:right="0" w:firstLine="14"/>
        <w:jc w:val="left"/>
        <w:rPr>
          <w:rFonts w:ascii="宋体" w:hAnsi="宋体" w:cs="宋体" w:eastAsia="宋体" w:hint="default"/>
          <w:sz w:val="21"/>
          <w:szCs w:val="21"/>
        </w:rPr>
      </w:pPr>
      <w:r>
        <w:rPr>
          <w:rFonts w:ascii="宋体" w:hAnsi="宋体" w:cs="宋体" w:eastAsia="宋体" w:hint="default"/>
          <w:b/>
          <w:bCs/>
          <w:sz w:val="21"/>
          <w:szCs w:val="21"/>
        </w:rPr>
        <w:t>2.2.2</w:t>
      </w:r>
      <w:r>
        <w:rPr>
          <w:rFonts w:ascii="宋体" w:hAnsi="宋体" w:cs="宋体" w:eastAsia="宋体" w:hint="default"/>
          <w:b/>
          <w:bCs/>
          <w:spacing w:val="-1"/>
          <w:sz w:val="21"/>
          <w:szCs w:val="21"/>
        </w:rPr>
        <w:t> </w:t>
      </w:r>
      <w:r>
        <w:rPr>
          <w:rFonts w:ascii="宋体" w:hAnsi="宋体" w:cs="宋体" w:eastAsia="宋体" w:hint="default"/>
          <w:b/>
          <w:bCs/>
          <w:sz w:val="21"/>
          <w:szCs w:val="21"/>
        </w:rPr>
        <w:t>商用净水</w:t>
      </w:r>
      <w:r>
        <w:rPr>
          <w:rFonts w:ascii="宋体" w:hAnsi="宋体" w:cs="宋体" w:eastAsia="宋体" w:hint="default"/>
          <w:b/>
          <w:bCs/>
          <w:w w:val="100"/>
          <w:sz w:val="21"/>
          <w:szCs w:val="21"/>
        </w:rPr>
        <w:t> </w:t>
      </w:r>
      <w:r>
        <w:rPr>
          <w:rFonts w:ascii="宋体" w:hAnsi="宋体" w:cs="宋体" w:eastAsia="宋体" w:hint="default"/>
          <w:spacing w:val="-2"/>
          <w:sz w:val="21"/>
          <w:szCs w:val="21"/>
        </w:rPr>
        <w:t>商用净水是行业及净水企业均高度关注的市场，是未来净水行业的一片蓝海。商用净水的用</w:t>
      </w:r>
    </w:p>
    <w:p>
      <w:pPr>
        <w:pStyle w:val="BodyText"/>
        <w:spacing w:line="350" w:lineRule="auto" w:before="29"/>
        <w:ind w:left="138" w:right="128"/>
        <w:jc w:val="both"/>
      </w:pPr>
      <w:r>
        <w:rPr>
          <w:spacing w:val="-2"/>
        </w:rPr>
        <w:t>户人群主要以企业、学校、工厂、餐饮业等行业用户为主，目前，商用客户对净水产品的主要痛</w:t>
      </w:r>
      <w:r>
        <w:rPr>
          <w:spacing w:val="-25"/>
        </w:rPr>
        <w:t> </w:t>
      </w:r>
      <w:r>
        <w:rPr>
          <w:spacing w:val="-25"/>
        </w:rPr>
      </w:r>
      <w:r>
        <w:rPr>
          <w:spacing w:val="-2"/>
        </w:rPr>
        <w:t>点包括：水质卫生、桶装水二次污染、饮水成本问题以及用水管理繁琐。用户需求主要体现在：</w:t>
      </w:r>
      <w:r>
        <w:rPr>
          <w:spacing w:val="-25"/>
        </w:rPr>
        <w:t> </w:t>
      </w:r>
      <w:r>
        <w:rPr>
          <w:spacing w:val="-25"/>
        </w:rPr>
      </w:r>
      <w:r>
        <w:rPr>
          <w:spacing w:val="-2"/>
        </w:rPr>
        <w:t>安全的饮水品质、经济的解决方案、更快捷、更省心的商业模式。针对商用客户的痛点和需求，</w:t>
      </w:r>
      <w:r>
        <w:rPr>
          <w:spacing w:val="-25"/>
        </w:rPr>
        <w:t> </w:t>
      </w:r>
      <w:r>
        <w:rPr>
          <w:spacing w:val="-25"/>
        </w:rPr>
      </w:r>
      <w:r>
        <w:rPr>
          <w:spacing w:val="-2"/>
        </w:rPr>
        <w:t>净水企业在产品研发、商业模式、售后服务等方面做了大量工作。例如在产品研发方面推出的专</w:t>
      </w:r>
      <w:r>
        <w:rPr>
          <w:spacing w:val="-25"/>
        </w:rPr>
        <w:t> </w:t>
      </w:r>
      <w:r>
        <w:rPr>
          <w:spacing w:val="-25"/>
        </w:rPr>
      </w:r>
      <w:r>
        <w:rPr>
          <w:spacing w:val="-3"/>
        </w:rPr>
        <w:t>业膜、</w:t>
      </w:r>
      <w:r>
        <w:rPr>
          <w:rFonts w:ascii="宋体" w:hAnsi="宋体" w:cs="宋体" w:eastAsia="宋体" w:hint="default"/>
          <w:spacing w:val="-3"/>
        </w:rPr>
        <w:t>UV </w:t>
      </w:r>
      <w:r>
        <w:rPr>
          <w:spacing w:val="-3"/>
        </w:rPr>
        <w:t>杀菌、静音、热水增容等功能；在商业模式上推出的传统的买卖、租赁、计量收费三种</w:t>
      </w:r>
      <w:r>
        <w:rPr>
          <w:spacing w:val="-73"/>
        </w:rPr>
        <w:t> </w:t>
      </w:r>
      <w:r>
        <w:rPr>
          <w:spacing w:val="-73"/>
        </w:rPr>
      </w:r>
      <w:r>
        <w:rPr>
          <w:spacing w:val="-2"/>
        </w:rPr>
        <w:t>灵活的消费模式，让商用客户有更多的选择；在售后服务方面，从售前服务开始，逐渐延伸到提</w:t>
      </w:r>
      <w:r>
        <w:rPr>
          <w:spacing w:val="-25"/>
        </w:rPr>
        <w:t> </w:t>
      </w:r>
      <w:r>
        <w:rPr>
          <w:spacing w:val="-25"/>
        </w:rPr>
      </w:r>
      <w:r>
        <w:rPr/>
        <w:t>供上门设计、专业安装、主动关怀、设备巡检、定期保养等。</w:t>
      </w:r>
    </w:p>
    <w:p>
      <w:pPr>
        <w:spacing w:line="350" w:lineRule="auto" w:before="27"/>
        <w:ind w:left="558" w:right="0" w:firstLine="14"/>
        <w:jc w:val="left"/>
        <w:rPr>
          <w:rFonts w:ascii="宋体" w:hAnsi="宋体" w:cs="宋体" w:eastAsia="宋体" w:hint="default"/>
          <w:sz w:val="21"/>
          <w:szCs w:val="21"/>
        </w:rPr>
      </w:pPr>
      <w:r>
        <w:rPr>
          <w:rFonts w:ascii="宋体" w:hAnsi="宋体" w:cs="宋体" w:eastAsia="宋体" w:hint="default"/>
          <w:b/>
          <w:bCs/>
          <w:sz w:val="21"/>
          <w:szCs w:val="21"/>
        </w:rPr>
        <w:t>2.2.3</w:t>
      </w:r>
      <w:r>
        <w:rPr>
          <w:rFonts w:ascii="宋体" w:hAnsi="宋体" w:cs="宋体" w:eastAsia="宋体" w:hint="default"/>
          <w:b/>
          <w:bCs/>
          <w:spacing w:val="-1"/>
          <w:sz w:val="21"/>
          <w:szCs w:val="21"/>
        </w:rPr>
        <w:t> </w:t>
      </w:r>
      <w:r>
        <w:rPr>
          <w:rFonts w:ascii="宋体" w:hAnsi="宋体" w:cs="宋体" w:eastAsia="宋体" w:hint="default"/>
          <w:b/>
          <w:bCs/>
          <w:sz w:val="21"/>
          <w:szCs w:val="21"/>
        </w:rPr>
        <w:t>家庭细分用水</w:t>
      </w:r>
      <w:r>
        <w:rPr>
          <w:rFonts w:ascii="宋体" w:hAnsi="宋体" w:cs="宋体" w:eastAsia="宋体" w:hint="default"/>
          <w:b/>
          <w:bCs/>
          <w:w w:val="100"/>
          <w:sz w:val="21"/>
          <w:szCs w:val="21"/>
        </w:rPr>
        <w:t> </w:t>
      </w:r>
      <w:r>
        <w:rPr>
          <w:rFonts w:ascii="宋体" w:hAnsi="宋体" w:cs="宋体" w:eastAsia="宋体" w:hint="default"/>
          <w:spacing w:val="-2"/>
          <w:sz w:val="21"/>
          <w:szCs w:val="21"/>
        </w:rPr>
        <w:t>在家庭中，除了家用净水设备（单品为主），消费者对净水产品的需求越来越多样化，细分</w:t>
      </w:r>
    </w:p>
    <w:p>
      <w:pPr>
        <w:pStyle w:val="BodyText"/>
        <w:spacing w:line="348" w:lineRule="auto" w:before="29"/>
        <w:ind w:left="138" w:right="137"/>
        <w:jc w:val="both"/>
      </w:pPr>
      <w:r>
        <w:rPr>
          <w:spacing w:val="-2"/>
        </w:rPr>
        <w:t>领域的产品也越来越多。例如：分质供水的需求：根据水的不同用途进行处理，提供不同品质的</w:t>
      </w:r>
      <w:r>
        <w:rPr>
          <w:spacing w:val="-25"/>
        </w:rPr>
        <w:t> </w:t>
      </w:r>
      <w:r>
        <w:rPr>
          <w:spacing w:val="-25"/>
        </w:rPr>
      </w:r>
      <w:r>
        <w:rPr>
          <w:spacing w:val="-2"/>
        </w:rPr>
        <w:t>水源，洗车、拖地、洗菜、煲汤、煮饭、沐浴、洗衣服等。多点用水的需求：满足用户厨房、客</w:t>
      </w:r>
    </w:p>
    <w:p>
      <w:pPr>
        <w:spacing w:after="0" w:line="348" w:lineRule="auto"/>
        <w:jc w:val="both"/>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207"/>
        <w:jc w:val="both"/>
      </w:pPr>
      <w:r>
        <w:rPr>
          <w:spacing w:val="-2"/>
        </w:rPr>
        <w:t>厅、卧室多点饮水的需求。分人群用水：针对不同人群的特点，打造不同的产品，例如：针对女</w:t>
      </w:r>
      <w:r>
        <w:rPr>
          <w:spacing w:val="-25"/>
        </w:rPr>
        <w:t> </w:t>
      </w:r>
      <w:r>
        <w:rPr>
          <w:spacing w:val="-25"/>
        </w:rPr>
      </w:r>
      <w:r>
        <w:rPr>
          <w:spacing w:val="-5"/>
        </w:rPr>
        <w:t>性对美容用水的需求推出的软水机，针对母婴人群推出的台式智饮机，采用</w:t>
      </w:r>
      <w:r>
        <w:rPr>
          <w:spacing w:val="-27"/>
        </w:rPr>
        <w:t> </w:t>
      </w:r>
      <w:r>
        <w:rPr>
          <w:rFonts w:ascii="宋体" w:hAnsi="宋体" w:cs="宋体" w:eastAsia="宋体" w:hint="default"/>
        </w:rPr>
        <w:t>UV</w:t>
      </w:r>
      <w:r>
        <w:rPr>
          <w:rFonts w:ascii="宋体" w:hAnsi="宋体" w:cs="宋体" w:eastAsia="宋体" w:hint="default"/>
          <w:spacing w:val="-26"/>
        </w:rPr>
        <w:t> </w:t>
      </w:r>
      <w:r>
        <w:rPr/>
        <w:t>杀菌技术确保水质</w:t>
      </w:r>
      <w:r>
        <w:rPr>
          <w:spacing w:val="-95"/>
        </w:rPr>
        <w:t> </w:t>
      </w:r>
      <w:r>
        <w:rPr>
          <w:spacing w:val="-95"/>
        </w:rPr>
      </w:r>
      <w:r>
        <w:rPr/>
        <w:t>更安全，防止二次污染，同时采用即热技术及分段控温技术满足冲夜奶的需求。</w:t>
      </w:r>
    </w:p>
    <w:p>
      <w:pPr>
        <w:pStyle w:val="Heading5"/>
        <w:spacing w:line="240" w:lineRule="auto" w:before="27"/>
        <w:ind w:left="138" w:right="0"/>
        <w:jc w:val="both"/>
        <w:rPr>
          <w:b w:val="0"/>
          <w:bCs w:val="0"/>
        </w:rPr>
      </w:pPr>
      <w:r>
        <w:rPr>
          <w:rFonts w:ascii="宋体" w:hAnsi="宋体" w:cs="宋体" w:eastAsia="宋体" w:hint="default"/>
        </w:rPr>
        <w:t>3.</w:t>
      </w:r>
      <w:r>
        <w:rPr/>
        <w:t>空气能领域</w:t>
      </w:r>
      <w:r>
        <w:rPr>
          <w:b w:val="0"/>
          <w:bCs w:val="0"/>
        </w:rPr>
      </w:r>
    </w:p>
    <w:p>
      <w:pPr>
        <w:pStyle w:val="Heading5"/>
        <w:spacing w:line="240" w:lineRule="auto" w:before="126"/>
        <w:ind w:left="572" w:right="6708"/>
        <w:jc w:val="left"/>
        <w:rPr>
          <w:b w:val="0"/>
          <w:bCs w:val="0"/>
        </w:rPr>
      </w:pPr>
      <w:r>
        <w:rPr>
          <w:rFonts w:ascii="宋体" w:hAnsi="宋体" w:cs="宋体" w:eastAsia="宋体" w:hint="default"/>
        </w:rPr>
        <w:t>3.1</w:t>
      </w:r>
      <w:r>
        <w:rPr>
          <w:rFonts w:ascii="宋体" w:hAnsi="宋体" w:cs="宋体" w:eastAsia="宋体" w:hint="default"/>
          <w:spacing w:val="-54"/>
        </w:rPr>
        <w:t> </w:t>
      </w:r>
      <w:r>
        <w:rPr/>
        <w:t>行业综述</w:t>
      </w:r>
      <w:r>
        <w:rPr>
          <w:b w:val="0"/>
          <w:bCs w:val="0"/>
        </w:rPr>
      </w:r>
    </w:p>
    <w:p>
      <w:pPr>
        <w:pStyle w:val="BodyText"/>
        <w:spacing w:line="350" w:lineRule="auto" w:before="126"/>
        <w:ind w:left="138" w:right="210" w:firstLine="419"/>
        <w:jc w:val="both"/>
      </w:pPr>
      <w:r>
        <w:rPr>
          <w:rFonts w:ascii="宋体" w:hAnsi="宋体" w:cs="宋体" w:eastAsia="宋体" w:hint="default"/>
        </w:rPr>
        <w:t>2017</w:t>
      </w:r>
      <w:r>
        <w:rPr>
          <w:rFonts w:ascii="宋体" w:hAnsi="宋体" w:cs="宋体" w:eastAsia="宋体" w:hint="default"/>
          <w:spacing w:val="-57"/>
        </w:rPr>
        <w:t> </w:t>
      </w:r>
      <w:r>
        <w:rPr/>
        <w:t>年是空气源热泵行业大丰收的年份，市场整体规模突破</w:t>
      </w:r>
      <w:r>
        <w:rPr>
          <w:spacing w:val="-55"/>
        </w:rPr>
        <w:t> </w:t>
      </w:r>
      <w:r>
        <w:rPr>
          <w:rFonts w:ascii="宋体" w:hAnsi="宋体" w:cs="宋体" w:eastAsia="宋体" w:hint="default"/>
        </w:rPr>
        <w:t>160</w:t>
      </w:r>
      <w:r>
        <w:rPr>
          <w:rFonts w:ascii="宋体" w:hAnsi="宋体" w:cs="宋体" w:eastAsia="宋体" w:hint="default"/>
          <w:spacing w:val="-55"/>
        </w:rPr>
        <w:t> </w:t>
      </w:r>
      <w:r>
        <w:rPr/>
        <w:t>个亿，同比增长达到</w:t>
      </w:r>
      <w:r>
        <w:rPr>
          <w:spacing w:val="-54"/>
        </w:rPr>
        <w:t> </w:t>
      </w:r>
      <w:r>
        <w:rPr>
          <w:rFonts w:ascii="宋体" w:hAnsi="宋体" w:cs="宋体" w:eastAsia="宋体" w:hint="default"/>
        </w:rPr>
        <w:t>61%</w:t>
      </w:r>
      <w:r>
        <w:rPr/>
        <w:t>；</w:t>
      </w:r>
      <w:r>
        <w:rPr>
          <w:w w:val="100"/>
        </w:rPr>
        <w:t> </w:t>
      </w:r>
      <w:r>
        <w:rPr>
          <w:spacing w:val="-3"/>
        </w:rPr>
        <w:t>采暖市场首次超过热水市场，并迫近百亿。</w:t>
      </w:r>
      <w:r>
        <w:rPr>
          <w:rFonts w:ascii="宋体" w:hAnsi="宋体" w:cs="宋体" w:eastAsia="宋体" w:hint="default"/>
          <w:spacing w:val="-3"/>
        </w:rPr>
        <w:t>2017 </w:t>
      </w:r>
      <w:r>
        <w:rPr>
          <w:spacing w:val="-3"/>
        </w:rPr>
        <w:t>年出台的《北方地区冬季清洁取暖规划》提出北</w:t>
      </w:r>
      <w:r>
        <w:rPr>
          <w:spacing w:val="-75"/>
        </w:rPr>
        <w:t> </w:t>
      </w:r>
      <w:r>
        <w:rPr>
          <w:spacing w:val="-75"/>
        </w:rPr>
      </w:r>
      <w:r>
        <w:rPr/>
        <w:t>方五年之后替代散煤</w:t>
      </w:r>
      <w:r>
        <w:rPr>
          <w:spacing w:val="-54"/>
        </w:rPr>
        <w:t> </w:t>
      </w:r>
      <w:r>
        <w:rPr>
          <w:rFonts w:ascii="宋体" w:hAnsi="宋体" w:cs="宋体" w:eastAsia="宋体" w:hint="default"/>
        </w:rPr>
        <w:t>1.5</w:t>
      </w:r>
      <w:r>
        <w:rPr>
          <w:rFonts w:ascii="宋体" w:hAnsi="宋体" w:cs="宋体" w:eastAsia="宋体" w:hint="default"/>
          <w:spacing w:val="-55"/>
        </w:rPr>
        <w:t> </w:t>
      </w:r>
      <w:r>
        <w:rPr/>
        <w:t>亿吨，集中供暖和清洁供暖比例达到</w:t>
      </w:r>
      <w:r>
        <w:rPr>
          <w:spacing w:val="-54"/>
        </w:rPr>
        <w:t> </w:t>
      </w:r>
      <w:r>
        <w:rPr>
          <w:rFonts w:ascii="宋体" w:hAnsi="宋体" w:cs="宋体" w:eastAsia="宋体" w:hint="default"/>
        </w:rPr>
        <w:t>50%</w:t>
      </w:r>
      <w:r>
        <w:rPr/>
        <w:t>以上。这一政策给空气源热泵</w:t>
      </w:r>
      <w:r>
        <w:rPr>
          <w:w w:val="100"/>
        </w:rPr>
        <w:t> </w:t>
      </w:r>
      <w:r>
        <w:rPr/>
        <w:t>行业提供了巨大的集中供暖市场的拓展空间。</w:t>
      </w:r>
    </w:p>
    <w:p>
      <w:pPr>
        <w:pStyle w:val="BodyText"/>
        <w:spacing w:line="350" w:lineRule="auto" w:before="27"/>
        <w:ind w:left="138" w:right="208" w:firstLine="419"/>
        <w:jc w:val="both"/>
      </w:pPr>
      <w:r>
        <w:rPr>
          <w:spacing w:val="-2"/>
        </w:rPr>
        <w:t>由于天然气管道铺设难度大，施工成本高，很多北方地区的天然气管网仍不够完善；再加上</w:t>
      </w:r>
      <w:r>
        <w:rPr>
          <w:w w:val="100"/>
        </w:rPr>
        <w:t> </w:t>
      </w:r>
      <w:r>
        <w:rPr>
          <w:spacing w:val="-2"/>
        </w:rPr>
        <w:t>我国的天然气消费量远大于供应量，两方面的不足削弱了“煤改气”的可行性，而空气源热泵的</w:t>
      </w:r>
      <w:r>
        <w:rPr>
          <w:spacing w:val="-25"/>
        </w:rPr>
        <w:t> </w:t>
      </w:r>
      <w:r>
        <w:rPr>
          <w:spacing w:val="-25"/>
        </w:rPr>
      </w:r>
      <w:r>
        <w:rPr>
          <w:spacing w:val="-2"/>
        </w:rPr>
        <w:t>大范围应用成为不少当地政府所能想到的最有效解决方式。包括中广欧特斯、清华同方、生能、</w:t>
      </w:r>
      <w:r>
        <w:rPr>
          <w:spacing w:val="-25"/>
        </w:rPr>
        <w:t> </w:t>
      </w:r>
      <w:r>
        <w:rPr>
          <w:spacing w:val="-25"/>
        </w:rPr>
      </w:r>
      <w:r>
        <w:rPr>
          <w:spacing w:val="-2"/>
        </w:rPr>
        <w:t>阿尔普尔、华天成等在内的多家空气源热泵企业迅速抓住机会在集中供暖市场均树有不同规模的</w:t>
      </w:r>
      <w:r>
        <w:rPr>
          <w:spacing w:val="-25"/>
        </w:rPr>
        <w:t> </w:t>
      </w:r>
      <w:r>
        <w:rPr>
          <w:spacing w:val="-25"/>
        </w:rPr>
      </w:r>
      <w:r>
        <w:rPr>
          <w:spacing w:val="-4"/>
        </w:rPr>
        <w:t>样板项目，集中供暖市场占有率也从</w:t>
      </w:r>
      <w:r>
        <w:rPr>
          <w:spacing w:val="-28"/>
        </w:rPr>
        <w:t> </w:t>
      </w:r>
      <w:r>
        <w:rPr>
          <w:rFonts w:ascii="宋体" w:hAnsi="宋体" w:cs="宋体" w:eastAsia="宋体" w:hint="default"/>
        </w:rPr>
        <w:t>2016</w:t>
      </w:r>
      <w:r>
        <w:rPr>
          <w:rFonts w:ascii="宋体" w:hAnsi="宋体" w:cs="宋体" w:eastAsia="宋体" w:hint="default"/>
          <w:spacing w:val="-28"/>
        </w:rPr>
        <w:t> </w:t>
      </w:r>
      <w:r>
        <w:rPr>
          <w:spacing w:val="-4"/>
        </w:rPr>
        <w:t>年的十分之一，升至直逼采暖总市场的五分之一，迎来</w:t>
      </w:r>
      <w:r>
        <w:rPr>
          <w:spacing w:val="-96"/>
        </w:rPr>
        <w:t> </w:t>
      </w:r>
      <w:r>
        <w:rPr>
          <w:spacing w:val="-96"/>
        </w:rPr>
      </w:r>
      <w:r>
        <w:rPr/>
        <w:t>“井喷”式发展。</w:t>
      </w:r>
    </w:p>
    <w:p>
      <w:pPr>
        <w:pStyle w:val="Heading5"/>
        <w:spacing w:line="240" w:lineRule="auto" w:before="27"/>
        <w:ind w:left="632" w:right="6708"/>
        <w:jc w:val="left"/>
        <w:rPr>
          <w:b w:val="0"/>
          <w:bCs w:val="0"/>
        </w:rPr>
      </w:pPr>
      <w:r>
        <w:rPr>
          <w:rFonts w:ascii="宋体" w:hAnsi="宋体" w:cs="宋体" w:eastAsia="宋体" w:hint="default"/>
        </w:rPr>
        <w:t>3.2</w:t>
      </w:r>
      <w:r>
        <w:rPr>
          <w:rFonts w:ascii="宋体" w:hAnsi="宋体" w:cs="宋体" w:eastAsia="宋体" w:hint="default"/>
          <w:spacing w:val="-53"/>
        </w:rPr>
        <w:t> </w:t>
      </w:r>
      <w:r>
        <w:rPr/>
        <w:t>行业竞争格局</w:t>
      </w:r>
      <w:r>
        <w:rPr>
          <w:b w:val="0"/>
          <w:bCs w:val="0"/>
        </w:rPr>
      </w:r>
    </w:p>
    <w:p>
      <w:pPr>
        <w:pStyle w:val="BodyText"/>
        <w:spacing w:line="348" w:lineRule="auto" w:before="126"/>
        <w:ind w:left="138" w:right="222" w:firstLine="479"/>
        <w:jc w:val="both"/>
      </w:pPr>
      <w:r>
        <w:rPr/>
        <w:t>本年度内，格力和美的双双突破二十亿元，</w:t>
      </w:r>
      <w:r>
        <w:rPr>
          <w:spacing w:val="-6"/>
        </w:rPr>
        <w:t> </w:t>
      </w:r>
      <w:r>
        <w:rPr/>
        <w:t>而</w:t>
      </w:r>
      <w:r>
        <w:rPr>
          <w:spacing w:val="-55"/>
        </w:rPr>
        <w:t> </w:t>
      </w:r>
      <w:r>
        <w:rPr>
          <w:rFonts w:ascii="宋体" w:hAnsi="宋体" w:cs="宋体" w:eastAsia="宋体" w:hint="default"/>
        </w:rPr>
        <w:t>10-20</w:t>
      </w:r>
      <w:r>
        <w:rPr>
          <w:rFonts w:ascii="宋体" w:hAnsi="宋体" w:cs="宋体" w:eastAsia="宋体" w:hint="default"/>
          <w:spacing w:val="-55"/>
        </w:rPr>
        <w:t> </w:t>
      </w:r>
      <w:r>
        <w:rPr/>
        <w:t>亿元这个区间中还未能有品牌进入，</w:t>
      </w:r>
      <w:r>
        <w:rPr>
          <w:w w:val="100"/>
        </w:rPr>
        <w:t> </w:t>
      </w:r>
      <w:r>
        <w:rPr/>
        <w:t>从两者市场占有率分析，</w:t>
      </w:r>
      <w:r>
        <w:rPr>
          <w:rFonts w:ascii="宋体" w:hAnsi="宋体" w:cs="宋体" w:eastAsia="宋体" w:hint="default"/>
        </w:rPr>
        <w:t>2017</w:t>
      </w:r>
      <w:r>
        <w:rPr>
          <w:rFonts w:ascii="宋体" w:hAnsi="宋体" w:cs="宋体" w:eastAsia="宋体" w:hint="default"/>
          <w:spacing w:val="-55"/>
        </w:rPr>
        <w:t> </w:t>
      </w:r>
      <w:r>
        <w:rPr/>
        <w:t>年度两个品牌</w:t>
      </w:r>
      <w:r>
        <w:rPr>
          <w:spacing w:val="-55"/>
        </w:rPr>
        <w:t> </w:t>
      </w:r>
      <w:r>
        <w:rPr>
          <w:rFonts w:ascii="宋体" w:hAnsi="宋体" w:cs="宋体" w:eastAsia="宋体" w:hint="default"/>
        </w:rPr>
        <w:t>25.2%</w:t>
      </w:r>
      <w:r>
        <w:rPr/>
        <w:t>的占有率相较上一个年度下滑了</w:t>
      </w:r>
      <w:r>
        <w:rPr>
          <w:spacing w:val="-54"/>
        </w:rPr>
        <w:t> </w:t>
      </w:r>
      <w:r>
        <w:rPr>
          <w:rFonts w:ascii="宋体" w:hAnsi="宋体" w:cs="宋体" w:eastAsia="宋体" w:hint="default"/>
        </w:rPr>
        <w:t>5</w:t>
      </w:r>
      <w:r>
        <w:rPr>
          <w:rFonts w:ascii="宋体" w:hAnsi="宋体" w:cs="宋体" w:eastAsia="宋体" w:hint="default"/>
          <w:spacing w:val="-57"/>
        </w:rPr>
        <w:t> </w:t>
      </w:r>
      <w:r>
        <w:rPr/>
        <w:t>个左右百分</w:t>
      </w:r>
      <w:r>
        <w:rPr>
          <w:w w:val="100"/>
        </w:rPr>
        <w:t> </w:t>
      </w:r>
      <w:r>
        <w:rPr/>
        <w:t>点，二线品牌仍有突围的机会。</w:t>
      </w:r>
    </w:p>
    <w:p>
      <w:pPr>
        <w:pStyle w:val="BodyText"/>
        <w:spacing w:line="240" w:lineRule="auto" w:before="31"/>
        <w:ind w:left="618" w:right="108"/>
        <w:jc w:val="left"/>
        <w:rPr>
          <w:rFonts w:ascii="宋体" w:hAnsi="宋体" w:cs="宋体" w:eastAsia="宋体" w:hint="default"/>
        </w:rPr>
      </w:pPr>
      <w:r>
        <w:rPr>
          <w:spacing w:val="-4"/>
        </w:rPr>
        <w:t>在第二阵营中，海尔、中广欧特斯、</w:t>
      </w:r>
      <w:r>
        <w:rPr>
          <w:rFonts w:ascii="宋体" w:hAnsi="宋体" w:cs="宋体" w:eastAsia="宋体" w:hint="default"/>
          <w:spacing w:val="-4"/>
        </w:rPr>
        <w:t>A.O.</w:t>
      </w:r>
      <w:r>
        <w:rPr>
          <w:spacing w:val="-4"/>
        </w:rPr>
        <w:t>史密斯、纽恩泰、生能的整体市场占有率相较</w:t>
      </w:r>
      <w:r>
        <w:rPr>
          <w:spacing w:val="-6"/>
        </w:rPr>
        <w:t> </w:t>
      </w:r>
      <w:r>
        <w:rPr>
          <w:rFonts w:ascii="宋体" w:hAnsi="宋体" w:cs="宋体" w:eastAsia="宋体" w:hint="default"/>
        </w:rPr>
        <w:t>2017</w:t>
      </w:r>
    </w:p>
    <w:p>
      <w:pPr>
        <w:pStyle w:val="BodyText"/>
        <w:spacing w:line="348" w:lineRule="auto" w:before="126"/>
        <w:ind w:left="138" w:right="217"/>
        <w:jc w:val="both"/>
      </w:pPr>
      <w:r>
        <w:rPr/>
        <w:t>年度提升</w:t>
      </w:r>
      <w:r>
        <w:rPr>
          <w:spacing w:val="-54"/>
        </w:rPr>
        <w:t> </w:t>
      </w:r>
      <w:r>
        <w:rPr>
          <w:rFonts w:ascii="宋体" w:hAnsi="宋体" w:cs="宋体" w:eastAsia="宋体" w:hint="default"/>
        </w:rPr>
        <w:t>2</w:t>
      </w:r>
      <w:r>
        <w:rPr>
          <w:rFonts w:ascii="宋体" w:hAnsi="宋体" w:cs="宋体" w:eastAsia="宋体" w:hint="default"/>
          <w:spacing w:val="-56"/>
        </w:rPr>
        <w:t> </w:t>
      </w:r>
      <w:r>
        <w:rPr/>
        <w:t>个百分点。其中，中广欧特斯在集中式采暖市场中快速发力，不断刷新着自己大型采</w:t>
      </w:r>
      <w:r>
        <w:rPr>
          <w:w w:val="100"/>
        </w:rPr>
        <w:t> </w:t>
      </w:r>
      <w:r>
        <w:rPr/>
        <w:t>暖项目的记录，在专业品牌阵营中领衔集中采暖的发展。</w:t>
      </w:r>
    </w:p>
    <w:p>
      <w:pPr>
        <w:pStyle w:val="BodyText"/>
        <w:spacing w:line="240" w:lineRule="auto" w:before="31"/>
        <w:ind w:left="618" w:right="108"/>
        <w:jc w:val="left"/>
      </w:pPr>
      <w:r>
        <w:rPr/>
        <w:t>第三阵营中，芬尼以及长菱维系着专业品牌的发展。其中，长菱在</w:t>
      </w:r>
      <w:r>
        <w:rPr>
          <w:spacing w:val="-57"/>
        </w:rPr>
        <w:t> </w:t>
      </w:r>
      <w:r>
        <w:rPr>
          <w:rFonts w:ascii="宋体" w:hAnsi="宋体" w:cs="宋体" w:eastAsia="宋体" w:hint="default"/>
        </w:rPr>
        <w:t>2017</w:t>
      </w:r>
      <w:r>
        <w:rPr>
          <w:rFonts w:ascii="宋体" w:hAnsi="宋体" w:cs="宋体" w:eastAsia="宋体" w:hint="default"/>
          <w:spacing w:val="-56"/>
        </w:rPr>
        <w:t> </w:t>
      </w:r>
      <w:r>
        <w:rPr/>
        <w:t>年度开启采暖市场</w:t>
      </w:r>
    </w:p>
    <w:p>
      <w:pPr>
        <w:pStyle w:val="BodyText"/>
        <w:spacing w:line="240" w:lineRule="auto" w:before="126"/>
        <w:ind w:left="138" w:right="0"/>
        <w:jc w:val="both"/>
      </w:pPr>
      <w:r>
        <w:rPr>
          <w:spacing w:val="-5"/>
        </w:rPr>
        <w:t>的征程，在北方市场颇有斩获，并且还带动了商用热水的发展，据悉，其 </w:t>
      </w:r>
      <w:r>
        <w:rPr>
          <w:rFonts w:ascii="宋体" w:hAnsi="宋体" w:cs="宋体" w:eastAsia="宋体" w:hint="default"/>
        </w:rPr>
        <w:t>2017</w:t>
      </w:r>
      <w:r>
        <w:rPr>
          <w:rFonts w:ascii="宋体" w:hAnsi="宋体" w:cs="宋体" w:eastAsia="宋体" w:hint="default"/>
          <w:spacing w:val="-42"/>
        </w:rPr>
        <w:t> </w:t>
      </w:r>
      <w:r>
        <w:rPr/>
        <w:t>年度商用热水的市</w:t>
      </w:r>
    </w:p>
    <w:p>
      <w:pPr>
        <w:pStyle w:val="BodyText"/>
        <w:spacing w:line="350" w:lineRule="auto" w:before="124"/>
        <w:ind w:left="138" w:right="207"/>
        <w:jc w:val="both"/>
      </w:pPr>
      <w:r>
        <w:rPr>
          <w:spacing w:val="-4"/>
        </w:rPr>
        <w:t>场增长基本上来源于北方地区。四季沐歌、太阳雨等品牌作为多元化品牌的代表在</w:t>
      </w:r>
      <w:r>
        <w:rPr>
          <w:spacing w:val="-32"/>
        </w:rPr>
        <w:t> </w:t>
      </w:r>
      <w:r>
        <w:rPr>
          <w:rFonts w:ascii="宋体" w:hAnsi="宋体" w:cs="宋体" w:eastAsia="宋体" w:hint="default"/>
        </w:rPr>
        <w:t>2017</w:t>
      </w:r>
      <w:r>
        <w:rPr>
          <w:rFonts w:ascii="宋体" w:hAnsi="宋体" w:cs="宋体" w:eastAsia="宋体" w:hint="default"/>
          <w:spacing w:val="-36"/>
        </w:rPr>
        <w:t> </w:t>
      </w:r>
      <w:r>
        <w:rPr/>
        <w:t>年也表现</w:t>
      </w:r>
      <w:r>
        <w:rPr>
          <w:spacing w:val="-98"/>
        </w:rPr>
        <w:t> </w:t>
      </w:r>
      <w:r>
        <w:rPr>
          <w:spacing w:val="-98"/>
        </w:rPr>
      </w:r>
      <w:r>
        <w:rPr/>
        <w:t>突出。海信、科龙、清华同方则在第三阵营中领衔着空调企业在空气能领域的发展。</w:t>
      </w:r>
    </w:p>
    <w:p>
      <w:pPr>
        <w:pStyle w:val="Heading5"/>
        <w:spacing w:line="240" w:lineRule="auto" w:before="29"/>
        <w:ind w:left="560" w:right="6708"/>
        <w:jc w:val="left"/>
        <w:rPr>
          <w:b w:val="0"/>
          <w:bCs w:val="0"/>
        </w:rPr>
      </w:pPr>
      <w:r>
        <w:rPr>
          <w:rFonts w:ascii="宋体" w:hAnsi="宋体" w:cs="宋体" w:eastAsia="宋体" w:hint="default"/>
        </w:rPr>
        <w:t>3.3</w:t>
      </w:r>
      <w:r>
        <w:rPr>
          <w:rFonts w:ascii="宋体" w:hAnsi="宋体" w:cs="宋体" w:eastAsia="宋体" w:hint="default"/>
          <w:spacing w:val="-53"/>
        </w:rPr>
        <w:t> </w:t>
      </w:r>
      <w:r>
        <w:rPr/>
        <w:t>行业发展趋势</w:t>
      </w:r>
      <w:r>
        <w:rPr>
          <w:b w:val="0"/>
          <w:bCs w:val="0"/>
        </w:rPr>
      </w:r>
    </w:p>
    <w:p>
      <w:pPr>
        <w:pStyle w:val="Heading5"/>
        <w:spacing w:line="240" w:lineRule="auto" w:before="123"/>
        <w:ind w:left="560" w:right="108"/>
        <w:jc w:val="left"/>
        <w:rPr>
          <w:b w:val="0"/>
          <w:bCs w:val="0"/>
        </w:rPr>
      </w:pPr>
      <w:r>
        <w:rPr>
          <w:rFonts w:ascii="宋体" w:hAnsi="宋体" w:cs="宋体" w:eastAsia="宋体" w:hint="default"/>
        </w:rPr>
        <w:t>3.3.1</w:t>
      </w:r>
      <w:r>
        <w:rPr>
          <w:rFonts w:ascii="宋体" w:hAnsi="宋体" w:cs="宋体" w:eastAsia="宋体" w:hint="default"/>
          <w:spacing w:val="-53"/>
        </w:rPr>
        <w:t> </w:t>
      </w:r>
      <w:r>
        <w:rPr/>
        <w:t>商用机成为主流</w:t>
      </w:r>
      <w:r>
        <w:rPr>
          <w:b w:val="0"/>
          <w:bCs w:val="0"/>
        </w:rPr>
      </w:r>
    </w:p>
    <w:p>
      <w:pPr>
        <w:pStyle w:val="BodyText"/>
        <w:spacing w:line="350" w:lineRule="auto" w:before="126"/>
        <w:ind w:left="138" w:right="100" w:firstLine="419"/>
        <w:jc w:val="left"/>
      </w:pPr>
      <w:r>
        <w:rPr>
          <w:rFonts w:ascii="宋体" w:hAnsi="宋体" w:cs="宋体" w:eastAsia="宋体" w:hint="default"/>
        </w:rPr>
        <w:t>2016</w:t>
      </w:r>
      <w:r>
        <w:rPr>
          <w:rFonts w:ascii="宋体" w:hAnsi="宋体" w:cs="宋体" w:eastAsia="宋体" w:hint="default"/>
          <w:spacing w:val="-44"/>
        </w:rPr>
        <w:t> </w:t>
      </w:r>
      <w:r>
        <w:rPr>
          <w:spacing w:val="-3"/>
        </w:rPr>
        <w:t>年度，在热泵热水市场中，家用市场与商用市场的增长率分别为</w:t>
      </w:r>
      <w:r>
        <w:rPr>
          <w:spacing w:val="-41"/>
        </w:rPr>
        <w:t> </w:t>
      </w:r>
      <w:r>
        <w:rPr>
          <w:rFonts w:ascii="宋体" w:hAnsi="宋体" w:cs="宋体" w:eastAsia="宋体" w:hint="default"/>
        </w:rPr>
        <w:t>9.3%</w:t>
      </w:r>
      <w:r>
        <w:rPr/>
        <w:t>与</w:t>
      </w:r>
      <w:r>
        <w:rPr>
          <w:spacing w:val="-44"/>
        </w:rPr>
        <w:t> </w:t>
      </w:r>
      <w:r>
        <w:rPr>
          <w:rFonts w:ascii="宋体" w:hAnsi="宋体" w:cs="宋体" w:eastAsia="宋体" w:hint="default"/>
          <w:spacing w:val="-3"/>
        </w:rPr>
        <w:t>12.7%</w:t>
      </w:r>
      <w:r>
        <w:rPr>
          <w:spacing w:val="-3"/>
        </w:rPr>
        <w:t>；而走完</w:t>
      </w:r>
      <w:r>
        <w:rPr>
          <w:w w:val="100"/>
        </w:rPr>
        <w:t> </w:t>
      </w:r>
      <w:r>
        <w:rPr/>
        <w:t>整个</w:t>
      </w:r>
      <w:r>
        <w:rPr>
          <w:spacing w:val="-43"/>
        </w:rPr>
        <w:t> </w:t>
      </w:r>
      <w:r>
        <w:rPr>
          <w:rFonts w:ascii="宋体" w:hAnsi="宋体" w:cs="宋体" w:eastAsia="宋体" w:hint="default"/>
        </w:rPr>
        <w:t>2017</w:t>
      </w:r>
      <w:r>
        <w:rPr>
          <w:rFonts w:ascii="宋体" w:hAnsi="宋体" w:cs="宋体" w:eastAsia="宋体" w:hint="default"/>
          <w:spacing w:val="-45"/>
        </w:rPr>
        <w:t> </w:t>
      </w:r>
      <w:r>
        <w:rPr>
          <w:spacing w:val="-3"/>
        </w:rPr>
        <w:t>年度之后，二者的增长率分别为</w:t>
      </w:r>
      <w:r>
        <w:rPr>
          <w:rFonts w:ascii="宋体" w:hAnsi="宋体" w:cs="宋体" w:eastAsia="宋体" w:hint="default"/>
          <w:spacing w:val="-3"/>
        </w:rPr>
        <w:t>-11.1%</w:t>
      </w:r>
      <w:r>
        <w:rPr>
          <w:spacing w:val="-3"/>
        </w:rPr>
        <w:t>与</w:t>
      </w:r>
      <w:r>
        <w:rPr>
          <w:spacing w:val="-45"/>
        </w:rPr>
        <w:t> </w:t>
      </w:r>
      <w:r>
        <w:rPr>
          <w:rFonts w:ascii="宋体" w:hAnsi="宋体" w:cs="宋体" w:eastAsia="宋体" w:hint="default"/>
          <w:spacing w:val="-5"/>
        </w:rPr>
        <w:t>21.5%</w:t>
      </w:r>
      <w:r>
        <w:rPr>
          <w:spacing w:val="-5"/>
        </w:rPr>
        <w:t>；从占有率角度来看，</w:t>
      </w:r>
      <w:r>
        <w:rPr>
          <w:rFonts w:ascii="宋体" w:hAnsi="宋体" w:cs="宋体" w:eastAsia="宋体" w:hint="default"/>
          <w:spacing w:val="-5"/>
        </w:rPr>
        <w:t>2016</w:t>
      </w:r>
      <w:r>
        <w:rPr>
          <w:rFonts w:ascii="宋体" w:hAnsi="宋体" w:cs="宋体" w:eastAsia="宋体" w:hint="default"/>
          <w:spacing w:val="-45"/>
        </w:rPr>
        <w:t> </w:t>
      </w:r>
      <w:r>
        <w:rPr/>
        <w:t>年家用机与</w:t>
      </w:r>
      <w:r>
        <w:rPr>
          <w:spacing w:val="-80"/>
        </w:rPr>
        <w:t> </w:t>
      </w:r>
      <w:r>
        <w:rPr>
          <w:spacing w:val="-80"/>
        </w:rPr>
      </w:r>
      <w:r>
        <w:rPr>
          <w:spacing w:val="-1"/>
          <w:w w:val="100"/>
        </w:rPr>
        <w:t>商用机份额分别占整个热水市场的</w:t>
      </w:r>
      <w:r>
        <w:rPr>
          <w:spacing w:val="-71"/>
          <w:w w:val="100"/>
        </w:rPr>
        <w:t> </w:t>
      </w:r>
      <w:r>
        <w:rPr>
          <w:rFonts w:ascii="宋体" w:hAnsi="宋体" w:cs="宋体" w:eastAsia="宋体" w:hint="default"/>
          <w:spacing w:val="-1"/>
          <w:w w:val="100"/>
        </w:rPr>
        <w:t>73.7%</w:t>
      </w:r>
      <w:r>
        <w:rPr>
          <w:spacing w:val="-1"/>
          <w:w w:val="100"/>
        </w:rPr>
        <w:t>与</w:t>
      </w:r>
      <w:r>
        <w:rPr>
          <w:spacing w:val="-68"/>
          <w:w w:val="100"/>
        </w:rPr>
        <w:t> </w:t>
      </w:r>
      <w:r>
        <w:rPr>
          <w:rFonts w:ascii="宋体" w:hAnsi="宋体" w:cs="宋体" w:eastAsia="宋体" w:hint="default"/>
          <w:spacing w:val="-16"/>
          <w:w w:val="100"/>
        </w:rPr>
        <w:t>26.3%</w:t>
      </w:r>
      <w:r>
        <w:rPr>
          <w:spacing w:val="-16"/>
          <w:w w:val="100"/>
        </w:rPr>
        <w:t>，而</w:t>
      </w:r>
      <w:r>
        <w:rPr>
          <w:spacing w:val="-68"/>
          <w:w w:val="100"/>
        </w:rPr>
        <w:t> </w:t>
      </w:r>
      <w:r>
        <w:rPr>
          <w:rFonts w:ascii="宋体" w:hAnsi="宋体" w:cs="宋体" w:eastAsia="宋体" w:hint="default"/>
          <w:w w:val="100"/>
        </w:rPr>
        <w:t>2017</w:t>
      </w:r>
      <w:r>
        <w:rPr>
          <w:rFonts w:ascii="宋体" w:hAnsi="宋体" w:cs="宋体" w:eastAsia="宋体" w:hint="default"/>
          <w:spacing w:val="-68"/>
          <w:w w:val="100"/>
        </w:rPr>
        <w:t> </w:t>
      </w:r>
      <w:r>
        <w:rPr>
          <w:spacing w:val="-2"/>
          <w:w w:val="100"/>
        </w:rPr>
        <w:t>年这两者的数据变更为</w:t>
      </w:r>
      <w:r>
        <w:rPr>
          <w:spacing w:val="-68"/>
          <w:w w:val="100"/>
        </w:rPr>
        <w:t> </w:t>
      </w:r>
      <w:r>
        <w:rPr>
          <w:rFonts w:ascii="宋体" w:hAnsi="宋体" w:cs="宋体" w:eastAsia="宋体" w:hint="default"/>
          <w:spacing w:val="-1"/>
          <w:w w:val="100"/>
        </w:rPr>
        <w:t>67.2%</w:t>
      </w:r>
      <w:r>
        <w:rPr>
          <w:spacing w:val="-1"/>
          <w:w w:val="100"/>
        </w:rPr>
        <w:t>与</w:t>
      </w:r>
      <w:r>
        <w:rPr>
          <w:spacing w:val="-68"/>
          <w:w w:val="100"/>
        </w:rPr>
        <w:t> </w:t>
      </w:r>
      <w:r>
        <w:rPr>
          <w:rFonts w:ascii="宋体" w:hAnsi="宋体" w:cs="宋体" w:eastAsia="宋体" w:hint="default"/>
          <w:spacing w:val="-1"/>
          <w:w w:val="100"/>
        </w:rPr>
        <w:t>32.8%</w:t>
      </w:r>
      <w:r>
        <w:rPr>
          <w:spacing w:val="-1"/>
          <w:w w:val="100"/>
        </w:rPr>
        <w:t>，</w:t>
      </w:r>
      <w:r>
        <w:rPr>
          <w:w w:val="100"/>
        </w:rPr>
        <w:t> </w:t>
      </w:r>
      <w:r>
        <w:rPr/>
        <w:t>这一切都在说明，商用机市场在向着更好的方向发展，而家用机市场则遇到了瓶颈。</w:t>
      </w:r>
    </w:p>
    <w:p>
      <w:pPr>
        <w:pStyle w:val="Heading5"/>
        <w:spacing w:line="240" w:lineRule="auto" w:before="29"/>
        <w:ind w:left="560" w:right="108"/>
        <w:jc w:val="left"/>
        <w:rPr>
          <w:b w:val="0"/>
          <w:bCs w:val="0"/>
        </w:rPr>
      </w:pPr>
      <w:r>
        <w:rPr>
          <w:rFonts w:ascii="宋体" w:hAnsi="宋体" w:cs="宋体" w:eastAsia="宋体" w:hint="default"/>
        </w:rPr>
        <w:t>3.3.2</w:t>
      </w:r>
      <w:r>
        <w:rPr>
          <w:rFonts w:ascii="宋体" w:hAnsi="宋体" w:cs="宋体" w:eastAsia="宋体" w:hint="default"/>
          <w:spacing w:val="-2"/>
        </w:rPr>
        <w:t> </w:t>
      </w:r>
      <w:r>
        <w:rPr/>
        <w:t>政策红利进一步释放</w:t>
      </w:r>
      <w:r>
        <w:rPr>
          <w:b w:val="0"/>
          <w:bCs w:val="0"/>
        </w:rPr>
      </w:r>
    </w:p>
    <w:p>
      <w:pPr>
        <w:spacing w:after="0" w:line="240" w:lineRule="auto"/>
        <w:jc w:val="left"/>
        <w:sectPr>
          <w:pgSz w:w="11910" w:h="16840"/>
          <w:pgMar w:header="0" w:footer="1195" w:top="1120" w:bottom="1380" w:left="1660" w:right="106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350" w:lineRule="auto"/>
        <w:ind w:left="138" w:right="128" w:firstLine="419"/>
        <w:jc w:val="both"/>
      </w:pPr>
      <w:r>
        <w:rPr>
          <w:rFonts w:ascii="宋体" w:hAnsi="宋体" w:cs="宋体" w:eastAsia="宋体" w:hint="default"/>
        </w:rPr>
        <w:t>2017</w:t>
      </w:r>
      <w:r>
        <w:rPr>
          <w:rFonts w:ascii="宋体" w:hAnsi="宋体" w:cs="宋体" w:eastAsia="宋体" w:hint="default"/>
          <w:spacing w:val="-6"/>
        </w:rPr>
        <w:t> </w:t>
      </w:r>
      <w:r>
        <w:rPr>
          <w:spacing w:val="-3"/>
        </w:rPr>
        <w:t>年空气源热泵户式采暖市场中除去北京市与天津市两个地区，空气源热泵的分户采暖均</w:t>
      </w:r>
      <w:r>
        <w:rPr>
          <w:w w:val="100"/>
        </w:rPr>
        <w:t> </w:t>
      </w:r>
      <w:r>
        <w:rPr>
          <w:spacing w:val="-3"/>
        </w:rPr>
        <w:t>未得到释放。从我国在《北方地区冬季清洁取暖规划（</w:t>
      </w:r>
      <w:r>
        <w:rPr>
          <w:rFonts w:ascii="宋体" w:hAnsi="宋体" w:cs="宋体" w:eastAsia="宋体" w:hint="default"/>
          <w:spacing w:val="-3"/>
        </w:rPr>
        <w:t>2017-2021</w:t>
      </w:r>
      <w:r>
        <w:rPr>
          <w:spacing w:val="-3"/>
        </w:rPr>
        <w:t>）》中可知，</w:t>
      </w:r>
      <w:r>
        <w:rPr>
          <w:rFonts w:ascii="宋体" w:hAnsi="宋体" w:cs="宋体" w:eastAsia="宋体" w:hint="default"/>
          <w:spacing w:val="-3"/>
        </w:rPr>
        <w:t>2017</w:t>
      </w:r>
      <w:r>
        <w:rPr>
          <w:rFonts w:ascii="宋体" w:hAnsi="宋体" w:cs="宋体" w:eastAsia="宋体" w:hint="default"/>
          <w:spacing w:val="-32"/>
        </w:rPr>
        <w:t> </w:t>
      </w:r>
      <w:r>
        <w:rPr/>
        <w:t>年至</w:t>
      </w:r>
      <w:r>
        <w:rPr>
          <w:spacing w:val="-32"/>
        </w:rPr>
        <w:t> </w:t>
      </w:r>
      <w:r>
        <w:rPr>
          <w:rFonts w:ascii="宋体" w:hAnsi="宋体" w:cs="宋体" w:eastAsia="宋体" w:hint="default"/>
        </w:rPr>
        <w:t>2021</w:t>
      </w:r>
      <w:r>
        <w:rPr>
          <w:rFonts w:ascii="宋体" w:hAnsi="宋体" w:cs="宋体" w:eastAsia="宋体" w:hint="default"/>
          <w:spacing w:val="-29"/>
        </w:rPr>
        <w:t> </w:t>
      </w:r>
      <w:r>
        <w:rPr/>
        <w:t>年</w:t>
      </w:r>
      <w:r>
        <w:rPr>
          <w:spacing w:val="-95"/>
        </w:rPr>
        <w:t> </w:t>
      </w:r>
      <w:r>
        <w:rPr/>
        <w:t>五年内继续在</w:t>
      </w:r>
      <w:r>
        <w:rPr>
          <w:spacing w:val="-40"/>
        </w:rPr>
        <w:t> </w:t>
      </w:r>
      <w:r>
        <w:rPr>
          <w:rFonts w:ascii="宋体" w:hAnsi="宋体" w:cs="宋体" w:eastAsia="宋体" w:hint="default"/>
        </w:rPr>
        <w:t>2+26</w:t>
      </w:r>
      <w:r>
        <w:rPr>
          <w:rFonts w:ascii="宋体" w:hAnsi="宋体" w:cs="宋体" w:eastAsia="宋体" w:hint="default"/>
          <w:spacing w:val="-42"/>
        </w:rPr>
        <w:t> </w:t>
      </w:r>
      <w:r>
        <w:rPr>
          <w:spacing w:val="-4"/>
        </w:rPr>
        <w:t>城市发展天然气与电供暖，其中热泵供暖可达到</w:t>
      </w:r>
      <w:r>
        <w:rPr>
          <w:spacing w:val="-40"/>
        </w:rPr>
        <w:t> </w:t>
      </w:r>
      <w:r>
        <w:rPr>
          <w:rFonts w:ascii="宋体" w:hAnsi="宋体" w:cs="宋体" w:eastAsia="宋体" w:hint="default"/>
        </w:rPr>
        <w:t>5</w:t>
      </w:r>
      <w:r>
        <w:rPr>
          <w:rFonts w:ascii="宋体" w:hAnsi="宋体" w:cs="宋体" w:eastAsia="宋体" w:hint="default"/>
          <w:spacing w:val="-40"/>
        </w:rPr>
        <w:t> </w:t>
      </w:r>
      <w:r>
        <w:rPr>
          <w:spacing w:val="-6"/>
        </w:rPr>
        <w:t>亿平方米的规模。其他省市</w:t>
      </w:r>
    </w:p>
    <w:p>
      <w:pPr>
        <w:pStyle w:val="BodyText"/>
        <w:spacing w:line="240" w:lineRule="auto" w:before="27"/>
        <w:ind w:left="138" w:right="0"/>
        <w:jc w:val="left"/>
      </w:pPr>
      <w:r>
        <w:rPr>
          <w:w w:val="100"/>
        </w:rPr>
        <w:t>也相</w:t>
      </w:r>
      <w:r>
        <w:rPr>
          <w:spacing w:val="-3"/>
          <w:w w:val="100"/>
        </w:rPr>
        <w:t>继</w:t>
      </w:r>
      <w:r>
        <w:rPr>
          <w:w w:val="100"/>
        </w:rPr>
        <w:t>推</w:t>
      </w:r>
      <w:r>
        <w:rPr>
          <w:spacing w:val="-3"/>
          <w:w w:val="100"/>
        </w:rPr>
        <w:t>出</w:t>
      </w:r>
      <w:r>
        <w:rPr>
          <w:w w:val="100"/>
        </w:rPr>
        <w:t>未</w:t>
      </w:r>
      <w:r>
        <w:rPr>
          <w:spacing w:val="-3"/>
          <w:w w:val="100"/>
        </w:rPr>
        <w:t>来</w:t>
      </w:r>
      <w:r>
        <w:rPr>
          <w:w w:val="100"/>
        </w:rPr>
        <w:t>规</w:t>
      </w:r>
      <w:r>
        <w:rPr>
          <w:spacing w:val="-3"/>
          <w:w w:val="100"/>
        </w:rPr>
        <w:t>划</w:t>
      </w:r>
      <w:r>
        <w:rPr>
          <w:spacing w:val="-104"/>
          <w:w w:val="100"/>
        </w:rPr>
        <w:t>，</w:t>
      </w:r>
      <w:r>
        <w:rPr>
          <w:spacing w:val="-3"/>
          <w:w w:val="100"/>
        </w:rPr>
        <w:t>河南</w:t>
      </w:r>
      <w:r>
        <w:rPr>
          <w:w w:val="100"/>
        </w:rPr>
        <w:t>省到</w:t>
      </w:r>
      <w:r>
        <w:rPr>
          <w:spacing w:val="-53"/>
        </w:rPr>
        <w:t> </w:t>
      </w:r>
      <w:r>
        <w:rPr>
          <w:rFonts w:ascii="宋体" w:hAnsi="宋体" w:cs="宋体" w:eastAsia="宋体" w:hint="default"/>
          <w:spacing w:val="-3"/>
          <w:w w:val="100"/>
        </w:rPr>
        <w:t>2</w:t>
      </w:r>
      <w:r>
        <w:rPr>
          <w:rFonts w:ascii="宋体" w:hAnsi="宋体" w:cs="宋体" w:eastAsia="宋体" w:hint="default"/>
          <w:w w:val="100"/>
        </w:rPr>
        <w:t>020</w:t>
      </w:r>
      <w:r>
        <w:rPr>
          <w:rFonts w:ascii="宋体" w:hAnsi="宋体" w:cs="宋体" w:eastAsia="宋体" w:hint="default"/>
          <w:spacing w:val="-55"/>
        </w:rPr>
        <w:t> </w:t>
      </w:r>
      <w:r>
        <w:rPr>
          <w:w w:val="100"/>
        </w:rPr>
        <w:t>年</w:t>
      </w:r>
      <w:r>
        <w:rPr>
          <w:spacing w:val="-104"/>
          <w:w w:val="100"/>
        </w:rPr>
        <w:t>，</w:t>
      </w:r>
      <w:r>
        <w:rPr>
          <w:spacing w:val="-3"/>
          <w:w w:val="100"/>
        </w:rPr>
        <w:t>将</w:t>
      </w:r>
      <w:r>
        <w:rPr>
          <w:w w:val="100"/>
        </w:rPr>
        <w:t>累</w:t>
      </w:r>
      <w:r>
        <w:rPr>
          <w:spacing w:val="-3"/>
          <w:w w:val="100"/>
        </w:rPr>
        <w:t>计</w:t>
      </w:r>
      <w:r>
        <w:rPr>
          <w:w w:val="100"/>
        </w:rPr>
        <w:t>推</w:t>
      </w:r>
      <w:r>
        <w:rPr>
          <w:spacing w:val="-3"/>
          <w:w w:val="100"/>
        </w:rPr>
        <w:t>广</w:t>
      </w:r>
      <w:r>
        <w:rPr>
          <w:w w:val="100"/>
        </w:rPr>
        <w:t>应用</w:t>
      </w:r>
      <w:r>
        <w:rPr>
          <w:spacing w:val="-3"/>
          <w:w w:val="100"/>
        </w:rPr>
        <w:t>热</w:t>
      </w:r>
      <w:r>
        <w:rPr>
          <w:w w:val="100"/>
        </w:rPr>
        <w:t>泵</w:t>
      </w:r>
      <w:r>
        <w:rPr>
          <w:spacing w:val="-53"/>
        </w:rPr>
        <w:t> </w:t>
      </w:r>
      <w:r>
        <w:rPr>
          <w:rFonts w:ascii="宋体" w:hAnsi="宋体" w:cs="宋体" w:eastAsia="宋体" w:hint="default"/>
          <w:spacing w:val="-3"/>
          <w:w w:val="100"/>
        </w:rPr>
        <w:t>1</w:t>
      </w:r>
      <w:r>
        <w:rPr>
          <w:rFonts w:ascii="宋体" w:hAnsi="宋体" w:cs="宋体" w:eastAsia="宋体" w:hint="default"/>
          <w:w w:val="100"/>
        </w:rPr>
        <w:t>000</w:t>
      </w:r>
      <w:r>
        <w:rPr>
          <w:rFonts w:ascii="宋体" w:hAnsi="宋体" w:cs="宋体" w:eastAsia="宋体" w:hint="default"/>
          <w:spacing w:val="-55"/>
        </w:rPr>
        <w:t> </w:t>
      </w:r>
      <w:r>
        <w:rPr>
          <w:w w:val="100"/>
        </w:rPr>
        <w:t>台</w:t>
      </w:r>
      <w:r>
        <w:rPr>
          <w:spacing w:val="-104"/>
          <w:w w:val="100"/>
        </w:rPr>
        <w:t>，</w:t>
      </w:r>
      <w:r>
        <w:rPr>
          <w:spacing w:val="-3"/>
          <w:w w:val="100"/>
        </w:rPr>
        <w:t>并</w:t>
      </w:r>
      <w:r>
        <w:rPr>
          <w:w w:val="100"/>
        </w:rPr>
        <w:t>完成</w:t>
      </w:r>
      <w:r>
        <w:rPr>
          <w:spacing w:val="-54"/>
        </w:rPr>
        <w:t> </w:t>
      </w:r>
      <w:r>
        <w:rPr>
          <w:rFonts w:ascii="宋体" w:hAnsi="宋体" w:cs="宋体" w:eastAsia="宋体" w:hint="default"/>
          <w:w w:val="100"/>
        </w:rPr>
        <w:t>50</w:t>
      </w:r>
      <w:r>
        <w:rPr>
          <w:rFonts w:ascii="宋体" w:hAnsi="宋体" w:cs="宋体" w:eastAsia="宋体" w:hint="default"/>
          <w:spacing w:val="-53"/>
        </w:rPr>
        <w:t> </w:t>
      </w:r>
      <w:r>
        <w:rPr>
          <w:spacing w:val="-3"/>
          <w:w w:val="100"/>
        </w:rPr>
        <w:t>万</w:t>
      </w:r>
      <w:r>
        <w:rPr>
          <w:spacing w:val="-104"/>
          <w:w w:val="100"/>
        </w:rPr>
        <w:t>户</w:t>
      </w:r>
      <w:r>
        <w:rPr>
          <w:w w:val="100"/>
        </w:rPr>
        <w:t>“</w:t>
      </w:r>
      <w:r>
        <w:rPr>
          <w:spacing w:val="-3"/>
          <w:w w:val="100"/>
        </w:rPr>
        <w:t>煤</w:t>
      </w:r>
      <w:r>
        <w:rPr>
          <w:w w:val="100"/>
        </w:rPr>
        <w:t>改电</w:t>
      </w:r>
      <w:r>
        <w:rPr>
          <w:spacing w:val="-106"/>
          <w:w w:val="100"/>
        </w:rPr>
        <w:t>”</w:t>
      </w:r>
      <w:r>
        <w:rPr>
          <w:w w:val="100"/>
        </w:rPr>
        <w:t>，</w:t>
      </w:r>
    </w:p>
    <w:p>
      <w:pPr>
        <w:pStyle w:val="BodyText"/>
        <w:spacing w:line="350" w:lineRule="auto" w:before="126"/>
        <w:ind w:left="138" w:right="137"/>
        <w:jc w:val="both"/>
      </w:pPr>
      <w:r>
        <w:rPr/>
        <w:t>推广热泵</w:t>
      </w:r>
      <w:r>
        <w:rPr>
          <w:spacing w:val="-54"/>
        </w:rPr>
        <w:t> </w:t>
      </w:r>
      <w:r>
        <w:rPr>
          <w:rFonts w:ascii="宋体" w:hAnsi="宋体" w:cs="宋体" w:eastAsia="宋体" w:hint="default"/>
        </w:rPr>
        <w:t>1</w:t>
      </w:r>
      <w:r>
        <w:rPr>
          <w:rFonts w:ascii="宋体" w:hAnsi="宋体" w:cs="宋体" w:eastAsia="宋体" w:hint="default"/>
          <w:spacing w:val="-56"/>
        </w:rPr>
        <w:t> </w:t>
      </w:r>
      <w:r>
        <w:rPr/>
        <w:t>亿平米。而辽宁省在</w:t>
      </w:r>
      <w:r>
        <w:rPr>
          <w:spacing w:val="-53"/>
        </w:rPr>
        <w:t> </w:t>
      </w:r>
      <w:r>
        <w:rPr>
          <w:rFonts w:ascii="宋体" w:hAnsi="宋体" w:cs="宋体" w:eastAsia="宋体" w:hint="default"/>
        </w:rPr>
        <w:t>2018-2021</w:t>
      </w:r>
      <w:r>
        <w:rPr>
          <w:rFonts w:ascii="宋体" w:hAnsi="宋体" w:cs="宋体" w:eastAsia="宋体" w:hint="default"/>
          <w:spacing w:val="-54"/>
        </w:rPr>
        <w:t> </w:t>
      </w:r>
      <w:r>
        <w:rPr/>
        <w:t>年累计推广清洁取暖</w:t>
      </w:r>
      <w:r>
        <w:rPr>
          <w:spacing w:val="-54"/>
        </w:rPr>
        <w:t> </w:t>
      </w:r>
      <w:r>
        <w:rPr>
          <w:rFonts w:ascii="宋体" w:hAnsi="宋体" w:cs="宋体" w:eastAsia="宋体" w:hint="default"/>
        </w:rPr>
        <w:t>17.8</w:t>
      </w:r>
      <w:r>
        <w:rPr>
          <w:rFonts w:ascii="宋体" w:hAnsi="宋体" w:cs="宋体" w:eastAsia="宋体" w:hint="default"/>
          <w:spacing w:val="-56"/>
        </w:rPr>
        <w:t> </w:t>
      </w:r>
      <w:r>
        <w:rPr/>
        <w:t>亿平方米，其中有</w:t>
      </w:r>
      <w:r>
        <w:rPr>
          <w:spacing w:val="-53"/>
        </w:rPr>
        <w:t> </w:t>
      </w:r>
      <w:r>
        <w:rPr>
          <w:rFonts w:ascii="宋体" w:hAnsi="宋体" w:cs="宋体" w:eastAsia="宋体" w:hint="default"/>
        </w:rPr>
        <w:t>0.05</w:t>
      </w:r>
      <w:r>
        <w:rPr>
          <w:rFonts w:ascii="宋体" w:hAnsi="宋体" w:cs="宋体" w:eastAsia="宋体" w:hint="default"/>
          <w:spacing w:val="-54"/>
        </w:rPr>
        <w:t> </w:t>
      </w:r>
      <w:r>
        <w:rPr/>
        <w:t>亿</w:t>
      </w:r>
      <w:r>
        <w:rPr>
          <w:w w:val="100"/>
        </w:rPr>
        <w:t> </w:t>
      </w:r>
      <w:r>
        <w:rPr>
          <w:spacing w:val="-2"/>
        </w:rPr>
        <w:t>平方米为水源、地源、空气源等热泵供暖。除北方六省外，清洁取暖改造目前已扩散至新疆、内</w:t>
      </w:r>
      <w:r>
        <w:rPr>
          <w:spacing w:val="-25"/>
        </w:rPr>
        <w:t> </w:t>
      </w:r>
      <w:r>
        <w:rPr>
          <w:spacing w:val="-25"/>
        </w:rPr>
      </w:r>
      <w:r>
        <w:rPr>
          <w:spacing w:val="-2"/>
        </w:rPr>
        <w:t>蒙、东北地区以及华中等多个地区，这些地区的热泵集中供暖工程将得到进一步释放，空气能采</w:t>
      </w:r>
      <w:r>
        <w:rPr>
          <w:spacing w:val="-25"/>
        </w:rPr>
        <w:t> </w:t>
      </w:r>
      <w:r>
        <w:rPr>
          <w:spacing w:val="-25"/>
        </w:rPr>
      </w:r>
      <w:r>
        <w:rPr/>
        <w:t>暖将迎来更多市场空间。</w:t>
      </w:r>
    </w:p>
    <w:p>
      <w:pPr>
        <w:pStyle w:val="Heading5"/>
        <w:spacing w:line="240" w:lineRule="auto" w:before="30"/>
        <w:ind w:left="560" w:right="0"/>
        <w:jc w:val="left"/>
        <w:rPr>
          <w:b w:val="0"/>
          <w:bCs w:val="0"/>
        </w:rPr>
      </w:pPr>
      <w:r>
        <w:rPr>
          <w:rFonts w:ascii="宋体" w:hAnsi="宋体" w:cs="宋体" w:eastAsia="宋体" w:hint="default"/>
        </w:rPr>
        <w:t>3.3.3</w:t>
      </w:r>
      <w:r>
        <w:rPr>
          <w:rFonts w:ascii="宋体" w:hAnsi="宋体" w:cs="宋体" w:eastAsia="宋体" w:hint="default"/>
          <w:spacing w:val="-2"/>
        </w:rPr>
        <w:t> </w:t>
      </w:r>
      <w:r>
        <w:rPr/>
        <w:t>竞争升级，资本助力</w:t>
      </w:r>
      <w:r>
        <w:rPr>
          <w:b w:val="0"/>
          <w:bCs w:val="0"/>
        </w:rPr>
      </w:r>
    </w:p>
    <w:p>
      <w:pPr>
        <w:pStyle w:val="BodyText"/>
        <w:spacing w:line="350" w:lineRule="auto" w:before="123"/>
        <w:ind w:left="138" w:right="0" w:firstLine="419"/>
        <w:jc w:val="left"/>
      </w:pPr>
      <w:r>
        <w:rPr>
          <w:spacing w:val="-2"/>
          <w:w w:val="100"/>
        </w:rPr>
        <w:t>资本市场的力量在</w:t>
      </w:r>
      <w:r>
        <w:rPr>
          <w:spacing w:val="-46"/>
          <w:w w:val="100"/>
        </w:rPr>
        <w:t> </w:t>
      </w:r>
      <w:r>
        <w:rPr>
          <w:rFonts w:ascii="宋体" w:hAnsi="宋体" w:cs="宋体" w:eastAsia="宋体" w:hint="default"/>
          <w:spacing w:val="-1"/>
          <w:w w:val="100"/>
        </w:rPr>
        <w:t>2017</w:t>
      </w:r>
      <w:r>
        <w:rPr>
          <w:rFonts w:ascii="宋体" w:hAnsi="宋体" w:cs="宋体" w:eastAsia="宋体" w:hint="default"/>
          <w:spacing w:val="-50"/>
          <w:w w:val="100"/>
        </w:rPr>
        <w:t> </w:t>
      </w:r>
      <w:r>
        <w:rPr>
          <w:spacing w:val="-7"/>
          <w:w w:val="100"/>
        </w:rPr>
        <w:t>年依旧是空气源热泵企业关注的一大层面。继</w:t>
      </w:r>
      <w:r>
        <w:rPr>
          <w:spacing w:val="-47"/>
          <w:w w:val="100"/>
        </w:rPr>
        <w:t> </w:t>
      </w:r>
      <w:r>
        <w:rPr>
          <w:rFonts w:ascii="宋体" w:hAnsi="宋体" w:cs="宋体" w:eastAsia="宋体" w:hint="default"/>
          <w:spacing w:val="-1"/>
          <w:w w:val="100"/>
        </w:rPr>
        <w:t>2016</w:t>
      </w:r>
      <w:r>
        <w:rPr>
          <w:rFonts w:ascii="宋体" w:hAnsi="宋体" w:cs="宋体" w:eastAsia="宋体" w:hint="default"/>
          <w:spacing w:val="-50"/>
          <w:w w:val="100"/>
        </w:rPr>
        <w:t> </w:t>
      </w:r>
      <w:r>
        <w:rPr>
          <w:spacing w:val="-14"/>
          <w:w w:val="100"/>
        </w:rPr>
        <w:t>年华天成、芬尼、</w:t>
      </w:r>
      <w:r>
        <w:rPr>
          <w:w w:val="100"/>
        </w:rPr>
        <w:t> </w:t>
      </w:r>
      <w:r>
        <w:rPr/>
        <w:t>同益、派沃登陆新三板之后，</w:t>
      </w:r>
      <w:r>
        <w:rPr>
          <w:rFonts w:ascii="宋体" w:hAnsi="宋体" w:cs="宋体" w:eastAsia="宋体" w:hint="default"/>
        </w:rPr>
        <w:t>2017</w:t>
      </w:r>
      <w:r>
        <w:rPr>
          <w:rFonts w:ascii="宋体" w:hAnsi="宋体" w:cs="宋体" w:eastAsia="宋体" w:hint="default"/>
          <w:spacing w:val="-35"/>
        </w:rPr>
        <w:t> </w:t>
      </w:r>
      <w:r>
        <w:rPr>
          <w:spacing w:val="-3"/>
        </w:rPr>
        <w:t>年，欧思丹、欧纳尔、创能、双志等企业再登资本市场，相继</w:t>
      </w:r>
      <w:r>
        <w:rPr>
          <w:spacing w:val="-95"/>
        </w:rPr>
        <w:t> </w:t>
      </w:r>
      <w:r>
        <w:rPr>
          <w:spacing w:val="-95"/>
        </w:rPr>
      </w:r>
      <w:r>
        <w:rPr/>
        <w:t>挂牌上市。在爆发的北方市场中，资金压力成为了不少企业加速拓展的制约因素。尤其在</w:t>
      </w:r>
      <w:r>
        <w:rPr>
          <w:spacing w:val="-53"/>
        </w:rPr>
        <w:t> </w:t>
      </w:r>
      <w:r>
        <w:rPr>
          <w:rFonts w:ascii="宋体" w:hAnsi="宋体" w:cs="宋体" w:eastAsia="宋体" w:hint="default"/>
        </w:rPr>
        <w:t>2017</w:t>
      </w:r>
      <w:r>
        <w:rPr>
          <w:rFonts w:ascii="宋体" w:hAnsi="宋体" w:cs="宋体" w:eastAsia="宋体" w:hint="default"/>
          <w:w w:val="100"/>
        </w:rPr>
        <w:t> </w:t>
      </w:r>
      <w:r>
        <w:rPr>
          <w:spacing w:val="-2"/>
        </w:rPr>
        <w:t>年，空调企业进驻热泵采暖市场的步伐加速，与之相比，不少专业型热泵企业基于企业自身及行</w:t>
      </w:r>
      <w:r>
        <w:rPr>
          <w:spacing w:val="-25"/>
        </w:rPr>
        <w:t> </w:t>
      </w:r>
      <w:r>
        <w:rPr>
          <w:spacing w:val="-25"/>
        </w:rPr>
      </w:r>
      <w:r>
        <w:rPr>
          <w:spacing w:val="-2"/>
        </w:rPr>
        <w:t>业整体规模的束缚，不管是资金层面还是产能方面都显得畏手畏脚，与轻松切入采暖市场的部分</w:t>
      </w:r>
      <w:r>
        <w:rPr>
          <w:spacing w:val="-25"/>
        </w:rPr>
        <w:t> </w:t>
      </w:r>
      <w:r>
        <w:rPr>
          <w:spacing w:val="-25"/>
        </w:rPr>
      </w:r>
      <w:r>
        <w:rPr/>
        <w:t>上市空调企业相比，专业型热泵企业显得多少有些吃力。</w:t>
      </w:r>
    </w:p>
    <w:p>
      <w:pPr>
        <w:pStyle w:val="Heading5"/>
        <w:spacing w:line="240" w:lineRule="auto" w:before="27"/>
        <w:ind w:left="138" w:right="0"/>
        <w:jc w:val="left"/>
        <w:rPr>
          <w:b w:val="0"/>
          <w:bCs w:val="0"/>
        </w:rPr>
      </w:pPr>
      <w:r>
        <w:rPr>
          <w:rFonts w:ascii="宋体" w:hAnsi="宋体" w:cs="宋体" w:eastAsia="宋体" w:hint="default"/>
        </w:rPr>
        <w:t>4.</w:t>
      </w:r>
      <w:r>
        <w:rPr/>
        <w:t>厨电领域</w:t>
      </w:r>
      <w:r>
        <w:rPr>
          <w:b w:val="0"/>
          <w:bCs w:val="0"/>
        </w:rPr>
      </w:r>
    </w:p>
    <w:p>
      <w:pPr>
        <w:pStyle w:val="Heading5"/>
        <w:spacing w:line="240" w:lineRule="auto" w:before="126"/>
        <w:ind w:left="550" w:right="0"/>
        <w:jc w:val="left"/>
        <w:rPr>
          <w:b w:val="0"/>
          <w:bCs w:val="0"/>
        </w:rPr>
      </w:pPr>
      <w:r>
        <w:rPr>
          <w:rFonts w:ascii="宋体" w:hAnsi="宋体" w:cs="宋体" w:eastAsia="宋体" w:hint="default"/>
        </w:rPr>
        <w:t>4.1</w:t>
      </w:r>
      <w:r>
        <w:rPr>
          <w:rFonts w:ascii="宋体" w:hAnsi="宋体" w:cs="宋体" w:eastAsia="宋体" w:hint="default"/>
          <w:spacing w:val="-54"/>
        </w:rPr>
        <w:t> </w:t>
      </w:r>
      <w:r>
        <w:rPr/>
        <w:t>行业综述</w:t>
      </w:r>
      <w:r>
        <w:rPr>
          <w:b w:val="0"/>
          <w:bCs w:val="0"/>
        </w:rPr>
      </w:r>
    </w:p>
    <w:p>
      <w:pPr>
        <w:pStyle w:val="BodyText"/>
        <w:spacing w:line="348" w:lineRule="auto" w:before="126"/>
        <w:ind w:left="138" w:right="128" w:firstLine="419"/>
        <w:jc w:val="both"/>
      </w:pPr>
      <w:r>
        <w:rPr>
          <w:spacing w:val="-7"/>
        </w:rPr>
        <w:t>厨电行业面临着房地产调控的后续影响，整体保持小幅增长，根据中怡康的统计，截止 </w:t>
      </w:r>
      <w:r>
        <w:rPr>
          <w:rFonts w:ascii="宋体" w:hAnsi="宋体" w:cs="宋体" w:eastAsia="宋体" w:hint="default"/>
        </w:rPr>
        <w:t>12</w:t>
      </w:r>
      <w:r>
        <w:rPr>
          <w:rFonts w:ascii="宋体" w:hAnsi="宋体" w:cs="宋体" w:eastAsia="宋体" w:hint="default"/>
          <w:spacing w:val="61"/>
        </w:rPr>
        <w:t> </w:t>
      </w:r>
      <w:r>
        <w:rPr/>
        <w:t>月</w:t>
      </w:r>
      <w:r>
        <w:rPr>
          <w:w w:val="100"/>
        </w:rPr>
        <w:t> </w:t>
      </w:r>
      <w:r>
        <w:rPr/>
        <w:t>底，吸油烟机、燃气灶、消毒柜、洗碗机销售额分别为：</w:t>
      </w:r>
      <w:r>
        <w:rPr>
          <w:rFonts w:ascii="宋体" w:hAnsi="宋体" w:cs="宋体" w:eastAsia="宋体" w:hint="default"/>
        </w:rPr>
        <w:t>432.9</w:t>
      </w:r>
      <w:r>
        <w:rPr>
          <w:rFonts w:ascii="宋体" w:hAnsi="宋体" w:cs="宋体" w:eastAsia="宋体" w:hint="default"/>
          <w:spacing w:val="-54"/>
        </w:rPr>
        <w:t> </w:t>
      </w:r>
      <w:r>
        <w:rPr/>
        <w:t>亿元、</w:t>
      </w:r>
      <w:r>
        <w:rPr>
          <w:rFonts w:ascii="宋体" w:hAnsi="宋体" w:cs="宋体" w:eastAsia="宋体" w:hint="default"/>
        </w:rPr>
        <w:t>263.6</w:t>
      </w:r>
      <w:r>
        <w:rPr>
          <w:rFonts w:ascii="宋体" w:hAnsi="宋体" w:cs="宋体" w:eastAsia="宋体" w:hint="default"/>
          <w:spacing w:val="-56"/>
        </w:rPr>
        <w:t> </w:t>
      </w:r>
      <w:r>
        <w:rPr/>
        <w:t>亿元、</w:t>
      </w:r>
      <w:r>
        <w:rPr>
          <w:rFonts w:ascii="宋体" w:hAnsi="宋体" w:cs="宋体" w:eastAsia="宋体" w:hint="default"/>
        </w:rPr>
        <w:t>66.7</w:t>
      </w:r>
      <w:r>
        <w:rPr>
          <w:rFonts w:ascii="宋体" w:hAnsi="宋体" w:cs="宋体" w:eastAsia="宋体" w:hint="default"/>
          <w:spacing w:val="-54"/>
        </w:rPr>
        <w:t> </w:t>
      </w:r>
      <w:r>
        <w:rPr/>
        <w:t>亿元、</w:t>
      </w:r>
      <w:r>
        <w:rPr>
          <w:w w:val="100"/>
        </w:rPr>
        <w:t> </w:t>
      </w:r>
      <w:r>
        <w:rPr>
          <w:rFonts w:ascii="宋体" w:hAnsi="宋体" w:cs="宋体" w:eastAsia="宋体" w:hint="default"/>
        </w:rPr>
        <w:t>43.3 </w:t>
      </w:r>
      <w:r>
        <w:rPr/>
        <w:t>亿元，对应的增长率分别为</w:t>
      </w:r>
      <w:r>
        <w:rPr>
          <w:spacing w:val="-63"/>
        </w:rPr>
        <w:t> </w:t>
      </w:r>
      <w:r>
        <w:rPr>
          <w:rFonts w:ascii="宋体" w:hAnsi="宋体" w:cs="宋体" w:eastAsia="宋体" w:hint="default"/>
        </w:rPr>
        <w:t>4.84%</w:t>
      </w:r>
      <w:r>
        <w:rPr/>
        <w:t>、</w:t>
      </w:r>
      <w:r>
        <w:rPr>
          <w:rFonts w:ascii="宋体" w:hAnsi="宋体" w:cs="宋体" w:eastAsia="宋体" w:hint="default"/>
        </w:rPr>
        <w:t>3.18%</w:t>
      </w:r>
      <w:r>
        <w:rPr/>
        <w:t>、</w:t>
      </w:r>
      <w:r>
        <w:rPr>
          <w:rFonts w:ascii="宋体" w:hAnsi="宋体" w:cs="宋体" w:eastAsia="宋体" w:hint="default"/>
        </w:rPr>
        <w:t>-1.19%</w:t>
      </w:r>
      <w:r>
        <w:rPr/>
        <w:t>、</w:t>
      </w:r>
      <w:r>
        <w:rPr>
          <w:rFonts w:ascii="宋体" w:hAnsi="宋体" w:cs="宋体" w:eastAsia="宋体" w:hint="default"/>
        </w:rPr>
        <w:t>119.0%</w:t>
      </w:r>
      <w:r>
        <w:rPr/>
        <w:t>。</w:t>
      </w:r>
    </w:p>
    <w:p>
      <w:pPr>
        <w:pStyle w:val="BodyText"/>
        <w:spacing w:line="350" w:lineRule="auto" w:before="31"/>
        <w:ind w:left="138" w:right="128" w:firstLine="419"/>
        <w:jc w:val="both"/>
      </w:pPr>
      <w:r>
        <w:rPr>
          <w:rFonts w:ascii="宋体" w:hAnsi="宋体" w:cs="宋体" w:eastAsia="宋体" w:hint="default"/>
        </w:rPr>
        <w:t>2017</w:t>
      </w:r>
      <w:r>
        <w:rPr>
          <w:rFonts w:ascii="宋体" w:hAnsi="宋体" w:cs="宋体" w:eastAsia="宋体" w:hint="default"/>
          <w:spacing w:val="-4"/>
        </w:rPr>
        <w:t> </w:t>
      </w:r>
      <w:r>
        <w:rPr>
          <w:spacing w:val="-3"/>
        </w:rPr>
        <w:t>年的厨电市场传统品类结构明显升级、新兴品类特别是洗碗机高速增长是推动行业增长</w:t>
      </w:r>
      <w:r>
        <w:rPr>
          <w:w w:val="100"/>
        </w:rPr>
        <w:t> </w:t>
      </w:r>
      <w:r>
        <w:rPr>
          <w:spacing w:val="-2"/>
        </w:rPr>
        <w:t>的重要因素。高增长、高利润率吸引来更多参与者试图从中分一杯羹，洗碗机、嵌入式微蒸烤品</w:t>
      </w:r>
      <w:r>
        <w:rPr>
          <w:spacing w:val="-25"/>
        </w:rPr>
        <w:t> </w:t>
      </w:r>
      <w:r>
        <w:rPr>
          <w:spacing w:val="-25"/>
        </w:rPr>
      </w:r>
      <w:r>
        <w:rPr/>
        <w:t>类品牌数量大幅增加，</w:t>
      </w:r>
      <w:r>
        <w:rPr>
          <w:rFonts w:ascii="宋体" w:hAnsi="宋体" w:cs="宋体" w:eastAsia="宋体" w:hint="default"/>
        </w:rPr>
        <w:t>TOP</w:t>
      </w:r>
      <w:r>
        <w:rPr>
          <w:rFonts w:ascii="宋体" w:hAnsi="宋体" w:cs="宋体" w:eastAsia="宋体" w:hint="default"/>
          <w:spacing w:val="-55"/>
        </w:rPr>
        <w:t> </w:t>
      </w:r>
      <w:r>
        <w:rPr/>
        <w:t>品牌集中度明显下降，行业竞争激烈程度加剧。面对激烈的竞争，各</w:t>
      </w:r>
      <w:r>
        <w:rPr>
          <w:w w:val="100"/>
        </w:rPr>
        <w:t> </w:t>
      </w:r>
      <w:r>
        <w:rPr>
          <w:spacing w:val="-2"/>
        </w:rPr>
        <w:t>主流品牌纷纷迭代自家产品以保持竞争力，从市场表现上看，油烟机品类性能明显升级，多眼灶</w:t>
      </w:r>
      <w:r>
        <w:rPr>
          <w:spacing w:val="-25"/>
        </w:rPr>
        <w:t> </w:t>
      </w:r>
      <w:r>
        <w:rPr>
          <w:spacing w:val="-25"/>
        </w:rPr>
      </w:r>
      <w:r>
        <w:rPr>
          <w:rFonts w:ascii="宋体" w:hAnsi="宋体" w:cs="宋体" w:eastAsia="宋体" w:hint="default"/>
        </w:rPr>
        <w:t>2017 </w:t>
      </w:r>
      <w:r>
        <w:rPr>
          <w:spacing w:val="-3"/>
        </w:rPr>
        <w:t>年表现突出，不仅同比增长大幅高于行业，均价也大幅提升，或将成为灶具行业结构升级的</w:t>
      </w:r>
      <w:r>
        <w:rPr>
          <w:spacing w:val="-88"/>
        </w:rPr>
        <w:t> </w:t>
      </w:r>
      <w:r>
        <w:rPr>
          <w:spacing w:val="-88"/>
        </w:rPr>
      </w:r>
      <w:r>
        <w:rPr/>
        <w:t>方向。</w:t>
      </w:r>
    </w:p>
    <w:p>
      <w:pPr>
        <w:pStyle w:val="Heading5"/>
        <w:spacing w:line="240" w:lineRule="auto" w:before="29"/>
        <w:ind w:left="560" w:right="0"/>
        <w:jc w:val="left"/>
        <w:rPr>
          <w:b w:val="0"/>
          <w:bCs w:val="0"/>
        </w:rPr>
      </w:pPr>
      <w:r>
        <w:rPr>
          <w:rFonts w:ascii="宋体" w:hAnsi="宋体" w:cs="宋体" w:eastAsia="宋体" w:hint="default"/>
        </w:rPr>
        <w:t>4.2</w:t>
      </w:r>
      <w:r>
        <w:rPr>
          <w:rFonts w:ascii="宋体" w:hAnsi="宋体" w:cs="宋体" w:eastAsia="宋体" w:hint="default"/>
          <w:spacing w:val="-1"/>
        </w:rPr>
        <w:t> </w:t>
      </w:r>
      <w:r>
        <w:rPr/>
        <w:t>竞争格局</w:t>
      </w:r>
      <w:r>
        <w:rPr>
          <w:b w:val="0"/>
          <w:bCs w:val="0"/>
        </w:rPr>
      </w:r>
    </w:p>
    <w:p>
      <w:pPr>
        <w:spacing w:line="350" w:lineRule="auto" w:before="12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4.2.1</w:t>
      </w:r>
      <w:r>
        <w:rPr>
          <w:rFonts w:ascii="宋体" w:hAnsi="宋体" w:cs="宋体" w:eastAsia="宋体" w:hint="default"/>
          <w:b/>
          <w:bCs/>
          <w:spacing w:val="-1"/>
          <w:sz w:val="21"/>
          <w:szCs w:val="21"/>
        </w:rPr>
        <w:t> </w:t>
      </w:r>
      <w:r>
        <w:rPr>
          <w:rFonts w:ascii="宋体" w:hAnsi="宋体" w:cs="宋体" w:eastAsia="宋体" w:hint="default"/>
          <w:b/>
          <w:bCs/>
          <w:sz w:val="21"/>
          <w:szCs w:val="21"/>
        </w:rPr>
        <w:t>总体竞争格局</w:t>
      </w:r>
      <w:r>
        <w:rPr>
          <w:rFonts w:ascii="宋体" w:hAnsi="宋体" w:cs="宋体" w:eastAsia="宋体" w:hint="default"/>
          <w:b/>
          <w:bCs/>
          <w:w w:val="100"/>
          <w:sz w:val="21"/>
          <w:szCs w:val="21"/>
        </w:rPr>
        <w:t> </w:t>
      </w:r>
      <w:r>
        <w:rPr>
          <w:rFonts w:ascii="宋体" w:hAnsi="宋体" w:cs="宋体" w:eastAsia="宋体" w:hint="default"/>
          <w:spacing w:val="-2"/>
          <w:sz w:val="21"/>
          <w:szCs w:val="21"/>
        </w:rPr>
        <w:t>厨卫市场较好的市场表现</w:t>
      </w:r>
      <w:r>
        <w:rPr>
          <w:rFonts w:ascii="宋体" w:hAnsi="宋体" w:cs="宋体" w:eastAsia="宋体" w:hint="default"/>
          <w:color w:val="212121"/>
          <w:spacing w:val="-2"/>
          <w:sz w:val="21"/>
          <w:szCs w:val="21"/>
        </w:rPr>
        <w:t>，也不断吸引着更多品牌的进入，据中怡康零售监测数据看，吸油</w:t>
      </w:r>
      <w:r>
        <w:rPr>
          <w:rFonts w:ascii="宋体" w:hAnsi="宋体" w:cs="宋体" w:eastAsia="宋体" w:hint="default"/>
          <w:spacing w:val="-2"/>
          <w:sz w:val="21"/>
          <w:szCs w:val="21"/>
        </w:rPr>
      </w:r>
    </w:p>
    <w:p>
      <w:pPr>
        <w:pStyle w:val="BodyText"/>
        <w:spacing w:line="348" w:lineRule="auto" w:before="29"/>
        <w:ind w:left="138" w:right="124"/>
        <w:jc w:val="left"/>
      </w:pPr>
      <w:r>
        <w:rPr>
          <w:color w:val="212121"/>
        </w:rPr>
        <w:t>烟机、燃气灶、热水器、电烤箱、净水设备等产品的</w:t>
      </w:r>
      <w:r>
        <w:rPr>
          <w:color w:val="212121"/>
          <w:spacing w:val="-55"/>
        </w:rPr>
        <w:t> </w:t>
      </w:r>
      <w:r>
        <w:rPr>
          <w:rFonts w:ascii="宋体" w:hAnsi="宋体" w:cs="宋体" w:eastAsia="宋体" w:hint="default"/>
          <w:color w:val="212121"/>
        </w:rPr>
        <w:t>2017</w:t>
      </w:r>
      <w:r>
        <w:rPr>
          <w:rFonts w:ascii="宋体" w:hAnsi="宋体" w:cs="宋体" w:eastAsia="宋体" w:hint="default"/>
          <w:color w:val="212121"/>
          <w:spacing w:val="-55"/>
        </w:rPr>
        <w:t> </w:t>
      </w:r>
      <w:r>
        <w:rPr>
          <w:color w:val="212121"/>
        </w:rPr>
        <w:t>年的全渠道在销品牌数量分别为</w:t>
      </w:r>
      <w:r>
        <w:rPr>
          <w:color w:val="212121"/>
          <w:spacing w:val="-55"/>
        </w:rPr>
        <w:t> </w:t>
      </w:r>
      <w:r>
        <w:rPr>
          <w:rFonts w:ascii="宋体" w:hAnsi="宋体" w:cs="宋体" w:eastAsia="宋体" w:hint="default"/>
          <w:color w:val="212121"/>
        </w:rPr>
        <w:t>475</w:t>
      </w:r>
      <w:r>
        <w:rPr>
          <w:rFonts w:ascii="宋体" w:hAnsi="宋体" w:cs="宋体" w:eastAsia="宋体" w:hint="default"/>
          <w:color w:val="212121"/>
          <w:w w:val="100"/>
        </w:rPr>
        <w:t> </w:t>
      </w:r>
      <w:r>
        <w:rPr>
          <w:color w:val="212121"/>
          <w:spacing w:val="-7"/>
        </w:rPr>
        <w:t>个、</w:t>
      </w:r>
      <w:r>
        <w:rPr>
          <w:rFonts w:ascii="宋体" w:hAnsi="宋体" w:cs="宋体" w:eastAsia="宋体" w:hint="default"/>
          <w:color w:val="212121"/>
          <w:spacing w:val="-7"/>
        </w:rPr>
        <w:t>546</w:t>
      </w:r>
      <w:r>
        <w:rPr>
          <w:rFonts w:ascii="宋体" w:hAnsi="宋体" w:cs="宋体" w:eastAsia="宋体" w:hint="default"/>
          <w:color w:val="212121"/>
          <w:spacing w:val="-47"/>
        </w:rPr>
        <w:t> </w:t>
      </w:r>
      <w:r>
        <w:rPr>
          <w:color w:val="212121"/>
          <w:spacing w:val="-8"/>
        </w:rPr>
        <w:t>个、</w:t>
      </w:r>
      <w:r>
        <w:rPr>
          <w:rFonts w:ascii="宋体" w:hAnsi="宋体" w:cs="宋体" w:eastAsia="宋体" w:hint="default"/>
          <w:color w:val="212121"/>
          <w:spacing w:val="-8"/>
        </w:rPr>
        <w:t>416</w:t>
      </w:r>
      <w:r>
        <w:rPr>
          <w:rFonts w:ascii="宋体" w:hAnsi="宋体" w:cs="宋体" w:eastAsia="宋体" w:hint="default"/>
          <w:color w:val="212121"/>
          <w:spacing w:val="-47"/>
        </w:rPr>
        <w:t> </w:t>
      </w:r>
      <w:r>
        <w:rPr>
          <w:color w:val="212121"/>
          <w:spacing w:val="-8"/>
        </w:rPr>
        <w:t>个、</w:t>
      </w:r>
      <w:r>
        <w:rPr>
          <w:rFonts w:ascii="宋体" w:hAnsi="宋体" w:cs="宋体" w:eastAsia="宋体" w:hint="default"/>
          <w:color w:val="212121"/>
          <w:spacing w:val="-8"/>
        </w:rPr>
        <w:t>246</w:t>
      </w:r>
      <w:r>
        <w:rPr>
          <w:rFonts w:ascii="宋体" w:hAnsi="宋体" w:cs="宋体" w:eastAsia="宋体" w:hint="default"/>
          <w:color w:val="212121"/>
          <w:spacing w:val="-50"/>
        </w:rPr>
        <w:t> </w:t>
      </w:r>
      <w:r>
        <w:rPr>
          <w:color w:val="212121"/>
          <w:spacing w:val="-7"/>
        </w:rPr>
        <w:t>个、</w:t>
      </w:r>
      <w:r>
        <w:rPr>
          <w:rFonts w:ascii="宋体" w:hAnsi="宋体" w:cs="宋体" w:eastAsia="宋体" w:hint="default"/>
          <w:color w:val="212121"/>
          <w:spacing w:val="-7"/>
        </w:rPr>
        <w:t>284</w:t>
      </w:r>
      <w:r>
        <w:rPr>
          <w:rFonts w:ascii="宋体" w:hAnsi="宋体" w:cs="宋体" w:eastAsia="宋体" w:hint="default"/>
          <w:color w:val="212121"/>
          <w:spacing w:val="-47"/>
        </w:rPr>
        <w:t> </w:t>
      </w:r>
      <w:r>
        <w:rPr>
          <w:color w:val="212121"/>
          <w:spacing w:val="-4"/>
        </w:rPr>
        <w:t>个，其中新进入品牌数量分别为</w:t>
      </w:r>
      <w:r>
        <w:rPr>
          <w:color w:val="212121"/>
          <w:spacing w:val="-47"/>
        </w:rPr>
        <w:t> </w:t>
      </w:r>
      <w:r>
        <w:rPr>
          <w:rFonts w:ascii="宋体" w:hAnsi="宋体" w:cs="宋体" w:eastAsia="宋体" w:hint="default"/>
          <w:color w:val="212121"/>
        </w:rPr>
        <w:t>105</w:t>
      </w:r>
      <w:r>
        <w:rPr>
          <w:rFonts w:ascii="宋体" w:hAnsi="宋体" w:cs="宋体" w:eastAsia="宋体" w:hint="default"/>
          <w:color w:val="212121"/>
          <w:spacing w:val="-47"/>
        </w:rPr>
        <w:t> </w:t>
      </w:r>
      <w:r>
        <w:rPr>
          <w:color w:val="212121"/>
          <w:spacing w:val="-8"/>
        </w:rPr>
        <w:t>个、</w:t>
      </w:r>
      <w:r>
        <w:rPr>
          <w:rFonts w:ascii="宋体" w:hAnsi="宋体" w:cs="宋体" w:eastAsia="宋体" w:hint="default"/>
          <w:color w:val="212121"/>
          <w:spacing w:val="-8"/>
        </w:rPr>
        <w:t>127</w:t>
      </w:r>
      <w:r>
        <w:rPr>
          <w:rFonts w:ascii="宋体" w:hAnsi="宋体" w:cs="宋体" w:eastAsia="宋体" w:hint="default"/>
          <w:color w:val="212121"/>
          <w:spacing w:val="-50"/>
        </w:rPr>
        <w:t> </w:t>
      </w:r>
      <w:r>
        <w:rPr>
          <w:color w:val="212121"/>
          <w:spacing w:val="-9"/>
        </w:rPr>
        <w:t>个、</w:t>
      </w:r>
      <w:r>
        <w:rPr>
          <w:rFonts w:ascii="宋体" w:hAnsi="宋体" w:cs="宋体" w:eastAsia="宋体" w:hint="default"/>
          <w:color w:val="212121"/>
          <w:spacing w:val="-9"/>
        </w:rPr>
        <w:t>84</w:t>
      </w:r>
      <w:r>
        <w:rPr>
          <w:rFonts w:ascii="宋体" w:hAnsi="宋体" w:cs="宋体" w:eastAsia="宋体" w:hint="default"/>
          <w:color w:val="212121"/>
          <w:spacing w:val="-47"/>
        </w:rPr>
        <w:t> </w:t>
      </w:r>
      <w:r>
        <w:rPr>
          <w:color w:val="212121"/>
          <w:spacing w:val="-9"/>
        </w:rPr>
        <w:t>个、</w:t>
      </w:r>
      <w:r>
        <w:rPr>
          <w:rFonts w:ascii="宋体" w:hAnsi="宋体" w:cs="宋体" w:eastAsia="宋体" w:hint="default"/>
          <w:color w:val="212121"/>
          <w:spacing w:val="-9"/>
        </w:rPr>
        <w:t>73</w:t>
      </w:r>
      <w:r>
        <w:rPr>
          <w:rFonts w:ascii="宋体" w:hAnsi="宋体" w:cs="宋体" w:eastAsia="宋体" w:hint="default"/>
          <w:color w:val="212121"/>
          <w:spacing w:val="-50"/>
        </w:rPr>
        <w:t> </w:t>
      </w:r>
      <w:r>
        <w:rPr>
          <w:color w:val="212121"/>
        </w:rPr>
        <w:t>个、</w:t>
      </w:r>
      <w:r>
        <w:rPr>
          <w:color w:val="212121"/>
          <w:spacing w:val="-102"/>
        </w:rPr>
        <w:t> </w:t>
      </w:r>
      <w:r>
        <w:rPr>
          <w:rFonts w:ascii="宋体" w:hAnsi="宋体" w:cs="宋体" w:eastAsia="宋体" w:hint="default"/>
          <w:color w:val="212121"/>
        </w:rPr>
        <w:t>79</w:t>
      </w:r>
      <w:r>
        <w:rPr>
          <w:rFonts w:ascii="宋体" w:hAnsi="宋体" w:cs="宋体" w:eastAsia="宋体" w:hint="default"/>
          <w:color w:val="212121"/>
          <w:spacing w:val="-54"/>
        </w:rPr>
        <w:t> </w:t>
      </w:r>
      <w:r>
        <w:rPr>
          <w:color w:val="212121"/>
        </w:rPr>
        <w:t>个，退出品牌数量分别是</w:t>
      </w:r>
      <w:r>
        <w:rPr>
          <w:color w:val="212121"/>
          <w:spacing w:val="-54"/>
        </w:rPr>
        <w:t> </w:t>
      </w:r>
      <w:r>
        <w:rPr>
          <w:rFonts w:ascii="宋体" w:hAnsi="宋体" w:cs="宋体" w:eastAsia="宋体" w:hint="default"/>
          <w:color w:val="212121"/>
        </w:rPr>
        <w:t>102</w:t>
      </w:r>
      <w:r>
        <w:rPr>
          <w:rFonts w:ascii="宋体" w:hAnsi="宋体" w:cs="宋体" w:eastAsia="宋体" w:hint="default"/>
          <w:color w:val="212121"/>
          <w:spacing w:val="-56"/>
        </w:rPr>
        <w:t> </w:t>
      </w:r>
      <w:r>
        <w:rPr>
          <w:color w:val="212121"/>
        </w:rPr>
        <w:t>个、</w:t>
      </w:r>
      <w:r>
        <w:rPr>
          <w:rFonts w:ascii="宋体" w:hAnsi="宋体" w:cs="宋体" w:eastAsia="宋体" w:hint="default"/>
          <w:color w:val="212121"/>
        </w:rPr>
        <w:t>115</w:t>
      </w:r>
      <w:r>
        <w:rPr>
          <w:rFonts w:ascii="宋体" w:hAnsi="宋体" w:cs="宋体" w:eastAsia="宋体" w:hint="default"/>
          <w:color w:val="212121"/>
          <w:spacing w:val="-56"/>
        </w:rPr>
        <w:t> </w:t>
      </w:r>
      <w:r>
        <w:rPr>
          <w:color w:val="212121"/>
        </w:rPr>
        <w:t>个、</w:t>
      </w:r>
      <w:r>
        <w:rPr>
          <w:rFonts w:ascii="宋体" w:hAnsi="宋体" w:cs="宋体" w:eastAsia="宋体" w:hint="default"/>
          <w:color w:val="212121"/>
        </w:rPr>
        <w:t>60</w:t>
      </w:r>
      <w:r>
        <w:rPr>
          <w:rFonts w:ascii="宋体" w:hAnsi="宋体" w:cs="宋体" w:eastAsia="宋体" w:hint="default"/>
          <w:color w:val="212121"/>
          <w:spacing w:val="-54"/>
        </w:rPr>
        <w:t> </w:t>
      </w:r>
      <w:r>
        <w:rPr>
          <w:color w:val="212121"/>
        </w:rPr>
        <w:t>个、</w:t>
      </w:r>
      <w:r>
        <w:rPr>
          <w:rFonts w:ascii="宋体" w:hAnsi="宋体" w:cs="宋体" w:eastAsia="宋体" w:hint="default"/>
          <w:color w:val="212121"/>
        </w:rPr>
        <w:t>32</w:t>
      </w:r>
      <w:r>
        <w:rPr>
          <w:rFonts w:ascii="宋体" w:hAnsi="宋体" w:cs="宋体" w:eastAsia="宋体" w:hint="default"/>
          <w:color w:val="212121"/>
          <w:spacing w:val="-56"/>
        </w:rPr>
        <w:t> </w:t>
      </w:r>
      <w:r>
        <w:rPr>
          <w:color w:val="212121"/>
        </w:rPr>
        <w:t>个、</w:t>
      </w:r>
      <w:r>
        <w:rPr>
          <w:rFonts w:ascii="宋体" w:hAnsi="宋体" w:cs="宋体" w:eastAsia="宋体" w:hint="default"/>
          <w:color w:val="212121"/>
        </w:rPr>
        <w:t>38</w:t>
      </w:r>
      <w:r>
        <w:rPr>
          <w:rFonts w:ascii="宋体" w:hAnsi="宋体" w:cs="宋体" w:eastAsia="宋体" w:hint="default"/>
          <w:color w:val="212121"/>
          <w:spacing w:val="-54"/>
        </w:rPr>
        <w:t> </w:t>
      </w:r>
      <w:r>
        <w:rPr>
          <w:color w:val="212121"/>
        </w:rPr>
        <w:t>个。整体上看厨卫市场各品类新</w:t>
      </w:r>
      <w:r>
        <w:rPr>
          <w:color w:val="212121"/>
          <w:w w:val="100"/>
        </w:rPr>
        <w:t> </w:t>
      </w:r>
      <w:r>
        <w:rPr>
          <w:color w:val="212121"/>
          <w:spacing w:val="-6"/>
          <w:w w:val="100"/>
        </w:rPr>
        <w:t>进品牌数量均要大于退出品牌数，参与市场竞争的品牌总数在不断增加，行业市场活力不断增强，</w:t>
      </w:r>
      <w:r>
        <w:rPr>
          <w:color w:val="212121"/>
          <w:spacing w:val="-104"/>
          <w:w w:val="100"/>
        </w:rPr>
        <w:t> </w:t>
      </w:r>
      <w:r>
        <w:rPr>
          <w:color w:val="212121"/>
          <w:spacing w:val="-104"/>
          <w:w w:val="100"/>
        </w:rPr>
      </w:r>
      <w:r>
        <w:rPr>
          <w:color w:val="212121"/>
        </w:rPr>
        <w:t>市场竞争进一步加剧。</w:t>
      </w:r>
      <w:r>
        <w:rPr/>
      </w:r>
    </w:p>
    <w:p>
      <w:pPr>
        <w:spacing w:after="0" w:line="348"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350" w:lineRule="auto" w:before="0"/>
        <w:ind w:left="558" w:right="0" w:firstLine="2"/>
        <w:jc w:val="left"/>
        <w:rPr>
          <w:rFonts w:ascii="宋体" w:hAnsi="宋体" w:cs="宋体" w:eastAsia="宋体" w:hint="default"/>
          <w:sz w:val="21"/>
          <w:szCs w:val="21"/>
        </w:rPr>
      </w:pPr>
      <w:r>
        <w:rPr>
          <w:rFonts w:ascii="宋体" w:hAnsi="宋体" w:cs="宋体" w:eastAsia="宋体" w:hint="default"/>
          <w:b/>
          <w:bCs/>
          <w:color w:val="212121"/>
          <w:sz w:val="21"/>
          <w:szCs w:val="21"/>
        </w:rPr>
        <w:t>4.2.2</w:t>
      </w:r>
      <w:r>
        <w:rPr>
          <w:rFonts w:ascii="宋体" w:hAnsi="宋体" w:cs="宋体" w:eastAsia="宋体" w:hint="default"/>
          <w:b/>
          <w:bCs/>
          <w:color w:val="212121"/>
          <w:spacing w:val="-1"/>
          <w:sz w:val="21"/>
          <w:szCs w:val="21"/>
        </w:rPr>
        <w:t> </w:t>
      </w:r>
      <w:r>
        <w:rPr>
          <w:rFonts w:ascii="宋体" w:hAnsi="宋体" w:cs="宋体" w:eastAsia="宋体" w:hint="default"/>
          <w:b/>
          <w:bCs/>
          <w:color w:val="212121"/>
          <w:sz w:val="21"/>
          <w:szCs w:val="21"/>
        </w:rPr>
        <w:t>零售份额排名</w:t>
      </w:r>
      <w:r>
        <w:rPr>
          <w:rFonts w:ascii="宋体" w:hAnsi="宋体" w:cs="宋体" w:eastAsia="宋体" w:hint="default"/>
          <w:b/>
          <w:bCs/>
          <w:color w:val="212121"/>
          <w:w w:val="100"/>
          <w:sz w:val="21"/>
          <w:szCs w:val="21"/>
        </w:rPr>
        <w:t> </w:t>
      </w:r>
      <w:r>
        <w:rPr>
          <w:rFonts w:ascii="宋体" w:hAnsi="宋体" w:cs="宋体" w:eastAsia="宋体" w:hint="default"/>
          <w:spacing w:val="-7"/>
          <w:sz w:val="21"/>
          <w:szCs w:val="21"/>
        </w:rPr>
        <w:t>在吸油烟机、燃气灶领域，行业格局已较为稳定，线上各大品牌表现也基本与线下情况相符。</w:t>
      </w:r>
    </w:p>
    <w:p>
      <w:pPr>
        <w:pStyle w:val="BodyText"/>
        <w:spacing w:line="348" w:lineRule="auto" w:before="29"/>
        <w:ind w:left="138" w:right="127"/>
        <w:jc w:val="both"/>
      </w:pPr>
      <w:r>
        <w:rPr>
          <w:spacing w:val="-6"/>
        </w:rPr>
        <w:t>在吸油烟机、燃气灶领域内前几大品牌分别为方太、老板、华帝、美的、西门子、万和、万家乐。</w:t>
      </w:r>
      <w:r>
        <w:rPr>
          <w:spacing w:val="-53"/>
        </w:rPr>
        <w:t> </w:t>
      </w:r>
      <w:r>
        <w:rPr>
          <w:spacing w:val="-53"/>
        </w:rPr>
      </w:r>
      <w:r>
        <w:rPr>
          <w:spacing w:val="-1"/>
        </w:rPr>
        <w:t>其线上市场占有率分别为：</w:t>
      </w:r>
      <w:r>
        <w:rPr>
          <w:rFonts w:ascii="宋体" w:hAnsi="宋体" w:cs="宋体" w:eastAsia="宋体" w:hint="default"/>
          <w:spacing w:val="-1"/>
        </w:rPr>
        <w:t>21.1%</w:t>
      </w:r>
      <w:r>
        <w:rPr>
          <w:spacing w:val="-1"/>
        </w:rPr>
        <w:t>、</w:t>
      </w:r>
      <w:r>
        <w:rPr>
          <w:rFonts w:ascii="宋体" w:hAnsi="宋体" w:cs="宋体" w:eastAsia="宋体" w:hint="default"/>
          <w:spacing w:val="-1"/>
        </w:rPr>
        <w:t>21.4%</w:t>
      </w:r>
      <w:r>
        <w:rPr>
          <w:spacing w:val="-1"/>
        </w:rPr>
        <w:t>、</w:t>
      </w:r>
      <w:r>
        <w:rPr>
          <w:rFonts w:ascii="宋体" w:hAnsi="宋体" w:cs="宋体" w:eastAsia="宋体" w:hint="default"/>
          <w:spacing w:val="-1"/>
        </w:rPr>
        <w:t>11.8%</w:t>
      </w:r>
      <w:r>
        <w:rPr>
          <w:spacing w:val="-1"/>
        </w:rPr>
        <w:t>、</w:t>
      </w:r>
      <w:r>
        <w:rPr>
          <w:rFonts w:ascii="宋体" w:hAnsi="宋体" w:cs="宋体" w:eastAsia="宋体" w:hint="default"/>
          <w:spacing w:val="-1"/>
        </w:rPr>
        <w:t>14.3%</w:t>
      </w:r>
      <w:r>
        <w:rPr>
          <w:spacing w:val="-1"/>
        </w:rPr>
        <w:t>、</w:t>
      </w:r>
      <w:r>
        <w:rPr>
          <w:rFonts w:ascii="宋体" w:hAnsi="宋体" w:cs="宋体" w:eastAsia="宋体" w:hint="default"/>
          <w:spacing w:val="-1"/>
        </w:rPr>
        <w:t>2.5%</w:t>
      </w:r>
      <w:r>
        <w:rPr>
          <w:spacing w:val="-1"/>
        </w:rPr>
        <w:t>、</w:t>
      </w:r>
      <w:r>
        <w:rPr>
          <w:rFonts w:ascii="宋体" w:hAnsi="宋体" w:cs="宋体" w:eastAsia="宋体" w:hint="default"/>
          <w:spacing w:val="-1"/>
        </w:rPr>
        <w:t>1.9%</w:t>
      </w:r>
      <w:r>
        <w:rPr>
          <w:spacing w:val="-1"/>
        </w:rPr>
        <w:t>、</w:t>
      </w:r>
      <w:r>
        <w:rPr>
          <w:rFonts w:ascii="宋体" w:hAnsi="宋体" w:cs="宋体" w:eastAsia="宋体" w:hint="default"/>
          <w:spacing w:val="-1"/>
        </w:rPr>
        <w:t>1.6%</w:t>
      </w:r>
      <w:r>
        <w:rPr>
          <w:spacing w:val="-1"/>
        </w:rPr>
        <w:t>、</w:t>
      </w:r>
      <w:r>
        <w:rPr>
          <w:rFonts w:ascii="宋体" w:hAnsi="宋体" w:cs="宋体" w:eastAsia="宋体" w:hint="default"/>
          <w:spacing w:val="-1"/>
        </w:rPr>
        <w:t>2.9%</w:t>
      </w:r>
      <w:r>
        <w:rPr>
          <w:spacing w:val="-1"/>
        </w:rPr>
        <w:t>；来自线下</w:t>
      </w:r>
      <w:r>
        <w:rPr>
          <w:spacing w:val="-55"/>
        </w:rPr>
        <w:t> </w:t>
      </w:r>
      <w:r>
        <w:rPr>
          <w:spacing w:val="-55"/>
        </w:rPr>
      </w:r>
      <w:r>
        <w:rPr/>
        <w:t>统计的数据为：</w:t>
      </w:r>
      <w:r>
        <w:rPr>
          <w:rFonts w:ascii="宋体" w:hAnsi="宋体" w:cs="宋体" w:eastAsia="宋体" w:hint="default"/>
        </w:rPr>
        <w:t>23.4%</w:t>
      </w:r>
      <w:r>
        <w:rPr/>
        <w:t>、</w:t>
      </w:r>
      <w:r>
        <w:rPr>
          <w:rFonts w:ascii="宋体" w:hAnsi="宋体" w:cs="宋体" w:eastAsia="宋体" w:hint="default"/>
        </w:rPr>
        <w:t>26.5%</w:t>
      </w:r>
      <w:r>
        <w:rPr/>
        <w:t>、</w:t>
      </w:r>
      <w:r>
        <w:rPr>
          <w:rFonts w:ascii="宋体" w:hAnsi="宋体" w:cs="宋体" w:eastAsia="宋体" w:hint="default"/>
        </w:rPr>
        <w:t>9.5%</w:t>
      </w:r>
      <w:r>
        <w:rPr/>
        <w:t>、</w:t>
      </w:r>
      <w:r>
        <w:rPr>
          <w:rFonts w:ascii="宋体" w:hAnsi="宋体" w:cs="宋体" w:eastAsia="宋体" w:hint="default"/>
        </w:rPr>
        <w:t>8.7%</w:t>
      </w:r>
      <w:r>
        <w:rPr/>
        <w:t>、</w:t>
      </w:r>
      <w:r>
        <w:rPr>
          <w:rFonts w:ascii="宋体" w:hAnsi="宋体" w:cs="宋体" w:eastAsia="宋体" w:hint="default"/>
        </w:rPr>
        <w:t>4.9%</w:t>
      </w:r>
      <w:r>
        <w:rPr/>
        <w:t>、</w:t>
      </w:r>
      <w:r>
        <w:rPr>
          <w:rFonts w:ascii="宋体" w:hAnsi="宋体" w:cs="宋体" w:eastAsia="宋体" w:hint="default"/>
        </w:rPr>
        <w:t>2.8%</w:t>
      </w:r>
      <w:r>
        <w:rPr/>
        <w:t>、</w:t>
      </w:r>
      <w:r>
        <w:rPr>
          <w:rFonts w:ascii="宋体" w:hAnsi="宋体" w:cs="宋体" w:eastAsia="宋体" w:hint="default"/>
        </w:rPr>
        <w:t>2.8%</w:t>
      </w:r>
      <w:r>
        <w:rPr/>
        <w:t>、</w:t>
      </w:r>
      <w:r>
        <w:rPr>
          <w:rFonts w:ascii="宋体" w:hAnsi="宋体" w:cs="宋体" w:eastAsia="宋体" w:hint="default"/>
        </w:rPr>
        <w:t>2.4%</w:t>
      </w:r>
      <w:r>
        <w:rPr/>
        <w:t>。</w:t>
      </w:r>
    </w:p>
    <w:p>
      <w:pPr>
        <w:pStyle w:val="BodyText"/>
        <w:spacing w:line="348" w:lineRule="auto" w:before="31"/>
        <w:ind w:left="138" w:right="128" w:firstLine="419"/>
        <w:jc w:val="both"/>
      </w:pPr>
      <w:r>
        <w:rPr>
          <w:spacing w:val="-3"/>
        </w:rPr>
        <w:t>洗碗机作为厨电领域内较新的产品，</w:t>
      </w:r>
      <w:r>
        <w:rPr>
          <w:rFonts w:ascii="宋体" w:hAnsi="宋体" w:cs="宋体" w:eastAsia="宋体" w:hint="default"/>
          <w:spacing w:val="-3"/>
        </w:rPr>
        <w:t>2017</w:t>
      </w:r>
      <w:r>
        <w:rPr>
          <w:rFonts w:ascii="宋体" w:hAnsi="宋体" w:cs="宋体" w:eastAsia="宋体" w:hint="default"/>
          <w:spacing w:val="2"/>
        </w:rPr>
        <w:t> </w:t>
      </w:r>
      <w:r>
        <w:rPr>
          <w:spacing w:val="-3"/>
        </w:rPr>
        <w:t>年各大厂商纷纷发力布局。目前在洗碗机领域内表</w:t>
      </w:r>
      <w:r>
        <w:rPr>
          <w:w w:val="100"/>
        </w:rPr>
        <w:t> </w:t>
      </w:r>
      <w:r>
        <w:rPr/>
        <w:t>现较好的几个品牌为：方太、美的、西门子。</w:t>
      </w:r>
    </w:p>
    <w:p>
      <w:pPr>
        <w:pStyle w:val="Heading5"/>
        <w:spacing w:line="240" w:lineRule="auto" w:before="31"/>
        <w:ind w:left="560" w:right="0"/>
        <w:jc w:val="left"/>
        <w:rPr>
          <w:b w:val="0"/>
          <w:bCs w:val="0"/>
        </w:rPr>
      </w:pPr>
      <w:r>
        <w:rPr>
          <w:rFonts w:ascii="宋体" w:hAnsi="宋体" w:cs="宋体" w:eastAsia="宋体" w:hint="default"/>
        </w:rPr>
        <w:t>4.3 </w:t>
      </w:r>
      <w:r>
        <w:rPr/>
        <w:t>行业发展特点</w:t>
      </w:r>
      <w:r>
        <w:rPr>
          <w:b w:val="0"/>
          <w:bCs w:val="0"/>
        </w:rPr>
      </w:r>
    </w:p>
    <w:p>
      <w:pPr>
        <w:pStyle w:val="BodyText"/>
        <w:spacing w:line="240" w:lineRule="auto" w:before="126"/>
        <w:ind w:left="558" w:right="0"/>
        <w:jc w:val="left"/>
      </w:pPr>
      <w:r>
        <w:rPr/>
        <w:t>（</w:t>
      </w:r>
      <w:r>
        <w:rPr>
          <w:rFonts w:ascii="宋体" w:hAnsi="宋体" w:cs="宋体" w:eastAsia="宋体" w:hint="default"/>
        </w:rPr>
        <w:t>1</w:t>
      </w:r>
      <w:r>
        <w:rPr/>
        <w:t>）行业总体向好：未来厨电行业仍将保持平稳发展的趋势。</w:t>
      </w:r>
    </w:p>
    <w:p>
      <w:pPr>
        <w:pStyle w:val="BodyText"/>
        <w:spacing w:line="240" w:lineRule="auto" w:before="123"/>
        <w:ind w:left="558" w:right="0"/>
        <w:jc w:val="left"/>
      </w:pPr>
      <w:r>
        <w:rPr/>
        <w:t>（</w:t>
      </w:r>
      <w:r>
        <w:rPr>
          <w:rFonts w:ascii="宋体" w:hAnsi="宋体" w:cs="宋体" w:eastAsia="宋体" w:hint="default"/>
        </w:rPr>
        <w:t>2</w:t>
      </w:r>
      <w:r>
        <w:rPr/>
        <w:t>）细分品类：洗碗机仍将保持快速增长，其他嵌入式产品增速放缓。</w:t>
      </w:r>
    </w:p>
    <w:p>
      <w:pPr>
        <w:pStyle w:val="BodyText"/>
        <w:spacing w:line="240" w:lineRule="auto" w:before="126"/>
        <w:ind w:left="558" w:right="0"/>
        <w:jc w:val="left"/>
      </w:pPr>
      <w:r>
        <w:rPr/>
        <w:t>（</w:t>
      </w:r>
      <w:r>
        <w:rPr>
          <w:rFonts w:ascii="宋体" w:hAnsi="宋体" w:cs="宋体" w:eastAsia="宋体" w:hint="default"/>
        </w:rPr>
        <w:t>3</w:t>
      </w:r>
      <w:r>
        <w:rPr/>
        <w:t>）渠道变革：互联网家装成为新热点渠道，全装修政策影响开始显现。</w:t>
      </w:r>
    </w:p>
    <w:p>
      <w:pPr>
        <w:pStyle w:val="BodyText"/>
        <w:spacing w:line="240" w:lineRule="auto" w:before="126"/>
        <w:ind w:left="558" w:right="0"/>
        <w:jc w:val="left"/>
      </w:pPr>
      <w:r>
        <w:rPr/>
        <w:t>（</w:t>
      </w:r>
      <w:r>
        <w:rPr>
          <w:rFonts w:ascii="宋体" w:hAnsi="宋体" w:cs="宋体" w:eastAsia="宋体" w:hint="default"/>
        </w:rPr>
        <w:t>4</w:t>
      </w:r>
      <w:r>
        <w:rPr/>
        <w:t>）区域机会：一线扩容促进需求升级，三四线人口回流带动规模增长。</w:t>
      </w:r>
    </w:p>
    <w:p>
      <w:pPr>
        <w:pStyle w:val="BodyText"/>
        <w:spacing w:line="240" w:lineRule="auto" w:before="123"/>
        <w:ind w:left="558" w:right="0"/>
        <w:jc w:val="left"/>
      </w:pPr>
      <w:r>
        <w:rPr/>
        <w:t>（</w:t>
      </w:r>
      <w:r>
        <w:rPr>
          <w:rFonts w:ascii="宋体" w:hAnsi="宋体" w:cs="宋体" w:eastAsia="宋体" w:hint="default"/>
        </w:rPr>
        <w:t>5</w:t>
      </w:r>
      <w:r>
        <w:rPr/>
        <w:t>）品牌竞争：橱柜品牌的向下产业链整合未来或将成为厨电企业最大的威胁。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tabs>
          <w:tab w:pos="980" w:val="left" w:leader="none"/>
        </w:tabs>
        <w:spacing w:line="272" w:lineRule="exact" w:before="8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发展战略</w:t>
      </w:r>
      <w:r>
        <w:rPr>
          <w:rFonts w:ascii="宋体" w:hAnsi="宋体" w:cs="宋体" w:eastAsia="宋体" w:hint="default"/>
          <w:sz w:val="21"/>
          <w:szCs w:val="21"/>
        </w:rPr>
      </w:r>
    </w:p>
    <w:p>
      <w:pPr>
        <w:pStyle w:val="BodyText"/>
        <w:spacing w:line="357" w:lineRule="auto" w:before="108"/>
        <w:ind w:left="138" w:right="128" w:firstLine="419"/>
        <w:jc w:val="both"/>
      </w:pPr>
      <w:r>
        <w:rPr>
          <w:spacing w:val="-2"/>
        </w:rPr>
        <w:t>在消费升级和绿色发展的新时代，公司将围绕家居家电和新能源的“一横一纵”战略，通过</w:t>
      </w:r>
      <w:r>
        <w:rPr>
          <w:w w:val="100"/>
        </w:rPr>
        <w:t> </w:t>
      </w:r>
      <w:r>
        <w:rPr>
          <w:spacing w:val="-4"/>
        </w:rPr>
        <w:t>机制创新和企业文化再造，培育和打造细分行业龙头，实现企业新的新使命</w:t>
      </w:r>
      <w:r>
        <w:rPr>
          <w:rFonts w:ascii="宋体" w:hAnsi="宋体" w:cs="宋体" w:eastAsia="宋体" w:hint="default"/>
          <w:spacing w:val="-4"/>
        </w:rPr>
        <w:t>:</w:t>
      </w:r>
      <w:r>
        <w:rPr>
          <w:spacing w:val="-4"/>
        </w:rPr>
        <w:t>“通过我们的产品和</w:t>
      </w:r>
      <w:r>
        <w:rPr>
          <w:spacing w:val="-35"/>
        </w:rPr>
        <w:t> </w:t>
      </w:r>
      <w:r>
        <w:rPr>
          <w:spacing w:val="-35"/>
        </w:rPr>
      </w:r>
      <w:r>
        <w:rPr/>
        <w:t>服务，让阳光更灿烂，水更洁净，空气更清新，生活更美好。”</w:t>
      </w:r>
    </w:p>
    <w:p>
      <w:pPr>
        <w:pStyle w:val="Heading5"/>
        <w:spacing w:line="240" w:lineRule="auto" w:before="30"/>
        <w:ind w:left="138" w:right="0"/>
        <w:jc w:val="both"/>
        <w:rPr>
          <w:b w:val="0"/>
          <w:bCs w:val="0"/>
        </w:rPr>
      </w:pPr>
      <w:r>
        <w:rPr>
          <w:rFonts w:ascii="宋体" w:hAnsi="宋体" w:cs="宋体" w:eastAsia="宋体" w:hint="default"/>
        </w:rPr>
        <w:t>2.</w:t>
      </w:r>
      <w:r>
        <w:rPr/>
        <w:t>品牌定位</w:t>
      </w:r>
      <w:r>
        <w:rPr>
          <w:b w:val="0"/>
          <w:bCs w:val="0"/>
        </w:rPr>
      </w:r>
    </w:p>
    <w:p>
      <w:pPr>
        <w:spacing w:line="240" w:lineRule="auto" w:before="6"/>
        <w:rPr>
          <w:rFonts w:ascii="宋体" w:hAnsi="宋体" w:cs="宋体" w:eastAsia="宋体" w:hint="default"/>
          <w:b/>
          <w:bCs/>
          <w:sz w:val="18"/>
          <w:szCs w:val="18"/>
        </w:rPr>
      </w:pPr>
    </w:p>
    <w:p>
      <w:pPr>
        <w:pStyle w:val="BodyText"/>
        <w:spacing w:line="348" w:lineRule="auto"/>
        <w:ind w:left="138" w:right="130" w:firstLine="419"/>
        <w:jc w:val="both"/>
      </w:pPr>
      <w:r>
        <w:rPr>
          <w:spacing w:val="-4"/>
        </w:rPr>
        <w:t>太阳雨，立足太阳能光热，积极探索太阳能外延，打造太阳能</w:t>
      </w:r>
      <w:r>
        <w:rPr>
          <w:rFonts w:ascii="宋体" w:hAnsi="宋体" w:cs="宋体" w:eastAsia="宋体" w:hint="default"/>
          <w:spacing w:val="-4"/>
        </w:rPr>
        <w:t>+</w:t>
      </w:r>
      <w:r>
        <w:rPr>
          <w:spacing w:val="-4"/>
        </w:rPr>
        <w:t>产品系统集群，以“太阳能一</w:t>
      </w:r>
      <w:r>
        <w:rPr>
          <w:w w:val="100"/>
        </w:rPr>
        <w:t> </w:t>
      </w:r>
      <w:r>
        <w:rPr>
          <w:spacing w:val="-2"/>
        </w:rPr>
        <w:t>切”为战略目标，从单一产品零售转向系统解决方案供应，全面推进光热体验升级和光伏市场普</w:t>
      </w:r>
      <w:r>
        <w:rPr>
          <w:spacing w:val="-26"/>
        </w:rPr>
        <w:t> </w:t>
      </w:r>
      <w:r>
        <w:rPr>
          <w:spacing w:val="-26"/>
        </w:rPr>
      </w:r>
      <w:r>
        <w:rPr/>
        <w:t>及，成为“供电、供暖、供热水”的系统化太阳能解决方案供应商。</w:t>
      </w:r>
    </w:p>
    <w:p>
      <w:pPr>
        <w:pStyle w:val="BodyText"/>
        <w:spacing w:line="350" w:lineRule="auto" w:before="32"/>
        <w:ind w:left="138" w:right="137" w:firstLine="419"/>
        <w:jc w:val="both"/>
      </w:pPr>
      <w:r>
        <w:rPr>
          <w:spacing w:val="-2"/>
        </w:rPr>
        <w:t>四季沐歌，专注热水领域，致力于“建立热水新标准、升级卫浴新体验”。针对家用市场，</w:t>
      </w:r>
      <w:r>
        <w:rPr>
          <w:w w:val="100"/>
        </w:rPr>
        <w:t> </w:t>
      </w:r>
      <w:r>
        <w:rPr>
          <w:spacing w:val="-2"/>
        </w:rPr>
        <w:t>四季沐歌定位于中国集成热水专家，通过太阳能、空气能、电、燃气等多能源与家居、建材、建</w:t>
      </w:r>
      <w:r>
        <w:rPr>
          <w:spacing w:val="-25"/>
        </w:rPr>
        <w:t> </w:t>
      </w:r>
      <w:r>
        <w:rPr>
          <w:spacing w:val="-25"/>
        </w:rPr>
      </w:r>
      <w:r>
        <w:rPr>
          <w:spacing w:val="-2"/>
        </w:rPr>
        <w:t>筑的跨界集成，为家庭用户提供节能环保、安全舒适的集成热水、卫浴整体解决方案；针对商用</w:t>
      </w:r>
      <w:r>
        <w:rPr>
          <w:spacing w:val="-25"/>
        </w:rPr>
        <w:t> </w:t>
      </w:r>
      <w:r>
        <w:rPr>
          <w:spacing w:val="-25"/>
        </w:rPr>
      </w:r>
      <w:r>
        <w:rPr>
          <w:spacing w:val="-2"/>
        </w:rPr>
        <w:t>市场，四季沐歌定位于中国热水工程专家，致力于为房地产、学校、医院、酒店等提供定制化、</w:t>
      </w:r>
      <w:r>
        <w:rPr>
          <w:spacing w:val="-25"/>
        </w:rPr>
        <w:t> </w:t>
      </w:r>
      <w:r>
        <w:rPr>
          <w:spacing w:val="-25"/>
        </w:rPr>
      </w:r>
      <w:r>
        <w:rPr/>
        <w:t>智能化的战略性集采业务，全面满足商业、工业客户的热水和采暖需求。</w:t>
      </w:r>
    </w:p>
    <w:p>
      <w:pPr>
        <w:pStyle w:val="BodyText"/>
        <w:spacing w:line="350" w:lineRule="auto" w:before="27"/>
        <w:ind w:left="138" w:right="128" w:firstLine="419"/>
        <w:jc w:val="both"/>
      </w:pPr>
      <w:r>
        <w:rPr>
          <w:spacing w:val="-7"/>
        </w:rPr>
        <w:t>帅康，曾连续 </w:t>
      </w:r>
      <w:r>
        <w:rPr>
          <w:rFonts w:ascii="宋体" w:hAnsi="宋体" w:cs="宋体" w:eastAsia="宋体" w:hint="default"/>
        </w:rPr>
        <w:t>10</w:t>
      </w:r>
      <w:r>
        <w:rPr>
          <w:rFonts w:ascii="宋体" w:hAnsi="宋体" w:cs="宋体" w:eastAsia="宋体" w:hint="default"/>
          <w:spacing w:val="-38"/>
        </w:rPr>
        <w:t> </w:t>
      </w:r>
      <w:r>
        <w:rPr>
          <w:spacing w:val="-4"/>
        </w:rPr>
        <w:t>年市场占比位居中国厨电品牌第一名，拥有良好的顾客口碑、较强的渠道拉</w:t>
      </w:r>
      <w:r>
        <w:rPr>
          <w:w w:val="100"/>
        </w:rPr>
        <w:t> </w:t>
      </w:r>
      <w:r>
        <w:rPr>
          <w:spacing w:val="-2"/>
        </w:rPr>
        <w:t>力、雄厚的技术实力，具备天然的高端厨电基因，帅康品牌定位为中国中高端厨电产品领导者，</w:t>
      </w:r>
      <w:r>
        <w:rPr>
          <w:spacing w:val="-25"/>
        </w:rPr>
        <w:t> </w:t>
      </w:r>
      <w:r>
        <w:rPr>
          <w:spacing w:val="-25"/>
        </w:rPr>
      </w:r>
      <w:r>
        <w:rPr/>
        <w:t>为顾客提供品质卓越、科技含量高的套系化厨房电器产品及服务。</w:t>
      </w:r>
    </w:p>
    <w:p>
      <w:pPr>
        <w:spacing w:after="0" w:line="350"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Heading5"/>
        <w:tabs>
          <w:tab w:pos="977" w:val="left" w:leader="none"/>
        </w:tabs>
        <w:spacing w:line="240" w:lineRule="auto" w:before="36"/>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pStyle w:val="BodyText"/>
        <w:spacing w:line="240" w:lineRule="auto" w:before="104"/>
        <w:ind w:left="558" w:right="0"/>
        <w:jc w:val="left"/>
      </w:pPr>
      <w:r>
        <w:rPr/>
        <w:t>公司 </w:t>
      </w:r>
      <w:r>
        <w:rPr>
          <w:rFonts w:ascii="宋体" w:hAnsi="宋体" w:cs="宋体" w:eastAsia="宋体" w:hint="default"/>
        </w:rPr>
        <w:t>2018</w:t>
      </w:r>
      <w:r>
        <w:rPr>
          <w:rFonts w:ascii="宋体" w:hAnsi="宋体" w:cs="宋体" w:eastAsia="宋体" w:hint="default"/>
          <w:spacing w:val="-55"/>
        </w:rPr>
        <w:t> </w:t>
      </w:r>
      <w:r>
        <w:rPr/>
        <w:t>年度经营计划：</w:t>
      </w:r>
    </w:p>
    <w:p>
      <w:pPr>
        <w:pStyle w:val="BodyText"/>
        <w:spacing w:line="350" w:lineRule="auto" w:before="126"/>
        <w:ind w:left="138" w:right="0" w:firstLine="422"/>
        <w:jc w:val="left"/>
      </w:pPr>
      <w:r>
        <w:rPr>
          <w:rFonts w:ascii="宋体" w:hAnsi="宋体" w:cs="宋体" w:eastAsia="宋体" w:hint="default"/>
          <w:b/>
          <w:bCs/>
        </w:rPr>
        <w:t>1.</w:t>
      </w:r>
      <w:r>
        <w:rPr>
          <w:rFonts w:ascii="宋体" w:hAnsi="宋体" w:cs="宋体" w:eastAsia="宋体" w:hint="default"/>
          <w:b/>
          <w:bCs/>
        </w:rPr>
        <w:t>坚定信心，克服困难，努力实现全年经营目标。</w:t>
      </w:r>
      <w:r>
        <w:rPr>
          <w:rFonts w:ascii="宋体" w:hAnsi="宋体" w:cs="宋体" w:eastAsia="宋体" w:hint="default"/>
        </w:rPr>
        <w:t>2018</w:t>
      </w:r>
      <w:r>
        <w:rPr>
          <w:rFonts w:ascii="宋体" w:hAnsi="宋体" w:cs="宋体" w:eastAsia="宋体" w:hint="default"/>
          <w:spacing w:val="-1"/>
        </w:rPr>
        <w:t> </w:t>
      </w:r>
      <w:r>
        <w:rPr/>
        <w:t>年，董事会根据宏观经济形势，充</w:t>
      </w:r>
      <w:r>
        <w:rPr>
          <w:w w:val="100"/>
        </w:rPr>
        <w:t> </w:t>
      </w:r>
      <w:r>
        <w:rPr>
          <w:spacing w:val="-2"/>
        </w:rPr>
        <w:t>分考虑公司所处行业发展状况，结合公司实际情况，制定了较为客观、贴近实际的经营目标。在</w:t>
      </w:r>
      <w:r>
        <w:rPr>
          <w:spacing w:val="-26"/>
        </w:rPr>
        <w:t> </w:t>
      </w:r>
      <w:r>
        <w:rPr>
          <w:spacing w:val="-26"/>
        </w:rPr>
      </w:r>
      <w:r>
        <w:rPr>
          <w:spacing w:val="-2"/>
        </w:rPr>
        <w:t>实际经营过程中，公司将面临许多不确定性因素的影响，公司上下将拼搏创新，共克难关，努力</w:t>
      </w:r>
      <w:r>
        <w:rPr>
          <w:spacing w:val="-26"/>
        </w:rPr>
        <w:t> </w:t>
      </w:r>
      <w:r>
        <w:rPr>
          <w:spacing w:val="-26"/>
        </w:rPr>
      </w:r>
      <w:r>
        <w:rPr/>
        <w:t>实现全年经营目标。</w:t>
      </w:r>
    </w:p>
    <w:p>
      <w:pPr>
        <w:pStyle w:val="BodyText"/>
        <w:spacing w:line="350" w:lineRule="auto" w:before="29"/>
        <w:ind w:left="138" w:right="130" w:firstLine="422"/>
        <w:jc w:val="both"/>
      </w:pPr>
      <w:r>
        <w:rPr>
          <w:rFonts w:ascii="宋体" w:hAnsi="宋体" w:cs="宋体" w:eastAsia="宋体" w:hint="default"/>
          <w:b/>
          <w:bCs/>
          <w:spacing w:val="-2"/>
        </w:rPr>
        <w:t>2.</w:t>
      </w:r>
      <w:r>
        <w:rPr>
          <w:rFonts w:ascii="宋体" w:hAnsi="宋体" w:cs="宋体" w:eastAsia="宋体" w:hint="default"/>
          <w:b/>
          <w:bCs/>
          <w:spacing w:val="-2"/>
        </w:rPr>
        <w:t>加快创新步伐，推动产业转型升级。</w:t>
      </w:r>
      <w:r>
        <w:rPr>
          <w:spacing w:val="-2"/>
        </w:rPr>
        <w:t>公司确立了“前端决定后端，内部服务外部”的创新</w:t>
      </w:r>
      <w:r>
        <w:rPr>
          <w:w w:val="100"/>
        </w:rPr>
        <w:t> </w:t>
      </w:r>
      <w:r>
        <w:rPr>
          <w:spacing w:val="-2"/>
        </w:rPr>
        <w:t>机制，以优化资源配置为核心，加快运营机制和管控体系的创新，提升工作效率和资源利用率，</w:t>
      </w:r>
      <w:r>
        <w:rPr>
          <w:spacing w:val="-25"/>
        </w:rPr>
        <w:t> </w:t>
      </w:r>
      <w:r>
        <w:rPr>
          <w:spacing w:val="-25"/>
        </w:rPr>
      </w:r>
      <w:r>
        <w:rPr>
          <w:spacing w:val="-2"/>
        </w:rPr>
        <w:t>进行资源整合重组，扩大有效和中高端供给，推动公司核心产业向价值链高端跃升。通过生产线</w:t>
      </w:r>
      <w:r>
        <w:rPr>
          <w:spacing w:val="-25"/>
        </w:rPr>
        <w:t> </w:t>
      </w:r>
      <w:r>
        <w:rPr>
          <w:spacing w:val="-25"/>
        </w:rPr>
      </w:r>
      <w:r>
        <w:rPr>
          <w:spacing w:val="-2"/>
        </w:rPr>
        <w:t>智能化改造及工艺改进，提高生产效率，通过精益生产，实现精品打造；通过营销模式创新，进</w:t>
      </w:r>
      <w:r>
        <w:rPr>
          <w:spacing w:val="-25"/>
        </w:rPr>
        <w:t> </w:t>
      </w:r>
      <w:r>
        <w:rPr>
          <w:spacing w:val="-25"/>
        </w:rPr>
      </w:r>
      <w:r>
        <w:rPr>
          <w:spacing w:val="-2"/>
        </w:rPr>
        <w:t>一步巩固优势，扩大市场占有率，发挥企业和渠道在行业的占位优势以及品牌的综合优势，继续</w:t>
      </w:r>
      <w:r>
        <w:rPr>
          <w:spacing w:val="-25"/>
        </w:rPr>
        <w:t> </w:t>
      </w:r>
      <w:r>
        <w:rPr>
          <w:spacing w:val="-25"/>
        </w:rPr>
      </w:r>
      <w:r>
        <w:rPr/>
        <w:t>发力，开展产品、服务、商业模式等全方位创新，做大市场空间、提高市场占有率。</w:t>
      </w:r>
    </w:p>
    <w:p>
      <w:pPr>
        <w:pStyle w:val="BodyText"/>
        <w:spacing w:line="350" w:lineRule="auto" w:before="29"/>
        <w:ind w:left="138" w:right="127" w:firstLine="422"/>
        <w:jc w:val="both"/>
      </w:pPr>
      <w:r>
        <w:rPr>
          <w:rFonts w:ascii="宋体" w:hAnsi="宋体" w:cs="宋体" w:eastAsia="宋体" w:hint="default"/>
          <w:b/>
          <w:bCs/>
          <w:spacing w:val="-6"/>
        </w:rPr>
        <w:t>3.</w:t>
      </w:r>
      <w:r>
        <w:rPr>
          <w:rFonts w:ascii="宋体" w:hAnsi="宋体" w:cs="宋体" w:eastAsia="宋体" w:hint="default"/>
          <w:b/>
          <w:bCs/>
          <w:spacing w:val="-6"/>
        </w:rPr>
        <w:t>坚持精益管理，实现提质增效。</w:t>
      </w:r>
      <w:r>
        <w:rPr>
          <w:spacing w:val="-6"/>
        </w:rPr>
        <w:t>坚持推进实施精益化管理，通过制度化、程序化、流程化、</w:t>
      </w:r>
      <w:r>
        <w:rPr>
          <w:w w:val="100"/>
        </w:rPr>
        <w:t> </w:t>
      </w:r>
      <w:r>
        <w:rPr>
          <w:spacing w:val="-6"/>
        </w:rPr>
        <w:t>标准化和数据化，理顺管理体制机制，进行全流程改善，实现系统性推进，确保管理职责具体化、</w:t>
      </w:r>
      <w:r>
        <w:rPr>
          <w:spacing w:val="-50"/>
        </w:rPr>
        <w:t> </w:t>
      </w:r>
      <w:r>
        <w:rPr>
          <w:spacing w:val="-50"/>
        </w:rPr>
      </w:r>
      <w:r>
        <w:rPr>
          <w:spacing w:val="-2"/>
        </w:rPr>
        <w:t>明确化、专业化，加强有效监管及绩效考核，确保企业管理各环节的精准、高效、协同，推动公</w:t>
      </w:r>
      <w:r>
        <w:rPr>
          <w:spacing w:val="-25"/>
        </w:rPr>
        <w:t> </w:t>
      </w:r>
      <w:r>
        <w:rPr>
          <w:spacing w:val="-25"/>
        </w:rPr>
      </w:r>
      <w:r>
        <w:rPr>
          <w:spacing w:val="-2"/>
        </w:rPr>
        <w:t>司降低成本、提高效率、提升效益。全面开展对研发、生产、仓储、运输等全流程进行梳理并再</w:t>
      </w:r>
      <w:r>
        <w:rPr>
          <w:spacing w:val="-25"/>
        </w:rPr>
        <w:t> </w:t>
      </w:r>
      <w:r>
        <w:rPr>
          <w:spacing w:val="-25"/>
        </w:rPr>
      </w:r>
      <w:r>
        <w:rPr>
          <w:spacing w:val="-2"/>
        </w:rPr>
        <w:t>优化，大幅提升公司生产效率、市场占有率和企业竞争力。深入发掘公司现有信息化系统潜力，</w:t>
      </w:r>
      <w:r>
        <w:rPr>
          <w:spacing w:val="-25"/>
        </w:rPr>
        <w:t> </w:t>
      </w:r>
      <w:r>
        <w:rPr>
          <w:spacing w:val="-25"/>
        </w:rPr>
      </w:r>
      <w:r>
        <w:rPr>
          <w:spacing w:val="-6"/>
          <w:w w:val="100"/>
        </w:rPr>
        <w:t>对现有信息化进行优化升级，全面提升公司运营管理的信息化水平，为公司信息化应用提供安全、</w:t>
      </w:r>
      <w:r>
        <w:rPr>
          <w:spacing w:val="-104"/>
          <w:w w:val="100"/>
        </w:rPr>
        <w:t> </w:t>
      </w:r>
      <w:r>
        <w:rPr>
          <w:spacing w:val="-104"/>
          <w:w w:val="100"/>
        </w:rPr>
      </w:r>
      <w:r>
        <w:rPr/>
        <w:t>可靠、高效的基础支撑。</w:t>
      </w:r>
    </w:p>
    <w:p>
      <w:pPr>
        <w:pStyle w:val="BodyText"/>
        <w:spacing w:line="350" w:lineRule="auto" w:before="27"/>
        <w:ind w:left="138" w:right="128" w:firstLine="422"/>
        <w:jc w:val="both"/>
      </w:pPr>
      <w:r>
        <w:rPr>
          <w:rFonts w:ascii="宋体" w:hAnsi="宋体" w:cs="宋体" w:eastAsia="宋体" w:hint="default"/>
          <w:b/>
          <w:bCs/>
          <w:spacing w:val="-2"/>
        </w:rPr>
        <w:t>4.</w:t>
      </w:r>
      <w:r>
        <w:rPr>
          <w:rFonts w:ascii="宋体" w:hAnsi="宋体" w:cs="宋体" w:eastAsia="宋体" w:hint="default"/>
          <w:b/>
          <w:bCs/>
          <w:spacing w:val="-2"/>
        </w:rPr>
        <w:t>降低库存、优化物流体系。</w:t>
      </w:r>
      <w:r>
        <w:rPr>
          <w:spacing w:val="-2"/>
        </w:rPr>
        <w:t>严控呆滞品，完善呆滞品的评审流程并实行终身负责制，有效</w:t>
      </w:r>
      <w:r>
        <w:rPr>
          <w:spacing w:val="-3"/>
          <w:w w:val="100"/>
        </w:rPr>
        <w:t> </w:t>
      </w:r>
      <w:r>
        <w:rPr/>
        <w:t>减少资金占用，</w:t>
      </w:r>
      <w:r>
        <w:rPr>
          <w:rFonts w:ascii="宋体" w:hAnsi="宋体" w:cs="宋体" w:eastAsia="宋体" w:hint="default"/>
        </w:rPr>
        <w:t>2018</w:t>
      </w:r>
      <w:r>
        <w:rPr>
          <w:rFonts w:ascii="宋体" w:hAnsi="宋体" w:cs="宋体" w:eastAsia="宋体" w:hint="default"/>
          <w:spacing w:val="-21"/>
        </w:rPr>
        <w:t> </w:t>
      </w:r>
      <w:r>
        <w:rPr>
          <w:spacing w:val="-3"/>
        </w:rPr>
        <w:t>年物流将从点、线、面入手，创新发展，将原来的“点对点的零星竞标”方</w:t>
      </w:r>
      <w:r>
        <w:rPr>
          <w:spacing w:val="-91"/>
        </w:rPr>
        <w:t> </w:t>
      </w:r>
      <w:r>
        <w:rPr>
          <w:spacing w:val="-91"/>
        </w:rPr>
      </w:r>
      <w:r>
        <w:rPr>
          <w:spacing w:val="-7"/>
        </w:rPr>
        <w:t>式，根据发货量采用“专线招标”方式；根据区域订单发货量的活跃度，采用“区域招标”方式；</w:t>
      </w:r>
      <w:r>
        <w:rPr>
          <w:spacing w:val="-15"/>
        </w:rPr>
        <w:t> </w:t>
      </w:r>
      <w:r>
        <w:rPr>
          <w:spacing w:val="-15"/>
        </w:rPr>
      </w:r>
      <w:r>
        <w:rPr/>
        <w:t>另外，对一些大的经销商，将采用“铁路运输”、“海上运输”方式等。</w:t>
      </w:r>
    </w:p>
    <w:p>
      <w:pPr>
        <w:pStyle w:val="BodyText"/>
        <w:spacing w:line="350" w:lineRule="auto" w:before="29"/>
        <w:ind w:left="138" w:right="124" w:firstLine="316"/>
        <w:jc w:val="left"/>
      </w:pPr>
      <w:r>
        <w:rPr>
          <w:rFonts w:ascii="宋体" w:hAnsi="宋体" w:cs="宋体" w:eastAsia="宋体" w:hint="default"/>
          <w:b/>
          <w:bCs/>
        </w:rPr>
        <w:t>5.</w:t>
      </w:r>
      <w:r>
        <w:rPr>
          <w:rFonts w:ascii="宋体" w:hAnsi="宋体" w:cs="宋体" w:eastAsia="宋体" w:hint="default"/>
          <w:b/>
          <w:bCs/>
        </w:rPr>
        <w:t>提升研发和创新能力，增强企业的核心竞争力。</w:t>
      </w:r>
      <w:r>
        <w:rPr/>
        <w:t>健全公司研发机制，加强公司研发管理制</w:t>
      </w:r>
      <w:r>
        <w:rPr>
          <w:w w:val="100"/>
        </w:rPr>
        <w:t> </w:t>
      </w:r>
      <w:r>
        <w:rPr>
          <w:spacing w:val="-2"/>
        </w:rPr>
        <w:t>度体系和科研人员激励制度体系的建设，侧重于对公司核心产业方向的引导、加强对战略性项目</w:t>
      </w:r>
      <w:r>
        <w:rPr>
          <w:spacing w:val="-25"/>
        </w:rPr>
        <w:t> </w:t>
      </w:r>
      <w:r>
        <w:rPr>
          <w:spacing w:val="-25"/>
        </w:rPr>
      </w:r>
      <w:r>
        <w:rPr>
          <w:spacing w:val="-2"/>
        </w:rPr>
        <w:t>的支持；在品牌公司（太阳雨、四季沐歌、帅康）层面侧重于研发项目实施的组织管理，形成公</w:t>
      </w:r>
      <w:r>
        <w:rPr>
          <w:spacing w:val="-25"/>
        </w:rPr>
        <w:t> </w:t>
      </w:r>
      <w:r>
        <w:rPr>
          <w:spacing w:val="-25"/>
        </w:rPr>
      </w:r>
      <w:r>
        <w:rPr>
          <w:spacing w:val="-6"/>
          <w:w w:val="100"/>
        </w:rPr>
        <w:t>司本部与品牌公司之间相互衔接、相辅相成的科研管理保障机制，确保研发资源向核心产业集中。</w:t>
      </w:r>
      <w:r>
        <w:rPr>
          <w:w w:val="100"/>
        </w:rPr>
        <w:t> </w:t>
      </w:r>
      <w:r>
        <w:rPr>
          <w:spacing w:val="-2"/>
        </w:rPr>
        <w:t>提升科研创新能力，通过加大对技术研发的投入，培育、提高自主创新能力，构建创新平台，全</w:t>
      </w:r>
      <w:r>
        <w:rPr>
          <w:spacing w:val="-25"/>
        </w:rPr>
        <w:t> </w:t>
      </w:r>
      <w:r>
        <w:rPr>
          <w:spacing w:val="-25"/>
        </w:rPr>
      </w:r>
      <w:r>
        <w:rPr/>
        <w:t>力突破关键共性技术，加快科研成果的市场化、产业化，提高企业核心竞争力。</w:t>
      </w:r>
    </w:p>
    <w:p>
      <w:pPr>
        <w:pStyle w:val="BodyText"/>
        <w:spacing w:line="345" w:lineRule="auto"/>
        <w:ind w:left="138" w:right="137" w:firstLine="422"/>
        <w:jc w:val="both"/>
      </w:pPr>
      <w:r>
        <w:rPr>
          <w:rFonts w:ascii="宋体" w:hAnsi="宋体" w:cs="宋体" w:eastAsia="宋体" w:hint="default"/>
          <w:b/>
          <w:bCs/>
        </w:rPr>
        <w:t>6.</w:t>
      </w:r>
      <w:r>
        <w:rPr>
          <w:rFonts w:ascii="宋体" w:hAnsi="宋体" w:cs="宋体" w:eastAsia="宋体" w:hint="default"/>
          <w:b/>
          <w:bCs/>
          <w:spacing w:val="12"/>
        </w:rPr>
        <w:t> </w:t>
      </w:r>
      <w:r>
        <w:rPr>
          <w:rFonts w:ascii="宋体" w:hAnsi="宋体" w:cs="宋体" w:eastAsia="宋体" w:hint="default"/>
          <w:b/>
          <w:bCs/>
          <w:sz w:val="24"/>
          <w:szCs w:val="24"/>
        </w:rPr>
        <w:t>建立</w:t>
      </w:r>
      <w:r>
        <w:rPr>
          <w:rFonts w:ascii="宋体" w:hAnsi="宋体" w:cs="宋体" w:eastAsia="宋体" w:hint="default"/>
          <w:b/>
          <w:bCs/>
        </w:rPr>
        <w:t>以企业经营为中心，以驱动战略转型为导向的人力资源规划</w:t>
      </w:r>
      <w:r>
        <w:rPr/>
        <w:t>。以创新人才发展培养</w:t>
      </w:r>
      <w:r>
        <w:rPr>
          <w:w w:val="100"/>
        </w:rPr>
        <w:t> </w:t>
      </w:r>
      <w:r>
        <w:rPr/>
        <w:t>体系为核心，利用</w:t>
      </w:r>
      <w:r>
        <w:rPr>
          <w:spacing w:val="-55"/>
        </w:rPr>
        <w:t> </w:t>
      </w:r>
      <w:r>
        <w:rPr>
          <w:rFonts w:ascii="宋体" w:hAnsi="宋体" w:cs="宋体" w:eastAsia="宋体" w:hint="default"/>
        </w:rPr>
        <w:t>BSC</w:t>
      </w:r>
      <w:r>
        <w:rPr>
          <w:rFonts w:ascii="宋体" w:hAnsi="宋体" w:cs="宋体" w:eastAsia="宋体" w:hint="default"/>
          <w:spacing w:val="-54"/>
        </w:rPr>
        <w:t> </w:t>
      </w:r>
      <w:r>
        <w:rPr/>
        <w:t>工具将企业新战略进行梳理、分解形成公司的战略地图，形成公司目标管</w:t>
      </w:r>
      <w:r>
        <w:rPr>
          <w:w w:val="100"/>
        </w:rPr>
        <w:t> </w:t>
      </w:r>
      <w:r>
        <w:rPr>
          <w:spacing w:val="-2"/>
        </w:rPr>
        <w:t>理体系，推动绩效管理回归目标管理，改革现有分配机制以全力支持经营目标的实现，包括薪酬</w:t>
      </w:r>
      <w:r>
        <w:rPr>
          <w:spacing w:val="-25"/>
        </w:rPr>
        <w:t> </w:t>
      </w:r>
      <w:r>
        <w:rPr>
          <w:spacing w:val="-25"/>
        </w:rPr>
      </w:r>
      <w:r>
        <w:rPr>
          <w:spacing w:val="-2"/>
        </w:rPr>
        <w:t>机制、短期激励和长期激励计划；加强组织建设，以不同业务形态重建相应的组织能力，尤其是</w:t>
      </w:r>
      <w:r>
        <w:rPr>
          <w:spacing w:val="-26"/>
        </w:rPr>
        <w:t> </w:t>
      </w:r>
      <w:r>
        <w:rPr>
          <w:spacing w:val="-26"/>
        </w:rPr>
      </w:r>
      <w:r>
        <w:rPr>
          <w:spacing w:val="-2"/>
        </w:rPr>
        <w:t>加强工程系统、电商系统和新业务系统的组织能力建设；推动“人才盘点”和团队诊断工具的实</w:t>
      </w:r>
    </w:p>
    <w:p>
      <w:pPr>
        <w:spacing w:after="0" w:line="345" w:lineRule="auto"/>
        <w:jc w:val="both"/>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124"/>
        <w:jc w:val="left"/>
      </w:pPr>
      <w:r>
        <w:rPr>
          <w:spacing w:val="-6"/>
        </w:rPr>
        <w:t>施，并形成每年一次盘点的机制，将之作为团队建设的出发点，以及人力资源工作开展的出发点，</w:t>
      </w:r>
      <w:r>
        <w:rPr>
          <w:spacing w:val="-54"/>
        </w:rPr>
        <w:t> </w:t>
      </w:r>
      <w:r>
        <w:rPr>
          <w:spacing w:val="-54"/>
        </w:rPr>
      </w:r>
      <w:r>
        <w:rPr>
          <w:spacing w:val="-6"/>
          <w:w w:val="100"/>
        </w:rPr>
        <w:t>团队建设作为核心抓手，打造一流的具较强竞争力的人才队伍，为公司发展提供坚强的人才保障。</w:t>
      </w:r>
    </w:p>
    <w:p>
      <w:pPr>
        <w:pStyle w:val="BodyText"/>
        <w:spacing w:line="350" w:lineRule="auto" w:before="29"/>
        <w:ind w:left="138" w:right="0" w:firstLine="422"/>
        <w:jc w:val="left"/>
      </w:pPr>
      <w:r>
        <w:rPr>
          <w:rFonts w:ascii="宋体" w:hAnsi="宋体" w:cs="宋体" w:eastAsia="宋体" w:hint="default"/>
          <w:b/>
          <w:bCs/>
        </w:rPr>
        <w:t>7.</w:t>
      </w:r>
      <w:r>
        <w:rPr>
          <w:rFonts w:ascii="宋体" w:hAnsi="宋体" w:cs="宋体" w:eastAsia="宋体" w:hint="default"/>
          <w:b/>
          <w:bCs/>
        </w:rPr>
        <w:t>加快市场开拓，提升品牌影响力。</w:t>
      </w:r>
      <w:r>
        <w:rPr/>
        <w:t>太阳雨联合央广全年进行全国性品牌宣传，利用新</w:t>
      </w:r>
      <w:r>
        <w:rPr>
          <w:spacing w:val="-54"/>
        </w:rPr>
        <w:t> </w:t>
      </w:r>
      <w:r>
        <w:rPr>
          <w:rFonts w:ascii="宋体" w:hAnsi="宋体" w:cs="宋体" w:eastAsia="宋体" w:hint="default"/>
        </w:rPr>
        <w:t>SI</w:t>
      </w:r>
      <w:r>
        <w:rPr>
          <w:rFonts w:ascii="宋体" w:hAnsi="宋体" w:cs="宋体" w:eastAsia="宋体" w:hint="default"/>
          <w:w w:val="100"/>
        </w:rPr>
        <w:t> </w:t>
      </w:r>
      <w:r>
        <w:rPr>
          <w:spacing w:val="-2"/>
        </w:rPr>
        <w:t>标准进行全国专卖店建设，续签约林志玲作为全球首席品牌官，提升品牌形象；四季沐歌牵头推</w:t>
      </w:r>
      <w:r>
        <w:rPr>
          <w:spacing w:val="-26"/>
        </w:rPr>
        <w:t> </w:t>
      </w:r>
      <w:r>
        <w:rPr>
          <w:spacing w:val="-26"/>
        </w:rPr>
      </w:r>
      <w:r>
        <w:rPr>
          <w:spacing w:val="-2"/>
        </w:rPr>
        <w:t>动大热水战略的落地，围绕集成热水机做整合传播，重塑四季沐歌“集成热水专家”的品牌新形</w:t>
      </w:r>
      <w:r>
        <w:rPr>
          <w:spacing w:val="-24"/>
        </w:rPr>
        <w:t> </w:t>
      </w:r>
      <w:r>
        <w:rPr>
          <w:spacing w:val="-24"/>
        </w:rPr>
      </w:r>
      <w:r>
        <w:rPr>
          <w:spacing w:val="-2"/>
        </w:rPr>
        <w:t>象，聚焦在家装、建材领域整合公关资源，借助展会、互联网、户外广告做招商；帅康逐步增加</w:t>
      </w:r>
      <w:r>
        <w:rPr>
          <w:spacing w:val="-26"/>
        </w:rPr>
        <w:t> </w:t>
      </w:r>
      <w:r>
        <w:rPr>
          <w:spacing w:val="-26"/>
        </w:rPr>
      </w:r>
      <w:r>
        <w:rPr>
          <w:spacing w:val="-2"/>
        </w:rPr>
        <w:t>央视媒体资源，提高企业品牌知名度，加强终端管理，加强终端标准化建设。日出东方将统筹部</w:t>
      </w:r>
      <w:r>
        <w:rPr>
          <w:spacing w:val="-25"/>
        </w:rPr>
        <w:t> </w:t>
      </w:r>
      <w:r>
        <w:rPr>
          <w:spacing w:val="-25"/>
        </w:rPr>
      </w:r>
      <w:r>
        <w:rPr>
          <w:spacing w:val="-2"/>
        </w:rPr>
        <w:t>署、协调推进公司及子公司在品牌形象上的塑造、传播工作，整合广告发布、展览展示、公共关</w:t>
      </w:r>
      <w:r>
        <w:rPr>
          <w:spacing w:val="-25"/>
        </w:rPr>
        <w:t> </w:t>
      </w:r>
      <w:r>
        <w:rPr>
          <w:spacing w:val="-25"/>
        </w:rPr>
      </w:r>
      <w:r>
        <w:rPr/>
        <w:t>系维护等方面的宣传资源，为公司产品推广提供有力支持，提升品牌影响力。</w:t>
      </w:r>
    </w:p>
    <w:p>
      <w:pPr>
        <w:spacing w:line="350" w:lineRule="auto" w:before="27"/>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增强内外协同协作，发挥公司整体竞争优势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公司要进一步强化日出东方企业间的整体意识和全局观念，加强各业务单元、各业态、各区</w:t>
      </w:r>
    </w:p>
    <w:p>
      <w:pPr>
        <w:pStyle w:val="BodyText"/>
        <w:spacing w:line="348" w:lineRule="auto" w:before="29"/>
        <w:ind w:left="138" w:right="0"/>
        <w:jc w:val="left"/>
      </w:pPr>
      <w:r>
        <w:rPr>
          <w:spacing w:val="-2"/>
        </w:rPr>
        <w:t>域间的协同协作，形成合力，发挥公司整体优势和协同效应，增强集团核心竞争力，实现利益最</w:t>
      </w:r>
      <w:r>
        <w:rPr>
          <w:spacing w:val="-26"/>
        </w:rPr>
        <w:t> </w:t>
      </w:r>
      <w:r>
        <w:rPr>
          <w:spacing w:val="-26"/>
        </w:rPr>
      </w:r>
      <w:r>
        <w:rPr/>
        <w:t>大化。</w:t>
      </w:r>
    </w:p>
    <w:p>
      <w:pPr>
        <w:spacing w:line="240" w:lineRule="auto" w:before="8"/>
        <w:rPr>
          <w:rFonts w:ascii="宋体" w:hAnsi="宋体" w:cs="宋体" w:eastAsia="宋体" w:hint="default"/>
          <w:sz w:val="19"/>
          <w:szCs w:val="19"/>
        </w:rPr>
      </w:pPr>
    </w:p>
    <w:p>
      <w:pPr>
        <w:pStyle w:val="Heading5"/>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tabs>
          <w:tab w:pos="980" w:val="left" w:leader="none"/>
        </w:tabs>
        <w:spacing w:line="362" w:lineRule="auto" w:before="56"/>
        <w:ind w:left="558" w:right="4324"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传统太阳能热水器零售业务持续下滑的风险</w:t>
      </w:r>
      <w:r>
        <w:rPr>
          <w:rFonts w:ascii="宋体" w:hAnsi="宋体" w:cs="宋体" w:eastAsia="宋体" w:hint="default"/>
          <w:sz w:val="21"/>
          <w:szCs w:val="21"/>
        </w:rPr>
      </w:r>
    </w:p>
    <w:p>
      <w:pPr>
        <w:pStyle w:val="BodyText"/>
        <w:spacing w:line="384" w:lineRule="auto" w:before="57"/>
        <w:ind w:left="138" w:right="137" w:firstLine="419"/>
        <w:jc w:val="both"/>
      </w:pPr>
      <w:r>
        <w:rPr>
          <w:spacing w:val="-2"/>
        </w:rPr>
        <w:t>传统太阳能零售业务是公司主营业务之一，受城镇化进程不断加快、农村空心化等宏观因素</w:t>
      </w:r>
      <w:r>
        <w:rPr>
          <w:w w:val="100"/>
        </w:rPr>
        <w:t> </w:t>
      </w:r>
      <w:r>
        <w:rPr>
          <w:spacing w:val="-2"/>
        </w:rPr>
        <w:t>的影响，公司传统业务所面向的农村市场的消费能力正在减弱；而在城镇市场消费不断升级，电</w:t>
      </w:r>
      <w:r>
        <w:rPr>
          <w:spacing w:val="-25"/>
        </w:rPr>
        <w:t> </w:t>
      </w:r>
      <w:r>
        <w:rPr>
          <w:spacing w:val="-25"/>
        </w:rPr>
      </w:r>
      <w:r>
        <w:rPr>
          <w:spacing w:val="-2"/>
        </w:rPr>
        <w:t>热水器、燃气热水器不断侵蚀太阳能热水器市场，导致太阳能热水器占热水器整体市场的份额有</w:t>
      </w:r>
      <w:r>
        <w:rPr>
          <w:spacing w:val="-25"/>
        </w:rPr>
        <w:t> </w:t>
      </w:r>
      <w:r>
        <w:rPr>
          <w:spacing w:val="-25"/>
        </w:rPr>
      </w:r>
      <w:r>
        <w:rPr/>
        <w:t>进一步下滑的风险。</w:t>
      </w:r>
    </w:p>
    <w:p>
      <w:pPr>
        <w:spacing w:line="386" w:lineRule="auto" w:before="38"/>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原材料价格上涨的风险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公司生产经营所需占比最大的主要原材料为镀锌板、不锈钢、彩涂板等金属板材，如以上原</w:t>
      </w:r>
    </w:p>
    <w:p>
      <w:pPr>
        <w:pStyle w:val="BodyText"/>
        <w:spacing w:line="384" w:lineRule="auto" w:before="36"/>
        <w:ind w:left="138" w:right="0"/>
        <w:jc w:val="left"/>
      </w:pPr>
      <w:r>
        <w:rPr>
          <w:spacing w:val="-2"/>
        </w:rPr>
        <w:t>材料的市场价格出现较大幅度的波动，将对公司产品成本产生一定影响，进而影响到公司的经营</w:t>
      </w:r>
      <w:r>
        <w:rPr>
          <w:spacing w:val="-25"/>
        </w:rPr>
        <w:t> </w:t>
      </w:r>
      <w:r>
        <w:rPr>
          <w:spacing w:val="-25"/>
        </w:rPr>
      </w:r>
      <w:r>
        <w:rPr/>
        <w:t>业绩。</w:t>
      </w:r>
    </w:p>
    <w:p>
      <w:pPr>
        <w:spacing w:line="384" w:lineRule="auto" w:before="4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厨电业务发展不及预期的风险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中国厨电市场呈现出明显的消费特点，即油烟机灶具消费与房地产市场发展呈现出极强的相</w:t>
      </w:r>
    </w:p>
    <w:p>
      <w:pPr>
        <w:pStyle w:val="BodyText"/>
        <w:spacing w:line="386" w:lineRule="auto" w:before="38"/>
        <w:ind w:left="138" w:right="0"/>
        <w:jc w:val="left"/>
      </w:pPr>
      <w:r>
        <w:rPr>
          <w:spacing w:val="-2"/>
        </w:rPr>
        <w:t>关关系。受国家宏观调控因素影响，尤其是防范金融风险等金融调控措施影响，中国新房销售市</w:t>
      </w:r>
      <w:r>
        <w:rPr>
          <w:spacing w:val="-25"/>
        </w:rPr>
        <w:t> </w:t>
      </w:r>
      <w:r>
        <w:rPr>
          <w:spacing w:val="-25"/>
        </w:rPr>
      </w:r>
      <w:r>
        <w:rPr/>
        <w:t>场存在较强的不确定性。受房地产行业的影响，厨电行业将面临较大的不确定性。</w:t>
      </w:r>
    </w:p>
    <w:p>
      <w:pPr>
        <w:spacing w:line="384" w:lineRule="auto" w:before="3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新业务拓展不及预期的风险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公司不断开发储备光热领域前沿技术，公司已经储备跨季节蓄热采暖以及太阳墙两大新型光</w:t>
      </w:r>
    </w:p>
    <w:p>
      <w:pPr>
        <w:pStyle w:val="BodyText"/>
        <w:spacing w:line="384" w:lineRule="auto" w:before="40"/>
        <w:ind w:left="138" w:right="132"/>
        <w:jc w:val="left"/>
      </w:pPr>
      <w:r>
        <w:rPr/>
        <w:t>热技术。跨季节蓄热采暖工程需要较大面积工程用地，且项目规模较大，需要采用</w:t>
      </w:r>
      <w:r>
        <w:rPr>
          <w:spacing w:val="-53"/>
        </w:rPr>
        <w:t> </w:t>
      </w:r>
      <w:r>
        <w:rPr>
          <w:rFonts w:ascii="宋体" w:hAnsi="宋体" w:cs="宋体" w:eastAsia="宋体" w:hint="default"/>
        </w:rPr>
        <w:t>PPP</w:t>
      </w:r>
      <w:r>
        <w:rPr>
          <w:rFonts w:ascii="宋体" w:hAnsi="宋体" w:cs="宋体" w:eastAsia="宋体" w:hint="default"/>
          <w:spacing w:val="-56"/>
        </w:rPr>
        <w:t> </w:t>
      </w:r>
      <w:r>
        <w:rPr/>
        <w:t>等项目融</w:t>
      </w:r>
      <w:r>
        <w:rPr>
          <w:w w:val="100"/>
        </w:rPr>
        <w:t> </w:t>
      </w:r>
      <w:r>
        <w:rPr>
          <w:spacing w:val="-2"/>
        </w:rPr>
        <w:t>资方式。另外，采暖业务开展涉及部门众多，跨季节蓄热采暖项目的拓展进度存在较大的不确定</w:t>
      </w:r>
    </w:p>
    <w:p>
      <w:pPr>
        <w:spacing w:after="0" w:line="384" w:lineRule="auto"/>
        <w:jc w:val="left"/>
        <w:sectPr>
          <w:footerReference w:type="default" r:id="rId20"/>
          <w:pgSz w:w="11910" w:h="16840"/>
          <w:pgMar w:footer="1195" w:header="0" w:top="112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86" w:lineRule="auto" w:before="36"/>
        <w:ind w:left="218" w:right="227"/>
        <w:jc w:val="left"/>
      </w:pPr>
      <w:r>
        <w:rPr>
          <w:spacing w:val="-2"/>
        </w:rPr>
        <w:t>性。太阳墙业务具有辅助采暖以及新风等功能，可广泛运用于工厂、商场以及养殖业。但由于市</w:t>
      </w:r>
      <w:r>
        <w:rPr>
          <w:spacing w:val="-26"/>
        </w:rPr>
        <w:t> </w:t>
      </w:r>
      <w:r>
        <w:rPr>
          <w:spacing w:val="-26"/>
        </w:rPr>
      </w:r>
      <w:r>
        <w:rPr/>
        <w:t>场接受需要较长过程，相关业务的开展也存在一定的不确定性。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5"/>
        <w:tabs>
          <w:tab w:pos="1057" w:val="left" w:leader="none"/>
        </w:tabs>
        <w:spacing w:line="240" w:lineRule="auto"/>
        <w:ind w:right="2549"/>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5"/>
        <w:spacing w:line="240" w:lineRule="auto"/>
        <w:ind w:right="121"/>
        <w:jc w:val="left"/>
        <w:rPr>
          <w:b w:val="0"/>
          <w:bCs w:val="0"/>
        </w:rPr>
      </w:pPr>
      <w:r>
        <w:rPr/>
        <w:t>四、公司因不适用准则规定或国家秘密、商业秘密等特殊原因，未按准则披露的情况和原因说明</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2549"/>
        <w:jc w:val="left"/>
        <w:rPr>
          <w:b w:val="0"/>
          <w:bCs w:val="0"/>
        </w:rPr>
      </w:pPr>
      <w:r>
        <w:rPr/>
        <w:t>一、普通股利润分配或资本公积金转增预案</w:t>
      </w:r>
      <w:r>
        <w:rPr>
          <w:b w:val="0"/>
          <w:bCs w:val="0"/>
        </w:rPr>
      </w:r>
    </w:p>
    <w:p>
      <w:pPr>
        <w:pStyle w:val="Heading5"/>
        <w:spacing w:line="240" w:lineRule="auto" w:before="58"/>
        <w:ind w:right="254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tabs>
          <w:tab w:pos="1060" w:val="left" w:leader="none"/>
        </w:tabs>
        <w:spacing w:before="29"/>
        <w:ind w:left="638" w:right="6219" w:hanging="42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、现金分红政策制定情况</w:t>
      </w:r>
      <w:r>
        <w:rPr>
          <w:rFonts w:ascii="宋体" w:hAnsi="宋体" w:cs="宋体" w:eastAsia="宋体" w:hint="default"/>
          <w:sz w:val="21"/>
          <w:szCs w:val="21"/>
        </w:rPr>
      </w:r>
    </w:p>
    <w:p>
      <w:pPr>
        <w:pStyle w:val="BodyText"/>
        <w:spacing w:line="240" w:lineRule="auto" w:before="133"/>
        <w:ind w:left="640" w:right="121"/>
        <w:jc w:val="left"/>
      </w:pPr>
      <w:r>
        <w:rPr>
          <w:spacing w:val="-9"/>
        </w:rPr>
        <w:t>为完善和健全公司科学、持续、稳定、积极的分红与监督机制，积极回报投资者，公司已根</w:t>
      </w:r>
      <w:r>
        <w:rPr>
          <w:spacing w:val="47"/>
        </w:rPr>
        <w:t> </w:t>
      </w:r>
      <w:r>
        <w:rPr/>
        <w:t>据</w:t>
      </w:r>
    </w:p>
    <w:p>
      <w:pPr>
        <w:pStyle w:val="BodyText"/>
        <w:spacing w:line="355" w:lineRule="auto" w:before="133"/>
        <w:ind w:left="218" w:right="227"/>
        <w:jc w:val="left"/>
      </w:pPr>
      <w:r>
        <w:rPr/>
        <w:t>《上市公司监管指引第</w:t>
      </w:r>
      <w:r>
        <w:rPr>
          <w:spacing w:val="-38"/>
        </w:rPr>
        <w:t> </w:t>
      </w:r>
      <w:r>
        <w:rPr>
          <w:rFonts w:ascii="宋体" w:hAnsi="宋体" w:cs="宋体" w:eastAsia="宋体" w:hint="default"/>
        </w:rPr>
        <w:t>3</w:t>
      </w:r>
      <w:r>
        <w:rPr>
          <w:rFonts w:ascii="宋体" w:hAnsi="宋体" w:cs="宋体" w:eastAsia="宋体" w:hint="default"/>
          <w:spacing w:val="21"/>
        </w:rPr>
        <w:t> </w:t>
      </w:r>
      <w:r>
        <w:rPr>
          <w:spacing w:val="-3"/>
        </w:rPr>
        <w:t>号—上市公司现金分红》等政策，在《公司章程》中制定了清晰的现金</w:t>
      </w:r>
      <w:r>
        <w:rPr>
          <w:spacing w:val="-100"/>
        </w:rPr>
        <w:t> </w:t>
      </w:r>
      <w:r>
        <w:rPr>
          <w:spacing w:val="-100"/>
        </w:rPr>
      </w:r>
      <w:r>
        <w:rPr/>
        <w:t>分红政策及其决策和调整机制。</w:t>
      </w:r>
    </w:p>
    <w:p>
      <w:pPr>
        <w:spacing w:line="355" w:lineRule="auto" w:before="35"/>
        <w:ind w:left="640" w:right="227" w:hanging="3"/>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、现金分红政策执行情况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报告期内，根据证券监管机关和《公司章程》的相关规定，结合公司经营实际，公司制定了</w:t>
      </w:r>
    </w:p>
    <w:p>
      <w:pPr>
        <w:pStyle w:val="BodyText"/>
        <w:spacing w:line="355" w:lineRule="auto" w:before="32"/>
        <w:ind w:left="218" w:right="227"/>
        <w:jc w:val="both"/>
      </w:pPr>
      <w:r>
        <w:rPr>
          <w:rFonts w:ascii="宋体" w:hAnsi="宋体" w:cs="宋体" w:eastAsia="宋体" w:hint="default"/>
          <w:spacing w:val="-1"/>
          <w:w w:val="100"/>
        </w:rPr>
        <w:t>2016</w:t>
      </w:r>
      <w:r>
        <w:rPr>
          <w:rFonts w:ascii="宋体" w:hAnsi="宋体" w:cs="宋体" w:eastAsia="宋体" w:hint="default"/>
          <w:spacing w:val="-54"/>
          <w:w w:val="100"/>
        </w:rPr>
        <w:t> </w:t>
      </w:r>
      <w:r>
        <w:rPr>
          <w:spacing w:val="-10"/>
          <w:w w:val="100"/>
        </w:rPr>
        <w:t>年度利润分配方案，以</w:t>
      </w:r>
      <w:r>
        <w:rPr>
          <w:spacing w:val="-51"/>
          <w:w w:val="100"/>
        </w:rPr>
        <w:t> </w:t>
      </w:r>
      <w:r>
        <w:rPr>
          <w:rFonts w:ascii="宋体" w:hAnsi="宋体" w:cs="宋体" w:eastAsia="宋体" w:hint="default"/>
          <w:spacing w:val="-1"/>
          <w:w w:val="100"/>
        </w:rPr>
        <w:t>800,000,000</w:t>
      </w:r>
      <w:r>
        <w:rPr>
          <w:rFonts w:ascii="宋体" w:hAnsi="宋体" w:cs="宋体" w:eastAsia="宋体" w:hint="default"/>
          <w:spacing w:val="-54"/>
          <w:w w:val="100"/>
        </w:rPr>
        <w:t> </w:t>
      </w:r>
      <w:r>
        <w:rPr>
          <w:spacing w:val="-9"/>
          <w:w w:val="100"/>
        </w:rPr>
        <w:t>股为基数，向全体股东每</w:t>
      </w:r>
      <w:r>
        <w:rPr>
          <w:spacing w:val="-52"/>
          <w:w w:val="100"/>
        </w:rPr>
        <w:t> </w:t>
      </w:r>
      <w:r>
        <w:rPr>
          <w:rFonts w:ascii="宋体" w:hAnsi="宋体" w:cs="宋体" w:eastAsia="宋体" w:hint="default"/>
          <w:spacing w:val="-2"/>
          <w:w w:val="100"/>
        </w:rPr>
        <w:t>10</w:t>
      </w:r>
      <w:r>
        <w:rPr>
          <w:rFonts w:ascii="宋体" w:hAnsi="宋体" w:cs="宋体" w:eastAsia="宋体" w:hint="default"/>
          <w:spacing w:val="-52"/>
          <w:w w:val="100"/>
        </w:rPr>
        <w:t> </w:t>
      </w:r>
      <w:r>
        <w:rPr>
          <w:spacing w:val="-2"/>
          <w:w w:val="100"/>
        </w:rPr>
        <w:t>股派发现金红利</w:t>
      </w:r>
      <w:r>
        <w:rPr>
          <w:spacing w:val="-51"/>
          <w:w w:val="100"/>
        </w:rPr>
        <w:t> </w:t>
      </w:r>
      <w:r>
        <w:rPr>
          <w:rFonts w:ascii="宋体" w:hAnsi="宋体" w:cs="宋体" w:eastAsia="宋体" w:hint="default"/>
          <w:spacing w:val="-1"/>
          <w:w w:val="100"/>
        </w:rPr>
        <w:t>1.83</w:t>
      </w:r>
      <w:r>
        <w:rPr>
          <w:rFonts w:ascii="宋体" w:hAnsi="宋体" w:cs="宋体" w:eastAsia="宋体" w:hint="default"/>
          <w:spacing w:val="-52"/>
          <w:w w:val="100"/>
        </w:rPr>
        <w:t> </w:t>
      </w:r>
      <w:r>
        <w:rPr>
          <w:spacing w:val="-30"/>
          <w:w w:val="100"/>
        </w:rPr>
        <w:t>元（含</w:t>
      </w:r>
      <w:r>
        <w:rPr>
          <w:w w:val="100"/>
        </w:rPr>
        <w:t> </w:t>
      </w:r>
      <w:r>
        <w:rPr>
          <w:spacing w:val="-4"/>
        </w:rPr>
        <w:t>税），共计派发股利</w:t>
      </w:r>
      <w:r>
        <w:rPr>
          <w:spacing w:val="-35"/>
        </w:rPr>
        <w:t> </w:t>
      </w:r>
      <w:r>
        <w:rPr>
          <w:rFonts w:ascii="宋体" w:hAnsi="宋体" w:cs="宋体" w:eastAsia="宋体" w:hint="default"/>
        </w:rPr>
        <w:t>146,400,000</w:t>
      </w:r>
      <w:r>
        <w:rPr>
          <w:rFonts w:ascii="宋体" w:hAnsi="宋体" w:cs="宋体" w:eastAsia="宋体" w:hint="default"/>
          <w:spacing w:val="-33"/>
        </w:rPr>
        <w:t> </w:t>
      </w:r>
      <w:r>
        <w:rPr>
          <w:spacing w:val="-3"/>
        </w:rPr>
        <w:t>元</w:t>
      </w:r>
      <w:r>
        <w:rPr>
          <w:rFonts w:ascii="宋体" w:hAnsi="宋体" w:cs="宋体" w:eastAsia="宋体" w:hint="default"/>
          <w:spacing w:val="-3"/>
        </w:rPr>
        <w:t>(</w:t>
      </w:r>
      <w:r>
        <w:rPr>
          <w:spacing w:val="-3"/>
        </w:rPr>
        <w:t>含税</w:t>
      </w:r>
      <w:r>
        <w:rPr>
          <w:rFonts w:ascii="宋体" w:hAnsi="宋体" w:cs="宋体" w:eastAsia="宋体" w:hint="default"/>
          <w:spacing w:val="-3"/>
        </w:rPr>
        <w:t>)</w:t>
      </w:r>
      <w:r>
        <w:rPr>
          <w:spacing w:val="-3"/>
        </w:rPr>
        <w:t>，并经第三届董事会第五次会议审议、</w:t>
      </w:r>
      <w:r>
        <w:rPr>
          <w:rFonts w:ascii="宋体" w:hAnsi="宋体" w:cs="宋体" w:eastAsia="宋体" w:hint="default"/>
          <w:spacing w:val="-3"/>
        </w:rPr>
        <w:t>2016</w:t>
      </w:r>
      <w:r>
        <w:rPr>
          <w:rFonts w:ascii="宋体" w:hAnsi="宋体" w:cs="宋体" w:eastAsia="宋体" w:hint="default"/>
          <w:spacing w:val="-37"/>
        </w:rPr>
        <w:t> </w:t>
      </w:r>
      <w:r>
        <w:rPr/>
        <w:t>年度股东</w:t>
      </w:r>
      <w:r>
        <w:rPr>
          <w:spacing w:val="-97"/>
        </w:rPr>
        <w:t> </w:t>
      </w:r>
      <w:r>
        <w:rPr>
          <w:spacing w:val="-97"/>
        </w:rPr>
      </w:r>
      <w:r>
        <w:rPr/>
        <w:t>大会审议批准，独立董事发表了独立意见，符合《公司章程》规定。</w:t>
      </w:r>
    </w:p>
    <w:p>
      <w:pPr>
        <w:pStyle w:val="BodyText"/>
        <w:spacing w:line="240" w:lineRule="auto" w:before="34"/>
        <w:ind w:left="640" w:right="227"/>
        <w:jc w:val="left"/>
        <w:rPr>
          <w:rFonts w:ascii="宋体" w:hAnsi="宋体" w:cs="宋体" w:eastAsia="宋体" w:hint="default"/>
        </w:rPr>
      </w:pPr>
      <w:r>
        <w:rPr/>
        <w:t>公司董事会拟定的</w:t>
      </w:r>
      <w:r>
        <w:rPr>
          <w:spacing w:val="-54"/>
        </w:rPr>
        <w:t> </w:t>
      </w:r>
      <w:r>
        <w:rPr>
          <w:rFonts w:ascii="宋体" w:hAnsi="宋体" w:cs="宋体" w:eastAsia="宋体" w:hint="default"/>
        </w:rPr>
        <w:t>2017</w:t>
      </w:r>
      <w:r>
        <w:rPr>
          <w:rFonts w:ascii="宋体" w:hAnsi="宋体" w:cs="宋体" w:eastAsia="宋体" w:hint="default"/>
          <w:spacing w:val="-55"/>
        </w:rPr>
        <w:t> </w:t>
      </w:r>
      <w:r>
        <w:rPr/>
        <w:t>年度利润分配预案为</w:t>
      </w:r>
      <w:r>
        <w:rPr>
          <w:rFonts w:ascii="宋体" w:hAnsi="宋体" w:cs="宋体" w:eastAsia="宋体" w:hint="default"/>
        </w:rPr>
        <w:t>:</w:t>
      </w:r>
      <w:r>
        <w:rPr>
          <w:rFonts w:ascii="宋体" w:hAnsi="宋体" w:cs="宋体" w:eastAsia="宋体" w:hint="default"/>
          <w:spacing w:val="-6"/>
        </w:rPr>
        <w:t> </w:t>
      </w:r>
      <w:r>
        <w:rPr/>
        <w:t>以</w:t>
      </w:r>
      <w:r>
        <w:rPr>
          <w:spacing w:val="-55"/>
        </w:rPr>
        <w:t> </w:t>
      </w:r>
      <w:r>
        <w:rPr>
          <w:rFonts w:ascii="宋体" w:hAnsi="宋体" w:cs="宋体" w:eastAsia="宋体" w:hint="default"/>
        </w:rPr>
        <w:t>800,000,000</w:t>
      </w:r>
      <w:r>
        <w:rPr>
          <w:rFonts w:ascii="宋体" w:hAnsi="宋体" w:cs="宋体" w:eastAsia="宋体" w:hint="default"/>
          <w:spacing w:val="-56"/>
        </w:rPr>
        <w:t> </w:t>
      </w:r>
      <w:r>
        <w:rPr/>
        <w:t>股为基数，向全体股东每</w:t>
      </w:r>
      <w:r>
        <w:rPr>
          <w:spacing w:val="-54"/>
        </w:rPr>
        <w:t> </w:t>
      </w:r>
      <w:r>
        <w:rPr>
          <w:rFonts w:ascii="宋体" w:hAnsi="宋体" w:cs="宋体" w:eastAsia="宋体" w:hint="default"/>
        </w:rPr>
        <w:t>10</w:t>
      </w:r>
    </w:p>
    <w:p>
      <w:pPr>
        <w:spacing w:line="357" w:lineRule="auto" w:before="133"/>
        <w:ind w:left="638" w:right="1181" w:hanging="420"/>
        <w:jc w:val="left"/>
        <w:rPr>
          <w:rFonts w:ascii="宋体" w:hAnsi="宋体" w:cs="宋体" w:eastAsia="宋体" w:hint="default"/>
          <w:sz w:val="21"/>
          <w:szCs w:val="21"/>
        </w:rPr>
      </w:pPr>
      <w:r>
        <w:rPr>
          <w:rFonts w:ascii="宋体" w:hAnsi="宋体" w:cs="宋体" w:eastAsia="宋体" w:hint="default"/>
          <w:sz w:val="21"/>
          <w:szCs w:val="21"/>
        </w:rPr>
        <w:t>股派发现金红利</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6"/>
          <w:sz w:val="21"/>
          <w:szCs w:val="21"/>
        </w:rPr>
        <w:t> </w:t>
      </w:r>
      <w:r>
        <w:rPr>
          <w:rFonts w:ascii="宋体" w:hAnsi="宋体" w:cs="宋体" w:eastAsia="宋体" w:hint="default"/>
          <w:sz w:val="21"/>
          <w:szCs w:val="21"/>
        </w:rPr>
        <w:t>元（含税）。该分配预案需提交</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年度股东大会通过后实施。</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、现金分红政策调整情况</w:t>
      </w:r>
      <w:r>
        <w:rPr>
          <w:rFonts w:ascii="宋体" w:hAnsi="宋体" w:cs="宋体" w:eastAsia="宋体" w:hint="default"/>
          <w:sz w:val="21"/>
          <w:szCs w:val="21"/>
        </w:rPr>
      </w:r>
    </w:p>
    <w:p>
      <w:pPr>
        <w:pStyle w:val="BodyText"/>
        <w:spacing w:line="240" w:lineRule="auto" w:before="30"/>
        <w:ind w:left="638" w:right="2549"/>
        <w:jc w:val="left"/>
      </w:pPr>
      <w:r>
        <w:rPr/>
        <w:t>报告期内，公司无调整现金分红政策的情况。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9"/>
        <w:gridCol w:w="1181"/>
        <w:gridCol w:w="1162"/>
        <w:gridCol w:w="1181"/>
        <w:gridCol w:w="1371"/>
        <w:gridCol w:w="1688"/>
        <w:gridCol w:w="1488"/>
      </w:tblGrid>
      <w:tr>
        <w:trPr>
          <w:trHeight w:val="137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11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5" w:right="98"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5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17" w:firstLine="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3" w:right="151"/>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07" w:right="105"/>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54,768,831.34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58.43</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146,400,000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243,815,063.88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269,460,145.50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59.38</w:t>
            </w:r>
          </w:p>
        </w:tc>
      </w:tr>
    </w:tbl>
    <w:p>
      <w:pPr>
        <w:spacing w:after="0" w:line="241" w:lineRule="exact"/>
        <w:jc w:val="right"/>
        <w:rPr>
          <w:rFonts w:ascii="宋体" w:hAnsi="宋体" w:cs="宋体" w:eastAsia="宋体" w:hint="default"/>
          <w:sz w:val="21"/>
          <w:szCs w:val="21"/>
        </w:rPr>
        <w:sectPr>
          <w:footerReference w:type="default" r:id="rId21"/>
          <w:pgSz w:w="11910" w:h="16840"/>
          <w:pgMar w:footer="1195" w:header="0" w:top="112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left="138" w:right="0"/>
        <w:jc w:val="left"/>
      </w:pPr>
      <w:r>
        <w:rPr/>
        <w:t>□适用</w:t>
      </w:r>
      <w:r>
        <w:rPr>
          <w:spacing w:val="-1"/>
        </w:rPr>
        <w:t> </w:t>
      </w:r>
      <w:r>
        <w:rPr/>
        <w:t>√不适用</w:t>
      </w:r>
    </w:p>
    <w:p>
      <w:pPr>
        <w:pStyle w:val="Heading5"/>
        <w:spacing w:line="272" w:lineRule="exact" w:before="86"/>
        <w:ind w:left="55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138" w:right="68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5"/>
        <w:tabs>
          <w:tab w:pos="704" w:val="left" w:leader="none"/>
        </w:tabs>
        <w:spacing w:line="272" w:lineRule="exact" w:before="42"/>
        <w:ind w:left="704" w:right="137"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spacing w:after="0" w:line="272" w:lineRule="exact"/>
        <w:jc w:val="left"/>
        <w:sectPr>
          <w:pgSz w:w="11910" w:h="16840"/>
          <w:pgMar w:header="0" w:footer="1195" w:top="1120" w:bottom="1380" w:left="1660" w:right="1140"/>
        </w:sectPr>
      </w:pPr>
    </w:p>
    <w:p>
      <w:pPr>
        <w:spacing w:before="17"/>
        <w:ind w:left="6478" w:right="651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6"/>
          <w:szCs w:val="26"/>
        </w:rPr>
      </w:pPr>
    </w:p>
    <w:p>
      <w:pPr>
        <w:pStyle w:val="BodyText"/>
        <w:spacing w:line="240" w:lineRule="auto" w:before="3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75"/>
        <w:gridCol w:w="713"/>
        <w:gridCol w:w="991"/>
        <w:gridCol w:w="6947"/>
        <w:gridCol w:w="1136"/>
        <w:gridCol w:w="708"/>
        <w:gridCol w:w="708"/>
        <w:gridCol w:w="994"/>
        <w:gridCol w:w="934"/>
      </w:tblGrid>
      <w:tr>
        <w:trPr>
          <w:trHeight w:val="1176"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72"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288" w:right="3286"/>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84" w:right="111" w:hanging="272"/>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70" w:right="167"/>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70" w:right="167"/>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34" w:right="127"/>
              <w:jc w:val="both"/>
              <w:rPr>
                <w:rFonts w:ascii="宋体" w:hAnsi="宋体" w:cs="宋体" w:eastAsia="宋体" w:hint="default"/>
                <w:sz w:val="18"/>
                <w:szCs w:val="18"/>
              </w:rPr>
            </w:pPr>
            <w:r>
              <w:rPr>
                <w:rFonts w:ascii="宋体" w:hAnsi="宋体" w:cs="宋体" w:eastAsia="宋体" w:hint="default"/>
                <w:sz w:val="18"/>
                <w:szCs w:val="18"/>
              </w:rPr>
              <w:t>时履行应 说明未完 成履行的 具体原因</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2" w:right="0"/>
              <w:jc w:val="both"/>
              <w:rPr>
                <w:rFonts w:ascii="宋体" w:hAnsi="宋体" w:cs="宋体" w:eastAsia="宋体" w:hint="default"/>
                <w:sz w:val="18"/>
                <w:szCs w:val="18"/>
              </w:rPr>
            </w:pPr>
            <w:r>
              <w:rPr>
                <w:rFonts w:ascii="宋体" w:hAnsi="宋体" w:cs="宋体" w:eastAsia="宋体" w:hint="default"/>
                <w:sz w:val="18"/>
                <w:szCs w:val="18"/>
              </w:rPr>
              <w:t>如未能</w:t>
            </w:r>
          </w:p>
          <w:p>
            <w:pPr>
              <w:pStyle w:val="TableParagraph"/>
              <w:spacing w:line="237" w:lineRule="auto"/>
              <w:ind w:left="192" w:right="191"/>
              <w:jc w:val="both"/>
              <w:rPr>
                <w:rFonts w:ascii="宋体" w:hAnsi="宋体" w:cs="宋体" w:eastAsia="宋体" w:hint="default"/>
                <w:sz w:val="18"/>
                <w:szCs w:val="18"/>
              </w:rPr>
            </w:pPr>
            <w:r>
              <w:rPr>
                <w:rFonts w:ascii="宋体" w:hAnsi="宋体" w:cs="宋体" w:eastAsia="宋体" w:hint="default"/>
                <w:sz w:val="18"/>
                <w:szCs w:val="18"/>
              </w:rPr>
              <w:t>及时履 行应说 明下一 步计划</w:t>
            </w:r>
          </w:p>
        </w:tc>
      </w:tr>
      <w:tr>
        <w:trPr>
          <w:trHeight w:val="3980" w:hRule="exact"/>
        </w:trPr>
        <w:tc>
          <w:tcPr>
            <w:tcW w:w="9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03" w:right="141"/>
              <w:jc w:val="both"/>
              <w:rPr>
                <w:rFonts w:ascii="宋体" w:hAnsi="宋体" w:cs="宋体" w:eastAsia="宋体" w:hint="default"/>
                <w:sz w:val="18"/>
                <w:szCs w:val="18"/>
              </w:rPr>
            </w:pPr>
            <w:r>
              <w:rPr>
                <w:rFonts w:ascii="宋体" w:hAnsi="宋体" w:cs="宋体" w:eastAsia="宋体" w:hint="default"/>
                <w:sz w:val="18"/>
                <w:szCs w:val="18"/>
              </w:rPr>
              <w:t>与首次公 开发行相 关的承诺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32" w:lineRule="exact" w:before="24"/>
              <w:ind w:left="172" w:right="168"/>
              <w:jc w:val="left"/>
              <w:rPr>
                <w:rFonts w:ascii="宋体" w:hAnsi="宋体" w:cs="宋体" w:eastAsia="宋体" w:hint="default"/>
                <w:sz w:val="18"/>
                <w:szCs w:val="18"/>
              </w:rPr>
            </w:pPr>
            <w:r>
              <w:rPr>
                <w:rFonts w:ascii="宋体" w:hAnsi="宋体" w:cs="宋体" w:eastAsia="宋体" w:hint="default"/>
                <w:sz w:val="18"/>
                <w:szCs w:val="18"/>
              </w:rPr>
              <w:t>同业 竞争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太阳雨控</w:t>
            </w:r>
          </w:p>
          <w:p>
            <w:pPr>
              <w:pStyle w:val="TableParagraph"/>
              <w:spacing w:line="237" w:lineRule="auto" w:before="2"/>
              <w:ind w:left="103" w:right="156"/>
              <w:jc w:val="both"/>
              <w:rPr>
                <w:rFonts w:ascii="宋体" w:hAnsi="宋体" w:cs="宋体" w:eastAsia="宋体" w:hint="default"/>
                <w:sz w:val="18"/>
                <w:szCs w:val="18"/>
              </w:rPr>
            </w:pPr>
            <w:r>
              <w:rPr>
                <w:rFonts w:ascii="宋体" w:hAnsi="宋体" w:cs="宋体" w:eastAsia="宋体" w:hint="default"/>
                <w:sz w:val="18"/>
                <w:szCs w:val="18"/>
              </w:rPr>
              <w:t>股集团有 限公司、 徐新建</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控股股东太阳雨控股集团有限公司出具了《避免同业竞争承诺函》，主要内容为：“一、</w:t>
            </w:r>
          </w:p>
          <w:p>
            <w:pPr>
              <w:pStyle w:val="TableParagraph"/>
              <w:tabs>
                <w:tab w:pos="1272" w:val="left" w:leader="none"/>
              </w:tabs>
              <w:spacing w:line="237" w:lineRule="auto" w:before="2"/>
              <w:ind w:left="105" w:right="99"/>
              <w:jc w:val="left"/>
              <w:rPr>
                <w:rFonts w:ascii="宋体" w:hAnsi="宋体" w:cs="宋体" w:eastAsia="宋体" w:hint="default"/>
                <w:sz w:val="18"/>
                <w:szCs w:val="18"/>
              </w:rPr>
            </w:pPr>
            <w:r>
              <w:rPr>
                <w:rFonts w:ascii="宋体" w:hAnsi="宋体" w:cs="宋体" w:eastAsia="宋体" w:hint="default"/>
                <w:sz w:val="18"/>
                <w:szCs w:val="18"/>
              </w:rPr>
              <w:t>本公司及本公司控制的其他企业未经营或从事任何在商业上对发行人及其所控制的公 司构成直接或间接同业竞争的业务或活动。二、本公司及本公司控制的其他企业在今 后的任何时间不会以任何方式经营或从事与发行人及其所控制的公司构成直接或间接 竞争的业务或活动。凡本公司及本公司控制的其他企业有任何商业机会可从事、参与 或入股任何可能会与发行人及其所控制的公司生产经营构成竞争的业务，本公司及本 公司控制的其他企业会将上述商业机会让予发行人。三、如果本公司及本公司控制的 其他企业违反上述声明、保证与承诺，并造成发行人经济损失的，本公司同意赔偿相 应损失”。</w:t>
              <w:tab/>
            </w:r>
            <w:r>
              <w:rPr>
                <w:rFonts w:ascii="宋体" w:hAnsi="宋体" w:cs="宋体" w:eastAsia="宋体" w:hint="default"/>
                <w:spacing w:val="-1"/>
                <w:sz w:val="18"/>
                <w:szCs w:val="18"/>
              </w:rPr>
              <w:t>公司实际控制人徐新建先生向公司出具了《避免同业竞争承诺函》，主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要内容为：“一、本人（包括本人控制的其他公司）未经营或从事任何在商业上对发 行人及其所控制的公司构成直接或间接同业竞争的业务或活动。二、本人（包括本人 控制的其他公司）在今后的任何时间不会以任何方式经营或从事与发行人及其所控制 的公司构成直接或间接竞争的业务或活动。凡本人（包括本人控制的其他公司）有任 何商业机会可从事、参与或入股任何可能会与发行人及其所控制的公司生产经营构成</w:t>
            </w:r>
            <w:r>
              <w:rPr>
                <w:rFonts w:ascii="宋体" w:hAnsi="宋体" w:cs="宋体" w:eastAsia="宋体" w:hint="default"/>
                <w:sz w:val="18"/>
                <w:szCs w:val="18"/>
              </w:rPr>
              <w:t> 竞争的业务，本人（包括本人控制的其他公司）会将上述商业机会让予发行人。三、 本人（包括本人控制的其他公司）违反上述声明、保证与承诺，并造成发行人经济损 失的，本人同意赔偿相应损失。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pacing w:val="-6"/>
                <w:sz w:val="18"/>
                <w:szCs w:val="18"/>
              </w:rPr>
              <w:t>日，长期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975" w:type="dxa"/>
            <w:vMerge/>
            <w:tcBorders>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太阳雨控</w:t>
            </w: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股集团有 限公司、 徐新建</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若因前述不规范使用票据行为致使发行人承担任何责任和受到任何处罚，从而使发行</w:t>
            </w:r>
          </w:p>
          <w:p>
            <w:pPr>
              <w:pStyle w:val="TableParagraph"/>
              <w:spacing w:line="232" w:lineRule="exact" w:before="23"/>
              <w:ind w:left="105" w:right="169"/>
              <w:jc w:val="left"/>
              <w:rPr>
                <w:rFonts w:ascii="宋体" w:hAnsi="宋体" w:cs="宋体" w:eastAsia="宋体" w:hint="default"/>
                <w:sz w:val="18"/>
                <w:szCs w:val="18"/>
              </w:rPr>
            </w:pPr>
            <w:r>
              <w:rPr>
                <w:rFonts w:ascii="宋体" w:hAnsi="宋体" w:cs="宋体" w:eastAsia="宋体" w:hint="default"/>
                <w:sz w:val="18"/>
                <w:szCs w:val="18"/>
              </w:rPr>
              <w:t>人遭受任何损失，控股股东太阳雨控股集团有限公司和实际控制人徐新建将共同无条 件以现金全额赔偿该等损失，并承担连带责任。</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45" w:hRule="exact"/>
        </w:trPr>
        <w:tc>
          <w:tcPr>
            <w:tcW w:w="975"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太阳雨控</w:t>
            </w: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股集团有 限公司、 徐新建</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若日出东方太阳能股份有限公司及其子公司因未为部分员工缴纳社会保险而被主管部</w:t>
            </w:r>
          </w:p>
          <w:p>
            <w:pPr>
              <w:pStyle w:val="TableParagraph"/>
              <w:spacing w:line="237" w:lineRule="auto"/>
              <w:ind w:left="105" w:right="169"/>
              <w:jc w:val="both"/>
              <w:rPr>
                <w:rFonts w:ascii="宋体" w:hAnsi="宋体" w:cs="宋体" w:eastAsia="宋体" w:hint="default"/>
                <w:sz w:val="18"/>
                <w:szCs w:val="18"/>
              </w:rPr>
            </w:pPr>
            <w:r>
              <w:rPr>
                <w:rFonts w:ascii="宋体" w:hAnsi="宋体" w:cs="宋体" w:eastAsia="宋体" w:hint="default"/>
                <w:sz w:val="18"/>
                <w:szCs w:val="18"/>
              </w:rPr>
              <w:t>门要求补缴全部或部分应缴未缴的社会保险费，因此给日出东方太阳能股份有限公司 及其子公司造成的一切直接和间接损失，将由控股股东太阳雨控股集团有限公司和实 际控制人徐新建承担。若日出东方太阳能股份有限公司及其子公司因未为部分员工缴 存住房公积金而被主管部门要求补缴全部或部分应缴未缴的住房公积金，因此给日出 东方太阳能股份有限公司及其子公司造成的一切直接和间接损失，将由控股股东太阳 雨控股集团有限公司和实际控制人徐新建承担。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63"/>
        <w:ind w:left="6478" w:right="6495" w:firstLine="0"/>
        <w:jc w:val="center"/>
        <w:rPr>
          <w:rFonts w:ascii="Calibri" w:hAnsi="Calibri" w:cs="Calibri" w:eastAsia="Calibri" w:hint="default"/>
          <w:sz w:val="18"/>
          <w:szCs w:val="18"/>
        </w:rPr>
      </w:pPr>
      <w:r>
        <w:rPr>
          <w:rFonts w:ascii="Calibri"/>
          <w:b/>
          <w:sz w:val="18"/>
        </w:rPr>
        <w:t>33 </w:t>
      </w:r>
      <w:r>
        <w:rPr>
          <w:rFonts w:ascii="Calibri"/>
          <w:sz w:val="18"/>
        </w:rPr>
        <w:t>/</w:t>
      </w:r>
      <w:r>
        <w:rPr>
          <w:rFonts w:ascii="Calibri"/>
          <w:spacing w:val="-4"/>
          <w:sz w:val="18"/>
        </w:rPr>
        <w:t> </w:t>
      </w:r>
      <w:r>
        <w:rPr>
          <w:rFonts w:ascii="Calibri"/>
          <w:b/>
          <w:sz w:val="18"/>
        </w:rPr>
        <w:t>175</w:t>
      </w:r>
      <w:r>
        <w:rPr>
          <w:rFonts w:ascii="Calibri"/>
          <w:sz w:val="18"/>
        </w:rPr>
      </w:r>
    </w:p>
    <w:p>
      <w:pPr>
        <w:spacing w:after="0"/>
        <w:jc w:val="center"/>
        <w:rPr>
          <w:rFonts w:ascii="Calibri" w:hAnsi="Calibri" w:cs="Calibri" w:eastAsia="Calibri" w:hint="default"/>
          <w:sz w:val="18"/>
          <w:szCs w:val="18"/>
        </w:rPr>
        <w:sectPr>
          <w:headerReference w:type="default" r:id="rId22"/>
          <w:footerReference w:type="default" r:id="rId23"/>
          <w:pgSz w:w="16840" w:h="11910" w:orient="landscape"/>
          <w:pgMar w:header="0" w:footer="0" w:top="800" w:bottom="280" w:left="1300" w:right="12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pStyle w:val="Heading5"/>
        <w:tabs>
          <w:tab w:pos="784" w:val="left" w:leader="none"/>
        </w:tabs>
        <w:spacing w:line="264" w:lineRule="auto"/>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218" w:right="2549"/>
        <w:jc w:val="left"/>
      </w:pPr>
      <w:r>
        <w:rPr/>
        <w:t>□已达到 □未达到 √不适用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t>三、报告期内资金被占用情况及清欠进展情况</w:t>
      </w:r>
      <w:r>
        <w:rPr>
          <w:b w:val="0"/>
          <w:bCs w:val="0"/>
        </w:rPr>
      </w:r>
    </w:p>
    <w:p>
      <w:pPr>
        <w:spacing w:line="290" w:lineRule="auto" w:before="56"/>
        <w:ind w:left="218" w:right="25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27"/>
        <w:jc w:val="left"/>
        <w:rPr>
          <w:b w:val="0"/>
          <w:bCs w:val="0"/>
        </w:rPr>
      </w:pPr>
      <w:r>
        <w:rPr/>
        <w:t>五、公司对会计政策、会计估计变更或重大会计差错更正原因和影响的分析说明</w:t>
      </w:r>
      <w:r>
        <w:rPr>
          <w:b w:val="0"/>
          <w:bCs w:val="0"/>
        </w:rPr>
      </w:r>
    </w:p>
    <w:p>
      <w:pPr>
        <w:pStyle w:val="Heading5"/>
        <w:tabs>
          <w:tab w:pos="1057" w:val="left" w:leader="none"/>
        </w:tabs>
        <w:spacing w:line="240" w:lineRule="auto" w:before="59"/>
        <w:ind w:right="2549"/>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693"/>
        <w:gridCol w:w="804"/>
        <w:gridCol w:w="3553"/>
      </w:tblGrid>
      <w:tr>
        <w:trPr>
          <w:trHeight w:val="554" w:hRule="exact"/>
        </w:trPr>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审批</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程序</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w:t>
            </w:r>
          </w:p>
        </w:tc>
      </w:tr>
      <w:tr>
        <w:trPr>
          <w:trHeight w:val="2734" w:hRule="exact"/>
        </w:trPr>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根据《企业会计准则第 </w:t>
            </w:r>
            <w:r>
              <w:rPr>
                <w:rFonts w:ascii="宋体" w:hAnsi="宋体" w:cs="宋体" w:eastAsia="宋体" w:hint="default"/>
                <w:sz w:val="21"/>
                <w:szCs w:val="21"/>
              </w:rPr>
              <w:t>16</w:t>
            </w:r>
            <w:r>
              <w:rPr>
                <w:rFonts w:ascii="宋体" w:hAnsi="宋体" w:cs="宋体" w:eastAsia="宋体" w:hint="default"/>
                <w:spacing w:val="60"/>
                <w:sz w:val="21"/>
                <w:szCs w:val="21"/>
              </w:rPr>
              <w:t> </w:t>
            </w:r>
            <w:r>
              <w:rPr>
                <w:rFonts w:ascii="宋体" w:hAnsi="宋体" w:cs="宋体" w:eastAsia="宋体" w:hint="default"/>
                <w:spacing w:val="11"/>
                <w:sz w:val="21"/>
                <w:szCs w:val="21"/>
              </w:rPr>
              <w:t>号——政府补助》</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z w:val="21"/>
                <w:szCs w:val="21"/>
              </w:rPr>
              <w:t>），政府补助的会计处理方法从总额法改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为允许采用净额法，将与资产相关的政府补助相</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关递延收益的摊销方式从在相关资产使用寿命内</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平均分配改为按照合理、系统的方法分配，并修</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改了政府补助的列报项目。</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日尚未</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摊销完毕的政府补助和</w:t>
            </w:r>
            <w:r>
              <w:rPr>
                <w:rFonts w:ascii="宋体" w:hAnsi="宋体" w:cs="宋体" w:eastAsia="宋体" w:hint="default"/>
                <w:spacing w:val="-75"/>
                <w:sz w:val="21"/>
                <w:szCs w:val="21"/>
              </w:rPr>
              <w:t> </w:t>
            </w:r>
            <w:r>
              <w:rPr>
                <w:rFonts w:ascii="宋体" w:hAnsi="宋体" w:cs="宋体" w:eastAsia="宋体" w:hint="default"/>
                <w:sz w:val="21"/>
                <w:szCs w:val="21"/>
              </w:rPr>
              <w:t>2017</w:t>
            </w:r>
            <w:r>
              <w:rPr>
                <w:rFonts w:ascii="宋体" w:hAnsi="宋体" w:cs="宋体" w:eastAsia="宋体" w:hint="default"/>
                <w:spacing w:val="-73"/>
                <w:sz w:val="21"/>
                <w:szCs w:val="21"/>
              </w:rPr>
              <w:t> </w:t>
            </w:r>
            <w:r>
              <w:rPr>
                <w:rFonts w:ascii="宋体" w:hAnsi="宋体" w:cs="宋体" w:eastAsia="宋体" w:hint="default"/>
                <w:sz w:val="21"/>
                <w:szCs w:val="21"/>
              </w:rPr>
              <w:t>年取得的政府补助适</w:t>
            </w:r>
            <w:r>
              <w:rPr>
                <w:rFonts w:ascii="宋体" w:hAnsi="宋体" w:cs="宋体" w:eastAsia="宋体" w:hint="default"/>
                <w:w w:val="100"/>
                <w:sz w:val="21"/>
                <w:szCs w:val="21"/>
              </w:rPr>
              <w:t> </w:t>
            </w:r>
            <w:r>
              <w:rPr>
                <w:rFonts w:ascii="宋体" w:hAnsi="宋体" w:cs="宋体" w:eastAsia="宋体" w:hint="default"/>
                <w:sz w:val="21"/>
                <w:szCs w:val="21"/>
              </w:rPr>
              <w:t>用修订后的准则。对新的披露要求不需提供比较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信息，不对比较报表中其他收益的列报进行相应</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调整。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65"/>
                <w:sz w:val="21"/>
                <w:szCs w:val="21"/>
              </w:rPr>
              <w:t> </w:t>
            </w:r>
            <w:r>
              <w:rPr>
                <w:rFonts w:ascii="宋体" w:hAnsi="宋体" w:cs="宋体" w:eastAsia="宋体" w:hint="default"/>
                <w:sz w:val="21"/>
                <w:szCs w:val="21"/>
              </w:rPr>
              <w:t>事</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65"/>
                <w:sz w:val="21"/>
                <w:szCs w:val="21"/>
              </w:rPr>
              <w:t> </w:t>
            </w:r>
            <w:r>
              <w:rPr>
                <w:rFonts w:ascii="宋体" w:hAnsi="宋体" w:cs="宋体" w:eastAsia="宋体" w:hint="default"/>
                <w:sz w:val="21"/>
                <w:szCs w:val="21"/>
              </w:rPr>
              <w:t>审</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pacing w:val="65"/>
                <w:sz w:val="21"/>
                <w:szCs w:val="21"/>
              </w:rPr>
              <w:t> </w:t>
            </w: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z w:val="21"/>
                <w:szCs w:val="21"/>
              </w:rPr>
              <w:t>准</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影</w:t>
            </w:r>
            <w:r>
              <w:rPr>
                <w:rFonts w:ascii="宋体" w:hAnsi="宋体" w:cs="宋体" w:eastAsia="宋体" w:hint="default"/>
                <w:spacing w:val="-30"/>
                <w:sz w:val="21"/>
                <w:szCs w:val="21"/>
              </w:rPr>
              <w:t> </w:t>
            </w:r>
            <w:r>
              <w:rPr>
                <w:rFonts w:ascii="宋体" w:hAnsi="宋体" w:cs="宋体" w:eastAsia="宋体" w:hint="default"/>
                <w:sz w:val="21"/>
                <w:szCs w:val="21"/>
              </w:rPr>
              <w:t>响</w:t>
            </w:r>
            <w:r>
              <w:rPr>
                <w:rFonts w:ascii="宋体" w:hAnsi="宋体" w:cs="宋体" w:eastAsia="宋体" w:hint="default"/>
                <w:spacing w:val="-33"/>
                <w:sz w:val="21"/>
                <w:szCs w:val="21"/>
              </w:rPr>
              <w:t> </w:t>
            </w:r>
            <w:r>
              <w:rPr>
                <w:rFonts w:ascii="宋体" w:hAnsi="宋体" w:cs="宋体" w:eastAsia="宋体" w:hint="default"/>
                <w:sz w:val="21"/>
                <w:szCs w:val="21"/>
              </w:rPr>
              <w:t>本</w:t>
            </w:r>
            <w:r>
              <w:rPr>
                <w:rFonts w:ascii="宋体" w:hAnsi="宋体" w:cs="宋体" w:eastAsia="宋体" w:hint="default"/>
                <w:spacing w:val="-30"/>
                <w:sz w:val="21"/>
                <w:szCs w:val="21"/>
              </w:rPr>
              <w:t> </w:t>
            </w:r>
            <w:r>
              <w:rPr>
                <w:rFonts w:ascii="宋体" w:hAnsi="宋体" w:cs="宋体" w:eastAsia="宋体" w:hint="default"/>
                <w:sz w:val="21"/>
                <w:szCs w:val="21"/>
              </w:rPr>
              <w:t>期</w:t>
            </w:r>
            <w:r>
              <w:rPr>
                <w:rFonts w:ascii="宋体" w:hAnsi="宋体" w:cs="宋体" w:eastAsia="宋体" w:hint="default"/>
                <w:spacing w:val="-33"/>
                <w:sz w:val="21"/>
                <w:szCs w:val="21"/>
              </w:rPr>
              <w:t> </w:t>
            </w:r>
            <w:r>
              <w:rPr>
                <w:rFonts w:ascii="宋体" w:hAnsi="宋体" w:cs="宋体" w:eastAsia="宋体" w:hint="default"/>
                <w:sz w:val="21"/>
                <w:szCs w:val="21"/>
              </w:rPr>
              <w:t>利</w:t>
            </w:r>
            <w:r>
              <w:rPr>
                <w:rFonts w:ascii="宋体" w:hAnsi="宋体" w:cs="宋体" w:eastAsia="宋体" w:hint="default"/>
                <w:spacing w:val="-30"/>
                <w:sz w:val="21"/>
                <w:szCs w:val="21"/>
              </w:rPr>
              <w:t> </w:t>
            </w:r>
            <w:r>
              <w:rPr>
                <w:rFonts w:ascii="宋体" w:hAnsi="宋体" w:cs="宋体" w:eastAsia="宋体" w:hint="default"/>
                <w:sz w:val="21"/>
                <w:szCs w:val="21"/>
              </w:rPr>
              <w:t>润</w:t>
            </w:r>
            <w:r>
              <w:rPr>
                <w:rFonts w:ascii="宋体" w:hAnsi="宋体" w:cs="宋体" w:eastAsia="宋体" w:hint="default"/>
                <w:spacing w:val="-33"/>
                <w:sz w:val="21"/>
                <w:szCs w:val="21"/>
              </w:rPr>
              <w:t> </w:t>
            </w:r>
            <w:r>
              <w:rPr>
                <w:rFonts w:ascii="宋体" w:hAnsi="宋体" w:cs="宋体" w:eastAsia="宋体" w:hint="default"/>
                <w:sz w:val="21"/>
                <w:szCs w:val="21"/>
              </w:rPr>
              <w:t>表</w:t>
            </w:r>
            <w:r>
              <w:rPr>
                <w:rFonts w:ascii="宋体" w:hAnsi="宋体" w:cs="宋体" w:eastAsia="宋体" w:hint="default"/>
                <w:spacing w:val="-30"/>
                <w:sz w:val="21"/>
                <w:szCs w:val="21"/>
              </w:rPr>
              <w:t> </w:t>
            </w:r>
            <w:r>
              <w:rPr>
                <w:rFonts w:ascii="宋体" w:hAnsi="宋体" w:cs="宋体" w:eastAsia="宋体" w:hint="default"/>
                <w:sz w:val="21"/>
                <w:szCs w:val="21"/>
              </w:rPr>
              <w:t>中</w:t>
            </w:r>
            <w:r>
              <w:rPr>
                <w:rFonts w:ascii="宋体" w:hAnsi="宋体" w:cs="宋体" w:eastAsia="宋体" w:hint="default"/>
                <w:spacing w:val="-33"/>
                <w:sz w:val="21"/>
                <w:szCs w:val="21"/>
              </w:rPr>
              <w:t> </w:t>
            </w:r>
            <w:r>
              <w:rPr>
                <w:rFonts w:ascii="宋体" w:hAnsi="宋体" w:cs="宋体" w:eastAsia="宋体" w:hint="default"/>
                <w:sz w:val="21"/>
                <w:szCs w:val="21"/>
              </w:rPr>
              <w:t>其</w:t>
            </w:r>
            <w:r>
              <w:rPr>
                <w:rFonts w:ascii="宋体" w:hAnsi="宋体" w:cs="宋体" w:eastAsia="宋体" w:hint="default"/>
                <w:spacing w:val="-30"/>
                <w:sz w:val="21"/>
                <w:szCs w:val="21"/>
              </w:rPr>
              <w:t> </w:t>
            </w:r>
            <w:r>
              <w:rPr>
                <w:rFonts w:ascii="宋体" w:hAnsi="宋体" w:cs="宋体" w:eastAsia="宋体" w:hint="default"/>
                <w:sz w:val="21"/>
                <w:szCs w:val="21"/>
              </w:rPr>
              <w:t>他</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spacing w:val="-30"/>
                <w:sz w:val="21"/>
                <w:szCs w:val="21"/>
              </w:rPr>
              <w:t> </w:t>
            </w:r>
            <w:r>
              <w:rPr>
                <w:rFonts w:ascii="宋体" w:hAnsi="宋体" w:cs="宋体" w:eastAsia="宋体" w:hint="default"/>
                <w:sz w:val="21"/>
                <w:szCs w:val="21"/>
              </w:rPr>
              <w:t>益</w:t>
            </w:r>
          </w:p>
          <w:p>
            <w:pPr>
              <w:pStyle w:val="TableParagraph"/>
              <w:spacing w:line="237" w:lineRule="auto" w:before="2"/>
              <w:ind w:left="100" w:right="91"/>
              <w:jc w:val="both"/>
              <w:rPr>
                <w:rFonts w:ascii="宋体" w:hAnsi="宋体" w:cs="宋体" w:eastAsia="宋体" w:hint="default"/>
                <w:sz w:val="21"/>
                <w:szCs w:val="21"/>
              </w:rPr>
            </w:pPr>
            <w:r>
              <w:rPr>
                <w:rFonts w:ascii="宋体" w:hAnsi="宋体" w:cs="宋体" w:eastAsia="宋体" w:hint="default"/>
                <w:spacing w:val="2"/>
                <w:sz w:val="21"/>
                <w:szCs w:val="21"/>
              </w:rPr>
              <w:t>+20,770,806.10</w:t>
            </w:r>
            <w:r>
              <w:rPr>
                <w:rFonts w:ascii="宋体" w:hAnsi="宋体" w:cs="宋体" w:eastAsia="宋体" w:hint="default"/>
                <w:spacing w:val="2"/>
                <w:sz w:val="21"/>
                <w:szCs w:val="21"/>
              </w:rPr>
              <w:t>；营业外收入</w:t>
            </w:r>
            <w:r>
              <w:rPr>
                <w:rFonts w:ascii="宋体" w:hAnsi="宋体" w:cs="宋体" w:eastAsia="宋体" w:hint="default"/>
                <w:spacing w:val="2"/>
                <w:sz w:val="21"/>
                <w:szCs w:val="21"/>
              </w:rPr>
              <w:t>-</w:t>
            </w:r>
            <w:r>
              <w:rPr>
                <w:rFonts w:ascii="宋体" w:hAnsi="宋体" w:cs="宋体" w:eastAsia="宋体" w:hint="default"/>
                <w:spacing w:val="2"/>
                <w:sz w:val="21"/>
                <w:szCs w:val="21"/>
              </w:rPr>
              <w:t>政府</w:t>
            </w:r>
            <w:r>
              <w:rPr>
                <w:rFonts w:ascii="宋体" w:hAnsi="宋体" w:cs="宋体" w:eastAsia="宋体" w:hint="default"/>
                <w:spacing w:val="-65"/>
                <w:sz w:val="21"/>
                <w:szCs w:val="21"/>
              </w:rPr>
              <w:t> </w:t>
            </w:r>
            <w:r>
              <w:rPr>
                <w:rFonts w:ascii="宋体" w:hAnsi="宋体" w:cs="宋体" w:eastAsia="宋体" w:hint="default"/>
                <w:sz w:val="21"/>
                <w:szCs w:val="21"/>
              </w:rPr>
              <w:t>补助</w:t>
            </w:r>
            <w:r>
              <w:rPr>
                <w:rFonts w:ascii="宋体" w:hAnsi="宋体" w:cs="宋体" w:eastAsia="宋体" w:hint="default"/>
                <w:spacing w:val="83"/>
                <w:sz w:val="21"/>
                <w:szCs w:val="21"/>
              </w:rPr>
              <w:t> </w:t>
            </w:r>
            <w:r>
              <w:rPr>
                <w:rFonts w:ascii="宋体" w:hAnsi="宋体" w:cs="宋体" w:eastAsia="宋体" w:hint="default"/>
                <w:sz w:val="21"/>
                <w:szCs w:val="21"/>
              </w:rPr>
              <w:t>-20,770,806.10</w:t>
            </w:r>
            <w:r>
              <w:rPr>
                <w:rFonts w:ascii="宋体" w:hAnsi="宋体" w:cs="宋体" w:eastAsia="宋体" w:hint="default"/>
                <w:sz w:val="21"/>
                <w:szCs w:val="21"/>
              </w:rPr>
              <w:t>；不影响本期</w:t>
            </w:r>
            <w:r>
              <w:rPr>
                <w:rFonts w:ascii="宋体" w:hAnsi="宋体" w:cs="宋体" w:eastAsia="宋体" w:hint="default"/>
                <w:w w:val="100"/>
                <w:sz w:val="21"/>
                <w:szCs w:val="21"/>
              </w:rPr>
              <w:t> </w:t>
            </w:r>
            <w:r>
              <w:rPr>
                <w:rFonts w:ascii="宋体" w:hAnsi="宋体" w:cs="宋体" w:eastAsia="宋体" w:hint="default"/>
                <w:sz w:val="21"/>
                <w:szCs w:val="21"/>
              </w:rPr>
              <w:t>净利润。</w:t>
            </w:r>
          </w:p>
        </w:tc>
      </w:tr>
      <w:tr>
        <w:trPr>
          <w:trHeight w:val="4642" w:hRule="exact"/>
        </w:trPr>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根据《关于修订印发一般企业财务报表格式的通</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知》（财会</w:t>
            </w:r>
            <w:r>
              <w:rPr>
                <w:rFonts w:ascii="宋体" w:hAnsi="宋体" w:cs="宋体" w:eastAsia="宋体" w:hint="default"/>
                <w:sz w:val="21"/>
                <w:szCs w:val="21"/>
              </w:rPr>
              <w:t>[2017]30</w:t>
            </w:r>
            <w:r>
              <w:rPr>
                <w:rFonts w:ascii="宋体" w:hAnsi="宋体" w:cs="宋体" w:eastAsia="宋体" w:hint="default"/>
                <w:spacing w:val="-42"/>
                <w:sz w:val="21"/>
                <w:szCs w:val="21"/>
              </w:rPr>
              <w:t> </w:t>
            </w:r>
            <w:r>
              <w:rPr>
                <w:rFonts w:ascii="宋体" w:hAnsi="宋体" w:cs="宋体" w:eastAsia="宋体" w:hint="default"/>
                <w:sz w:val="21"/>
                <w:szCs w:val="21"/>
              </w:rPr>
              <w:t>号），在利润表中新增“资</w:t>
            </w:r>
            <w:r>
              <w:rPr>
                <w:rFonts w:ascii="宋体" w:hAnsi="宋体" w:cs="宋体" w:eastAsia="宋体" w:hint="default"/>
                <w:w w:val="100"/>
                <w:sz w:val="21"/>
                <w:szCs w:val="21"/>
              </w:rPr>
              <w:t> </w:t>
            </w:r>
            <w:r>
              <w:rPr>
                <w:rFonts w:ascii="宋体" w:hAnsi="宋体" w:cs="宋体" w:eastAsia="宋体" w:hint="default"/>
                <w:sz w:val="21"/>
                <w:szCs w:val="21"/>
              </w:rPr>
              <w:t>产处置收益”行项目，反映企业出售划分为持有</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待售的非流动资产（金融工具、长期股权投资和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投资性房地产除外）或处置组时确认的处置利得</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或损失，处置未划分为持有待售的固定资产、在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建工程、生产性生物资产及无形资产而产生的处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置利得或损失，以及债务重组中因处置非流动资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产产生的利得或损失和非货币性资产交换产生的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利得或损失。相应的删除“营业外收入”和“营</w:t>
            </w:r>
          </w:p>
          <w:p>
            <w:pPr>
              <w:pStyle w:val="TableParagraph"/>
              <w:spacing w:line="274" w:lineRule="exact" w:before="22"/>
              <w:ind w:left="103" w:right="-3"/>
              <w:jc w:val="left"/>
              <w:rPr>
                <w:rFonts w:ascii="宋体" w:hAnsi="宋体" w:cs="宋体" w:eastAsia="宋体" w:hint="default"/>
                <w:sz w:val="21"/>
                <w:szCs w:val="21"/>
              </w:rPr>
            </w:pPr>
            <w:r>
              <w:rPr>
                <w:rFonts w:ascii="宋体" w:hAnsi="宋体" w:cs="宋体" w:eastAsia="宋体" w:hint="default"/>
                <w:spacing w:val="-4"/>
                <w:sz w:val="21"/>
                <w:szCs w:val="21"/>
              </w:rPr>
              <w:t>业外支出”项下的“其中：非流动资产处置利得”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和“其中：非流动资产处置损失”项目，反映企</w:t>
            </w:r>
          </w:p>
          <w:p>
            <w:pPr>
              <w:pStyle w:val="TableParagraph"/>
              <w:spacing w:line="245" w:lineRule="exact"/>
              <w:ind w:left="103" w:right="0"/>
              <w:jc w:val="both"/>
              <w:rPr>
                <w:rFonts w:ascii="宋体" w:hAnsi="宋体" w:cs="宋体" w:eastAsia="宋体" w:hint="default"/>
                <w:sz w:val="21"/>
                <w:szCs w:val="21"/>
              </w:rPr>
            </w:pPr>
            <w:r>
              <w:rPr>
                <w:rFonts w:ascii="宋体" w:hAnsi="宋体" w:cs="宋体" w:eastAsia="宋体" w:hint="default"/>
                <w:sz w:val="21"/>
                <w:szCs w:val="21"/>
              </w:rPr>
              <w:t>业发生的营业利润以外的收益，主要包括债务重</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4"/>
                <w:sz w:val="21"/>
                <w:szCs w:val="21"/>
              </w:rPr>
              <w:t>组利得或损失、与企业日常活动无关的政府补助、</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公益性捐赠支出、非常损失、盘盈利得或损失、</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捐赠利得、流动资产毁损报废损失等。对比较报</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表的列报进行了相应调整。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65"/>
                <w:sz w:val="21"/>
                <w:szCs w:val="21"/>
              </w:rPr>
              <w:t> </w:t>
            </w:r>
            <w:r>
              <w:rPr>
                <w:rFonts w:ascii="宋体" w:hAnsi="宋体" w:cs="宋体" w:eastAsia="宋体" w:hint="default"/>
                <w:sz w:val="21"/>
                <w:szCs w:val="21"/>
              </w:rPr>
              <w:t>事</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65"/>
                <w:sz w:val="21"/>
                <w:szCs w:val="21"/>
              </w:rPr>
              <w:t> </w:t>
            </w:r>
            <w:r>
              <w:rPr>
                <w:rFonts w:ascii="宋体" w:hAnsi="宋体" w:cs="宋体" w:eastAsia="宋体" w:hint="default"/>
                <w:sz w:val="21"/>
                <w:szCs w:val="21"/>
              </w:rPr>
              <w:t>审</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pacing w:val="65"/>
                <w:sz w:val="21"/>
                <w:szCs w:val="21"/>
              </w:rPr>
              <w:t> </w:t>
            </w: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z w:val="21"/>
                <w:szCs w:val="21"/>
              </w:rPr>
              <w:t>准</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影</w:t>
            </w:r>
            <w:r>
              <w:rPr>
                <w:rFonts w:ascii="宋体" w:hAnsi="宋体" w:cs="宋体" w:eastAsia="宋体" w:hint="default"/>
                <w:spacing w:val="-73"/>
                <w:sz w:val="21"/>
                <w:szCs w:val="21"/>
              </w:rPr>
              <w:t> </w:t>
            </w:r>
            <w:r>
              <w:rPr>
                <w:rFonts w:ascii="宋体" w:hAnsi="宋体" w:cs="宋体" w:eastAsia="宋体" w:hint="default"/>
                <w:sz w:val="21"/>
                <w:szCs w:val="21"/>
              </w:rPr>
              <w:t>响</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利</w:t>
            </w:r>
            <w:r>
              <w:rPr>
                <w:rFonts w:ascii="宋体" w:hAnsi="宋体" w:cs="宋体" w:eastAsia="宋体" w:hint="default"/>
                <w:spacing w:val="-73"/>
                <w:sz w:val="21"/>
                <w:szCs w:val="21"/>
              </w:rPr>
              <w:t> </w:t>
            </w:r>
            <w:r>
              <w:rPr>
                <w:rFonts w:ascii="宋体" w:hAnsi="宋体" w:cs="宋体" w:eastAsia="宋体" w:hint="default"/>
                <w:sz w:val="21"/>
                <w:szCs w:val="21"/>
              </w:rPr>
              <w:t>润</w:t>
            </w:r>
            <w:r>
              <w:rPr>
                <w:rFonts w:ascii="宋体" w:hAnsi="宋体" w:cs="宋体" w:eastAsia="宋体" w:hint="default"/>
                <w:spacing w:val="-76"/>
                <w:sz w:val="21"/>
                <w:szCs w:val="21"/>
              </w:rPr>
              <w:t> </w:t>
            </w:r>
            <w:r>
              <w:rPr>
                <w:rFonts w:ascii="宋体" w:hAnsi="宋体" w:cs="宋体" w:eastAsia="宋体" w:hint="default"/>
                <w:sz w:val="21"/>
                <w:szCs w:val="21"/>
              </w:rPr>
              <w:t>表</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处</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益</w:t>
            </w: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-16203.23</w:t>
            </w:r>
            <w:r>
              <w:rPr>
                <w:rFonts w:ascii="宋体" w:hAnsi="宋体" w:cs="宋体" w:eastAsia="宋体" w:hint="default"/>
                <w:spacing w:val="-2"/>
                <w:sz w:val="21"/>
                <w:szCs w:val="21"/>
              </w:rPr>
              <w:t>；营业外收入</w:t>
            </w:r>
            <w:r>
              <w:rPr>
                <w:rFonts w:ascii="宋体" w:hAnsi="宋体" w:cs="宋体" w:eastAsia="宋体" w:hint="default"/>
                <w:spacing w:val="-2"/>
                <w:sz w:val="21"/>
                <w:szCs w:val="21"/>
              </w:rPr>
              <w:t>-146327.22</w:t>
            </w:r>
            <w:r>
              <w:rPr>
                <w:rFonts w:ascii="宋体" w:hAnsi="宋体" w:cs="宋体" w:eastAsia="宋体" w:hint="default"/>
                <w:spacing w:val="-2"/>
                <w:sz w:val="21"/>
                <w:szCs w:val="21"/>
              </w:rPr>
              <w:t>；</w:t>
            </w:r>
          </w:p>
          <w:p>
            <w:pPr>
              <w:pStyle w:val="TableParagraph"/>
              <w:spacing w:line="240" w:lineRule="auto"/>
              <w:ind w:left="100" w:right="91"/>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-162530.45</w:t>
            </w:r>
            <w:r>
              <w:rPr>
                <w:rFonts w:ascii="宋体" w:hAnsi="宋体" w:cs="宋体" w:eastAsia="宋体" w:hint="default"/>
                <w:spacing w:val="53"/>
                <w:sz w:val="21"/>
                <w:szCs w:val="21"/>
              </w:rPr>
              <w:t> </w:t>
            </w:r>
            <w:r>
              <w:rPr>
                <w:rFonts w:ascii="宋体" w:hAnsi="宋体" w:cs="宋体" w:eastAsia="宋体" w:hint="default"/>
                <w:spacing w:val="6"/>
                <w:sz w:val="21"/>
                <w:szCs w:val="21"/>
              </w:rPr>
              <w:t>；不影响本</w:t>
            </w:r>
            <w:r>
              <w:rPr>
                <w:rFonts w:ascii="宋体" w:hAnsi="宋体" w:cs="宋体" w:eastAsia="宋体" w:hint="default"/>
                <w:spacing w:val="-99"/>
                <w:sz w:val="21"/>
                <w:szCs w:val="21"/>
              </w:rPr>
              <w:t> </w:t>
            </w:r>
            <w:r>
              <w:rPr>
                <w:rFonts w:ascii="宋体" w:hAnsi="宋体" w:cs="宋体" w:eastAsia="宋体" w:hint="default"/>
                <w:sz w:val="21"/>
                <w:szCs w:val="21"/>
              </w:rPr>
              <w:t>期净利润。</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影</w:t>
            </w:r>
            <w:r>
              <w:rPr>
                <w:rFonts w:ascii="宋体" w:hAnsi="宋体" w:cs="宋体" w:eastAsia="宋体" w:hint="default"/>
                <w:spacing w:val="-73"/>
                <w:sz w:val="21"/>
                <w:szCs w:val="21"/>
              </w:rPr>
              <w:t> </w:t>
            </w:r>
            <w:r>
              <w:rPr>
                <w:rFonts w:ascii="宋体" w:hAnsi="宋体" w:cs="宋体" w:eastAsia="宋体" w:hint="default"/>
                <w:sz w:val="21"/>
                <w:szCs w:val="21"/>
              </w:rPr>
              <w:t>响</w:t>
            </w:r>
            <w:r>
              <w:rPr>
                <w:rFonts w:ascii="宋体" w:hAnsi="宋体" w:cs="宋体" w:eastAsia="宋体" w:hint="default"/>
                <w:spacing w:val="-76"/>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利</w:t>
            </w:r>
            <w:r>
              <w:rPr>
                <w:rFonts w:ascii="宋体" w:hAnsi="宋体" w:cs="宋体" w:eastAsia="宋体" w:hint="default"/>
                <w:spacing w:val="-73"/>
                <w:sz w:val="21"/>
                <w:szCs w:val="21"/>
              </w:rPr>
              <w:t> </w:t>
            </w:r>
            <w:r>
              <w:rPr>
                <w:rFonts w:ascii="宋体" w:hAnsi="宋体" w:cs="宋体" w:eastAsia="宋体" w:hint="default"/>
                <w:sz w:val="21"/>
                <w:szCs w:val="21"/>
              </w:rPr>
              <w:t>润</w:t>
            </w:r>
            <w:r>
              <w:rPr>
                <w:rFonts w:ascii="宋体" w:hAnsi="宋体" w:cs="宋体" w:eastAsia="宋体" w:hint="default"/>
                <w:spacing w:val="-76"/>
                <w:sz w:val="21"/>
                <w:szCs w:val="21"/>
              </w:rPr>
              <w:t> </w:t>
            </w:r>
            <w:r>
              <w:rPr>
                <w:rFonts w:ascii="宋体" w:hAnsi="宋体" w:cs="宋体" w:eastAsia="宋体" w:hint="default"/>
                <w:sz w:val="21"/>
                <w:szCs w:val="21"/>
              </w:rPr>
              <w:t>表</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处</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益</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-2948961.39 </w:t>
            </w:r>
            <w:r>
              <w:rPr>
                <w:rFonts w:ascii="宋体" w:hAnsi="宋体" w:cs="宋体" w:eastAsia="宋体" w:hint="default"/>
                <w:sz w:val="21"/>
                <w:szCs w:val="21"/>
              </w:rPr>
              <w:t>； 营 业 外 收  </w:t>
            </w:r>
            <w:r>
              <w:rPr>
                <w:rFonts w:ascii="宋体" w:hAnsi="宋体" w:cs="宋体" w:eastAsia="宋体" w:hint="default"/>
                <w:spacing w:val="81"/>
                <w:sz w:val="21"/>
                <w:szCs w:val="21"/>
              </w:rPr>
              <w:t> </w:t>
            </w:r>
            <w:r>
              <w:rPr>
                <w:rFonts w:ascii="宋体" w:hAnsi="宋体" w:cs="宋体" w:eastAsia="宋体" w:hint="default"/>
                <w:sz w:val="21"/>
                <w:szCs w:val="21"/>
              </w:rPr>
              <w:t>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-52209.06  </w:t>
            </w:r>
            <w:r>
              <w:rPr>
                <w:rFonts w:ascii="宋体" w:hAnsi="宋体" w:cs="宋体" w:eastAsia="宋体" w:hint="default"/>
                <w:sz w:val="21"/>
                <w:szCs w:val="21"/>
              </w:rPr>
              <w:t>；  营  业  外  支</w:t>
            </w:r>
            <w:r>
              <w:rPr>
                <w:rFonts w:ascii="宋体" w:hAnsi="宋体" w:cs="宋体" w:eastAsia="宋体" w:hint="default"/>
                <w:spacing w:val="-27"/>
                <w:sz w:val="21"/>
                <w:szCs w:val="21"/>
              </w:rPr>
              <w:t> </w:t>
            </w:r>
            <w:r>
              <w:rPr>
                <w:rFonts w:ascii="宋体" w:hAnsi="宋体" w:cs="宋体" w:eastAsia="宋体" w:hint="default"/>
                <w:sz w:val="21"/>
                <w:szCs w:val="21"/>
              </w:rPr>
              <w:t>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-3001170.45</w:t>
            </w:r>
            <w:r>
              <w:rPr>
                <w:rFonts w:ascii="宋体" w:hAnsi="宋体" w:cs="宋体" w:eastAsia="宋体" w:hint="default"/>
                <w:spacing w:val="-3"/>
                <w:sz w:val="21"/>
                <w:szCs w:val="21"/>
              </w:rPr>
              <w:t> </w:t>
            </w:r>
            <w:r>
              <w:rPr>
                <w:rFonts w:ascii="宋体" w:hAnsi="宋体" w:cs="宋体" w:eastAsia="宋体" w:hint="default"/>
                <w:sz w:val="21"/>
                <w:szCs w:val="21"/>
              </w:rPr>
              <w:t>；不影响上期净利润。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5"/>
        <w:tabs>
          <w:tab w:pos="1057" w:val="left" w:leader="none"/>
        </w:tabs>
        <w:spacing w:line="240" w:lineRule="auto" w:before="36"/>
        <w:ind w:right="2549"/>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after="0" w:line="240" w:lineRule="auto"/>
        <w:jc w:val="left"/>
        <w:sectPr>
          <w:footerReference w:type="default" r:id="rId24"/>
          <w:pgSz w:w="11910" w:h="16840"/>
          <w:pgMar w:footer="1195" w:header="0" w:top="1120" w:bottom="1380" w:left="1580" w:right="1040"/>
          <w:pgNumType w:start="3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1057" w:val="left" w:leader="none"/>
        </w:tabs>
        <w:spacing w:line="240" w:lineRule="auto" w:before="177"/>
        <w:ind w:right="2549"/>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057" w:val="left" w:leader="none"/>
        </w:tabs>
        <w:spacing w:line="240" w:lineRule="auto"/>
        <w:ind w:right="2549"/>
        <w:jc w:val="left"/>
        <w:rPr>
          <w:b w:val="0"/>
          <w:bCs w:val="0"/>
        </w:rPr>
      </w:pPr>
      <w:r>
        <w:rPr/>
        <w:t>（四）</w:t>
        <w:tab/>
        <w:t>其他说明</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5"/>
        <w:spacing w:line="240" w:lineRule="auto" w:before="36"/>
        <w:ind w:right="2549"/>
        <w:jc w:val="left"/>
        <w:rPr>
          <w:b w:val="0"/>
          <w:bCs w:val="0"/>
        </w:rPr>
      </w:pPr>
      <w:r>
        <w:rPr/>
        <w:t>六、聘任、解聘会计师事务所情况</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1,000,000.00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896"/>
        <w:gridCol w:w="213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200,000.00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2549"/>
        <w:jc w:val="left"/>
      </w:pPr>
      <w:r>
        <w:rPr/>
        <w:t>聘任、解聘会计师事务所的情况说明</w:t>
      </w:r>
    </w:p>
    <w:p>
      <w:pPr>
        <w:pStyle w:val="BodyText"/>
        <w:spacing w:line="274" w:lineRule="exact"/>
        <w:ind w:left="218" w:right="2549"/>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left="218" w:right="2549"/>
        <w:jc w:val="left"/>
      </w:pPr>
      <w:r>
        <w:rPr/>
        <w:t>审计期间改聘会计师事务所的情况说明</w:t>
      </w:r>
    </w:p>
    <w:p>
      <w:pPr>
        <w:pStyle w:val="BodyText"/>
        <w:tabs>
          <w:tab w:pos="1060" w:val="left" w:leader="none"/>
        </w:tabs>
        <w:spacing w:line="274" w:lineRule="exact"/>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4"/>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057" w:val="left" w:leader="none"/>
        </w:tabs>
        <w:spacing w:line="240" w:lineRule="auto"/>
        <w:ind w:right="254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7"/>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t>八、面临终止上市的情况和原因</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t>九、破产重整相关事项</w:t>
      </w:r>
      <w:r>
        <w:rPr>
          <w:b w:val="0"/>
          <w:bCs w:val="0"/>
        </w:rPr>
      </w:r>
    </w:p>
    <w:p>
      <w:pPr>
        <w:pStyle w:val="BodyText"/>
        <w:spacing w:line="240" w:lineRule="auto" w:before="56"/>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t>十、重大诉讼、仲裁事项</w:t>
      </w:r>
      <w:r>
        <w:rPr>
          <w:b w:val="0"/>
          <w:bCs w:val="0"/>
        </w:rPr>
      </w:r>
    </w:p>
    <w:p>
      <w:pPr>
        <w:pStyle w:val="BodyText"/>
        <w:spacing w:line="240" w:lineRule="auto" w:before="58"/>
        <w:ind w:left="218" w:right="227"/>
        <w:jc w:val="left"/>
      </w:pPr>
      <w:r>
        <w:rPr/>
        <w:t>□本年度公司有重大诉讼、仲裁事项</w:t>
      </w:r>
      <w:r>
        <w:rPr>
          <w:spacing w:val="-7"/>
        </w:rPr>
        <w:t> </w:t>
      </w:r>
      <w:r>
        <w:rPr/>
        <w:t>√本年度公司无重大诉讼、仲裁事项</w:t>
      </w:r>
    </w:p>
    <w:p>
      <w:pPr>
        <w:spacing w:after="0" w:line="240" w:lineRule="auto"/>
        <w:jc w:val="left"/>
        <w:sectPr>
          <w:pgSz w:w="11910" w:h="16840"/>
          <w:pgMar w:header="0" w:footer="1195" w:top="1120" w:bottom="1380" w:left="1580" w:right="1040"/>
        </w:sectPr>
      </w:pPr>
    </w:p>
    <w:p>
      <w:pPr>
        <w:spacing w:line="240" w:lineRule="auto" w:before="4"/>
        <w:rPr>
          <w:rFonts w:ascii="宋体" w:hAnsi="宋体" w:cs="宋体" w:eastAsia="宋体" w:hint="default"/>
          <w:sz w:val="25"/>
          <w:szCs w:val="25"/>
        </w:rPr>
      </w:pPr>
    </w:p>
    <w:p>
      <w:pPr>
        <w:pStyle w:val="Heading5"/>
        <w:spacing w:line="240" w:lineRule="auto" w:before="36"/>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left="138" w:right="0"/>
        <w:jc w:val="left"/>
        <w:rPr>
          <w:b w:val="0"/>
          <w:bCs w:val="0"/>
        </w:rPr>
      </w:pPr>
      <w:r>
        <w:rPr/>
        <w:t>十二、报告期内公司及其控股股东、实际控制人诚信状况的说明</w:t>
      </w:r>
      <w:r>
        <w:rPr>
          <w:b w:val="0"/>
          <w:bCs w:val="0"/>
        </w:rPr>
      </w:r>
    </w:p>
    <w:p>
      <w:pPr>
        <w:pStyle w:val="BodyText"/>
        <w:tabs>
          <w:tab w:pos="980" w:val="left" w:leader="none"/>
        </w:tabs>
        <w:spacing w:line="333" w:lineRule="auto" w:before="56"/>
        <w:ind w:left="558" w:right="137" w:hanging="420"/>
        <w:jc w:val="left"/>
      </w:pPr>
      <w:r>
        <w:rPr>
          <w:spacing w:val="-1"/>
        </w:rPr>
        <w:t>√适用</w:t>
        <w:tab/>
      </w:r>
      <w:r>
        <w:rPr>
          <w:spacing w:val="-2"/>
        </w:rPr>
        <w:t>□不适用</w:t>
      </w:r>
      <w:r>
        <w:rPr>
          <w:spacing w:val="-99"/>
        </w:rPr>
        <w:t> </w:t>
      </w:r>
      <w:r>
        <w:rPr>
          <w:spacing w:val="-99"/>
        </w:rPr>
      </w:r>
      <w:r>
        <w:rPr>
          <w:spacing w:val="-2"/>
        </w:rPr>
        <w:t>报告期内，公司及其控股股东、实际控制人诚信状况良好，不存在未履行法院生效判决、所</w:t>
      </w:r>
    </w:p>
    <w:p>
      <w:pPr>
        <w:pStyle w:val="BodyText"/>
        <w:spacing w:line="240" w:lineRule="auto" w:before="41"/>
        <w:ind w:left="138" w:right="0"/>
        <w:jc w:val="left"/>
      </w:pPr>
      <w:r>
        <w:rPr/>
        <w:t>负数额较大的债务到期未清偿等情况。</w:t>
      </w:r>
    </w:p>
    <w:p>
      <w:pPr>
        <w:spacing w:line="240" w:lineRule="auto" w:before="12"/>
        <w:rPr>
          <w:rFonts w:ascii="宋体" w:hAnsi="宋体" w:cs="宋体" w:eastAsia="宋体" w:hint="default"/>
          <w:sz w:val="26"/>
          <w:szCs w:val="26"/>
        </w:rPr>
      </w:pPr>
    </w:p>
    <w:p>
      <w:pPr>
        <w:pStyle w:val="Heading5"/>
        <w:spacing w:line="290" w:lineRule="auto"/>
        <w:ind w:left="138" w:right="1661"/>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left="138" w:right="0"/>
        <w:jc w:val="left"/>
      </w:pPr>
      <w:r>
        <w:rPr/>
        <w:t>□适用</w:t>
      </w:r>
      <w:r>
        <w:rPr>
          <w:spacing w:val="-1"/>
        </w:rPr>
        <w:t> </w:t>
      </w:r>
      <w:r>
        <w:rPr/>
        <w:t>√不适用</w:t>
      </w:r>
    </w:p>
    <w:p>
      <w:pPr>
        <w:spacing w:line="290" w:lineRule="auto" w:before="56"/>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9" w:lineRule="exact"/>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其他说明</w:t>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员工持股计划情况</w:t>
      </w:r>
    </w:p>
    <w:p>
      <w:pPr>
        <w:pStyle w:val="BodyText"/>
        <w:tabs>
          <w:tab w:pos="980" w:val="left" w:leader="none"/>
        </w:tabs>
        <w:spacing w:line="274" w:lineRule="exact"/>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其他激励措施</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t>十四、重大关联交易</w:t>
      </w:r>
      <w:r>
        <w:rPr>
          <w:b w:val="0"/>
          <w:bCs w:val="0"/>
        </w:rPr>
      </w:r>
    </w:p>
    <w:p>
      <w:pPr>
        <w:pStyle w:val="Heading5"/>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5"/>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0"/>
        <w:jc w:val="left"/>
      </w:pPr>
      <w:r>
        <w:rPr/>
        <w:t>□适用</w:t>
      </w:r>
      <w:r>
        <w:rPr>
          <w:spacing w:val="-1"/>
        </w:rPr>
        <w:t> </w:t>
      </w:r>
      <w:r>
        <w:rPr/>
        <w:t>√不适用</w:t>
      </w:r>
    </w:p>
    <w:p>
      <w:pPr>
        <w:pStyle w:val="Heading5"/>
        <w:spacing w:line="240" w:lineRule="auto" w:before="56"/>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6"/>
        <w:ind w:left="138" w:right="49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5"/>
        <w:spacing w:line="240" w:lineRule="auto" w:before="14"/>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5"/>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9"/>
        <w:ind w:left="138"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5"/>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5"/>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5"/>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t>□适用</w:t>
      </w:r>
      <w:r>
        <w:rPr>
          <w:spacing w:val="-1"/>
        </w:rPr>
        <w:t> </w:t>
      </w:r>
      <w:r>
        <w:rPr/>
        <w:t>√不适用</w:t>
      </w:r>
    </w:p>
    <w:p>
      <w:pPr>
        <w:pStyle w:val="Heading5"/>
        <w:spacing w:line="240" w:lineRule="auto" w:before="58"/>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t>□适用</w:t>
      </w:r>
      <w:r>
        <w:rPr>
          <w:spacing w:val="-1"/>
        </w:rPr>
        <w:t> </w:t>
      </w:r>
      <w:r>
        <w:rPr/>
        <w:t>√不适用</w:t>
      </w:r>
    </w:p>
    <w:p>
      <w:pPr>
        <w:pStyle w:val="Heading5"/>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977" w:val="left" w:leader="none"/>
        </w:tabs>
        <w:spacing w:line="290" w:lineRule="auto"/>
        <w:ind w:left="138" w:right="63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290" w:lineRule="auto" w:before="14"/>
        <w:ind w:left="138" w:right="7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pStyle w:val="BodyText"/>
        <w:spacing w:line="240" w:lineRule="auto" w:before="14"/>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60" w:right="840"/>
        </w:sectPr>
      </w:pPr>
    </w:p>
    <w:p>
      <w:pPr>
        <w:pStyle w:val="Heading5"/>
        <w:tabs>
          <w:tab w:pos="977" w:val="left" w:leader="none"/>
        </w:tabs>
        <w:spacing w:line="240" w:lineRule="auto" w:before="36"/>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840"/>
          <w:cols w:num="2" w:equalWidth="0">
            <w:col w:w="1823" w:space="5015"/>
            <w:col w:w="25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71"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9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05"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1"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153,200,000</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153,200,000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1"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153,200,000</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4.15</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0</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5"/>
        <w:tabs>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5"/>
        <w:spacing w:line="273" w:lineRule="exact" w:before="14"/>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73" w:lineRule="exact"/>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222" w:space="2089"/>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680"/>
        <w:gridCol w:w="1582"/>
        <w:gridCol w:w="1563"/>
        <w:gridCol w:w="1706"/>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逾期未收回金额</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银行及券商理财产品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98,000.00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48,200.00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其他理财产品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116,325.00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23,648.00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74" w:lineRule="exact" w:before="36"/>
        <w:ind w:right="2549"/>
        <w:jc w:val="left"/>
        <w:rPr>
          <w:b w:val="0"/>
          <w:bCs w:val="0"/>
        </w:rPr>
      </w:pPr>
      <w:r>
        <w:rPr/>
        <w:t>其他情况</w:t>
      </w:r>
      <w:r>
        <w:rPr>
          <w:b w:val="0"/>
          <w:bCs w:val="0"/>
        </w:rPr>
      </w:r>
    </w:p>
    <w:p>
      <w:pPr>
        <w:pStyle w:val="BodyText"/>
        <w:tabs>
          <w:tab w:pos="1060" w:val="left" w:leader="none"/>
        </w:tabs>
        <w:spacing w:line="274" w:lineRule="exact"/>
        <w:ind w:left="218" w:right="2549"/>
        <w:jc w:val="left"/>
      </w:pPr>
      <w:r>
        <w:rPr>
          <w:spacing w:val="-1"/>
        </w:rPr>
        <w:t>□适用</w:t>
        <w:tab/>
      </w:r>
      <w:r>
        <w:rPr>
          <w:spacing w:val="-2"/>
        </w:rPr>
        <w:t>√不适用</w:t>
      </w:r>
    </w:p>
    <w:p>
      <w:pPr>
        <w:spacing w:after="0" w:line="274" w:lineRule="exact"/>
        <w:jc w:val="left"/>
        <w:sectPr>
          <w:type w:val="continuous"/>
          <w:pgSz w:w="11910" w:h="16840"/>
          <w:pgMar w:top="1120" w:bottom="1380" w:left="1580" w:right="1040"/>
        </w:sect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5"/>
          <w:footerReference w:type="default" r:id="rId26"/>
          <w:pgSz w:w="16840" w:h="11910" w:orient="landscape"/>
          <w:pgMar w:header="880" w:footer="1195" w:top="1120" w:bottom="1380" w:left="700" w:right="1020"/>
          <w:pgNumType w:start="3"/>
        </w:sectPr>
      </w:pPr>
    </w:p>
    <w:p>
      <w:pPr>
        <w:pStyle w:val="Heading5"/>
        <w:spacing w:line="274" w:lineRule="exact" w:before="36"/>
        <w:ind w:left="824" w:right="-15"/>
        <w:jc w:val="left"/>
        <w:rPr>
          <w:b w:val="0"/>
          <w:bCs w:val="0"/>
        </w:rPr>
      </w:pPr>
      <w:r>
        <w:rPr>
          <w:rFonts w:ascii="宋体" w:hAnsi="宋体" w:cs="宋体" w:eastAsia="宋体" w:hint="default"/>
        </w:rPr>
        <w:t>(2).</w:t>
      </w:r>
      <w:r>
        <w:rPr/>
        <w:t>单项委托理财情况</w:t>
      </w:r>
      <w:r>
        <w:rPr>
          <w:b w:val="0"/>
          <w:bCs w:val="0"/>
        </w:rPr>
      </w:r>
    </w:p>
    <w:p>
      <w:pPr>
        <w:pStyle w:val="BodyText"/>
        <w:tabs>
          <w:tab w:pos="1666" w:val="left" w:leader="none"/>
        </w:tabs>
        <w:spacing w:line="274" w:lineRule="exact"/>
        <w:ind w:left="824"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75" w:val="left" w:leader="none"/>
        </w:tabs>
        <w:spacing w:line="240" w:lineRule="auto"/>
        <w:ind w:left="824" w:right="0"/>
        <w:jc w:val="left"/>
      </w:pPr>
      <w:r>
        <w:rPr>
          <w:spacing w:val="-1"/>
        </w:rPr>
        <w:t>单位：元</w:t>
        <w:tab/>
        <w:t>币种：人民币</w:t>
      </w:r>
    </w:p>
    <w:p>
      <w:pPr>
        <w:spacing w:after="0" w:line="240" w:lineRule="auto"/>
        <w:jc w:val="left"/>
        <w:sectPr>
          <w:type w:val="continuous"/>
          <w:pgSz w:w="16840" w:h="11910" w:orient="landscape"/>
          <w:pgMar w:top="1120" w:bottom="1380" w:left="700" w:right="1020"/>
          <w:cols w:num="2" w:equalWidth="0">
            <w:col w:w="2939" w:space="8623"/>
            <w:col w:w="355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75"/>
        <w:gridCol w:w="1133"/>
        <w:gridCol w:w="1277"/>
        <w:gridCol w:w="1136"/>
        <w:gridCol w:w="1133"/>
        <w:gridCol w:w="718"/>
        <w:gridCol w:w="987"/>
        <w:gridCol w:w="708"/>
        <w:gridCol w:w="708"/>
        <w:gridCol w:w="1418"/>
        <w:gridCol w:w="1419"/>
        <w:gridCol w:w="1555"/>
        <w:gridCol w:w="428"/>
        <w:gridCol w:w="425"/>
        <w:gridCol w:w="566"/>
      </w:tblGrid>
      <w:tr>
        <w:trPr>
          <w:trHeight w:val="25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0" w:right="110" w:hanging="360"/>
              <w:jc w:val="left"/>
              <w:rPr>
                <w:rFonts w:ascii="宋体" w:hAnsi="宋体" w:cs="宋体" w:eastAsia="宋体" w:hint="default"/>
                <w:sz w:val="18"/>
                <w:szCs w:val="18"/>
              </w:rPr>
            </w:pPr>
            <w:r>
              <w:rPr>
                <w:rFonts w:ascii="宋体" w:hAnsi="宋体" w:cs="宋体" w:eastAsia="宋体" w:hint="default"/>
                <w:sz w:val="18"/>
                <w:szCs w:val="18"/>
              </w:rPr>
              <w:t>委托理财类 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44" w:right="180"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90" w:right="11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175" w:right="170"/>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09" w:right="30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年化 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434" w:right="341" w:hanging="89"/>
              <w:jc w:val="left"/>
              <w:rPr>
                <w:rFonts w:ascii="宋体" w:hAnsi="宋体" w:cs="宋体" w:eastAsia="宋体" w:hint="default"/>
                <w:sz w:val="18"/>
                <w:szCs w:val="18"/>
              </w:rPr>
            </w:pPr>
            <w:r>
              <w:rPr>
                <w:rFonts w:ascii="宋体" w:hAnsi="宋体" w:cs="宋体" w:eastAsia="宋体" w:hint="default"/>
                <w:sz w:val="18"/>
                <w:szCs w:val="18"/>
              </w:rPr>
              <w:t>预期收益 </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54" w:right="252" w:firstLine="271"/>
              <w:jc w:val="left"/>
              <w:rPr>
                <w:rFonts w:ascii="宋体" w:hAnsi="宋体" w:cs="宋体" w:eastAsia="宋体" w:hint="default"/>
                <w:sz w:val="18"/>
                <w:szCs w:val="18"/>
              </w:rPr>
            </w:pPr>
            <w:r>
              <w:rPr>
                <w:rFonts w:ascii="宋体" w:hAnsi="宋体" w:cs="宋体" w:eastAsia="宋体" w:hint="default"/>
                <w:sz w:val="18"/>
                <w:szCs w:val="18"/>
              </w:rPr>
              <w:t>实际 收益或损失</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实际收回情况</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0" w:right="117"/>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来 是 否 有 委 托 理 财 计 划</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43" w:right="139" w:firstLine="45"/>
              <w:jc w:val="both"/>
              <w:rPr>
                <w:rFonts w:ascii="宋体" w:hAnsi="宋体" w:cs="宋体" w:eastAsia="宋体" w:hint="default"/>
                <w:sz w:val="18"/>
                <w:szCs w:val="18"/>
              </w:rPr>
            </w:pPr>
            <w:r>
              <w:rPr>
                <w:rFonts w:ascii="宋体" w:hAnsi="宋体" w:cs="宋体" w:eastAsia="宋体" w:hint="default"/>
                <w:sz w:val="18"/>
                <w:szCs w:val="18"/>
              </w:rPr>
              <w:t>值 准 备 计 提 金 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143"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广发证券股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1,052,613.21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1,052,613.21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101,052,613.21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国泰君安证</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券股份有限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2016/10/19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503,232.88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503,232.88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70,503,232.88</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国泰君安证</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券股份有限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1,952,876.71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1,952,876.71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241,952,876.71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1,864,876.71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1,864,876.71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111,864,876.71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国泰君安证</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券股份有限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128,835.61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128,835.61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15,128,835.61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4"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560,000.00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210,560,000.00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2017/3/19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503,750.00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503,750.00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60,503,750.00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国泰君安证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358,027.40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358,027.40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45,358,027.40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700" w:right="10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75"/>
        <w:gridCol w:w="1133"/>
        <w:gridCol w:w="1277"/>
        <w:gridCol w:w="1136"/>
        <w:gridCol w:w="1133"/>
        <w:gridCol w:w="718"/>
        <w:gridCol w:w="987"/>
        <w:gridCol w:w="708"/>
        <w:gridCol w:w="708"/>
        <w:gridCol w:w="1418"/>
        <w:gridCol w:w="1419"/>
        <w:gridCol w:w="1555"/>
        <w:gridCol w:w="428"/>
        <w:gridCol w:w="425"/>
        <w:gridCol w:w="566"/>
      </w:tblGrid>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券股份有限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广发证券股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保本固定收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2016/12/23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2017/3/22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4.20%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1,035,616.44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1,035,616.44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101,035,616.44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75,000.00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30,075,000.00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425,000.00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170,425,000.00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2017/1/6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2017/2/5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 w:right="0"/>
              <w:jc w:val="center"/>
              <w:rPr>
                <w:rFonts w:ascii="宋体" w:hAnsi="宋体" w:cs="宋体" w:eastAsia="宋体" w:hint="default"/>
                <w:sz w:val="18"/>
                <w:szCs w:val="18"/>
              </w:rPr>
            </w:pPr>
            <w:r>
              <w:rPr>
                <w:rFonts w:ascii="宋体"/>
                <w:sz w:val="18"/>
              </w:rPr>
              <w:t>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625,000.00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625,000.00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250,625,000.00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2017/4/20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452,083.33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452,083.33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50,452,083.33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2017/4/20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1.30%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48,750.00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15,048,750.00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2017/2/16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30,100,000.00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2017/2/16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566,666.67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566,666.67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170,566,666.67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2017/2/16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833,333.33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833,333.33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250,833,333.33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2017/2/23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3.10%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499,397.26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499,397.26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210,499,397.26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江苏银行股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2017/3/1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2017/8/30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3.80%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568,438.36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568,438.36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30,568,438.36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2017/3/27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2017/6/28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 w:right="0"/>
              <w:jc w:val="center"/>
              <w:rPr>
                <w:rFonts w:ascii="宋体" w:hAnsi="宋体" w:cs="宋体" w:eastAsia="宋体" w:hint="default"/>
                <w:sz w:val="18"/>
                <w:szCs w:val="18"/>
              </w:rPr>
            </w:pPr>
            <w:r>
              <w:rPr>
                <w:rFonts w:ascii="宋体"/>
                <w:sz w:val="18"/>
              </w:rPr>
              <w:t>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727,466.67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727,466.67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64,727,466.67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安信证券股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保本固定收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2017/3/29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2017/5/29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735,342.46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735,342.46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100,735,342.46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bl>
    <w:p>
      <w:pPr>
        <w:spacing w:after="0" w:line="205" w:lineRule="exact"/>
        <w:jc w:val="right"/>
        <w:rPr>
          <w:rFonts w:ascii="宋体" w:hAnsi="宋体" w:cs="宋体" w:eastAsia="宋体" w:hint="default"/>
          <w:sz w:val="18"/>
          <w:szCs w:val="18"/>
        </w:rPr>
        <w:sectPr>
          <w:pgSz w:w="16840" w:h="11910" w:orient="landscape"/>
          <w:pgMar w:header="880" w:footer="1195" w:top="1120" w:bottom="1380" w:left="700" w:right="10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75"/>
        <w:gridCol w:w="1133"/>
        <w:gridCol w:w="1277"/>
        <w:gridCol w:w="1136"/>
        <w:gridCol w:w="1133"/>
        <w:gridCol w:w="718"/>
        <w:gridCol w:w="987"/>
        <w:gridCol w:w="708"/>
        <w:gridCol w:w="708"/>
        <w:gridCol w:w="1418"/>
        <w:gridCol w:w="1419"/>
        <w:gridCol w:w="1555"/>
        <w:gridCol w:w="428"/>
        <w:gridCol w:w="425"/>
        <w:gridCol w:w="566"/>
      </w:tblGrid>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安信证券股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保本固定收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2017/3/30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2017/7/28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739,726.03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739,726.03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50,739,726.03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center"/>
              <w:rPr>
                <w:rFonts w:ascii="宋体" w:hAnsi="宋体" w:cs="宋体" w:eastAsia="宋体" w:hint="default"/>
                <w:sz w:val="18"/>
                <w:szCs w:val="18"/>
              </w:rPr>
            </w:pPr>
            <w:r>
              <w:rPr>
                <w:rFonts w:ascii="宋体"/>
                <w:sz w:val="18"/>
              </w:rPr>
              <w:t>2017/3/28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2017/4/27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4.15%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380,416.67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380,416.67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110,380,416.67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2017/3/27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2017/6/28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1,648,166.67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1,648,166.67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146,648,166.67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4"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2017/3/27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2017/6/28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522,866.67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522,866.67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46,522,866.67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sz w:val="18"/>
              </w:rPr>
              <w:t>2017/3/28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2017/4/27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62,250.00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62,250.00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18,062,250.00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国泰君安证</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券股份有限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center"/>
              <w:rPr>
                <w:rFonts w:ascii="宋体" w:hAnsi="宋体" w:cs="宋体" w:eastAsia="宋体" w:hint="default"/>
                <w:sz w:val="18"/>
                <w:szCs w:val="18"/>
              </w:rPr>
            </w:pPr>
            <w:r>
              <w:rPr>
                <w:rFonts w:ascii="宋体"/>
                <w:sz w:val="18"/>
              </w:rPr>
              <w:t>2017/5/3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2017/8/3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567,123.29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567,123.29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50,567,123.29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center"/>
              <w:rPr>
                <w:rFonts w:ascii="宋体" w:hAnsi="宋体" w:cs="宋体" w:eastAsia="宋体" w:hint="default"/>
                <w:sz w:val="18"/>
                <w:szCs w:val="18"/>
              </w:rPr>
            </w:pPr>
            <w:r>
              <w:rPr>
                <w:rFonts w:ascii="宋体"/>
                <w:sz w:val="18"/>
              </w:rPr>
              <w:t>2017/5/3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2017/10/30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102,200,000.00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center"/>
              <w:rPr>
                <w:rFonts w:ascii="宋体" w:hAnsi="宋体" w:cs="宋体" w:eastAsia="宋体" w:hint="default"/>
                <w:sz w:val="18"/>
                <w:szCs w:val="18"/>
              </w:rPr>
            </w:pPr>
            <w:r>
              <w:rPr>
                <w:rFonts w:ascii="宋体"/>
                <w:sz w:val="18"/>
              </w:rPr>
              <w:t>2017/6/2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2017/11/29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2,268,493.15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2,268,493.15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102,268,493.15</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新时代证券</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center"/>
              <w:rPr>
                <w:rFonts w:ascii="宋体" w:hAnsi="宋体" w:cs="宋体" w:eastAsia="宋体" w:hint="default"/>
                <w:sz w:val="18"/>
                <w:szCs w:val="18"/>
              </w:rPr>
            </w:pPr>
            <w:r>
              <w:rPr>
                <w:rFonts w:ascii="宋体"/>
                <w:sz w:val="18"/>
              </w:rPr>
              <w:t>2017/6/8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5.10%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1,259,366.60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1,259,366.60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51,259,366.60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广发证券股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保本固定收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center"/>
              <w:rPr>
                <w:rFonts w:ascii="宋体" w:hAnsi="宋体" w:cs="宋体" w:eastAsia="宋体" w:hint="default"/>
                <w:sz w:val="18"/>
                <w:szCs w:val="18"/>
              </w:rPr>
            </w:pPr>
            <w:r>
              <w:rPr>
                <w:rFonts w:ascii="宋体"/>
                <w:sz w:val="18"/>
              </w:rPr>
              <w:t>2017/6/8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2017/12/6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1,148,534.59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1,148,534.59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51,148,534.59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安信证券股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保本固定收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2"/>
              <w:jc w:val="center"/>
              <w:rPr>
                <w:rFonts w:ascii="宋体" w:hAnsi="宋体" w:cs="宋体" w:eastAsia="宋体" w:hint="default"/>
                <w:sz w:val="18"/>
                <w:szCs w:val="18"/>
              </w:rPr>
            </w:pPr>
            <w:r>
              <w:rPr>
                <w:rFonts w:ascii="宋体"/>
                <w:sz w:val="18"/>
              </w:rPr>
              <w:t>2017/6/9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2017/12/6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2,523,536.19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2,523,536.19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112,523,536.19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4" w:lineRule="exact" w:before="21"/>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2"/>
              <w:jc w:val="center"/>
              <w:rPr>
                <w:rFonts w:ascii="宋体" w:hAnsi="宋体" w:cs="宋体" w:eastAsia="宋体" w:hint="default"/>
                <w:sz w:val="18"/>
                <w:szCs w:val="18"/>
              </w:rPr>
            </w:pPr>
            <w:r>
              <w:rPr>
                <w:rFonts w:ascii="宋体"/>
                <w:sz w:val="18"/>
              </w:rPr>
              <w:t>2017/7/6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4.50%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新时代证券</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
              <w:jc w:val="center"/>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91,000,000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2"/>
              <w:jc w:val="center"/>
              <w:rPr>
                <w:rFonts w:ascii="宋体" w:hAnsi="宋体" w:cs="宋体" w:eastAsia="宋体" w:hint="default"/>
                <w:sz w:val="18"/>
                <w:szCs w:val="18"/>
              </w:rPr>
            </w:pPr>
            <w:r>
              <w:rPr>
                <w:rFonts w:ascii="宋体"/>
                <w:sz w:val="18"/>
              </w:rPr>
              <w:t>2017/7/7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5.20%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
              <w:jc w:val="center"/>
              <w:rPr>
                <w:rFonts w:ascii="宋体" w:hAnsi="宋体" w:cs="宋体" w:eastAsia="宋体" w:hint="default"/>
                <w:sz w:val="18"/>
                <w:szCs w:val="18"/>
              </w:rPr>
            </w:pPr>
            <w:r>
              <w:rPr>
                <w:rFonts w:ascii="宋体" w:hAnsi="宋体" w:cs="宋体" w:eastAsia="宋体" w:hint="default"/>
                <w:sz w:val="18"/>
                <w:szCs w:val="18"/>
              </w:rPr>
              <w:t>保本浮动收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2"/>
              <w:jc w:val="center"/>
              <w:rPr>
                <w:rFonts w:ascii="宋体" w:hAnsi="宋体" w:cs="宋体" w:eastAsia="宋体" w:hint="default"/>
                <w:sz w:val="18"/>
                <w:szCs w:val="18"/>
              </w:rPr>
            </w:pPr>
            <w:r>
              <w:rPr>
                <w:rFonts w:ascii="宋体"/>
                <w:sz w:val="18"/>
              </w:rPr>
              <w:t>2017/7/6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2017/10/4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1,125,000.00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1,125,000.00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101,125,000.00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bl>
    <w:p>
      <w:pPr>
        <w:spacing w:after="0" w:line="208" w:lineRule="exact"/>
        <w:jc w:val="right"/>
        <w:rPr>
          <w:rFonts w:ascii="宋体" w:hAnsi="宋体" w:cs="宋体" w:eastAsia="宋体" w:hint="default"/>
          <w:sz w:val="18"/>
          <w:szCs w:val="18"/>
        </w:rPr>
        <w:sectPr>
          <w:footerReference w:type="default" r:id="rId27"/>
          <w:pgSz w:w="16840" w:h="11910" w:orient="landscape"/>
          <w:pgMar w:footer="1195" w:header="880" w:top="1120" w:bottom="1380" w:left="700" w:right="1020"/>
          <w:pgNumType w:start="4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75"/>
        <w:gridCol w:w="1133"/>
        <w:gridCol w:w="1277"/>
        <w:gridCol w:w="1136"/>
        <w:gridCol w:w="1133"/>
        <w:gridCol w:w="718"/>
        <w:gridCol w:w="987"/>
        <w:gridCol w:w="708"/>
        <w:gridCol w:w="708"/>
        <w:gridCol w:w="1418"/>
        <w:gridCol w:w="1419"/>
        <w:gridCol w:w="1555"/>
        <w:gridCol w:w="428"/>
        <w:gridCol w:w="425"/>
        <w:gridCol w:w="566"/>
      </w:tblGrid>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行股份有限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厦门国际银</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保本浮动收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2017/9/20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2017/10/22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4.30%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71,666.67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71,666.67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20,071,666.67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2017/6/13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2017/9/13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1.54%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78,166.67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78,166.67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20,078,166.67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2018/1/18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5.10%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安信证券股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保本固定收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2017/8/3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2018/2/1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 w:right="0"/>
              <w:jc w:val="center"/>
              <w:rPr>
                <w:rFonts w:ascii="宋体" w:hAnsi="宋体" w:cs="宋体" w:eastAsia="宋体" w:hint="default"/>
                <w:sz w:val="18"/>
                <w:szCs w:val="18"/>
              </w:rPr>
            </w:pPr>
            <w:r>
              <w:rPr>
                <w:rFonts w:ascii="宋体"/>
                <w:sz w:val="18"/>
              </w:rPr>
              <w:t>4.70%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中国银河证</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券股份有限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保本固定收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4.70%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5.10%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募集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补充营运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5.10%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2017/4/17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2017/5/19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 w:right="0"/>
              <w:jc w:val="center"/>
              <w:rPr>
                <w:rFonts w:ascii="宋体" w:hAnsi="宋体" w:cs="宋体" w:eastAsia="宋体" w:hint="default"/>
                <w:sz w:val="18"/>
                <w:szCs w:val="18"/>
              </w:rPr>
            </w:pPr>
            <w:r>
              <w:rPr>
                <w:rFonts w:ascii="宋体"/>
                <w:sz w:val="18"/>
              </w:rPr>
              <w:t>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33,972.60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33,972.60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10,033,972.60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融股份有限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2017/5/22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2017/7/20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60,010.27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60,010.27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9,060,010.27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江苏银行股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江苏银行稳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赢</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2016/7/29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类产品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2.90%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305,506.85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305,506.85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20,305,506.85</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广发信德智</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胜投资管理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广发信德</w:t>
            </w:r>
            <w:r>
              <w:rPr>
                <w:rFonts w:ascii="宋体" w:hAnsi="宋体" w:cs="宋体" w:eastAsia="宋体" w:hint="default"/>
                <w:sz w:val="18"/>
                <w:szCs w:val="18"/>
              </w:rPr>
              <w:t>-</w:t>
            </w:r>
          </w:p>
          <w:p>
            <w:pPr>
              <w:pStyle w:val="TableParagraph"/>
              <w:spacing w:line="237" w:lineRule="auto" w:before="2"/>
              <w:ind w:left="103" w:right="119"/>
              <w:jc w:val="both"/>
              <w:rPr>
                <w:rFonts w:ascii="宋体" w:hAnsi="宋体" w:cs="宋体" w:eastAsia="宋体" w:hint="default"/>
                <w:sz w:val="18"/>
                <w:szCs w:val="18"/>
              </w:rPr>
            </w:pPr>
            <w:r>
              <w:rPr>
                <w:rFonts w:ascii="宋体" w:hAnsi="宋体" w:cs="宋体" w:eastAsia="宋体" w:hint="default"/>
                <w:sz w:val="18"/>
                <w:szCs w:val="18"/>
              </w:rPr>
              <w:t>新湖中宝平 阳专项资产 管理计划①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2015/12/28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2017/12/27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12,461,917.81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12,461,917.81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82,461,917.81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广发信德智</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胜投资管理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广发信德</w:t>
            </w:r>
            <w:r>
              <w:rPr>
                <w:rFonts w:ascii="宋体" w:hAnsi="宋体" w:cs="宋体" w:eastAsia="宋体" w:hint="default"/>
                <w:sz w:val="18"/>
                <w:szCs w:val="18"/>
              </w:rPr>
              <w:t>-</w:t>
            </w:r>
          </w:p>
          <w:p>
            <w:pPr>
              <w:pStyle w:val="TableParagraph"/>
              <w:spacing w:line="232" w:lineRule="exact" w:before="23"/>
              <w:ind w:left="103" w:right="119"/>
              <w:jc w:val="both"/>
              <w:rPr>
                <w:rFonts w:ascii="宋体" w:hAnsi="宋体" w:cs="宋体" w:eastAsia="宋体" w:hint="default"/>
                <w:sz w:val="18"/>
                <w:szCs w:val="18"/>
              </w:rPr>
            </w:pPr>
            <w:r>
              <w:rPr>
                <w:rFonts w:ascii="宋体" w:hAnsi="宋体" w:cs="宋体" w:eastAsia="宋体" w:hint="default"/>
                <w:sz w:val="18"/>
                <w:szCs w:val="18"/>
              </w:rPr>
              <w:t>新湖中宝平 阳专项资产 管理计划②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2016/1/12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2018/1/11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3,491,506.85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3,491,506.85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23,491,506.85</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bl>
    <w:p>
      <w:pPr>
        <w:spacing w:after="0" w:line="208" w:lineRule="exact"/>
        <w:jc w:val="right"/>
        <w:rPr>
          <w:rFonts w:ascii="宋体" w:hAnsi="宋体" w:cs="宋体" w:eastAsia="宋体" w:hint="default"/>
          <w:sz w:val="18"/>
          <w:szCs w:val="18"/>
        </w:rPr>
        <w:sectPr>
          <w:pgSz w:w="16840" w:h="11910" w:orient="landscape"/>
          <w:pgMar w:header="880" w:footer="1195" w:top="1120" w:bottom="1380" w:left="700" w:right="10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75"/>
        <w:gridCol w:w="1133"/>
        <w:gridCol w:w="1277"/>
        <w:gridCol w:w="1136"/>
        <w:gridCol w:w="1133"/>
        <w:gridCol w:w="718"/>
        <w:gridCol w:w="987"/>
        <w:gridCol w:w="708"/>
        <w:gridCol w:w="708"/>
        <w:gridCol w:w="1418"/>
        <w:gridCol w:w="1419"/>
        <w:gridCol w:w="1555"/>
        <w:gridCol w:w="428"/>
        <w:gridCol w:w="425"/>
        <w:gridCol w:w="566"/>
      </w:tblGrid>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广发信德智</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胜投资管理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广发信德</w:t>
            </w:r>
            <w:r>
              <w:rPr>
                <w:rFonts w:ascii="宋体" w:hAnsi="宋体" w:cs="宋体" w:eastAsia="宋体" w:hint="default"/>
                <w:sz w:val="18"/>
                <w:szCs w:val="18"/>
              </w:rPr>
              <w:t>-</w:t>
            </w: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碧桂园二期 专项资产管 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107,500,000.00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广发信德智</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胜投资管理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广发信德</w:t>
            </w:r>
            <w:r>
              <w:rPr>
                <w:rFonts w:ascii="宋体" w:hAnsi="宋体" w:cs="宋体" w:eastAsia="宋体" w:hint="default"/>
                <w:sz w:val="18"/>
                <w:szCs w:val="18"/>
              </w:rPr>
              <w:t>-</w:t>
            </w: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兴业太阳能 专项资产管 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2016/5/24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2018/5/23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8.50%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2,556,986.30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2,556,986.30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广发信德智</w:t>
            </w:r>
          </w:p>
          <w:p>
            <w:pPr>
              <w:pStyle w:val="TableParagraph"/>
              <w:spacing w:line="234"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胜投资管理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广发信德</w:t>
            </w:r>
            <w:r>
              <w:rPr>
                <w:rFonts w:ascii="宋体" w:hAnsi="宋体" w:cs="宋体" w:eastAsia="宋体" w:hint="default"/>
                <w:sz w:val="18"/>
                <w:szCs w:val="18"/>
              </w:rPr>
              <w:t>-</w:t>
            </w:r>
          </w:p>
          <w:p>
            <w:pPr>
              <w:pStyle w:val="TableParagraph"/>
              <w:spacing w:line="237" w:lineRule="auto" w:before="2"/>
              <w:ind w:left="103" w:right="119"/>
              <w:jc w:val="both"/>
              <w:rPr>
                <w:rFonts w:ascii="宋体" w:hAnsi="宋体" w:cs="宋体" w:eastAsia="宋体" w:hint="default"/>
                <w:sz w:val="18"/>
                <w:szCs w:val="18"/>
              </w:rPr>
            </w:pPr>
            <w:r>
              <w:rPr>
                <w:rFonts w:ascii="宋体" w:hAnsi="宋体" w:cs="宋体" w:eastAsia="宋体" w:hint="default"/>
                <w:sz w:val="18"/>
                <w:szCs w:val="18"/>
              </w:rPr>
              <w:t>兴业太阳能 专项资产管 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33,300,000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2018/5/5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8.50%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2,512,553.42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2,512,553.42</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植瑞投资管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植瑞</w:t>
            </w:r>
            <w:r>
              <w:rPr>
                <w:rFonts w:ascii="宋体" w:hAnsi="宋体" w:cs="宋体" w:eastAsia="宋体" w:hint="default"/>
                <w:sz w:val="18"/>
                <w:szCs w:val="18"/>
              </w:rPr>
              <w:t>-</w:t>
            </w:r>
            <w:r>
              <w:rPr>
                <w:rFonts w:ascii="宋体" w:hAnsi="宋体" w:cs="宋体" w:eastAsia="宋体" w:hint="default"/>
                <w:sz w:val="18"/>
                <w:szCs w:val="18"/>
              </w:rPr>
              <w:t>长青</w:t>
            </w:r>
          </w:p>
          <w:p>
            <w:pPr>
              <w:pStyle w:val="TableParagraph"/>
              <w:spacing w:line="232" w:lineRule="exact" w:before="23"/>
              <w:ind w:left="103" w:right="251"/>
              <w:jc w:val="left"/>
              <w:rPr>
                <w:rFonts w:ascii="宋体" w:hAnsi="宋体" w:cs="宋体" w:eastAsia="宋体" w:hint="default"/>
                <w:sz w:val="18"/>
                <w:szCs w:val="18"/>
              </w:rPr>
            </w:pPr>
            <w:r>
              <w:rPr>
                <w:rFonts w:ascii="宋体" w:hAnsi="宋体" w:cs="宋体" w:eastAsia="宋体" w:hint="default"/>
                <w:sz w:val="18"/>
                <w:szCs w:val="18"/>
              </w:rPr>
              <w:t>56</w:t>
            </w:r>
            <w:r>
              <w:rPr>
                <w:rFonts w:ascii="宋体" w:hAnsi="宋体" w:cs="宋体" w:eastAsia="宋体" w:hint="default"/>
                <w:spacing w:val="-44"/>
                <w:sz w:val="18"/>
                <w:szCs w:val="18"/>
              </w:rPr>
              <w:t> </w:t>
            </w:r>
            <w:r>
              <w:rPr>
                <w:rFonts w:ascii="宋体" w:hAnsi="宋体" w:cs="宋体" w:eastAsia="宋体" w:hint="default"/>
                <w:sz w:val="18"/>
                <w:szCs w:val="18"/>
              </w:rPr>
              <w:t>号私募 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2016/10/18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2017/1/19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sz w:val="18"/>
              </w:rPr>
              <w:t>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819,178.08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819,178.08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50,819,178.08</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广发证券股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广发纳斯特</w:t>
            </w:r>
          </w:p>
          <w:p>
            <w:pPr>
              <w:pStyle w:val="TableParagraph"/>
              <w:spacing w:line="232" w:lineRule="exact" w:before="24"/>
              <w:ind w:left="103" w:right="204"/>
              <w:jc w:val="left"/>
              <w:rPr>
                <w:rFonts w:ascii="宋体" w:hAnsi="宋体" w:cs="宋体" w:eastAsia="宋体" w:hint="default"/>
                <w:sz w:val="18"/>
                <w:szCs w:val="18"/>
              </w:rPr>
            </w:pPr>
            <w:r>
              <w:rPr>
                <w:rFonts w:ascii="宋体" w:hAnsi="宋体" w:cs="宋体" w:eastAsia="宋体" w:hint="default"/>
                <w:sz w:val="18"/>
                <w:szCs w:val="18"/>
              </w:rPr>
              <w:t>普薪</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号 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2017/4/17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225,000.00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25,225,000.00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大唐财富投</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资管理有限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大唐财富唐</w:t>
            </w:r>
          </w:p>
          <w:p>
            <w:pPr>
              <w:pStyle w:val="TableParagraph"/>
              <w:spacing w:line="234" w:lineRule="exact" w:before="23"/>
              <w:ind w:left="103" w:right="115"/>
              <w:jc w:val="both"/>
              <w:rPr>
                <w:rFonts w:ascii="宋体" w:hAnsi="宋体" w:cs="宋体" w:eastAsia="宋体" w:hint="default"/>
                <w:sz w:val="18"/>
                <w:szCs w:val="18"/>
              </w:rPr>
            </w:pPr>
            <w:r>
              <w:rPr>
                <w:rFonts w:ascii="宋体" w:hAnsi="宋体" w:cs="宋体" w:eastAsia="宋体" w:hint="default"/>
                <w:sz w:val="18"/>
                <w:szCs w:val="18"/>
              </w:rPr>
              <w:t>诺私享</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号 私募投资基 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2016/11/17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2017/2/17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6.80%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3,427,945.21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3,427,945.21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203,427,945.21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大唐财富投</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资管理有限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大唐财富唐</w:t>
            </w:r>
          </w:p>
          <w:p>
            <w:pPr>
              <w:pStyle w:val="TableParagraph"/>
              <w:spacing w:line="232" w:lineRule="exact" w:before="23"/>
              <w:ind w:left="103" w:right="115"/>
              <w:jc w:val="both"/>
              <w:rPr>
                <w:rFonts w:ascii="宋体" w:hAnsi="宋体" w:cs="宋体" w:eastAsia="宋体" w:hint="default"/>
                <w:sz w:val="18"/>
                <w:szCs w:val="18"/>
              </w:rPr>
            </w:pPr>
            <w:r>
              <w:rPr>
                <w:rFonts w:ascii="宋体" w:hAnsi="宋体" w:cs="宋体" w:eastAsia="宋体" w:hint="default"/>
                <w:sz w:val="18"/>
                <w:szCs w:val="18"/>
              </w:rPr>
              <w:t>诺私享</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号 私募投资基 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2016/11/17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7.20%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3,609,863.02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3,609,863.02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153,609,863.02</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万方鑫润</w:t>
            </w:r>
            <w:r>
              <w:rPr>
                <w:rFonts w:ascii="宋体" w:hAnsi="宋体" w:cs="宋体" w:eastAsia="宋体" w:hint="default"/>
                <w:sz w:val="18"/>
                <w:szCs w:val="18"/>
              </w:rPr>
              <w:t>-</w:t>
            </w:r>
            <w:r>
              <w:rPr>
                <w:rFonts w:ascii="宋体" w:hAnsi="宋体" w:cs="宋体" w:eastAsia="宋体" w:hint="default"/>
                <w:sz w:val="18"/>
                <w:szCs w:val="18"/>
              </w:rPr>
              <w:t>鑫</w:t>
            </w:r>
          </w:p>
          <w:p>
            <w:pPr>
              <w:pStyle w:val="TableParagraph"/>
              <w:spacing w:line="237" w:lineRule="auto"/>
              <w:ind w:left="103" w:right="261"/>
              <w:jc w:val="both"/>
              <w:rPr>
                <w:rFonts w:ascii="宋体" w:hAnsi="宋体" w:cs="宋体" w:eastAsia="宋体" w:hint="default"/>
                <w:sz w:val="18"/>
                <w:szCs w:val="18"/>
              </w:rPr>
            </w:pPr>
            <w:r>
              <w:rPr>
                <w:rFonts w:ascii="宋体" w:hAnsi="宋体" w:cs="宋体" w:eastAsia="宋体" w:hint="default"/>
                <w:sz w:val="18"/>
                <w:szCs w:val="18"/>
              </w:rPr>
              <w:t>统体育建设 私募投资基 金三期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万方鑫润鑫</w:t>
            </w: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统体育建设 私募基金三 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2017/4/10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2017/7/10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1,745,205.47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1,745,205.47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101,745,205.47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万方鑫润</w:t>
            </w:r>
            <w:r>
              <w:rPr>
                <w:rFonts w:ascii="宋体" w:hAnsi="宋体" w:cs="宋体" w:eastAsia="宋体" w:hint="default"/>
                <w:sz w:val="18"/>
                <w:szCs w:val="18"/>
              </w:rPr>
              <w:t>-</w:t>
            </w:r>
            <w:r>
              <w:rPr>
                <w:rFonts w:ascii="宋体" w:hAnsi="宋体" w:cs="宋体" w:eastAsia="宋体" w:hint="default"/>
                <w:sz w:val="18"/>
                <w:szCs w:val="18"/>
              </w:rPr>
              <w:t>鑫</w:t>
            </w:r>
          </w:p>
          <w:p>
            <w:pPr>
              <w:pStyle w:val="TableParagraph"/>
              <w:spacing w:line="237" w:lineRule="auto"/>
              <w:ind w:left="103" w:right="261"/>
              <w:jc w:val="both"/>
              <w:rPr>
                <w:rFonts w:ascii="宋体" w:hAnsi="宋体" w:cs="宋体" w:eastAsia="宋体" w:hint="default"/>
                <w:sz w:val="18"/>
                <w:szCs w:val="18"/>
              </w:rPr>
            </w:pPr>
            <w:r>
              <w:rPr>
                <w:rFonts w:ascii="宋体" w:hAnsi="宋体" w:cs="宋体" w:eastAsia="宋体" w:hint="default"/>
                <w:sz w:val="18"/>
                <w:szCs w:val="18"/>
              </w:rPr>
              <w:t>统体育建设 私募投资基 金三期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万方鑫润鑫</w:t>
            </w: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统体育建设 私募基金三 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2017/11/14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616,438.36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616,438.36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50,616,438.36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中国国际金</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融香港证券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GAM</w:t>
            </w:r>
            <w:r>
              <w:rPr>
                <w:rFonts w:ascii="宋体" w:hAnsi="宋体" w:cs="宋体" w:eastAsia="宋体" w:hint="default"/>
                <w:spacing w:val="-45"/>
                <w:sz w:val="18"/>
                <w:szCs w:val="18"/>
              </w:rPr>
              <w:t> </w:t>
            </w:r>
            <w:r>
              <w:rPr>
                <w:rFonts w:ascii="宋体" w:hAnsi="宋体" w:cs="宋体" w:eastAsia="宋体" w:hint="default"/>
                <w:sz w:val="18"/>
                <w:szCs w:val="18"/>
              </w:rPr>
              <w:t>信贷机</w:t>
            </w:r>
          </w:p>
          <w:p>
            <w:pPr>
              <w:pStyle w:val="TableParagraph"/>
              <w:spacing w:line="232" w:lineRule="exact" w:before="24"/>
              <w:ind w:left="103" w:right="119"/>
              <w:jc w:val="left"/>
              <w:rPr>
                <w:rFonts w:ascii="宋体" w:hAnsi="宋体" w:cs="宋体" w:eastAsia="宋体" w:hint="default"/>
                <w:sz w:val="18"/>
                <w:szCs w:val="18"/>
              </w:rPr>
            </w:pPr>
            <w:r>
              <w:rPr>
                <w:rFonts w:ascii="宋体" w:hAnsi="宋体" w:cs="宋体" w:eastAsia="宋体" w:hint="default"/>
                <w:sz w:val="18"/>
                <w:szCs w:val="18"/>
              </w:rPr>
              <w:t>会基金挂钩 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13,083,800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2017/9/20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2018/9/20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7.00%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bl>
    <w:p>
      <w:pPr>
        <w:spacing w:after="0" w:line="205" w:lineRule="exact"/>
        <w:jc w:val="right"/>
        <w:rPr>
          <w:rFonts w:ascii="宋体" w:hAnsi="宋体" w:cs="宋体" w:eastAsia="宋体" w:hint="default"/>
          <w:sz w:val="18"/>
          <w:szCs w:val="18"/>
        </w:rPr>
        <w:sectPr>
          <w:pgSz w:w="16840" w:h="11910" w:orient="landscape"/>
          <w:pgMar w:header="880" w:footer="1195" w:top="1120" w:bottom="1380" w:left="700" w:right="10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75"/>
        <w:gridCol w:w="1133"/>
        <w:gridCol w:w="1277"/>
        <w:gridCol w:w="1136"/>
        <w:gridCol w:w="1133"/>
        <w:gridCol w:w="718"/>
        <w:gridCol w:w="987"/>
        <w:gridCol w:w="708"/>
        <w:gridCol w:w="708"/>
        <w:gridCol w:w="1418"/>
        <w:gridCol w:w="1419"/>
        <w:gridCol w:w="1555"/>
        <w:gridCol w:w="428"/>
        <w:gridCol w:w="425"/>
        <w:gridCol w:w="566"/>
      </w:tblGrid>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长江财富资</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产管理有限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长江财富</w:t>
            </w:r>
            <w:r>
              <w:rPr>
                <w:rFonts w:ascii="宋体" w:hAnsi="宋体" w:cs="宋体" w:eastAsia="宋体" w:hint="default"/>
                <w:sz w:val="18"/>
                <w:szCs w:val="18"/>
              </w:rPr>
              <w:t>-</w:t>
            </w:r>
          </w:p>
          <w:p>
            <w:pPr>
              <w:pStyle w:val="TableParagraph"/>
              <w:spacing w:line="232" w:lineRule="exact" w:before="23"/>
              <w:ind w:left="103" w:right="119"/>
              <w:jc w:val="left"/>
              <w:rPr>
                <w:rFonts w:ascii="宋体" w:hAnsi="宋体" w:cs="宋体" w:eastAsia="宋体" w:hint="default"/>
                <w:sz w:val="18"/>
                <w:szCs w:val="18"/>
              </w:rPr>
            </w:pPr>
            <w:r>
              <w:rPr>
                <w:rFonts w:ascii="宋体" w:hAnsi="宋体" w:cs="宋体" w:eastAsia="宋体" w:hint="default"/>
                <w:sz w:val="18"/>
                <w:szCs w:val="18"/>
              </w:rPr>
              <w:t>燕阳三号资 产管理计划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14,815,178.</w:t>
            </w:r>
          </w:p>
          <w:p>
            <w:pPr>
              <w:pStyle w:val="TableParagraph"/>
              <w:spacing w:line="234" w:lineRule="exact"/>
              <w:ind w:right="96"/>
              <w:jc w:val="right"/>
              <w:rPr>
                <w:rFonts w:ascii="宋体" w:hAnsi="宋体" w:cs="宋体" w:eastAsia="宋体" w:hint="default"/>
                <w:sz w:val="18"/>
                <w:szCs w:val="18"/>
              </w:rPr>
            </w:pPr>
            <w:r>
              <w:rPr>
                <w:rFonts w:ascii="宋体"/>
                <w:sz w:val="18"/>
              </w:rPr>
              <w:t>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2014/8/29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3" w:right="0"/>
              <w:jc w:val="left"/>
              <w:rPr>
                <w:rFonts w:ascii="宋体" w:hAnsi="宋体" w:cs="宋体" w:eastAsia="宋体" w:hint="default"/>
                <w:sz w:val="15"/>
                <w:szCs w:val="15"/>
              </w:rPr>
            </w:pPr>
            <w:r>
              <w:rPr>
                <w:rFonts w:ascii="宋体"/>
                <w:sz w:val="15"/>
              </w:rPr>
              <w:t>12.00%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580,869.86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580,869.86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sz w:val="18"/>
              </w:rPr>
              <w:t>1,4815,178.10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深圳英大资</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本管理有限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英大资本</w:t>
            </w:r>
            <w:r>
              <w:rPr>
                <w:rFonts w:ascii="宋体" w:hAnsi="宋体" w:cs="宋体" w:eastAsia="宋体" w:hint="default"/>
                <w:sz w:val="18"/>
                <w:szCs w:val="18"/>
              </w:rPr>
              <w:t>-</w:t>
            </w: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恒大鑫华海 上威尼斯专 项资产计划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2016/10/28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2017/10/28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sz w:val="18"/>
              </w:rPr>
              <w:t>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8,642,400.00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8,642,400.00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128,642,400.00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首誉光控资</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产管理有限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首誉光控</w:t>
            </w:r>
            <w:r>
              <w:rPr>
                <w:rFonts w:ascii="宋体" w:hAnsi="宋体" w:cs="宋体" w:eastAsia="宋体" w:hint="default"/>
                <w:sz w:val="18"/>
                <w:szCs w:val="18"/>
              </w:rPr>
              <w:t>-</w:t>
            </w:r>
          </w:p>
          <w:p>
            <w:pPr>
              <w:pStyle w:val="TableParagraph"/>
              <w:spacing w:line="237" w:lineRule="auto"/>
              <w:ind w:left="103" w:right="115"/>
              <w:jc w:val="both"/>
              <w:rPr>
                <w:rFonts w:ascii="宋体" w:hAnsi="宋体" w:cs="宋体" w:eastAsia="宋体" w:hint="default"/>
                <w:sz w:val="18"/>
                <w:szCs w:val="18"/>
              </w:rPr>
            </w:pPr>
            <w:r>
              <w:rPr>
                <w:rFonts w:ascii="宋体" w:hAnsi="宋体" w:cs="宋体" w:eastAsia="宋体" w:hint="default"/>
                <w:sz w:val="18"/>
                <w:szCs w:val="18"/>
              </w:rPr>
              <w:t>福晟</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号专 项资产管理 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2017/3/15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2,813,794.52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2,813,794.52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152,813,794.52</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首誉光控资</w:t>
            </w:r>
          </w:p>
          <w:p>
            <w:pPr>
              <w:pStyle w:val="TableParagraph"/>
              <w:spacing w:line="232" w:lineRule="exact" w:before="24"/>
              <w:ind w:left="103" w:right="261"/>
              <w:jc w:val="left"/>
              <w:rPr>
                <w:rFonts w:ascii="宋体" w:hAnsi="宋体" w:cs="宋体" w:eastAsia="宋体" w:hint="default"/>
                <w:sz w:val="18"/>
                <w:szCs w:val="18"/>
              </w:rPr>
            </w:pPr>
            <w:r>
              <w:rPr>
                <w:rFonts w:ascii="宋体" w:hAnsi="宋体" w:cs="宋体" w:eastAsia="宋体" w:hint="default"/>
                <w:sz w:val="18"/>
                <w:szCs w:val="18"/>
              </w:rPr>
              <w:t>产管理有限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首誉光控</w:t>
            </w:r>
            <w:r>
              <w:rPr>
                <w:rFonts w:ascii="宋体" w:hAnsi="宋体" w:cs="宋体" w:eastAsia="宋体" w:hint="default"/>
                <w:sz w:val="18"/>
                <w:szCs w:val="18"/>
              </w:rPr>
              <w:t>-</w:t>
            </w:r>
          </w:p>
          <w:p>
            <w:pPr>
              <w:pStyle w:val="TableParagraph"/>
              <w:spacing w:line="232" w:lineRule="exact" w:before="24"/>
              <w:ind w:left="103" w:right="119"/>
              <w:jc w:val="both"/>
              <w:rPr>
                <w:rFonts w:ascii="宋体" w:hAnsi="宋体" w:cs="宋体" w:eastAsia="宋体" w:hint="default"/>
                <w:sz w:val="18"/>
                <w:szCs w:val="18"/>
              </w:rPr>
            </w:pPr>
            <w:r>
              <w:rPr>
                <w:rFonts w:ascii="宋体" w:hAnsi="宋体" w:cs="宋体" w:eastAsia="宋体" w:hint="default"/>
                <w:sz w:val="18"/>
                <w:szCs w:val="18"/>
              </w:rPr>
              <w:t>福信津南专 项资产管理 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2017/5/1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1,428,082.19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1,428,082.19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51,428,082.19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上海国泰君</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安资产管理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君得利货币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型基金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sz w:val="18"/>
              </w:rPr>
              <w:t>2.75%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44,520.87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44,520.87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50,044,520.87</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108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广东省融资</w:t>
            </w:r>
          </w:p>
          <w:p>
            <w:pPr>
              <w:pStyle w:val="TableParagraph"/>
              <w:spacing w:line="240" w:lineRule="auto"/>
              <w:ind w:left="103" w:right="261"/>
              <w:jc w:val="left"/>
              <w:rPr>
                <w:rFonts w:ascii="宋体" w:hAnsi="宋体" w:cs="宋体" w:eastAsia="宋体" w:hint="default"/>
                <w:sz w:val="18"/>
                <w:szCs w:val="18"/>
              </w:rPr>
            </w:pPr>
            <w:r>
              <w:rPr>
                <w:rFonts w:ascii="宋体" w:hAnsi="宋体" w:cs="宋体" w:eastAsia="宋体" w:hint="default"/>
                <w:sz w:val="18"/>
                <w:szCs w:val="18"/>
              </w:rPr>
              <w:t>再担保股份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灯湖私募</w:t>
            </w:r>
            <w:r>
              <w:rPr>
                <w:rFonts w:ascii="宋体" w:hAnsi="宋体" w:cs="宋体" w:eastAsia="宋体" w:hint="default"/>
                <w:sz w:val="18"/>
                <w:szCs w:val="18"/>
              </w:rPr>
              <w:t>-</w:t>
            </w: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陆丰市全美 小贷债（第 二期）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2017/1/19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836,027.40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836,027.40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10,836,027.40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117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博时基金管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博时睿远定</w:t>
            </w: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增灵活配置 混合型证券 投资基金基 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2016/04/08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2017/10/07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-112,531.25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49,887,468.75</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财通基金管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财通基金玉</w:t>
            </w:r>
          </w:p>
          <w:p>
            <w:pPr>
              <w:pStyle w:val="TableParagraph"/>
              <w:spacing w:line="232" w:lineRule="exact" w:before="23"/>
              <w:ind w:left="103" w:right="115"/>
              <w:jc w:val="both"/>
              <w:rPr>
                <w:rFonts w:ascii="宋体" w:hAnsi="宋体" w:cs="宋体" w:eastAsia="宋体" w:hint="default"/>
                <w:sz w:val="18"/>
                <w:szCs w:val="18"/>
              </w:rPr>
            </w:pPr>
            <w:r>
              <w:rPr>
                <w:rFonts w:ascii="宋体" w:hAnsi="宋体" w:cs="宋体" w:eastAsia="宋体" w:hint="default"/>
                <w:sz w:val="18"/>
                <w:szCs w:val="18"/>
              </w:rPr>
              <w:t>泉成功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 资产管理计 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2016/09/09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2018/03/08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r>
      <w:tr>
        <w:trPr>
          <w:trHeight w:val="9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浙江国贸东</w:t>
            </w:r>
          </w:p>
          <w:p>
            <w:pPr>
              <w:pStyle w:val="TableParagraph"/>
              <w:spacing w:line="232" w:lineRule="exact" w:before="23"/>
              <w:ind w:left="103" w:right="261"/>
              <w:jc w:val="left"/>
              <w:rPr>
                <w:rFonts w:ascii="宋体" w:hAnsi="宋体" w:cs="宋体" w:eastAsia="宋体" w:hint="default"/>
                <w:sz w:val="18"/>
                <w:szCs w:val="18"/>
              </w:rPr>
            </w:pPr>
            <w:r>
              <w:rPr>
                <w:rFonts w:ascii="宋体" w:hAnsi="宋体" w:cs="宋体" w:eastAsia="宋体" w:hint="default"/>
                <w:sz w:val="18"/>
                <w:szCs w:val="18"/>
              </w:rPr>
              <w:t>方投资管理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中海</w:t>
            </w:r>
            <w:r>
              <w:rPr>
                <w:rFonts w:ascii="宋体" w:hAnsi="宋体" w:cs="宋体" w:eastAsia="宋体" w:hint="default"/>
                <w:sz w:val="18"/>
                <w:szCs w:val="18"/>
              </w:rPr>
              <w:t>-</w:t>
            </w:r>
            <w:r>
              <w:rPr>
                <w:rFonts w:ascii="宋体" w:hAnsi="宋体" w:cs="宋体" w:eastAsia="宋体" w:hint="default"/>
                <w:sz w:val="18"/>
                <w:szCs w:val="18"/>
              </w:rPr>
              <w:t>浦江</w:t>
            </w:r>
          </w:p>
          <w:p>
            <w:pPr>
              <w:pStyle w:val="TableParagraph"/>
              <w:spacing w:line="237" w:lineRule="auto" w:before="1"/>
              <w:ind w:left="103" w:right="115"/>
              <w:jc w:val="both"/>
              <w:rPr>
                <w:rFonts w:ascii="宋体" w:hAnsi="宋体" w:cs="宋体" w:eastAsia="宋体" w:hint="default"/>
                <w:sz w:val="18"/>
                <w:szCs w:val="18"/>
              </w:rPr>
            </w:pPr>
            <w:r>
              <w:rPr>
                <w:rFonts w:ascii="宋体" w:hAnsi="宋体" w:cs="宋体" w:eastAsia="宋体" w:hint="default"/>
                <w:sz w:val="18"/>
                <w:szCs w:val="18"/>
              </w:rPr>
              <w:t>之星</w:t>
            </w:r>
            <w:r>
              <w:rPr>
                <w:rFonts w:ascii="宋体" w:hAnsi="宋体" w:cs="宋体" w:eastAsia="宋体" w:hint="default"/>
                <w:spacing w:val="-46"/>
                <w:sz w:val="18"/>
                <w:szCs w:val="18"/>
              </w:rPr>
              <w:t> </w:t>
            </w:r>
            <w:r>
              <w:rPr>
                <w:rFonts w:ascii="宋体" w:hAnsi="宋体" w:cs="宋体" w:eastAsia="宋体" w:hint="default"/>
                <w:sz w:val="18"/>
                <w:szCs w:val="18"/>
              </w:rPr>
              <w:t>245</w:t>
            </w:r>
            <w:r>
              <w:rPr>
                <w:rFonts w:ascii="宋体" w:hAnsi="宋体" w:cs="宋体" w:eastAsia="宋体" w:hint="default"/>
                <w:spacing w:val="-45"/>
                <w:sz w:val="18"/>
                <w:szCs w:val="18"/>
              </w:rPr>
              <w:t> </w:t>
            </w:r>
            <w:r>
              <w:rPr>
                <w:rFonts w:ascii="宋体" w:hAnsi="宋体" w:cs="宋体" w:eastAsia="宋体" w:hint="default"/>
                <w:sz w:val="18"/>
                <w:szCs w:val="18"/>
              </w:rPr>
              <w:t>号 集合资金信 托计划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2016/12/12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70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Heading5"/>
        <w:spacing w:line="274" w:lineRule="exact" w:before="36"/>
        <w:ind w:left="138" w:right="0"/>
        <w:jc w:val="both"/>
        <w:rPr>
          <w:b w:val="0"/>
          <w:bCs w:val="0"/>
        </w:rPr>
      </w:pPr>
      <w:r>
        <w:rPr/>
        <w:t>其他情况</w:t>
      </w:r>
      <w:r>
        <w:rPr>
          <w:b w:val="0"/>
          <w:bCs w:val="0"/>
        </w:rPr>
      </w:r>
    </w:p>
    <w:p>
      <w:pPr>
        <w:pStyle w:val="BodyText"/>
        <w:spacing w:line="274" w:lineRule="exact"/>
        <w:ind w:left="138" w:right="0"/>
        <w:jc w:val="both"/>
      </w:pPr>
      <w:r>
        <w:rPr/>
        <w:t>□适用</w:t>
      </w:r>
      <w:r>
        <w:rPr>
          <w:spacing w:val="104"/>
        </w:rPr>
        <w:t> </w:t>
      </w:r>
      <w:r>
        <w:rPr/>
        <w:t>√不适用</w:t>
      </w:r>
    </w:p>
    <w:p>
      <w:pPr>
        <w:spacing w:line="240" w:lineRule="auto" w:before="8"/>
        <w:rPr>
          <w:rFonts w:ascii="宋体" w:hAnsi="宋体" w:cs="宋体" w:eastAsia="宋体" w:hint="default"/>
          <w:sz w:val="20"/>
          <w:szCs w:val="20"/>
        </w:rPr>
      </w:pPr>
    </w:p>
    <w:p>
      <w:pPr>
        <w:pStyle w:val="Heading5"/>
        <w:spacing w:line="273" w:lineRule="exact"/>
        <w:ind w:left="138" w:right="0"/>
        <w:jc w:val="both"/>
        <w:rPr>
          <w:b w:val="0"/>
          <w:bCs w:val="0"/>
        </w:rPr>
      </w:pPr>
      <w:r>
        <w:rPr>
          <w:rFonts w:ascii="宋体" w:hAnsi="宋体" w:cs="宋体" w:eastAsia="宋体" w:hint="default"/>
        </w:rPr>
        <w:t>(3).</w:t>
      </w:r>
      <w:r>
        <w:rPr/>
        <w:t>委托理财减值准备</w:t>
      </w:r>
      <w:r>
        <w:rPr>
          <w:b w:val="0"/>
          <w:bCs w:val="0"/>
        </w:rPr>
      </w:r>
    </w:p>
    <w:p>
      <w:pPr>
        <w:pStyle w:val="BodyText"/>
        <w:spacing w:line="273" w:lineRule="exact"/>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90" w:lineRule="auto"/>
        <w:ind w:left="138"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28" w:lineRule="exact"/>
        <w:ind w:left="138" w:right="0"/>
        <w:jc w:val="both"/>
      </w:pPr>
      <w:r>
        <w:rPr/>
        <w:t>□适用</w:t>
      </w:r>
      <w:r>
        <w:rPr>
          <w:spacing w:val="104"/>
        </w:rPr>
        <w:t> </w:t>
      </w:r>
      <w:r>
        <w:rPr/>
        <w:t>√不适用</w:t>
      </w:r>
    </w:p>
    <w:p>
      <w:pPr>
        <w:pStyle w:val="Heading5"/>
        <w:spacing w:line="273" w:lineRule="exact"/>
        <w:ind w:left="138" w:right="0"/>
        <w:jc w:val="both"/>
        <w:rPr>
          <w:b w:val="0"/>
          <w:bCs w:val="0"/>
        </w:rPr>
      </w:pPr>
      <w:r>
        <w:rPr/>
        <w:t>其他情况</w:t>
      </w:r>
      <w:r>
        <w:rPr>
          <w:b w:val="0"/>
          <w:bCs w:val="0"/>
        </w:rPr>
      </w:r>
    </w:p>
    <w:p>
      <w:pPr>
        <w:pStyle w:val="BodyText"/>
        <w:spacing w:line="274" w:lineRule="exact"/>
        <w:ind w:left="138" w:right="0"/>
        <w:jc w:val="both"/>
      </w:pPr>
      <w:r>
        <w:rPr/>
        <w:t>□适用</w:t>
      </w:r>
      <w:r>
        <w:rPr>
          <w:spacing w:val="104"/>
        </w:rPr>
        <w:t> </w:t>
      </w:r>
      <w:r>
        <w:rPr/>
        <w:t>√不适用</w:t>
      </w:r>
    </w:p>
    <w:p>
      <w:pPr>
        <w:spacing w:line="240" w:lineRule="auto" w:before="8"/>
        <w:rPr>
          <w:rFonts w:ascii="宋体" w:hAnsi="宋体" w:cs="宋体" w:eastAsia="宋体" w:hint="default"/>
          <w:sz w:val="20"/>
          <w:szCs w:val="20"/>
        </w:rPr>
      </w:pPr>
    </w:p>
    <w:p>
      <w:pPr>
        <w:pStyle w:val="Heading5"/>
        <w:spacing w:line="273" w:lineRule="exact"/>
        <w:ind w:left="138" w:right="0"/>
        <w:jc w:val="both"/>
        <w:rPr>
          <w:b w:val="0"/>
          <w:bCs w:val="0"/>
        </w:rPr>
      </w:pPr>
      <w:r>
        <w:rPr>
          <w:rFonts w:ascii="宋体" w:hAnsi="宋体" w:cs="宋体" w:eastAsia="宋体" w:hint="default"/>
        </w:rPr>
        <w:t>(2).</w:t>
      </w:r>
      <w:r>
        <w:rPr/>
        <w:t>单项委托贷款情况</w:t>
      </w:r>
      <w:r>
        <w:rPr>
          <w:b w:val="0"/>
          <w:bCs w:val="0"/>
        </w:rPr>
      </w:r>
    </w:p>
    <w:p>
      <w:pPr>
        <w:tabs>
          <w:tab w:pos="980" w:val="left" w:leader="none"/>
        </w:tabs>
        <w:spacing w:before="0"/>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138" w:right="0"/>
        <w:jc w:val="both"/>
      </w:pPr>
      <w:r>
        <w:rPr/>
        <w:t>□适用</w:t>
      </w:r>
      <w:r>
        <w:rPr>
          <w:spacing w:val="104"/>
        </w:rPr>
        <w:t> </w:t>
      </w:r>
      <w:r>
        <w:rPr/>
        <w:t>√不适用</w:t>
      </w:r>
    </w:p>
    <w:p>
      <w:pPr>
        <w:spacing w:line="240" w:lineRule="auto" w:before="8"/>
        <w:rPr>
          <w:rFonts w:ascii="宋体" w:hAnsi="宋体" w:cs="宋体" w:eastAsia="宋体" w:hint="default"/>
          <w:sz w:val="20"/>
          <w:szCs w:val="20"/>
        </w:rPr>
      </w:pPr>
    </w:p>
    <w:p>
      <w:pPr>
        <w:pStyle w:val="Heading5"/>
        <w:spacing w:line="273" w:lineRule="exact"/>
        <w:ind w:left="138" w:right="0"/>
        <w:jc w:val="both"/>
        <w:rPr>
          <w:b w:val="0"/>
          <w:bCs w:val="0"/>
        </w:rPr>
      </w:pPr>
      <w:r>
        <w:rPr>
          <w:rFonts w:ascii="宋体" w:hAnsi="宋体" w:cs="宋体" w:eastAsia="宋体" w:hint="default"/>
        </w:rPr>
        <w:t>(3).</w:t>
      </w:r>
      <w:r>
        <w:rPr/>
        <w:t>委托贷款减值准备</w:t>
      </w:r>
      <w:r>
        <w:rPr>
          <w:b w:val="0"/>
          <w:bCs w:val="0"/>
        </w:rPr>
      </w:r>
    </w:p>
    <w:p>
      <w:pPr>
        <w:pStyle w:val="BodyText"/>
        <w:spacing w:line="273" w:lineRule="exact"/>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t>十六、其他重大事项的说明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781"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5"/>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tabs>
          <w:tab w:pos="980" w:val="left" w:leader="none"/>
        </w:tabs>
        <w:spacing w:line="240" w:lineRule="auto" w:before="56"/>
        <w:ind w:left="558" w:right="132" w:hanging="420"/>
        <w:jc w:val="left"/>
      </w:pPr>
      <w:r>
        <w:rPr>
          <w:spacing w:val="-1"/>
        </w:rPr>
        <w:t>√适用</w:t>
        <w:tab/>
      </w:r>
      <w:r>
        <w:rPr>
          <w:spacing w:val="-2"/>
        </w:rPr>
        <w:t>□不适用</w:t>
      </w:r>
      <w:r>
        <w:rPr>
          <w:spacing w:val="-99"/>
        </w:rPr>
        <w:t> </w:t>
      </w:r>
      <w:r>
        <w:rPr>
          <w:spacing w:val="-99"/>
        </w:rPr>
      </w:r>
      <w:r>
        <w:rPr>
          <w:rFonts w:ascii="宋体" w:hAnsi="宋体" w:cs="宋体" w:eastAsia="宋体" w:hint="default"/>
          <w:b/>
          <w:bCs/>
          <w:spacing w:val="-2"/>
        </w:rPr>
        <w:t>产品质量方面：</w:t>
      </w:r>
      <w:r>
        <w:rPr>
          <w:spacing w:val="-2"/>
        </w:rPr>
        <w:t>公司在日常运行中，严格按照质量文件规定进行操作，并进行有效地统计分</w:t>
      </w:r>
    </w:p>
    <w:p>
      <w:pPr>
        <w:pStyle w:val="BodyText"/>
        <w:spacing w:line="355" w:lineRule="auto" w:before="133"/>
        <w:ind w:left="138" w:right="137"/>
        <w:jc w:val="both"/>
      </w:pPr>
      <w:r>
        <w:rPr>
          <w:spacing w:val="-2"/>
        </w:rPr>
        <w:t>析，监督执行结果，对产品设计、制造、交付的整个业务流程实施过程控制，层层把关，对产品</w:t>
      </w:r>
      <w:r>
        <w:rPr>
          <w:spacing w:val="-25"/>
        </w:rPr>
        <w:t> </w:t>
      </w:r>
      <w:r>
        <w:rPr>
          <w:spacing w:val="-25"/>
        </w:rPr>
      </w:r>
      <w:r>
        <w:rPr>
          <w:spacing w:val="-2"/>
        </w:rPr>
        <w:t>缺陷严格把控。公司高度关注客户的反馈，对客户提出的问题做到快速反应，同时量化客户满意</w:t>
      </w:r>
      <w:r>
        <w:rPr>
          <w:spacing w:val="-25"/>
        </w:rPr>
        <w:t> </w:t>
      </w:r>
      <w:r>
        <w:rPr>
          <w:spacing w:val="-25"/>
        </w:rPr>
      </w:r>
      <w:r>
        <w:rPr>
          <w:spacing w:val="-2"/>
        </w:rPr>
        <w:t>度的考核指标，定期对其评估，从而达到持续改进质量的目的。公司在为客户提供优质产品的同</w:t>
      </w:r>
      <w:r>
        <w:rPr>
          <w:spacing w:val="-25"/>
        </w:rPr>
        <w:t> </w:t>
      </w:r>
      <w:r>
        <w:rPr>
          <w:spacing w:val="-25"/>
        </w:rPr>
      </w:r>
      <w:r>
        <w:rPr/>
        <w:t>时，诚信履约，积极为客户创造价值，提升满意度。</w:t>
      </w:r>
    </w:p>
    <w:p>
      <w:pPr>
        <w:spacing w:after="0" w:line="355" w:lineRule="auto"/>
        <w:jc w:val="both"/>
        <w:sectPr>
          <w:headerReference w:type="default" r:id="rId28"/>
          <w:footerReference w:type="default" r:id="rId29"/>
          <w:pgSz w:w="11910" w:h="16840"/>
          <w:pgMar w:header="880" w:footer="1195" w:top="1120" w:bottom="1380" w:left="1660" w:right="1140"/>
          <w:pgNumType w:start="45"/>
        </w:sectPr>
      </w:pPr>
    </w:p>
    <w:p>
      <w:pPr>
        <w:spacing w:line="240" w:lineRule="auto" w:before="4"/>
        <w:rPr>
          <w:rFonts w:ascii="宋体" w:hAnsi="宋体" w:cs="宋体" w:eastAsia="宋体" w:hint="default"/>
          <w:sz w:val="25"/>
          <w:szCs w:val="25"/>
        </w:rPr>
      </w:pPr>
    </w:p>
    <w:p>
      <w:pPr>
        <w:pStyle w:val="BodyText"/>
        <w:spacing w:line="357" w:lineRule="auto" w:before="36"/>
        <w:ind w:left="138" w:right="210" w:firstLine="422"/>
        <w:jc w:val="both"/>
      </w:pPr>
      <w:r>
        <w:rPr>
          <w:rFonts w:ascii="宋体" w:hAnsi="宋体" w:cs="宋体" w:eastAsia="宋体" w:hint="default"/>
          <w:b/>
          <w:bCs/>
          <w:spacing w:val="-2"/>
        </w:rPr>
        <w:t>公益事业方面：</w:t>
      </w:r>
      <w:r>
        <w:rPr>
          <w:spacing w:val="-2"/>
        </w:rPr>
        <w:t>在社会责任领域，公司先后创立太阳雨公益慈善基金、四季沐歌关爱基金，</w:t>
      </w:r>
      <w:r>
        <w:rPr>
          <w:w w:val="100"/>
        </w:rPr>
        <w:t> </w:t>
      </w:r>
      <w:r>
        <w:rPr>
          <w:spacing w:val="-2"/>
        </w:rPr>
        <w:t>致力于阳光浴室、健康水站等可持续公益项目的推广；创立日出东方家基金，援助紧急事件，倡</w:t>
      </w:r>
      <w:r>
        <w:rPr>
          <w:spacing w:val="-25"/>
        </w:rPr>
        <w:t> </w:t>
      </w:r>
      <w:r>
        <w:rPr>
          <w:spacing w:val="-25"/>
        </w:rPr>
      </w:r>
      <w:r>
        <w:rPr/>
        <w:t>导日行一善等具体微公益行动。</w:t>
      </w:r>
    </w:p>
    <w:p>
      <w:pPr>
        <w:pStyle w:val="BodyText"/>
        <w:spacing w:line="357" w:lineRule="auto" w:before="30"/>
        <w:ind w:left="138" w:right="100" w:firstLine="419"/>
        <w:jc w:val="left"/>
      </w:pPr>
      <w:r>
        <w:rPr/>
        <w:t>（一）“阳光浴室”项目：</w:t>
      </w:r>
      <w:r>
        <w:rPr>
          <w:rFonts w:ascii="宋体" w:hAnsi="宋体" w:cs="宋体" w:eastAsia="宋体" w:hint="default"/>
        </w:rPr>
        <w:t>2017</w:t>
      </w:r>
      <w:r>
        <w:rPr>
          <w:rFonts w:ascii="宋体" w:hAnsi="宋体" w:cs="宋体" w:eastAsia="宋体" w:hint="default"/>
          <w:spacing w:val="-38"/>
        </w:rPr>
        <w:t> </w:t>
      </w:r>
      <w:r>
        <w:rPr/>
        <w:t>年，太阳雨捐赠物资及现金总价值人民币</w:t>
      </w:r>
      <w:r>
        <w:rPr>
          <w:spacing w:val="-32"/>
        </w:rPr>
        <w:t> </w:t>
      </w:r>
      <w:r>
        <w:rPr>
          <w:rFonts w:ascii="宋体" w:hAnsi="宋体" w:cs="宋体" w:eastAsia="宋体" w:hint="default"/>
        </w:rPr>
        <w:t>1,560,396.5</w:t>
      </w:r>
      <w:r>
        <w:rPr>
          <w:rFonts w:ascii="宋体" w:hAnsi="宋体" w:cs="宋体" w:eastAsia="宋体" w:hint="default"/>
          <w:spacing w:val="-37"/>
        </w:rPr>
        <w:t> </w:t>
      </w:r>
      <w:r>
        <w:rPr/>
        <w:t>元。</w:t>
      </w:r>
      <w:r>
        <w:rPr>
          <w:spacing w:val="2"/>
          <w:w w:val="100"/>
        </w:rPr>
        <w:t> </w:t>
      </w:r>
      <w:r>
        <w:rPr/>
        <w:t>“阳光浴室”项目是太阳雨核心项目，基于城乡生活热水资源不平等的社会问题，利用太阳能光</w:t>
      </w:r>
      <w:r>
        <w:rPr>
          <w:w w:val="100"/>
        </w:rPr>
        <w:t> </w:t>
      </w:r>
      <w:r>
        <w:rPr>
          <w:spacing w:val="-6"/>
        </w:rPr>
        <w:t>热技术及产品，为偏远地区学校、养老院等机构提供日常生活热水解决方案。（二）“妈妈净水”</w:t>
      </w:r>
      <w:r>
        <w:rPr>
          <w:spacing w:val="-53"/>
        </w:rPr>
        <w:t> </w:t>
      </w:r>
      <w:r>
        <w:rPr>
          <w:spacing w:val="-53"/>
        </w:rPr>
      </w:r>
      <w:r>
        <w:rPr/>
        <w:t>项目：项目关注中国偏远地区学校、敬老院等机构的日常安全饮用水问题，以及灾后应急饮水需</w:t>
      </w:r>
      <w:r>
        <w:rPr>
          <w:w w:val="100"/>
        </w:rPr>
        <w:t> </w:t>
      </w:r>
      <w:r>
        <w:rPr>
          <w:spacing w:val="-3"/>
        </w:rPr>
        <w:t>求，通过捐赠太阳雨净水系统，帮助受助对象健康饮水。（三）</w:t>
      </w:r>
      <w:r>
        <w:rPr>
          <w:rFonts w:ascii="宋体" w:hAnsi="宋体" w:cs="宋体" w:eastAsia="宋体" w:hint="default"/>
          <w:spacing w:val="-3"/>
        </w:rPr>
        <w:t>2016</w:t>
      </w:r>
      <w:r>
        <w:rPr>
          <w:rFonts w:ascii="宋体" w:hAnsi="宋体" w:cs="宋体" w:eastAsia="宋体" w:hint="default"/>
          <w:spacing w:val="-41"/>
        </w:rPr>
        <w:t> </w:t>
      </w:r>
      <w:r>
        <w:rPr/>
        <w:t>年底，太阳雨“暖房子”正</w:t>
      </w:r>
      <w:r>
        <w:rPr>
          <w:spacing w:val="-69"/>
        </w:rPr>
        <w:t> </w:t>
      </w:r>
      <w:r>
        <w:rPr>
          <w:spacing w:val="-69"/>
        </w:rPr>
      </w:r>
      <w:r>
        <w:rPr/>
        <w:t>式启动，这是继太阳雨“阳光浴室</w:t>
      </w:r>
      <w:r>
        <w:rPr>
          <w:rFonts w:ascii="宋体" w:hAnsi="宋体" w:cs="宋体" w:eastAsia="宋体" w:hint="default"/>
        </w:rPr>
        <w:t>(</w:t>
      </w:r>
      <w:r>
        <w:rPr/>
        <w:t>热水领域)”、“妈妈净水</w:t>
      </w:r>
      <w:r>
        <w:rPr>
          <w:rFonts w:ascii="宋体" w:hAnsi="宋体" w:cs="宋体" w:eastAsia="宋体" w:hint="default"/>
        </w:rPr>
        <w:t>(</w:t>
      </w:r>
      <w:r>
        <w:rPr/>
        <w:t>净水领域)”之后的又一核心公益</w:t>
      </w:r>
      <w:r>
        <w:rPr>
          <w:w w:val="100"/>
        </w:rPr>
        <w:t> </w:t>
      </w:r>
      <w:r>
        <w:rPr/>
        <w:t>项目，主要利用空气能采暖技术及产品，为偏远、寒冷地区的学校、福利院、敬老院等机构解决</w:t>
      </w:r>
      <w:r>
        <w:rPr>
          <w:w w:val="100"/>
        </w:rPr>
        <w:t> </w:t>
      </w:r>
      <w:r>
        <w:rPr/>
        <w:t>冬季采暖难题。（四）“家基金”项目：</w:t>
      </w:r>
      <w:r>
        <w:rPr>
          <w:rFonts w:ascii="宋体" w:hAnsi="宋体" w:cs="宋体" w:eastAsia="宋体" w:hint="default"/>
        </w:rPr>
        <w:t>2017</w:t>
      </w:r>
      <w:r>
        <w:rPr>
          <w:rFonts w:ascii="宋体" w:hAnsi="宋体" w:cs="宋体" w:eastAsia="宋体" w:hint="default"/>
          <w:spacing w:val="-55"/>
        </w:rPr>
        <w:t> </w:t>
      </w:r>
      <w:r>
        <w:rPr/>
        <w:t>年，太阳雨共向</w:t>
      </w:r>
      <w:r>
        <w:rPr>
          <w:spacing w:val="-55"/>
        </w:rPr>
        <w:t> </w:t>
      </w:r>
      <w:r>
        <w:rPr>
          <w:rFonts w:ascii="宋体" w:hAnsi="宋体" w:cs="宋体" w:eastAsia="宋体" w:hint="default"/>
        </w:rPr>
        <w:t>51</w:t>
      </w:r>
      <w:r>
        <w:rPr>
          <w:rFonts w:ascii="宋体" w:hAnsi="宋体" w:cs="宋体" w:eastAsia="宋体" w:hint="default"/>
          <w:spacing w:val="-57"/>
        </w:rPr>
        <w:t> </w:t>
      </w:r>
      <w:r>
        <w:rPr/>
        <w:t>个困难家庭加以援手，捐助善</w:t>
      </w:r>
      <w:r>
        <w:rPr>
          <w:w w:val="100"/>
        </w:rPr>
        <w:t> </w:t>
      </w:r>
      <w:r>
        <w:rPr/>
        <w:t>款</w:t>
      </w:r>
      <w:r>
        <w:rPr>
          <w:spacing w:val="-55"/>
        </w:rPr>
        <w:t> </w:t>
      </w:r>
      <w:r>
        <w:rPr>
          <w:rFonts w:ascii="宋体" w:hAnsi="宋体" w:cs="宋体" w:eastAsia="宋体" w:hint="default"/>
        </w:rPr>
        <w:t>456860</w:t>
      </w:r>
      <w:r>
        <w:rPr>
          <w:rFonts w:ascii="宋体" w:hAnsi="宋体" w:cs="宋体" w:eastAsia="宋体" w:hint="default"/>
          <w:spacing w:val="-57"/>
        </w:rPr>
        <w:t> </w:t>
      </w:r>
      <w:r>
        <w:rPr/>
        <w:t>元，帮助其缓解家庭危机，恢复社会功能。</w:t>
      </w:r>
    </w:p>
    <w:p>
      <w:pPr>
        <w:pStyle w:val="BodyText"/>
        <w:spacing w:line="357" w:lineRule="auto" w:before="30"/>
        <w:ind w:left="138" w:right="207" w:firstLine="419"/>
        <w:jc w:val="both"/>
      </w:pPr>
      <w:r>
        <w:rPr>
          <w:rFonts w:ascii="宋体" w:hAnsi="宋体" w:cs="宋体" w:eastAsia="宋体" w:hint="default"/>
        </w:rPr>
        <w:t>2017</w:t>
      </w:r>
      <w:r>
        <w:rPr>
          <w:rFonts w:ascii="宋体" w:hAnsi="宋体" w:cs="宋体" w:eastAsia="宋体" w:hint="default"/>
          <w:spacing w:val="-49"/>
        </w:rPr>
        <w:t> </w:t>
      </w:r>
      <w:r>
        <w:rPr>
          <w:spacing w:val="-4"/>
        </w:rPr>
        <w:t>年，四季沐歌捐赠物资及现金总价值</w:t>
      </w:r>
      <w:r>
        <w:rPr>
          <w:spacing w:val="-47"/>
        </w:rPr>
        <w:t> </w:t>
      </w:r>
      <w:r>
        <w:rPr>
          <w:rFonts w:ascii="宋体" w:hAnsi="宋体" w:cs="宋体" w:eastAsia="宋体" w:hint="default"/>
        </w:rPr>
        <w:t>2,778,000</w:t>
      </w:r>
      <w:r>
        <w:rPr>
          <w:rFonts w:ascii="宋体" w:hAnsi="宋体" w:cs="宋体" w:eastAsia="宋体" w:hint="default"/>
          <w:spacing w:val="-47"/>
        </w:rPr>
        <w:t> </w:t>
      </w:r>
      <w:r>
        <w:rPr>
          <w:spacing w:val="-16"/>
        </w:rPr>
        <w:t>元。（一）</w:t>
      </w:r>
      <w:r>
        <w:rPr>
          <w:spacing w:val="-30"/>
        </w:rPr>
        <w:t> </w:t>
      </w:r>
      <w:r>
        <w:rPr/>
        <w:t>“中国航天基金会”项目：</w:t>
      </w:r>
      <w:r>
        <w:rPr>
          <w:w w:val="100"/>
        </w:rPr>
        <w:t> </w:t>
      </w:r>
      <w:r>
        <w:rPr>
          <w:spacing w:val="-2"/>
        </w:rPr>
        <w:t>作为“中国航天事业战略合作伙伴”，助力了中国航天事业的发展，同时设立清华大学“航天奖</w:t>
      </w:r>
      <w:r>
        <w:rPr>
          <w:spacing w:val="-25"/>
        </w:rPr>
        <w:t> </w:t>
      </w:r>
      <w:r>
        <w:rPr>
          <w:spacing w:val="-25"/>
        </w:rPr>
      </w:r>
      <w:r>
        <w:rPr>
          <w:spacing w:val="-4"/>
        </w:rPr>
        <w:t>学金”。（二）“中国妇女基金会母亲水窖•亲亲水站”项目：四季沐歌集团与中国妇女发展基金</w:t>
      </w:r>
      <w:r>
        <w:rPr>
          <w:spacing w:val="-37"/>
        </w:rPr>
        <w:t> </w:t>
      </w:r>
      <w:r>
        <w:rPr>
          <w:spacing w:val="-37"/>
        </w:rPr>
      </w:r>
      <w:r>
        <w:rPr>
          <w:spacing w:val="-2"/>
        </w:rPr>
        <w:t>会共同启动“四季沐歌关爱基金”，通过提供直饮水解决方案，配备相应的净水设施，在社区、</w:t>
      </w:r>
      <w:r>
        <w:rPr>
          <w:spacing w:val="-25"/>
        </w:rPr>
        <w:t> </w:t>
      </w:r>
      <w:r>
        <w:rPr>
          <w:spacing w:val="-25"/>
        </w:rPr>
      </w:r>
      <w:r>
        <w:rPr>
          <w:spacing w:val="-4"/>
        </w:rPr>
        <w:t>乡镇聚居区建设惠民水站。（三）</w:t>
      </w:r>
      <w:r>
        <w:rPr>
          <w:spacing w:val="47"/>
        </w:rPr>
        <w:t> </w:t>
      </w:r>
      <w:r>
        <w:rPr>
          <w:spacing w:val="-4"/>
        </w:rPr>
        <w:t>“四季沐歌家基金”项目：四季沐歌为经销商、员工、以及他</w:t>
      </w:r>
      <w:r>
        <w:rPr>
          <w:spacing w:val="-88"/>
        </w:rPr>
        <w:t> </w:t>
      </w:r>
      <w:r>
        <w:rPr>
          <w:spacing w:val="-88"/>
        </w:rPr>
      </w:r>
      <w:r>
        <w:rPr>
          <w:spacing w:val="-2"/>
        </w:rPr>
        <w:t>们的家属成立企业内部公益基金，家基金使命是抚危救难、打造健康、和谐、快乐的家文化；家</w:t>
      </w:r>
      <w:r>
        <w:rPr>
          <w:spacing w:val="-25"/>
        </w:rPr>
        <w:t> </w:t>
      </w:r>
      <w:r>
        <w:rPr>
          <w:spacing w:val="-25"/>
        </w:rPr>
      </w:r>
      <w:r>
        <w:rPr>
          <w:spacing w:val="-2"/>
        </w:rPr>
        <w:t>基金的理念是”我加你”等于一个家，集企业内部每个人的力量，让小捐款变成大善款，随时帮</w:t>
      </w:r>
      <w:r>
        <w:rPr>
          <w:spacing w:val="-26"/>
        </w:rPr>
        <w:t> </w:t>
      </w:r>
      <w:r>
        <w:rPr>
          <w:spacing w:val="-26"/>
        </w:rPr>
      </w:r>
      <w:r>
        <w:rPr>
          <w:spacing w:val="-4"/>
        </w:rPr>
        <w:t>助大家庭中需要帮助的人，让大家享受到家的温暖和爱的力量。（四） </w:t>
      </w:r>
      <w:r>
        <w:rPr/>
        <w:t>“四季沐歌环保公益”项</w:t>
      </w:r>
      <w:r>
        <w:rPr>
          <w:spacing w:val="-77"/>
        </w:rPr>
        <w:t> </w:t>
      </w:r>
      <w:r>
        <w:rPr>
          <w:spacing w:val="-77"/>
        </w:rPr>
      </w:r>
      <w:r>
        <w:rPr>
          <w:spacing w:val="-2"/>
        </w:rPr>
        <w:t>目：四季沐歌一直践行企业社会责任，对于绿色环保的追求不仅仅体现在产品上，还通过各种活</w:t>
      </w:r>
      <w:r>
        <w:rPr>
          <w:spacing w:val="-26"/>
        </w:rPr>
        <w:t> </w:t>
      </w:r>
      <w:r>
        <w:rPr>
          <w:spacing w:val="-26"/>
        </w:rPr>
      </w:r>
      <w:r>
        <w:rPr>
          <w:spacing w:val="-7"/>
        </w:rPr>
        <w:t>动、项目、产品推广等渠道，主动肩负起社会责任，将绿色环保的生活理念传递给广大社会大众。</w:t>
      </w:r>
    </w:p>
    <w:p>
      <w:pPr>
        <w:pStyle w:val="Heading5"/>
        <w:tabs>
          <w:tab w:pos="781" w:val="left" w:leader="none"/>
        </w:tabs>
        <w:spacing w:line="240" w:lineRule="auto" w:before="90"/>
        <w:ind w:left="138" w:right="6708"/>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5"/>
        <w:tabs>
          <w:tab w:pos="562" w:val="left" w:leader="none"/>
        </w:tabs>
        <w:spacing w:line="240" w:lineRule="auto" w:before="58"/>
        <w:ind w:left="138" w:right="108"/>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40" w:lineRule="auto" w:before="57"/>
        <w:ind w:left="138" w:right="670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562" w:val="left" w:leader="none"/>
        </w:tabs>
        <w:spacing w:line="240" w:lineRule="auto"/>
        <w:ind w:left="138" w:right="108"/>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240" w:lineRule="auto" w:before="58"/>
        <w:ind w:left="138" w:right="6708"/>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5"/>
        <w:tabs>
          <w:tab w:pos="562" w:val="left" w:leader="none"/>
        </w:tabs>
        <w:spacing w:line="240" w:lineRule="auto"/>
        <w:ind w:left="138" w:right="6708"/>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8"/>
        <w:ind w:left="138" w:right="670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781" w:val="left" w:leader="none"/>
        </w:tabs>
        <w:spacing w:line="240" w:lineRule="auto"/>
        <w:ind w:left="138" w:right="670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6"/>
        <w:ind w:left="138" w:right="6708"/>
        <w:jc w:val="left"/>
      </w:pPr>
      <w:r>
        <w:rPr>
          <w:spacing w:val="-1"/>
        </w:rPr>
        <w:t>□适用</w:t>
        <w:tab/>
      </w:r>
      <w:r>
        <w:rPr>
          <w:spacing w:val="-2"/>
        </w:rPr>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5"/>
        <w:spacing w:line="240" w:lineRule="auto" w:before="36"/>
        <w:ind w:left="138" w:right="0"/>
        <w:jc w:val="left"/>
        <w:rPr>
          <w:b w:val="0"/>
          <w:bCs w:val="0"/>
        </w:rPr>
      </w:pPr>
      <w:r>
        <w:rPr/>
        <w:t>十八、可转换公司债券情况</w:t>
      </w:r>
      <w:r>
        <w:rPr>
          <w:b w:val="0"/>
          <w:bCs w:val="0"/>
        </w:rPr>
      </w:r>
    </w:p>
    <w:p>
      <w:pPr>
        <w:pStyle w:val="Heading5"/>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left"/>
      </w:pPr>
      <w:r>
        <w:rPr/>
        <w:t>□适用</w:t>
      </w:r>
      <w:r>
        <w:rPr>
          <w:spacing w:val="-1"/>
        </w:rPr>
        <w:t> </w:t>
      </w:r>
      <w:r>
        <w:rPr/>
        <w:t>√不适用</w:t>
      </w:r>
    </w:p>
    <w:p>
      <w:pPr>
        <w:pStyle w:val="Heading5"/>
        <w:spacing w:line="240" w:lineRule="auto" w:before="5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5591"/>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138" w:right="0"/>
        <w:jc w:val="left"/>
      </w:pPr>
      <w:r>
        <w:rPr/>
        <w:t>□适用</w:t>
      </w:r>
      <w:r>
        <w:rPr>
          <w:spacing w:val="-1"/>
        </w:rPr>
        <w:t> </w:t>
      </w:r>
      <w:r>
        <w:rPr/>
        <w:t>√不适用</w:t>
      </w:r>
    </w:p>
    <w:p>
      <w:pPr>
        <w:pStyle w:val="Heading5"/>
        <w:spacing w:line="240" w:lineRule="auto" w:before="5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t>□适用</w:t>
      </w:r>
      <w:r>
        <w:rPr>
          <w:spacing w:val="-1"/>
        </w:rPr>
        <w:t> </w:t>
      </w:r>
      <w:r>
        <w:rPr/>
        <w:t>√不适用</w:t>
      </w:r>
    </w:p>
    <w:p>
      <w:pPr>
        <w:pStyle w:val="Heading5"/>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pStyle w:val="Heading5"/>
        <w:spacing w:line="240" w:lineRule="auto" w:before="56"/>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2"/>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0" w:val="left" w:leader="none"/>
        </w:tabs>
        <w:spacing w:line="240" w:lineRule="auto"/>
        <w:ind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5"/>
        <w:tabs>
          <w:tab w:pos="704" w:val="left" w:leader="none"/>
        </w:tabs>
        <w:spacing w:line="278" w:lineRule="auto"/>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2"/>
        <w:ind w:left="138" w:right="347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980" w:val="left" w:leader="none"/>
        </w:tabs>
        <w:spacing w:line="240" w:lineRule="auto" w:before="12"/>
        <w:ind w:left="138" w:right="0"/>
        <w:jc w:val="left"/>
      </w:pPr>
      <w:r>
        <w:rPr>
          <w:spacing w:val="-1"/>
        </w:rPr>
        <w:t>□适用</w:t>
        <w:tab/>
      </w:r>
      <w:r>
        <w:rPr>
          <w:spacing w:val="-2"/>
        </w:rPr>
        <w:t>√不适用</w:t>
      </w:r>
    </w:p>
    <w:p>
      <w:pPr>
        <w:pStyle w:val="Heading5"/>
        <w:spacing w:line="240" w:lineRule="auto" w:before="58"/>
        <w:ind w:left="13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pStyle w:val="Heading5"/>
        <w:spacing w:line="240" w:lineRule="auto" w:before="58"/>
        <w:ind w:left="13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pStyle w:val="Heading5"/>
        <w:tabs>
          <w:tab w:pos="704" w:val="left" w:leader="none"/>
        </w:tabs>
        <w:spacing w:line="240" w:lineRule="auto" w:before="58"/>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0"/>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90" w:lineRule="auto"/>
        <w:ind w:left="138" w:right="59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left="138" w:right="190"/>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980" w:val="left" w:leader="none"/>
        </w:tabs>
        <w:spacing w:line="271"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5"/>
        <w:spacing w:line="240" w:lineRule="auto" w:before="36"/>
        <w:ind w:left="67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678" w:right="0"/>
        <w:jc w:val="left"/>
      </w:pPr>
      <w:r>
        <w:rPr/>
        <w:t>□适用</w:t>
      </w:r>
      <w:r>
        <w:rPr>
          <w:spacing w:val="-1"/>
        </w:rPr>
        <w:t> </w:t>
      </w:r>
      <w:r>
        <w:rPr/>
        <w:t>√不适用</w:t>
      </w:r>
    </w:p>
    <w:p>
      <w:pPr>
        <w:pStyle w:val="Heading5"/>
        <w:spacing w:line="240" w:lineRule="auto" w:before="56"/>
        <w:ind w:left="678" w:right="0"/>
        <w:jc w:val="left"/>
        <w:rPr>
          <w:b w:val="0"/>
          <w:bCs w:val="0"/>
        </w:rPr>
      </w:pPr>
      <w:r>
        <w:rPr/>
        <w:t>三、</w:t>
      </w:r>
      <w:r>
        <w:rPr>
          <w:spacing w:val="-80"/>
        </w:rPr>
        <w:t> </w:t>
      </w:r>
      <w:r>
        <w:rPr/>
        <w:t>股东和实际控制人情况</w:t>
      </w:r>
      <w:r>
        <w:rPr>
          <w:b w:val="0"/>
          <w:bCs w:val="0"/>
        </w:rPr>
      </w:r>
    </w:p>
    <w:p>
      <w:pPr>
        <w:pStyle w:val="Heading5"/>
        <w:spacing w:line="240" w:lineRule="auto" w:before="58"/>
        <w:ind w:left="6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56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37,082</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40,561</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120" w:right="920"/>
        </w:sectPr>
      </w:pPr>
    </w:p>
    <w:p>
      <w:pPr>
        <w:pStyle w:val="Heading5"/>
        <w:spacing w:line="240" w:lineRule="auto" w:before="36"/>
        <w:ind w:left="67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120" w:right="920"/>
          <w:cols w:num="2" w:equalWidth="0">
            <w:col w:w="8273" w:space="40"/>
            <w:col w:w="155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44"/>
        <w:gridCol w:w="1443"/>
        <w:gridCol w:w="1392"/>
        <w:gridCol w:w="852"/>
        <w:gridCol w:w="650"/>
        <w:gridCol w:w="341"/>
        <w:gridCol w:w="857"/>
        <w:gridCol w:w="701"/>
        <w:gridCol w:w="1560"/>
      </w:tblGrid>
      <w:tr>
        <w:trPr>
          <w:trHeight w:val="242" w:hRule="exact"/>
        </w:trPr>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5" w:hRule="exact"/>
        </w:trPr>
        <w:tc>
          <w:tcPr>
            <w:tcW w:w="1844" w:type="dxa"/>
            <w:vMerge w:val="restart"/>
            <w:tcBorders>
              <w:top w:val="single" w:sz="4" w:space="0" w:color="000000"/>
              <w:left w:val="single" w:sz="4" w:space="0" w:color="000000"/>
              <w:right w:val="single" w:sz="4" w:space="0" w:color="000000"/>
            </w:tcBorders>
          </w:tcPr>
          <w:p>
            <w:pPr>
              <w:pStyle w:val="TableParagraph"/>
              <w:spacing w:line="235" w:lineRule="exact" w:before="92"/>
              <w:ind w:left="554"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91" w:type="dxa"/>
            <w:gridSpan w:val="2"/>
            <w:vMerge w:val="restart"/>
            <w:tcBorders>
              <w:top w:val="single" w:sz="4" w:space="0" w:color="000000"/>
              <w:left w:val="single" w:sz="4" w:space="0" w:color="000000"/>
              <w:right w:val="single" w:sz="4" w:space="0" w:color="000000"/>
            </w:tcBorders>
          </w:tcPr>
          <w:p>
            <w:pPr>
              <w:pStyle w:val="TableParagraph"/>
              <w:spacing w:line="232" w:lineRule="exact" w:before="1"/>
              <w:ind w:left="127" w:right="132"/>
              <w:jc w:val="both"/>
              <w:rPr>
                <w:rFonts w:ascii="宋体" w:hAnsi="宋体" w:cs="宋体" w:eastAsia="宋体" w:hint="default"/>
                <w:sz w:val="18"/>
                <w:szCs w:val="18"/>
              </w:rPr>
            </w:pPr>
            <w:r>
              <w:rPr>
                <w:rFonts w:ascii="宋体" w:hAnsi="宋体" w:cs="宋体" w:eastAsia="宋体" w:hint="default"/>
                <w:sz w:val="18"/>
                <w:szCs w:val="18"/>
              </w:rPr>
              <w:t>持有有限 售条件股 份数量</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2"/>
              <w:ind w:left="595" w:right="593"/>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475" w:hRule="exact"/>
        </w:trPr>
        <w:tc>
          <w:tcPr>
            <w:tcW w:w="1844" w:type="dxa"/>
            <w:vMerge/>
            <w:tcBorders>
              <w:left w:val="single" w:sz="4" w:space="0" w:color="000000"/>
              <w:bottom w:val="single" w:sz="4" w:space="0" w:color="000000"/>
              <w:right w:val="single" w:sz="4" w:space="0" w:color="000000"/>
            </w:tcBorders>
          </w:tcPr>
          <w:p>
            <w:pPr/>
          </w:p>
        </w:tc>
        <w:tc>
          <w:tcPr>
            <w:tcW w:w="1443" w:type="dxa"/>
            <w:vMerge/>
            <w:tcBorders>
              <w:left w:val="single" w:sz="4" w:space="0" w:color="000000"/>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9"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560" w:type="dxa"/>
            <w:vMerge/>
            <w:tcBorders>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太阳雨控股集团有限</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8"/>
              <w:jc w:val="right"/>
              <w:rPr>
                <w:rFonts w:ascii="宋体" w:hAnsi="宋体" w:cs="宋体" w:eastAsia="宋体" w:hint="default"/>
                <w:sz w:val="18"/>
                <w:szCs w:val="18"/>
              </w:rPr>
            </w:pPr>
            <w:r>
              <w:rPr>
                <w:rFonts w:ascii="宋体"/>
                <w:sz w:val="18"/>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462,000,600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57.75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中央汇金资产管理有</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
              <w:jc w:val="right"/>
              <w:rPr>
                <w:rFonts w:ascii="宋体" w:hAnsi="宋体" w:cs="宋体" w:eastAsia="宋体" w:hint="default"/>
                <w:sz w:val="18"/>
                <w:szCs w:val="18"/>
              </w:rPr>
            </w:pPr>
            <w:r>
              <w:rPr>
                <w:rFonts w:ascii="宋体"/>
                <w:sz w:val="18"/>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18,352,800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江苏月亮神管理咨询</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-935,035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13,317,365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4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江苏太阳神管理咨询</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-1,352,735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12,899,665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江苏新典管理咨询有</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-2,177,185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12,075,215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吴典华</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
              <w:jc w:val="right"/>
              <w:rPr>
                <w:rFonts w:ascii="宋体" w:hAnsi="宋体" w:cs="宋体" w:eastAsia="宋体" w:hint="default"/>
                <w:sz w:val="18"/>
                <w:szCs w:val="18"/>
              </w:rPr>
            </w:pPr>
            <w:r>
              <w:rPr>
                <w:rFonts w:ascii="宋体"/>
                <w:sz w:val="18"/>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11,998,800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徐新建</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8"/>
              <w:jc w:val="right"/>
              <w:rPr>
                <w:rFonts w:ascii="宋体" w:hAnsi="宋体" w:cs="宋体" w:eastAsia="宋体" w:hint="default"/>
                <w:sz w:val="18"/>
                <w:szCs w:val="18"/>
              </w:rPr>
            </w:pPr>
            <w:r>
              <w:rPr>
                <w:rFonts w:ascii="宋体"/>
                <w:sz w:val="18"/>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9,969,576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1.25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9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中国银行股份有限公</w:t>
            </w:r>
          </w:p>
          <w:p>
            <w:pPr>
              <w:pStyle w:val="TableParagraph"/>
              <w:spacing w:line="237" w:lineRule="auto"/>
              <w:ind w:left="101" w:right="110"/>
              <w:jc w:val="both"/>
              <w:rPr>
                <w:rFonts w:ascii="宋体" w:hAnsi="宋体" w:cs="宋体" w:eastAsia="宋体" w:hint="default"/>
                <w:sz w:val="18"/>
                <w:szCs w:val="18"/>
              </w:rPr>
            </w:pPr>
            <w:r>
              <w:rPr>
                <w:rFonts w:ascii="宋体" w:hAnsi="宋体" w:cs="宋体" w:eastAsia="宋体" w:hint="default"/>
                <w:sz w:val="18"/>
                <w:szCs w:val="18"/>
              </w:rPr>
              <w:t>司－华夏新经济灵活 配置混合型发起式证 券投资基金</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
              <w:jc w:val="right"/>
              <w:rPr>
                <w:rFonts w:ascii="宋体" w:hAnsi="宋体" w:cs="宋体" w:eastAsia="宋体" w:hint="default"/>
                <w:sz w:val="18"/>
                <w:szCs w:val="18"/>
              </w:rPr>
            </w:pPr>
            <w:r>
              <w:rPr>
                <w:rFonts w:ascii="宋体"/>
                <w:sz w:val="18"/>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7,445,001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0.93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9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中国农业银行股份有</w:t>
            </w:r>
          </w:p>
          <w:p>
            <w:pPr>
              <w:pStyle w:val="TableParagraph"/>
              <w:spacing w:line="237" w:lineRule="auto" w:before="2"/>
              <w:ind w:left="101" w:right="110"/>
              <w:jc w:val="both"/>
              <w:rPr>
                <w:rFonts w:ascii="宋体" w:hAnsi="宋体" w:cs="宋体" w:eastAsia="宋体" w:hint="default"/>
                <w:sz w:val="18"/>
                <w:szCs w:val="18"/>
              </w:rPr>
            </w:pPr>
            <w:r>
              <w:rPr>
                <w:rFonts w:ascii="宋体" w:hAnsi="宋体" w:cs="宋体" w:eastAsia="宋体" w:hint="default"/>
                <w:sz w:val="18"/>
                <w:szCs w:val="18"/>
              </w:rPr>
              <w:t>限公司－融通新区域 新经济灵活配置混合 型证券投资基金</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3,583,200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3,583,200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广发基金－农业银行</w:t>
            </w:r>
          </w:p>
          <w:p>
            <w:pPr>
              <w:pStyle w:val="TableParagraph"/>
              <w:spacing w:line="232" w:lineRule="exact" w:before="24"/>
              <w:ind w:left="101" w:right="110"/>
              <w:jc w:val="left"/>
              <w:rPr>
                <w:rFonts w:ascii="宋体" w:hAnsi="宋体" w:cs="宋体" w:eastAsia="宋体" w:hint="default"/>
                <w:sz w:val="18"/>
                <w:szCs w:val="18"/>
              </w:rPr>
            </w:pPr>
            <w:r>
              <w:rPr>
                <w:rFonts w:ascii="宋体" w:hAnsi="宋体" w:cs="宋体" w:eastAsia="宋体" w:hint="default"/>
                <w:sz w:val="18"/>
                <w:szCs w:val="18"/>
              </w:rPr>
              <w:t>－广发中证金融资产 管理计划</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3,489,681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3,489,681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5" w:hRule="exact"/>
        </w:trPr>
        <w:tc>
          <w:tcPr>
            <w:tcW w:w="96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2" w:hRule="exact"/>
        </w:trPr>
        <w:tc>
          <w:tcPr>
            <w:tcW w:w="3287" w:type="dxa"/>
            <w:gridSpan w:val="2"/>
            <w:vMerge w:val="restart"/>
            <w:tcBorders>
              <w:top w:val="single" w:sz="4" w:space="0" w:color="000000"/>
              <w:left w:val="single" w:sz="4" w:space="0" w:color="000000"/>
              <w:right w:val="single" w:sz="4" w:space="0" w:color="000000"/>
            </w:tcBorders>
          </w:tcPr>
          <w:p>
            <w:pPr>
              <w:pStyle w:val="TableParagraph"/>
              <w:spacing w:line="240" w:lineRule="auto" w:before="92"/>
              <w:ind w:left="1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95" w:type="dxa"/>
            <w:gridSpan w:val="3"/>
            <w:vMerge w:val="restart"/>
            <w:tcBorders>
              <w:top w:val="single" w:sz="4" w:space="0" w:color="000000"/>
              <w:left w:val="single" w:sz="4" w:space="0" w:color="000000"/>
              <w:right w:val="single" w:sz="4" w:space="0" w:color="000000"/>
            </w:tcBorders>
          </w:tcPr>
          <w:p>
            <w:pPr>
              <w:pStyle w:val="TableParagraph"/>
              <w:spacing w:line="240" w:lineRule="auto" w:before="92"/>
              <w:ind w:left="280"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4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1"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5" w:hRule="exact"/>
        </w:trPr>
        <w:tc>
          <w:tcPr>
            <w:tcW w:w="3287" w:type="dxa"/>
            <w:gridSpan w:val="2"/>
            <w:vMerge/>
            <w:tcBorders>
              <w:left w:val="single" w:sz="4" w:space="0" w:color="000000"/>
              <w:bottom w:val="single" w:sz="4" w:space="0" w:color="000000"/>
              <w:right w:val="single" w:sz="4" w:space="0" w:color="000000"/>
            </w:tcBorders>
          </w:tcPr>
          <w:p>
            <w:pPr/>
          </w:p>
        </w:tc>
        <w:tc>
          <w:tcPr>
            <w:tcW w:w="2895" w:type="dxa"/>
            <w:gridSpan w:val="3"/>
            <w:vMerge/>
            <w:tcBorders>
              <w:left w:val="single" w:sz="4" w:space="0" w:color="000000"/>
              <w:bottom w:val="single" w:sz="4" w:space="0" w:color="000000"/>
              <w:right w:val="single" w:sz="4" w:space="0" w:color="000000"/>
            </w:tcBorders>
          </w:tcPr>
          <w:p>
            <w:pP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75" w:hRule="exact"/>
        </w:trPr>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24" w:right="0"/>
              <w:jc w:val="left"/>
              <w:rPr>
                <w:rFonts w:ascii="宋体" w:hAnsi="宋体" w:cs="宋体" w:eastAsia="宋体" w:hint="default"/>
                <w:sz w:val="21"/>
                <w:szCs w:val="21"/>
              </w:rPr>
            </w:pPr>
            <w:r>
              <w:rPr>
                <w:rFonts w:ascii="宋体"/>
                <w:sz w:val="21"/>
              </w:rPr>
              <w:t>462,000,600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4" w:right="0"/>
              <w:jc w:val="left"/>
              <w:rPr>
                <w:rFonts w:ascii="宋体" w:hAnsi="宋体" w:cs="宋体" w:eastAsia="宋体" w:hint="default"/>
                <w:sz w:val="21"/>
                <w:szCs w:val="21"/>
              </w:rPr>
            </w:pPr>
            <w:r>
              <w:rPr>
                <w:rFonts w:ascii="宋体"/>
                <w:sz w:val="21"/>
              </w:rPr>
              <w:t>462,000,600</w:t>
            </w:r>
          </w:p>
        </w:tc>
      </w:tr>
      <w:tr>
        <w:trPr>
          <w:trHeight w:val="478" w:hRule="exact"/>
        </w:trPr>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7" w:right="0"/>
              <w:jc w:val="left"/>
              <w:rPr>
                <w:rFonts w:ascii="宋体" w:hAnsi="宋体" w:cs="宋体" w:eastAsia="宋体" w:hint="default"/>
                <w:sz w:val="21"/>
                <w:szCs w:val="21"/>
              </w:rPr>
            </w:pPr>
            <w:r>
              <w:rPr>
                <w:rFonts w:ascii="宋体"/>
                <w:sz w:val="21"/>
              </w:rPr>
              <w:t>18,352,800</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7" w:right="0"/>
              <w:jc w:val="left"/>
              <w:rPr>
                <w:rFonts w:ascii="宋体" w:hAnsi="宋体" w:cs="宋体" w:eastAsia="宋体" w:hint="default"/>
                <w:sz w:val="21"/>
                <w:szCs w:val="21"/>
              </w:rPr>
            </w:pPr>
            <w:r>
              <w:rPr>
                <w:rFonts w:ascii="宋体"/>
                <w:sz w:val="21"/>
              </w:rPr>
              <w:t>18,352,800</w:t>
            </w:r>
          </w:p>
        </w:tc>
      </w:tr>
      <w:tr>
        <w:trPr>
          <w:trHeight w:val="478" w:hRule="exact"/>
        </w:trPr>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江苏月亮神管理咨询有限公司</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7" w:right="0"/>
              <w:jc w:val="left"/>
              <w:rPr>
                <w:rFonts w:ascii="宋体" w:hAnsi="宋体" w:cs="宋体" w:eastAsia="宋体" w:hint="default"/>
                <w:sz w:val="21"/>
                <w:szCs w:val="21"/>
              </w:rPr>
            </w:pPr>
            <w:r>
              <w:rPr>
                <w:rFonts w:ascii="宋体"/>
                <w:sz w:val="21"/>
              </w:rPr>
              <w:t>13,317,365</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7" w:right="0"/>
              <w:jc w:val="left"/>
              <w:rPr>
                <w:rFonts w:ascii="宋体" w:hAnsi="宋体" w:cs="宋体" w:eastAsia="宋体" w:hint="default"/>
                <w:sz w:val="21"/>
                <w:szCs w:val="21"/>
              </w:rPr>
            </w:pPr>
            <w:r>
              <w:rPr>
                <w:rFonts w:ascii="宋体"/>
                <w:sz w:val="21"/>
              </w:rPr>
              <w:t>13,317,365</w:t>
            </w:r>
          </w:p>
        </w:tc>
      </w:tr>
      <w:tr>
        <w:trPr>
          <w:trHeight w:val="476" w:hRule="exact"/>
        </w:trPr>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江苏太阳神管理咨询有限公司</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7" w:right="0"/>
              <w:jc w:val="left"/>
              <w:rPr>
                <w:rFonts w:ascii="宋体" w:hAnsi="宋体" w:cs="宋体" w:eastAsia="宋体" w:hint="default"/>
                <w:sz w:val="21"/>
                <w:szCs w:val="21"/>
              </w:rPr>
            </w:pPr>
            <w:r>
              <w:rPr>
                <w:rFonts w:ascii="宋体"/>
                <w:sz w:val="21"/>
              </w:rPr>
              <w:t>12,899,665</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7" w:right="0"/>
              <w:jc w:val="left"/>
              <w:rPr>
                <w:rFonts w:ascii="宋体" w:hAnsi="宋体" w:cs="宋体" w:eastAsia="宋体" w:hint="default"/>
                <w:sz w:val="21"/>
                <w:szCs w:val="21"/>
              </w:rPr>
            </w:pPr>
            <w:r>
              <w:rPr>
                <w:rFonts w:ascii="宋体"/>
                <w:sz w:val="21"/>
              </w:rPr>
              <w:t>12,899,665</w:t>
            </w:r>
          </w:p>
        </w:tc>
      </w:tr>
      <w:tr>
        <w:trPr>
          <w:trHeight w:val="478" w:hRule="exact"/>
        </w:trPr>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江苏新典管理咨询有限公司</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7" w:right="0"/>
              <w:jc w:val="left"/>
              <w:rPr>
                <w:rFonts w:ascii="宋体" w:hAnsi="宋体" w:cs="宋体" w:eastAsia="宋体" w:hint="default"/>
                <w:sz w:val="21"/>
                <w:szCs w:val="21"/>
              </w:rPr>
            </w:pPr>
            <w:r>
              <w:rPr>
                <w:rFonts w:ascii="宋体"/>
                <w:sz w:val="21"/>
              </w:rPr>
              <w:t>12,075,215</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7" w:right="0"/>
              <w:jc w:val="left"/>
              <w:rPr>
                <w:rFonts w:ascii="宋体" w:hAnsi="宋体" w:cs="宋体" w:eastAsia="宋体" w:hint="default"/>
                <w:sz w:val="21"/>
                <w:szCs w:val="21"/>
              </w:rPr>
            </w:pPr>
            <w:r>
              <w:rPr>
                <w:rFonts w:ascii="宋体"/>
                <w:sz w:val="21"/>
              </w:rPr>
              <w:t>12,075,215</w:t>
            </w:r>
          </w:p>
        </w:tc>
      </w:tr>
    </w:tbl>
    <w:p>
      <w:pPr>
        <w:spacing w:after="0" w:line="243" w:lineRule="exact"/>
        <w:jc w:val="left"/>
        <w:rPr>
          <w:rFonts w:ascii="宋体" w:hAnsi="宋体" w:cs="宋体" w:eastAsia="宋体" w:hint="default"/>
          <w:sz w:val="21"/>
          <w:szCs w:val="21"/>
        </w:rPr>
        <w:sectPr>
          <w:type w:val="continuous"/>
          <w:pgSz w:w="11910" w:h="16840"/>
          <w:pgMar w:top="1120" w:bottom="1380" w:left="11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311"/>
        <w:gridCol w:w="2871"/>
        <w:gridCol w:w="1205"/>
        <w:gridCol w:w="2254"/>
      </w:tblGrid>
      <w:tr>
        <w:trPr>
          <w:trHeight w:val="478"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11,998,800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11,998,800</w:t>
            </w:r>
          </w:p>
        </w:tc>
      </w:tr>
      <w:tr>
        <w:trPr>
          <w:trHeight w:val="478"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9,969,576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9,969,576</w:t>
            </w:r>
          </w:p>
        </w:tc>
      </w:tr>
      <w:tr>
        <w:trPr>
          <w:trHeight w:val="826"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中国银行股份有限公司－华夏新</w:t>
            </w:r>
          </w:p>
          <w:p>
            <w:pPr>
              <w:pStyle w:val="TableParagraph"/>
              <w:spacing w:line="240" w:lineRule="auto"/>
              <w:ind w:left="101" w:right="252"/>
              <w:jc w:val="left"/>
              <w:rPr>
                <w:rFonts w:ascii="宋体" w:hAnsi="宋体" w:cs="宋体" w:eastAsia="宋体" w:hint="default"/>
                <w:sz w:val="21"/>
                <w:szCs w:val="21"/>
              </w:rPr>
            </w:pPr>
            <w:r>
              <w:rPr>
                <w:rFonts w:ascii="宋体" w:hAnsi="宋体" w:cs="宋体" w:eastAsia="宋体" w:hint="default"/>
                <w:spacing w:val="-2"/>
                <w:sz w:val="21"/>
                <w:szCs w:val="21"/>
              </w:rPr>
              <w:t>经济灵活配置混合型发起式证券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投资基金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7,445,001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506" w:right="146"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7,445,001</w:t>
            </w:r>
          </w:p>
        </w:tc>
      </w:tr>
      <w:tr>
        <w:trPr>
          <w:trHeight w:val="828"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中国农业银行股份有限公司－融</w:t>
            </w:r>
          </w:p>
          <w:p>
            <w:pPr>
              <w:pStyle w:val="TableParagraph"/>
              <w:spacing w:line="240" w:lineRule="auto"/>
              <w:ind w:left="101" w:right="252"/>
              <w:jc w:val="left"/>
              <w:rPr>
                <w:rFonts w:ascii="宋体" w:hAnsi="宋体" w:cs="宋体" w:eastAsia="宋体" w:hint="default"/>
                <w:sz w:val="21"/>
                <w:szCs w:val="21"/>
              </w:rPr>
            </w:pPr>
            <w:r>
              <w:rPr>
                <w:rFonts w:ascii="宋体" w:hAnsi="宋体" w:cs="宋体" w:eastAsia="宋体" w:hint="default"/>
                <w:spacing w:val="-2"/>
                <w:sz w:val="21"/>
                <w:szCs w:val="21"/>
              </w:rPr>
              <w:t>通新区域新经济灵活配置混合型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证券投资基金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3,583,200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506" w:right="146"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3,583,200</w:t>
            </w:r>
          </w:p>
        </w:tc>
      </w:tr>
      <w:tr>
        <w:trPr>
          <w:trHeight w:val="55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广发基金－农业银行－广发中证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金融资产管理计划</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3,489,681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146" w:hanging="36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3,489,681</w:t>
            </w:r>
          </w:p>
        </w:tc>
      </w:tr>
      <w:tr>
        <w:trPr>
          <w:trHeight w:val="2189"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太阳雨控股集团有限公司为公司控股股东。公司董事长徐新建持</w:t>
            </w:r>
          </w:p>
          <w:p>
            <w:pPr>
              <w:pStyle w:val="TableParagraph"/>
              <w:spacing w:line="237" w:lineRule="auto" w:before="2"/>
              <w:ind w:left="100" w:right="120"/>
              <w:jc w:val="left"/>
              <w:rPr>
                <w:rFonts w:ascii="宋体" w:hAnsi="宋体" w:cs="宋体" w:eastAsia="宋体" w:hint="default"/>
                <w:sz w:val="21"/>
                <w:szCs w:val="21"/>
              </w:rPr>
            </w:pPr>
            <w:r>
              <w:rPr>
                <w:rFonts w:ascii="宋体" w:hAnsi="宋体" w:cs="宋体" w:eastAsia="宋体" w:hint="default"/>
                <w:sz w:val="21"/>
                <w:szCs w:val="21"/>
              </w:rPr>
              <w:t>有太阳雨控股集团有限公司</w:t>
            </w:r>
            <w:r>
              <w:rPr>
                <w:rFonts w:ascii="宋体" w:hAnsi="宋体" w:cs="宋体" w:eastAsia="宋体" w:hint="default"/>
                <w:spacing w:val="-57"/>
                <w:sz w:val="21"/>
                <w:szCs w:val="21"/>
              </w:rPr>
              <w:t> </w:t>
            </w:r>
            <w:r>
              <w:rPr>
                <w:rFonts w:ascii="宋体" w:hAnsi="宋体" w:cs="宋体" w:eastAsia="宋体" w:hint="default"/>
                <w:sz w:val="21"/>
                <w:szCs w:val="21"/>
              </w:rPr>
              <w:t>90.8%</w:t>
            </w:r>
            <w:r>
              <w:rPr>
                <w:rFonts w:ascii="宋体" w:hAnsi="宋体" w:cs="宋体" w:eastAsia="宋体" w:hint="default"/>
                <w:sz w:val="21"/>
                <w:szCs w:val="21"/>
              </w:rPr>
              <w:t>股权，间接持有公司</w:t>
            </w:r>
            <w:r>
              <w:rPr>
                <w:rFonts w:ascii="宋体" w:hAnsi="宋体" w:cs="宋体" w:eastAsia="宋体" w:hint="default"/>
                <w:spacing w:val="-56"/>
                <w:sz w:val="21"/>
                <w:szCs w:val="21"/>
              </w:rPr>
              <w:t> </w:t>
            </w:r>
            <w:r>
              <w:rPr>
                <w:rFonts w:ascii="宋体" w:hAnsi="宋体" w:cs="宋体" w:eastAsia="宋体" w:hint="default"/>
                <w:sz w:val="21"/>
                <w:szCs w:val="21"/>
              </w:rPr>
              <w:t>54.82%</w:t>
            </w:r>
            <w:r>
              <w:rPr>
                <w:rFonts w:ascii="宋体" w:hAnsi="宋体" w:cs="宋体" w:eastAsia="宋体" w:hint="default"/>
                <w:sz w:val="21"/>
                <w:szCs w:val="21"/>
              </w:rPr>
              <w:t>的股</w:t>
            </w:r>
            <w:r>
              <w:rPr>
                <w:rFonts w:ascii="宋体" w:hAnsi="宋体" w:cs="宋体" w:eastAsia="宋体" w:hint="default"/>
                <w:spacing w:val="-3"/>
                <w:w w:val="100"/>
                <w:sz w:val="21"/>
                <w:szCs w:val="21"/>
              </w:rPr>
              <w:t> </w:t>
            </w:r>
            <w:r>
              <w:rPr>
                <w:rFonts w:ascii="宋体" w:hAnsi="宋体" w:cs="宋体" w:eastAsia="宋体" w:hint="default"/>
                <w:sz w:val="21"/>
                <w:szCs w:val="21"/>
              </w:rPr>
              <w:t>份，直接持有公司</w:t>
            </w:r>
            <w:r>
              <w:rPr>
                <w:rFonts w:ascii="宋体" w:hAnsi="宋体" w:cs="宋体" w:eastAsia="宋体" w:hint="default"/>
                <w:spacing w:val="-54"/>
                <w:sz w:val="21"/>
                <w:szCs w:val="21"/>
              </w:rPr>
              <w:t> </w:t>
            </w:r>
            <w:r>
              <w:rPr>
                <w:rFonts w:ascii="宋体" w:hAnsi="宋体" w:cs="宋体" w:eastAsia="宋体" w:hint="default"/>
                <w:sz w:val="21"/>
                <w:szCs w:val="21"/>
              </w:rPr>
              <w:t>1.25%</w:t>
            </w:r>
            <w:r>
              <w:rPr>
                <w:rFonts w:ascii="宋体" w:hAnsi="宋体" w:cs="宋体" w:eastAsia="宋体" w:hint="default"/>
                <w:sz w:val="21"/>
                <w:szCs w:val="21"/>
              </w:rPr>
              <w:t>的股份，为公司实际控制人。</w:t>
            </w:r>
            <w:r>
              <w:rPr>
                <w:rFonts w:ascii="宋体" w:hAnsi="宋体" w:cs="宋体" w:eastAsia="宋体" w:hint="default"/>
                <w:sz w:val="21"/>
                <w:szCs w:val="21"/>
              </w:rPr>
              <w:t>2.</w:t>
            </w:r>
            <w:r>
              <w:rPr>
                <w:rFonts w:ascii="宋体" w:hAnsi="宋体" w:cs="宋体" w:eastAsia="宋体" w:hint="default"/>
                <w:sz w:val="21"/>
                <w:szCs w:val="21"/>
              </w:rPr>
              <w:t>太阳雨控</w:t>
            </w:r>
            <w:r>
              <w:rPr>
                <w:rFonts w:ascii="宋体" w:hAnsi="宋体" w:cs="宋体" w:eastAsia="宋体" w:hint="default"/>
                <w:w w:val="100"/>
                <w:sz w:val="21"/>
                <w:szCs w:val="21"/>
              </w:rPr>
              <w:t> </w:t>
            </w:r>
            <w:r>
              <w:rPr>
                <w:rFonts w:ascii="宋体" w:hAnsi="宋体" w:cs="宋体" w:eastAsia="宋体" w:hint="default"/>
                <w:spacing w:val="-2"/>
                <w:sz w:val="21"/>
                <w:szCs w:val="21"/>
              </w:rPr>
              <w:t>股集团有限公司分别持有江苏新典管理咨询有限公司、江苏月亮神</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管理咨询有限公司、江苏太阳神管理咨询有限公司</w:t>
            </w:r>
            <w:r>
              <w:rPr>
                <w:rFonts w:ascii="宋体" w:hAnsi="宋体" w:cs="宋体" w:eastAsia="宋体" w:hint="default"/>
                <w:spacing w:val="-56"/>
                <w:sz w:val="21"/>
                <w:szCs w:val="21"/>
              </w:rPr>
              <w:t> </w:t>
            </w:r>
            <w:r>
              <w:rPr>
                <w:rFonts w:ascii="宋体" w:hAnsi="宋体" w:cs="宋体" w:eastAsia="宋体" w:hint="default"/>
                <w:sz w:val="21"/>
                <w:szCs w:val="21"/>
              </w:rPr>
              <w:t>57.7219%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
                <w:sz w:val="21"/>
                <w:szCs w:val="21"/>
              </w:rPr>
              <w:t>55.3464%</w:t>
            </w:r>
            <w:r>
              <w:rPr>
                <w:rFonts w:ascii="宋体" w:hAnsi="宋体" w:cs="宋体" w:eastAsia="宋体" w:hint="default"/>
                <w:spacing w:val="-1"/>
                <w:sz w:val="21"/>
                <w:szCs w:val="21"/>
              </w:rPr>
              <w:t>、</w:t>
            </w:r>
            <w:r>
              <w:rPr>
                <w:rFonts w:ascii="宋体" w:hAnsi="宋体" w:cs="宋体" w:eastAsia="宋体" w:hint="default"/>
                <w:spacing w:val="-1"/>
                <w:sz w:val="21"/>
                <w:szCs w:val="21"/>
              </w:rPr>
              <w:t>56.5979%</w:t>
            </w:r>
            <w:r>
              <w:rPr>
                <w:rFonts w:ascii="宋体" w:hAnsi="宋体" w:cs="宋体" w:eastAsia="宋体" w:hint="default"/>
                <w:spacing w:val="-1"/>
                <w:sz w:val="21"/>
                <w:szCs w:val="21"/>
              </w:rPr>
              <w:t>的股权；吴典华为实际控制人徐新建配偶。</w:t>
            </w:r>
            <w:r>
              <w:rPr>
                <w:rFonts w:ascii="宋体" w:hAnsi="宋体" w:cs="宋体" w:eastAsia="宋体" w:hint="default"/>
                <w:spacing w:val="-1"/>
                <w:sz w:val="21"/>
                <w:szCs w:val="21"/>
              </w:rPr>
              <w:t>3.</w:t>
            </w:r>
            <w:r>
              <w:rPr>
                <w:rFonts w:ascii="宋体" w:hAnsi="宋体" w:cs="宋体" w:eastAsia="宋体" w:hint="default"/>
                <w:spacing w:val="-70"/>
                <w:sz w:val="21"/>
                <w:szCs w:val="21"/>
              </w:rPr>
              <w:t> </w:t>
            </w:r>
            <w:r>
              <w:rPr>
                <w:rFonts w:ascii="宋体" w:hAnsi="宋体" w:cs="宋体" w:eastAsia="宋体" w:hint="default"/>
                <w:spacing w:val="-2"/>
                <w:sz w:val="21"/>
                <w:szCs w:val="21"/>
              </w:rPr>
              <w:t>未知其他股东之间是否存在关联关系，也未知是否属于《上市公司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收购管理办法》规定的一致行动人。</w:t>
            </w:r>
          </w:p>
        </w:tc>
      </w:tr>
      <w:tr>
        <w:trPr>
          <w:trHeight w:val="478"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15"/>
          <w:szCs w:val="15"/>
        </w:rPr>
      </w:pPr>
    </w:p>
    <w:p>
      <w:pPr>
        <w:pStyle w:val="BodyText"/>
        <w:spacing w:line="274" w:lineRule="exact" w:before="36"/>
        <w:ind w:left="678" w:right="0"/>
        <w:jc w:val="left"/>
      </w:pPr>
      <w:r>
        <w:rPr/>
        <w:t>前十名有限售条件股东持股数量及限售条件</w:t>
      </w:r>
    </w:p>
    <w:p>
      <w:pPr>
        <w:pStyle w:val="BodyText"/>
        <w:spacing w:line="274" w:lineRule="exact"/>
        <w:ind w:left="678" w:right="0"/>
        <w:jc w:val="left"/>
      </w:pPr>
      <w:r>
        <w:rPr/>
        <w:t>□适用</w:t>
      </w:r>
      <w:r>
        <w:rPr>
          <w:spacing w:val="-1"/>
        </w:rPr>
        <w:t> </w:t>
      </w:r>
      <w:r>
        <w:rPr/>
        <w:t>√不适用</w:t>
      </w:r>
    </w:p>
    <w:p>
      <w:pPr>
        <w:pStyle w:val="Heading5"/>
        <w:tabs>
          <w:tab w:pos="1244" w:val="left" w:leader="none"/>
        </w:tabs>
        <w:spacing w:line="240" w:lineRule="auto" w:before="56"/>
        <w:ind w:left="67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left="678" w:right="0"/>
        <w:jc w:val="left"/>
      </w:pPr>
      <w:r>
        <w:rPr/>
        <w:t>□适用</w:t>
      </w:r>
      <w:r>
        <w:rPr>
          <w:spacing w:val="-1"/>
        </w:rPr>
        <w:t> </w:t>
      </w:r>
      <w:r>
        <w:rPr/>
        <w:t>√不适用</w:t>
      </w:r>
    </w:p>
    <w:p>
      <w:pPr>
        <w:pStyle w:val="Heading5"/>
        <w:spacing w:line="240" w:lineRule="auto" w:before="56"/>
        <w:ind w:left="678" w:right="0"/>
        <w:jc w:val="left"/>
        <w:rPr>
          <w:b w:val="0"/>
          <w:bCs w:val="0"/>
        </w:rPr>
      </w:pPr>
      <w:r>
        <w:rPr/>
        <w:t>四、</w:t>
      </w:r>
      <w:r>
        <w:rPr>
          <w:spacing w:val="-79"/>
        </w:rPr>
        <w:t> </w:t>
      </w:r>
      <w:r>
        <w:rPr/>
        <w:t>控股股东及实际控制人情况</w:t>
      </w:r>
      <w:r>
        <w:rPr>
          <w:b w:val="0"/>
          <w:bCs w:val="0"/>
        </w:rPr>
      </w:r>
    </w:p>
    <w:p>
      <w:pPr>
        <w:pStyle w:val="Heading5"/>
        <w:tabs>
          <w:tab w:pos="1097" w:val="left" w:leader="none"/>
        </w:tabs>
        <w:spacing w:line="264" w:lineRule="auto" w:before="58"/>
        <w:ind w:left="678" w:right="74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67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943"/>
        <w:gridCol w:w="6107"/>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10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新能源实业投资、技术开发与服务；展览展示策划、会务会议服</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
                <w:sz w:val="21"/>
                <w:szCs w:val="21"/>
              </w:rPr>
              <w:t>务；搪瓷制品、电子器件制造；生物质新能源技术研发及相关设</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备、配件生产。（依法须经批准的项目，经相关部门批准后方可</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开展经营活动）</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报告期内控股和参股的其他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境内外上市公司的股权情况</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1097" w:val="left" w:leader="none"/>
        </w:tabs>
        <w:spacing w:line="240" w:lineRule="auto" w:before="36"/>
        <w:ind w:left="67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678" w:right="0"/>
        <w:jc w:val="left"/>
      </w:pPr>
      <w:r>
        <w:rPr/>
        <w:t>□适用</w:t>
      </w:r>
      <w:r>
        <w:rPr>
          <w:spacing w:val="-1"/>
        </w:rPr>
        <w:t> </w:t>
      </w:r>
      <w:r>
        <w:rPr/>
        <w:t>√不适用</w:t>
      </w:r>
    </w:p>
    <w:p>
      <w:pPr>
        <w:pStyle w:val="Heading5"/>
        <w:tabs>
          <w:tab w:pos="1097" w:val="left" w:leader="none"/>
        </w:tabs>
        <w:spacing w:line="240" w:lineRule="auto" w:before="56"/>
        <w:ind w:left="678"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520" w:val="left" w:leader="none"/>
        </w:tabs>
        <w:spacing w:line="240" w:lineRule="auto" w:before="59"/>
        <w:ind w:left="678" w:right="0"/>
        <w:jc w:val="left"/>
      </w:pPr>
      <w:r>
        <w:rPr>
          <w:spacing w:val="-1"/>
        </w:rPr>
        <w:t>□适用</w:t>
        <w:tab/>
      </w:r>
      <w:r>
        <w:rPr>
          <w:spacing w:val="-2"/>
        </w:rPr>
        <w:t>√不适用</w:t>
      </w:r>
    </w:p>
    <w:p>
      <w:pPr>
        <w:spacing w:after="0" w:line="240" w:lineRule="auto"/>
        <w:jc w:val="left"/>
        <w:sectPr>
          <w:pgSz w:w="11910" w:h="16840"/>
          <w:pgMar w:header="880" w:footer="1195" w:top="1120" w:bottom="1380" w:left="1120" w:right="920"/>
        </w:sectPr>
      </w:pPr>
    </w:p>
    <w:p>
      <w:pPr>
        <w:spacing w:line="240" w:lineRule="auto" w:before="4"/>
        <w:rPr>
          <w:rFonts w:ascii="宋体" w:hAnsi="宋体" w:cs="宋体" w:eastAsia="宋体" w:hint="default"/>
          <w:sz w:val="25"/>
          <w:szCs w:val="25"/>
        </w:rPr>
      </w:pPr>
    </w:p>
    <w:p>
      <w:pPr>
        <w:pStyle w:val="Heading5"/>
        <w:tabs>
          <w:tab w:pos="637" w:val="left" w:leader="none"/>
        </w:tabs>
        <w:spacing w:line="240" w:lineRule="auto" w:before="36"/>
        <w:ind w:right="2549"/>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pStyle w:val="Heading5"/>
        <w:tabs>
          <w:tab w:pos="637" w:val="left" w:leader="none"/>
        </w:tabs>
        <w:spacing w:line="240" w:lineRule="auto" w:before="56"/>
        <w:ind w:right="2549"/>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3346"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066332" cy="212512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1" cstate="print"/>
                    <a:stretch>
                      <a:fillRect/>
                    </a:stretch>
                  </pic:blipFill>
                  <pic:spPr>
                    <a:xfrm>
                      <a:off x="0" y="0"/>
                      <a:ext cx="3066332" cy="2125122"/>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1"/>
        <w:rPr>
          <w:rFonts w:ascii="宋体" w:hAnsi="宋体" w:cs="宋体" w:eastAsia="宋体" w:hint="default"/>
          <w:sz w:val="22"/>
          <w:szCs w:val="22"/>
        </w:rPr>
      </w:pPr>
    </w:p>
    <w:p>
      <w:pPr>
        <w:pStyle w:val="Heading5"/>
        <w:tabs>
          <w:tab w:pos="642" w:val="left" w:leader="none"/>
        </w:tabs>
        <w:spacing w:line="264"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left="218" w:right="254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日出东方太阳能股份有限公司董事长</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5"/>
        <w:tabs>
          <w:tab w:pos="642" w:val="left" w:leader="none"/>
        </w:tabs>
        <w:spacing w:line="240" w:lineRule="auto" w:before="36"/>
        <w:ind w:right="2549"/>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642" w:val="left" w:leader="none"/>
        </w:tabs>
        <w:spacing w:line="240" w:lineRule="auto"/>
        <w:ind w:right="2549"/>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9"/>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642" w:val="left" w:leader="none"/>
        </w:tabs>
        <w:spacing w:line="240" w:lineRule="auto"/>
        <w:ind w:right="2549"/>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after="0" w:line="240" w:lineRule="auto"/>
        <w:jc w:val="left"/>
        <w:sectPr>
          <w:footerReference w:type="default" r:id="rId30"/>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240" w:lineRule="exact"/>
        <w:ind w:left="13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385067" cy="20574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3" cstate="print"/>
                    <a:stretch>
                      <a:fillRect/>
                    </a:stretch>
                  </pic:blipFill>
                  <pic:spPr>
                    <a:xfrm>
                      <a:off x="0" y="0"/>
                      <a:ext cx="2385067" cy="205740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3"/>
        <w:rPr>
          <w:rFonts w:ascii="宋体" w:hAnsi="宋体" w:cs="宋体" w:eastAsia="宋体" w:hint="default"/>
          <w:sz w:val="21"/>
          <w:szCs w:val="21"/>
        </w:rPr>
      </w:pPr>
    </w:p>
    <w:p>
      <w:pPr>
        <w:pStyle w:val="Heading5"/>
        <w:tabs>
          <w:tab w:pos="562" w:val="left" w:leader="none"/>
        </w:tabs>
        <w:spacing w:line="240" w:lineRule="auto" w:before="36"/>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29"/>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0"/>
        <w:jc w:val="left"/>
      </w:pPr>
      <w:r>
        <w:rPr/>
        <w:t>□适用</w:t>
      </w:r>
      <w:r>
        <w:rPr>
          <w:spacing w:val="-1"/>
        </w:rPr>
        <w:t> </w:t>
      </w:r>
      <w:r>
        <w:rPr/>
        <w:t>√不适用</w:t>
      </w:r>
    </w:p>
    <w:p>
      <w:pPr>
        <w:pStyle w:val="Heading5"/>
        <w:spacing w:line="240" w:lineRule="auto" w:before="58"/>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footerReference w:type="default" r:id="rId32"/>
          <w:pgSz w:w="11910" w:h="16840"/>
          <w:pgMar w:footer="1195" w:header="880"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4"/>
          <w:footerReference w:type="default" r:id="rId35"/>
          <w:pgSz w:w="16840" w:h="11910" w:orient="landscape"/>
          <w:pgMar w:header="880" w:footer="1195" w:top="1120" w:bottom="1380" w:left="1300" w:right="1200"/>
          <w:pgNumType w:start="52"/>
        </w:sectPr>
      </w:pPr>
    </w:p>
    <w:p>
      <w:pPr>
        <w:pStyle w:val="Heading5"/>
        <w:spacing w:line="240" w:lineRule="auto" w:before="36"/>
        <w:ind w:left="224" w:right="-15"/>
        <w:jc w:val="left"/>
        <w:rPr>
          <w:b w:val="0"/>
          <w:bCs w:val="0"/>
        </w:rPr>
      </w:pPr>
      <w:r>
        <w:rPr/>
        <w:t>一、持股变动情况及报酬情况</w:t>
      </w:r>
      <w:r>
        <w:rPr>
          <w:b w:val="0"/>
          <w:bCs w:val="0"/>
        </w:rPr>
      </w:r>
    </w:p>
    <w:p>
      <w:pPr>
        <w:pStyle w:val="Heading5"/>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53"/>
        <w:gridCol w:w="982"/>
        <w:gridCol w:w="564"/>
        <w:gridCol w:w="701"/>
        <w:gridCol w:w="1414"/>
        <w:gridCol w:w="1414"/>
        <w:gridCol w:w="1520"/>
        <w:gridCol w:w="1265"/>
        <w:gridCol w:w="1345"/>
        <w:gridCol w:w="1135"/>
        <w:gridCol w:w="1390"/>
        <w:gridCol w:w="1416"/>
      </w:tblGrid>
      <w:tr>
        <w:trPr>
          <w:trHeight w:val="110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5" w:right="271"/>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6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5" w:right="173" w:hanging="421"/>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5" w:right="17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135"/>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137"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5" w:right="158"/>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92" w:right="173"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9,969,576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9,969,576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董事、总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880,600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714,600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7"/>
                <w:sz w:val="21"/>
                <w:szCs w:val="21"/>
              </w:rPr>
              <w:t> </w:t>
            </w:r>
            <w:r>
              <w:rPr>
                <w:rFonts w:ascii="宋体" w:hAnsi="宋体" w:cs="宋体" w:eastAsia="宋体" w:hint="default"/>
                <w:spacing w:val="11"/>
                <w:sz w:val="21"/>
                <w:szCs w:val="21"/>
              </w:rPr>
              <w:t>级市</w:t>
            </w:r>
            <w:r>
              <w:rPr>
                <w:rFonts w:ascii="宋体" w:hAnsi="宋体" w:cs="宋体" w:eastAsia="宋体" w:hint="default"/>
                <w:spacing w:val="-77"/>
                <w:sz w:val="21"/>
                <w:szCs w:val="21"/>
              </w:rPr>
              <w:t> </w:t>
            </w:r>
            <w:r>
              <w:rPr>
                <w:rFonts w:ascii="宋体" w:hAnsi="宋体" w:cs="宋体" w:eastAsia="宋体" w:hint="default"/>
                <w:sz w:val="21"/>
                <w:szCs w:val="21"/>
              </w:rPr>
              <w:t>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董事、副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849,600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849,600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董事、副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664,800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664,800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董事、副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870,600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870,600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杨兵</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肖侠</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独立董</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17.856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独立董</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17.856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独立董</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17.856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朱军</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监事会</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周斌</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2017-11-13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徐建广</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职工监</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2016-8-19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2018-3-20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53"/>
        <w:gridCol w:w="982"/>
        <w:gridCol w:w="564"/>
        <w:gridCol w:w="701"/>
        <w:gridCol w:w="1414"/>
        <w:gridCol w:w="1414"/>
        <w:gridCol w:w="1520"/>
        <w:gridCol w:w="1265"/>
        <w:gridCol w:w="1345"/>
        <w:gridCol w:w="1135"/>
        <w:gridCol w:w="1390"/>
        <w:gridCol w:w="1416"/>
      </w:tblGrid>
      <w:tr>
        <w:trPr>
          <w:trHeight w:val="281"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w:t>
            </w:r>
            <w:r>
              <w:rPr>
                <w:rFonts w:ascii="宋体" w:hAnsi="宋体" w:cs="宋体" w:eastAsia="宋体" w:hint="default"/>
                <w:spacing w:val="3"/>
                <w:sz w:val="21"/>
                <w:szCs w:val="21"/>
              </w:rPr>
              <w:t> </w:t>
            </w:r>
            <w:r>
              <w:rPr>
                <w:rFonts w:ascii="宋体" w:hAnsi="宋体" w:cs="宋体" w:eastAsia="宋体" w:hint="default"/>
                <w:sz w:val="21"/>
                <w:szCs w:val="21"/>
              </w:rPr>
              <w:t>勇</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z w:val="21"/>
                <w:szCs w:val="21"/>
              </w:rPr>
              <w:t>监事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副总经</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1,022,000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954,000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7"/>
                <w:sz w:val="21"/>
                <w:szCs w:val="21"/>
              </w:rPr>
              <w:t> </w:t>
            </w:r>
            <w:r>
              <w:rPr>
                <w:rFonts w:ascii="宋体" w:hAnsi="宋体" w:cs="宋体" w:eastAsia="宋体" w:hint="default"/>
                <w:spacing w:val="11"/>
                <w:sz w:val="21"/>
                <w:szCs w:val="21"/>
              </w:rPr>
              <w:t>级市</w:t>
            </w:r>
            <w:r>
              <w:rPr>
                <w:rFonts w:ascii="宋体" w:hAnsi="宋体" w:cs="宋体" w:eastAsia="宋体" w:hint="default"/>
                <w:spacing w:val="-77"/>
                <w:sz w:val="21"/>
                <w:szCs w:val="21"/>
              </w:rPr>
              <w:t> </w:t>
            </w:r>
            <w:r>
              <w:rPr>
                <w:rFonts w:ascii="宋体" w:hAnsi="宋体" w:cs="宋体" w:eastAsia="宋体" w:hint="default"/>
                <w:sz w:val="21"/>
                <w:szCs w:val="21"/>
              </w:rPr>
              <w:t>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李立干</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财务总</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监</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2016-9-19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848,000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833,000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7"/>
                <w:sz w:val="21"/>
                <w:szCs w:val="21"/>
              </w:rPr>
              <w:t> </w:t>
            </w:r>
            <w:r>
              <w:rPr>
                <w:rFonts w:ascii="宋体" w:hAnsi="宋体" w:cs="宋体" w:eastAsia="宋体" w:hint="default"/>
                <w:spacing w:val="11"/>
                <w:sz w:val="21"/>
                <w:szCs w:val="21"/>
              </w:rPr>
              <w:t>级市</w:t>
            </w:r>
            <w:r>
              <w:rPr>
                <w:rFonts w:ascii="宋体" w:hAnsi="宋体" w:cs="宋体" w:eastAsia="宋体" w:hint="default"/>
                <w:spacing w:val="-77"/>
                <w:sz w:val="21"/>
                <w:szCs w:val="21"/>
              </w:rPr>
              <w:t> </w:t>
            </w:r>
            <w:r>
              <w:rPr>
                <w:rFonts w:ascii="宋体" w:hAnsi="宋体" w:cs="宋体" w:eastAsia="宋体" w:hint="default"/>
                <w:sz w:val="21"/>
                <w:szCs w:val="21"/>
              </w:rPr>
              <w:t>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朱亚林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副总经</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2017-12-26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刘文玲</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董事会</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2017-12-26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w w:val="100"/>
                <w:sz w:val="21"/>
              </w:rPr>
              <w:t>/</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w w:val="100"/>
                <w:sz w:val="21"/>
              </w:rPr>
              <w:t>/</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15,105,176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14,856,176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828.388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23"/>
          <w:szCs w:val="23"/>
        </w:rPr>
      </w:pPr>
    </w:p>
    <w:p>
      <w:pPr>
        <w:pStyle w:val="BodyText"/>
        <w:spacing w:line="240" w:lineRule="auto" w:before="36"/>
        <w:ind w:left="224" w:right="0"/>
        <w:jc w:val="left"/>
      </w:pPr>
      <w:r>
        <w:rPr/>
        <w:t>备注：</w:t>
      </w:r>
    </w:p>
    <w:p>
      <w:pPr>
        <w:pStyle w:val="BodyText"/>
        <w:spacing w:line="348" w:lineRule="auto" w:before="126"/>
        <w:ind w:left="224" w:right="0" w:firstLine="420"/>
        <w:jc w:val="left"/>
      </w:pPr>
      <w:r>
        <w:rPr>
          <w:rFonts w:ascii="宋体" w:hAnsi="宋体" w:cs="宋体" w:eastAsia="宋体" w:hint="default"/>
        </w:rPr>
        <w:t>1.</w:t>
      </w:r>
      <w:r>
        <w:rPr>
          <w:rFonts w:ascii="宋体" w:hAnsi="宋体" w:cs="宋体" w:eastAsia="宋体" w:hint="default"/>
          <w:spacing w:val="-40"/>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t>日，本公司召开</w:t>
      </w:r>
      <w:r>
        <w:rPr>
          <w:spacing w:val="-54"/>
        </w:rPr>
        <w:t> </w:t>
      </w:r>
      <w:r>
        <w:rPr>
          <w:rFonts w:ascii="宋体" w:hAnsi="宋体" w:cs="宋体" w:eastAsia="宋体" w:hint="default"/>
        </w:rPr>
        <w:t>2017</w:t>
      </w:r>
      <w:r>
        <w:rPr>
          <w:rFonts w:ascii="宋体" w:hAnsi="宋体" w:cs="宋体" w:eastAsia="宋体" w:hint="default"/>
          <w:spacing w:val="-57"/>
        </w:rPr>
        <w:t> </w:t>
      </w:r>
      <w:r>
        <w:rPr/>
        <w:t>年第三次临时股东大会审议通过《关于补选公司第三届监事会监事的议案》，同意选举周斌先生为公司第</w:t>
      </w:r>
      <w:r>
        <w:rPr>
          <w:w w:val="100"/>
        </w:rPr>
        <w:t> </w:t>
      </w:r>
      <w:r>
        <w:rPr/>
        <w:t>三届监事会监事，任期自股东大会通过日起至第三届监事会任期结束之日止。</w:t>
      </w:r>
    </w:p>
    <w:p>
      <w:pPr>
        <w:pStyle w:val="BodyText"/>
        <w:spacing w:line="350" w:lineRule="auto" w:before="31"/>
        <w:ind w:left="224" w:right="0" w:firstLine="420"/>
        <w:jc w:val="left"/>
      </w:pPr>
      <w:r>
        <w:rPr>
          <w:rFonts w:ascii="宋体" w:hAnsi="宋体" w:cs="宋体" w:eastAsia="宋体" w:hint="default"/>
        </w:rPr>
        <w:t>2.2017</w:t>
      </w:r>
      <w:r>
        <w:rPr>
          <w:rFonts w:ascii="宋体" w:hAnsi="宋体" w:cs="宋体" w:eastAsia="宋体" w:hint="default"/>
          <w:spacing w:val="-33"/>
        </w:rPr>
        <w:t> </w:t>
      </w:r>
      <w:r>
        <w:rPr/>
        <w:t>年</w:t>
      </w:r>
      <w:r>
        <w:rPr>
          <w:spacing w:val="-33"/>
        </w:rPr>
        <w:t> </w:t>
      </w:r>
      <w:r>
        <w:rPr>
          <w:rFonts w:ascii="宋体" w:hAnsi="宋体" w:cs="宋体" w:eastAsia="宋体" w:hint="default"/>
        </w:rPr>
        <w:t>12</w:t>
      </w:r>
      <w:r>
        <w:rPr>
          <w:rFonts w:ascii="宋体" w:hAnsi="宋体" w:cs="宋体" w:eastAsia="宋体" w:hint="default"/>
          <w:spacing w:val="-33"/>
        </w:rPr>
        <w:t> </w:t>
      </w:r>
      <w:r>
        <w:rPr/>
        <w:t>月</w:t>
      </w:r>
      <w:r>
        <w:rPr>
          <w:spacing w:val="-35"/>
        </w:rPr>
        <w:t> </w:t>
      </w:r>
      <w:r>
        <w:rPr>
          <w:rFonts w:ascii="宋体" w:hAnsi="宋体" w:cs="宋体" w:eastAsia="宋体" w:hint="default"/>
        </w:rPr>
        <w:t>26</w:t>
      </w:r>
      <w:r>
        <w:rPr>
          <w:rFonts w:ascii="宋体" w:hAnsi="宋体" w:cs="宋体" w:eastAsia="宋体" w:hint="default"/>
          <w:spacing w:val="-35"/>
        </w:rPr>
        <w:t> </w:t>
      </w:r>
      <w:r>
        <w:rPr>
          <w:spacing w:val="-3"/>
        </w:rPr>
        <w:t>日，本公司召开第三届董事会第十一次会议，审议通过关于聘任高级管理人员的议案，同意聘任朱亚林女士为公司副总经理，聘</w:t>
      </w:r>
      <w:r>
        <w:rPr>
          <w:w w:val="100"/>
        </w:rPr>
        <w:t> </w:t>
      </w:r>
      <w:r>
        <w:rPr/>
        <w:t>任刘文玲女士为公司董事会秘书，任期自董事会审议之日起至第三届董事会任期结束之日止。</w:t>
      </w:r>
    </w:p>
    <w:p>
      <w:pPr>
        <w:pStyle w:val="BodyText"/>
        <w:spacing w:line="240" w:lineRule="auto" w:before="27"/>
        <w:ind w:left="644" w:right="0"/>
        <w:jc w:val="left"/>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w:t>
      </w:r>
      <w:r>
        <w:rPr>
          <w:rFonts w:ascii="宋体" w:hAnsi="宋体" w:cs="宋体" w:eastAsia="宋体" w:hint="default"/>
        </w:rPr>
        <w:t>,</w:t>
      </w:r>
      <w:r>
        <w:rPr/>
        <w:t>公司监事封勇先生因个人原因申请辞去公司监事职务</w:t>
      </w:r>
      <w:r>
        <w:rPr>
          <w:rFonts w:ascii="宋体" w:hAnsi="宋体" w:cs="宋体" w:eastAsia="宋体" w:hint="default"/>
        </w:rPr>
        <w:t>(</w:t>
      </w:r>
      <w:r>
        <w:rPr/>
        <w:t>详见公告</w:t>
      </w:r>
      <w:r>
        <w:rPr>
          <w:rFonts w:ascii="宋体" w:hAnsi="宋体" w:cs="宋体" w:eastAsia="宋体" w:hint="default"/>
        </w:rPr>
        <w:t>:2017-043)</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月，江苏太阳雨太阳能有限公司，任董事长、总经理；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月，日出东方太阳能股份有限公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司，任总经理；</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月至今日出东方太阳能股份有限公司董事长。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月，江苏太阳雨太阳能有限公司，常务副总经理；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月，日出东方太阳能有限公司副总经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月至今，日出东方太阳能股份有限公司总经理；</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日至今，日出东方太阳能股份有限公司董事。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月，江苏太阳雨太阳能有限公司，副总经理；</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月至今，日出东方太阳能股份有限公司副总经理；</w:t>
            </w:r>
            <w:r>
              <w:rPr>
                <w:rFonts w:ascii="宋体" w:hAnsi="宋体" w:cs="宋体" w:eastAsia="宋体" w:hint="default"/>
                <w:sz w:val="21"/>
                <w:szCs w:val="21"/>
              </w:rPr>
              <w:t>2013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日至今，日出东方太阳能股份有限公司董事。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月，日出东方太阳能股份有限公司，总工程师；</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月至今，日出东方太阳能股份有限公司，副总经理、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总工程师；</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月至任公司董事。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月，连云港美高楼梯制造有限公司，常务副总经理；</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月，江苏太阳雨太阳能有限公司，</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月至今，日出东方太阳能股份有限公司副总经理。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月，北京四季沐歌太阳能技术集团有限公司销售分部部长；</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月，北京四季沐歌太阳能</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技术集团有限公司副总助理、销售部部长；</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月至今任北京四季沐歌太阳能技术集团有限公司家用公司副总经理。</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pacing w:val="-3"/>
                <w:sz w:val="21"/>
                <w:szCs w:val="21"/>
              </w:rPr>
              <w:t>月至</w:t>
            </w:r>
            <w:r>
              <w:rPr>
                <w:rFonts w:ascii="宋体" w:hAnsi="宋体" w:cs="宋体" w:eastAsia="宋体" w:hint="default"/>
                <w:spacing w:val="-3"/>
                <w:w w:val="100"/>
                <w:sz w:val="21"/>
                <w:szCs w:val="21"/>
              </w:rPr>
              <w:t> </w:t>
            </w:r>
            <w:r>
              <w:rPr>
                <w:rFonts w:ascii="宋体" w:hAnsi="宋体" w:cs="宋体" w:eastAsia="宋体" w:hint="default"/>
                <w:sz w:val="21"/>
                <w:szCs w:val="21"/>
              </w:rPr>
              <w:t>今任公司董事。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pacing w:val="-3"/>
                <w:sz w:val="21"/>
                <w:szCs w:val="21"/>
              </w:rPr>
              <w:t>月任淮海工学院商学院会计学副教授、</w:t>
            </w:r>
            <w:r>
              <w:rPr>
                <w:rFonts w:ascii="宋体" w:hAnsi="宋体" w:cs="宋体" w:eastAsia="宋体" w:hint="default"/>
                <w:spacing w:val="-3"/>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pacing w:val="-3"/>
                <w:sz w:val="21"/>
                <w:szCs w:val="21"/>
              </w:rPr>
              <w:t>月至今任淮海工学院商学院会计学教授、</w:t>
            </w:r>
            <w:r>
              <w:rPr>
                <w:rFonts w:ascii="宋体" w:hAnsi="宋体" w:cs="宋体" w:eastAsia="宋体" w:hint="default"/>
                <w:spacing w:val="-3"/>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月至今兼任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淮海工学院财务管理研究所所长。</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月至今任日出东方太阳能股份有限公司独立董事。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pacing w:val="-3"/>
                <w:sz w:val="21"/>
                <w:szCs w:val="21"/>
              </w:rPr>
              <w:t>月起任江苏国瑞兴光税务师事务所所长、江苏国瑞兴光税务咨询有限公司董事长，现任江苏省注册税务师协会常务理事、江苏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省总会计师协会常务理事、中国注册会计师协会技术委员。</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月至今，日出东方太阳能股份有限公司独立董事。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南京大学商学院教授、博士生导师、管理学博士，经济学博士后；</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月至今，日出东方太阳能股份有限公司独立董事。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月至今任日出东方太阳能股份有限公司休系办主任、集团办公室副主任；</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月至今任公司监事会主席。</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月，海信科龙电器股份有限公司南京分公司、无锡分公司科龙空调部总经理等职务；</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月至今，太阳雨</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集团销售部厨电销售副部长、市场中心厨电市场部部长、销售中心太阳能销售部部长、销售中心总监、销售公司副总经理等职务。现任</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太阳雨集团销售公司副总经理，</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日起任公司监事。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徐建广</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月任连云港美步家居有限公司营销副总经理；</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月任日出东方太阳能股份有限公司净水事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业部常务副部长；</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月任职工监事。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日任日出东方太阳能股份有限公司监事。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月，江苏太阳雨太阳能有限公司，副总经理；</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月，日出东方太阳能股份有限公司董事；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月至今，日出东方太阳能股份有限公司副总经理。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李立干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日，日出东方太阳能股份有限公司董事、财务总监；</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月至今，山东太阳雨太阳能有限公司监事；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日至今，日出东方太阳能股份有限公司财务总监。</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朱亚林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高级工商管理硕士</w:t>
            </w:r>
            <w:r>
              <w:rPr>
                <w:rFonts w:ascii="宋体" w:hAnsi="宋体" w:cs="宋体" w:eastAsia="宋体" w:hint="default"/>
                <w:spacing w:val="-1"/>
                <w:sz w:val="21"/>
                <w:szCs w:val="21"/>
              </w:rPr>
              <w:t>(EMBA</w:t>
            </w:r>
            <w:r>
              <w:rPr>
                <w:rFonts w:ascii="宋体" w:hAnsi="宋体" w:cs="宋体" w:eastAsia="宋体" w:hint="default"/>
                <w:spacing w:val="94"/>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，历任江苏三得利食品有限公司市场部经理、销售部副部长、人力资源部长、经营企划部长、营运总监、党委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委员等职务。</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月至今任日出东方太阳能股份有限公司董事长助理，</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日起任公司副总经理。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刘文玲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硕士研究生学历，高级经济师，九三学社社员，</w:t>
            </w:r>
            <w:r>
              <w:rPr>
                <w:rFonts w:ascii="宋体" w:hAnsi="宋体" w:cs="宋体" w:eastAsia="宋体" w:hint="default"/>
                <w:spacing w:val="-2"/>
                <w:sz w:val="21"/>
                <w:szCs w:val="21"/>
              </w:rPr>
              <w:t> </w:t>
            </w:r>
            <w:r>
              <w:rPr>
                <w:rFonts w:ascii="宋体" w:hAnsi="宋体" w:cs="宋体" w:eastAsia="宋体" w:hint="default"/>
                <w:sz w:val="21"/>
                <w:szCs w:val="21"/>
              </w:rPr>
              <w:t>2015</w:t>
            </w:r>
            <w:r>
              <w:rPr>
                <w:rFonts w:ascii="宋体" w:hAnsi="宋体" w:cs="宋体" w:eastAsia="宋体"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月至今任日出东方太阳能股份有限公司证券事务代表，</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26</w:t>
            </w:r>
            <w:r>
              <w:rPr>
                <w:rFonts w:ascii="宋体" w:hAnsi="宋体" w:cs="宋体" w:eastAsia="宋体" w:hint="default"/>
                <w:spacing w:val="-46"/>
                <w:sz w:val="21"/>
                <w:szCs w:val="21"/>
              </w:rPr>
              <w:t> </w:t>
            </w:r>
            <w:r>
              <w:rPr>
                <w:rFonts w:ascii="宋体" w:hAnsi="宋体" w:cs="宋体" w:eastAsia="宋体" w:hint="default"/>
                <w:spacing w:val="-3"/>
                <w:sz w:val="21"/>
                <w:szCs w:val="21"/>
              </w:rPr>
              <w:t>日起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任公司董事会秘书。</w:t>
            </w:r>
          </w:p>
        </w:tc>
      </w:tr>
    </w:tbl>
    <w:p>
      <w:pPr>
        <w:spacing w:line="240" w:lineRule="auto" w:before="7"/>
        <w:rPr>
          <w:rFonts w:ascii="宋体" w:hAnsi="宋体" w:cs="宋体" w:eastAsia="宋体" w:hint="default"/>
          <w:sz w:val="15"/>
          <w:szCs w:val="15"/>
        </w:rPr>
      </w:pPr>
    </w:p>
    <w:p>
      <w:pPr>
        <w:pStyle w:val="BodyText"/>
        <w:spacing w:line="273" w:lineRule="exact" w:before="36"/>
        <w:ind w:left="224" w:right="0"/>
        <w:jc w:val="left"/>
      </w:pPr>
      <w:r>
        <w:rPr/>
        <w:t>其它情况说明</w:t>
      </w:r>
    </w:p>
    <w:p>
      <w:pPr>
        <w:pStyle w:val="BodyText"/>
        <w:spacing w:line="273" w:lineRule="exact"/>
        <w:ind w:left="224" w:right="0"/>
        <w:jc w:val="left"/>
      </w:pPr>
      <w:r>
        <w:rPr/>
        <w:t>□适用 √不适用</w:t>
      </w:r>
    </w:p>
    <w:p>
      <w:pPr>
        <w:spacing w:after="0" w:line="273" w:lineRule="exact"/>
        <w:jc w:val="left"/>
        <w:sectPr>
          <w:pgSz w:w="16840" w:h="11910" w:orient="landscape"/>
          <w:pgMar w:header="880" w:footer="1195" w:top="1120" w:bottom="1380" w:left="1300" w:right="1220"/>
        </w:sectPr>
      </w:pPr>
    </w:p>
    <w:p>
      <w:pPr>
        <w:spacing w:line="240" w:lineRule="auto" w:before="9"/>
        <w:rPr>
          <w:rFonts w:ascii="宋体" w:hAnsi="宋体" w:cs="宋体" w:eastAsia="宋体" w:hint="default"/>
          <w:sz w:val="25"/>
          <w:szCs w:val="25"/>
        </w:rPr>
      </w:pPr>
    </w:p>
    <w:p>
      <w:pPr>
        <w:pStyle w:val="Heading5"/>
        <w:spacing w:line="240" w:lineRule="auto" w:before="36"/>
        <w:ind w:right="254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5"/>
        <w:spacing w:line="290" w:lineRule="auto" w:before="32"/>
        <w:ind w:right="2871"/>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18" w:right="254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4"/>
        <w:gridCol w:w="2261"/>
        <w:gridCol w:w="1613"/>
        <w:gridCol w:w="1796"/>
        <w:gridCol w:w="1615"/>
      </w:tblGrid>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太阳雨控股集团有限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6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在股东单位任职</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5"/>
        <w:spacing w:line="240" w:lineRule="auto" w:before="36"/>
        <w:ind w:right="254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18" w:right="254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52"/>
        <w:gridCol w:w="2321"/>
        <w:gridCol w:w="1858"/>
        <w:gridCol w:w="1601"/>
        <w:gridCol w:w="1517"/>
      </w:tblGrid>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蓝戈药业（江苏）有限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李立干</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江苏苏宁银行</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南京大学</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商学院教授、博士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生导师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江苏宁沪高速公路股份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林辉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江苏宏图高科技股份有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江苏国瑞兴光税务师事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务所</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江苏国瑞兴光税务咨询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江苏天赋税务咨询有限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江苏全信传输科技股份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淮海工学院</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学</w:t>
            </w:r>
            <w:r>
              <w:rPr>
                <w:rFonts w:ascii="宋体" w:hAnsi="宋体" w:cs="宋体" w:eastAsia="宋体" w:hint="default"/>
                <w:spacing w:val="-78"/>
                <w:sz w:val="21"/>
                <w:szCs w:val="21"/>
              </w:rPr>
              <w:t> </w:t>
            </w:r>
            <w:r>
              <w:rPr>
                <w:rFonts w:ascii="宋体" w:hAnsi="宋体" w:cs="宋体" w:eastAsia="宋体" w:hint="default"/>
                <w:sz w:val="21"/>
                <w:szCs w:val="21"/>
              </w:rPr>
              <w:t>院</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学</w:t>
            </w:r>
            <w:r>
              <w:rPr>
                <w:rFonts w:ascii="宋体" w:hAnsi="宋体" w:cs="宋体" w:eastAsia="宋体" w:hint="default"/>
                <w:spacing w:val="-76"/>
                <w:sz w:val="21"/>
                <w:szCs w:val="21"/>
              </w:rPr>
              <w:t> </w:t>
            </w:r>
            <w:r>
              <w:rPr>
                <w:rFonts w:ascii="宋体" w:hAnsi="宋体" w:cs="宋体" w:eastAsia="宋体" w:hint="default"/>
                <w:sz w:val="21"/>
                <w:szCs w:val="21"/>
              </w:rPr>
              <w:t>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淮海工学院</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8"/>
                <w:sz w:val="21"/>
                <w:szCs w:val="21"/>
              </w:rPr>
              <w:t> </w:t>
            </w:r>
            <w:r>
              <w:rPr>
                <w:rFonts w:ascii="宋体" w:hAnsi="宋体" w:cs="宋体" w:eastAsia="宋体" w:hint="default"/>
                <w:sz w:val="21"/>
                <w:szCs w:val="21"/>
              </w:rPr>
              <w:t>研</w:t>
            </w:r>
            <w:r>
              <w:rPr>
                <w:rFonts w:ascii="宋体" w:hAnsi="宋体" w:cs="宋体" w:eastAsia="宋体" w:hint="default"/>
                <w:spacing w:val="-78"/>
                <w:sz w:val="21"/>
                <w:szCs w:val="21"/>
              </w:rPr>
              <w:t> </w:t>
            </w:r>
            <w:r>
              <w:rPr>
                <w:rFonts w:ascii="宋体" w:hAnsi="宋体" w:cs="宋体" w:eastAsia="宋体" w:hint="default"/>
                <w:sz w:val="21"/>
                <w:szCs w:val="21"/>
              </w:rPr>
              <w:t>究</w:t>
            </w:r>
            <w:r>
              <w:rPr>
                <w:rFonts w:ascii="宋体" w:hAnsi="宋体" w:cs="宋体" w:eastAsia="宋体" w:hint="default"/>
                <w:spacing w:val="-76"/>
                <w:sz w:val="21"/>
                <w:szCs w:val="21"/>
              </w:rPr>
              <w:t> </w:t>
            </w:r>
            <w:r>
              <w:rPr>
                <w:rFonts w:ascii="宋体" w:hAnsi="宋体" w:cs="宋体" w:eastAsia="宋体" w:hint="default"/>
                <w:sz w:val="21"/>
                <w:szCs w:val="21"/>
              </w:rPr>
              <w:t>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在其他单位任职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9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right="2549"/>
        <w:jc w:val="left"/>
        <w:rPr>
          <w:b w:val="0"/>
          <w:bCs w:val="0"/>
        </w:rPr>
      </w:pPr>
      <w:r>
        <w:rPr/>
        <w:t>三、董事、监事、高级管理人员报酬情况</w:t>
      </w:r>
      <w:r>
        <w:rPr>
          <w:b w:val="0"/>
          <w:bCs w:val="0"/>
        </w:rPr>
      </w:r>
    </w:p>
    <w:p>
      <w:pPr>
        <w:pStyle w:val="BodyText"/>
        <w:spacing w:line="240" w:lineRule="auto" w:before="58"/>
        <w:ind w:left="218" w:right="254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59"/>
        <w:gridCol w:w="6191"/>
      </w:tblGrid>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根据公司章程，公司董事、监事的薪酬，独立董事的津贴经股东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大会讨论通过；高级管理人员的薪酬经董事会讨论通过。</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公司高级管理人员的薪酬根据公司薪酬管理制度确定；独董津贴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由股东大会决定。</w:t>
            </w:r>
          </w:p>
        </w:tc>
      </w:tr>
    </w:tbl>
    <w:p>
      <w:pPr>
        <w:spacing w:after="0" w:line="273" w:lineRule="exact"/>
        <w:jc w:val="left"/>
        <w:rPr>
          <w:rFonts w:ascii="宋体" w:hAnsi="宋体" w:cs="宋体" w:eastAsia="宋体" w:hint="default"/>
          <w:sz w:val="21"/>
          <w:szCs w:val="21"/>
        </w:rPr>
        <w:sectPr>
          <w:headerReference w:type="default" r:id="rId36"/>
          <w:footerReference w:type="default" r:id="rId37"/>
          <w:pgSz w:w="11910" w:h="16840"/>
          <w:pgMar w:header="880" w:footer="1195" w:top="1100" w:bottom="1380" w:left="1580" w:right="1040"/>
          <w:pgNumType w:start="5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59"/>
        <w:gridCol w:w="6191"/>
      </w:tblGrid>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hAnsi="宋体" w:cs="宋体" w:eastAsia="宋体" w:hint="default"/>
                <w:sz w:val="21"/>
                <w:szCs w:val="21"/>
              </w:rPr>
              <w:t>报告期内，应付董事、监事、高级管理人员报酬为</w:t>
            </w:r>
            <w:r>
              <w:rPr>
                <w:rFonts w:ascii="宋体" w:hAnsi="宋体" w:cs="宋体" w:eastAsia="宋体" w:hint="default"/>
                <w:spacing w:val="-58"/>
                <w:sz w:val="21"/>
                <w:szCs w:val="21"/>
              </w:rPr>
              <w:t> </w:t>
            </w:r>
            <w:r>
              <w:rPr>
                <w:rFonts w:ascii="宋体" w:hAnsi="宋体" w:cs="宋体" w:eastAsia="宋体" w:hint="default"/>
                <w:sz w:val="21"/>
                <w:szCs w:val="21"/>
              </w:rPr>
              <w:t>828.388</w:t>
            </w:r>
            <w:r>
              <w:rPr>
                <w:rFonts w:ascii="宋体" w:hAnsi="宋体" w:cs="宋体" w:eastAsia="宋体" w:hint="default"/>
                <w:spacing w:val="-57"/>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826"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董事</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7"/>
                <w:sz w:val="21"/>
                <w:szCs w:val="21"/>
              </w:rPr>
              <w:t>级管理人员实际获得的报酬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合计</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报告期内，实付董事、监事、高级管理人员报酬为</w:t>
            </w:r>
            <w:r>
              <w:rPr>
                <w:rFonts w:ascii="宋体" w:hAnsi="宋体" w:cs="宋体" w:eastAsia="宋体" w:hint="default"/>
                <w:spacing w:val="-59"/>
                <w:sz w:val="21"/>
                <w:szCs w:val="21"/>
              </w:rPr>
              <w:t> </w:t>
            </w:r>
            <w:r>
              <w:rPr>
                <w:rFonts w:ascii="宋体" w:hAnsi="宋体" w:cs="宋体" w:eastAsia="宋体" w:hint="default"/>
                <w:sz w:val="21"/>
                <w:szCs w:val="21"/>
              </w:rPr>
              <w:t>828.388</w:t>
            </w:r>
            <w:r>
              <w:rPr>
                <w:rFonts w:ascii="宋体" w:hAnsi="宋体" w:cs="宋体" w:eastAsia="宋体" w:hint="default"/>
                <w:spacing w:val="-57"/>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right="2549"/>
        <w:jc w:val="left"/>
        <w:rPr>
          <w:b w:val="0"/>
          <w:bCs w:val="0"/>
        </w:rPr>
      </w:pPr>
      <w:r>
        <w:rPr/>
        <w:t>四、公司董事、监事、高级管理人员变动情况</w:t>
      </w:r>
      <w:r>
        <w:rPr>
          <w:b w:val="0"/>
          <w:bCs w:val="0"/>
        </w:rPr>
      </w:r>
    </w:p>
    <w:p>
      <w:pPr>
        <w:pStyle w:val="BodyText"/>
        <w:spacing w:line="240" w:lineRule="auto" w:before="58"/>
        <w:ind w:left="218" w:right="254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2410"/>
        <w:gridCol w:w="1560"/>
        <w:gridCol w:w="2986"/>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个人原因离职</w:t>
            </w:r>
          </w:p>
        </w:tc>
      </w:tr>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周斌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朱亚林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刘文玲</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董事秘书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right="2549"/>
        <w:jc w:val="left"/>
        <w:rPr>
          <w:b w:val="0"/>
          <w:bCs w:val="0"/>
        </w:rPr>
      </w:pPr>
      <w:r>
        <w:rPr/>
        <w:t>五、近三年受证券监管机构处罚的情况说明</w:t>
      </w:r>
      <w:r>
        <w:rPr>
          <w:b w:val="0"/>
          <w:bCs w:val="0"/>
        </w:rPr>
      </w:r>
    </w:p>
    <w:p>
      <w:pPr>
        <w:pStyle w:val="BodyText"/>
        <w:spacing w:line="240" w:lineRule="auto" w:before="56"/>
        <w:ind w:left="218" w:right="2549"/>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7"/>
        <w:ind w:right="2549"/>
        <w:jc w:val="left"/>
        <w:rPr>
          <w:b w:val="0"/>
          <w:bCs w:val="0"/>
        </w:rPr>
      </w:pPr>
      <w:r>
        <w:rPr/>
        <w:t>六、母公司和主要子公司的员工情况</w:t>
      </w:r>
      <w:r>
        <w:rPr>
          <w:b w:val="0"/>
          <w:bCs w:val="0"/>
        </w:rPr>
      </w:r>
    </w:p>
    <w:p>
      <w:pPr>
        <w:pStyle w:val="Heading5"/>
        <w:spacing w:line="240" w:lineRule="auto" w:before="56"/>
        <w:ind w:right="254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sz w:val="20"/>
              </w:rPr>
              <w:t>602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4,008</w:t>
            </w:r>
            <w:r>
              <w:rPr>
                <w:rFonts w:ascii="宋体"/>
                <w:sz w:val="20"/>
              </w:rPr>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4,610</w:t>
            </w:r>
            <w:r>
              <w:rPr>
                <w:rFonts w:ascii="宋体"/>
                <w:sz w:val="20"/>
              </w:rPr>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1,562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1,182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5"/>
        <w:spacing w:line="240" w:lineRule="auto" w:before="3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333" w:lineRule="auto" w:before="29"/>
        <w:ind w:left="638" w:right="240" w:hanging="420"/>
        <w:jc w:val="left"/>
      </w:pPr>
      <w:r>
        <w:rPr>
          <w:spacing w:val="-1"/>
        </w:rPr>
        <w:t>√适用</w:t>
        <w:tab/>
      </w:r>
      <w:r>
        <w:rPr>
          <w:spacing w:val="-2"/>
        </w:rPr>
        <w:t>□不适用</w:t>
      </w:r>
      <w:r>
        <w:rPr>
          <w:spacing w:val="-99"/>
        </w:rPr>
        <w:t> </w:t>
      </w:r>
      <w:r>
        <w:rPr>
          <w:spacing w:val="-99"/>
        </w:rPr>
      </w:r>
      <w:r>
        <w:rPr>
          <w:spacing w:val="-2"/>
        </w:rPr>
        <w:t>公司薪酬体系：公司建立基于双通道的宽带薪酬结构，为员工提供多种发展路径。在工资结</w:t>
      </w:r>
    </w:p>
    <w:p>
      <w:pPr>
        <w:pStyle w:val="BodyText"/>
        <w:spacing w:line="350" w:lineRule="auto" w:before="41"/>
        <w:ind w:left="218" w:right="230"/>
        <w:jc w:val="both"/>
      </w:pPr>
      <w:r>
        <w:rPr>
          <w:spacing w:val="-4"/>
        </w:rPr>
        <w:t>构上实行固定收入</w:t>
      </w:r>
      <w:r>
        <w:rPr>
          <w:rFonts w:ascii="宋体" w:hAnsi="宋体" w:cs="宋体" w:eastAsia="宋体" w:hint="default"/>
          <w:spacing w:val="-4"/>
        </w:rPr>
        <w:t>+</w:t>
      </w:r>
      <w:r>
        <w:rPr>
          <w:spacing w:val="-4"/>
        </w:rPr>
        <w:t>浮动收入的方式，根据岗位评价确定固定收入，根据业绩表现确定日常业绩工</w:t>
      </w:r>
      <w:r>
        <w:rPr>
          <w:spacing w:val="-38"/>
        </w:rPr>
        <w:t> </w:t>
      </w:r>
      <w:r>
        <w:rPr>
          <w:spacing w:val="-38"/>
        </w:rPr>
      </w:r>
      <w:r>
        <w:rPr>
          <w:spacing w:val="-2"/>
        </w:rPr>
        <w:t>资，根据个人年度贡献和公司业绩确定年终资金。同时，公司针对中高层人员和业务系统领军人</w:t>
      </w:r>
      <w:r>
        <w:rPr>
          <w:spacing w:val="-25"/>
        </w:rPr>
        <w:t> </w:t>
      </w:r>
      <w:r>
        <w:rPr>
          <w:spacing w:val="-25"/>
        </w:rPr>
      </w:r>
      <w:r>
        <w:rPr>
          <w:spacing w:val="-2"/>
        </w:rPr>
        <w:t>员及团队设计股权激励计划，实践人力资本理念，将人才的事业与企业的事业高度整合，将企业</w:t>
      </w:r>
      <w:r>
        <w:rPr>
          <w:spacing w:val="-25"/>
        </w:rPr>
        <w:t> </w:t>
      </w:r>
      <w:r>
        <w:rPr>
          <w:spacing w:val="-25"/>
        </w:rPr>
      </w:r>
      <w:r>
        <w:rPr/>
        <w:t>打造成美好事业的平台。</w:t>
      </w:r>
    </w:p>
    <w:p>
      <w:pPr>
        <w:spacing w:line="240" w:lineRule="auto" w:before="6"/>
        <w:rPr>
          <w:rFonts w:ascii="宋体" w:hAnsi="宋体" w:cs="宋体" w:eastAsia="宋体" w:hint="default"/>
          <w:sz w:val="19"/>
          <w:szCs w:val="19"/>
        </w:rPr>
      </w:pPr>
    </w:p>
    <w:p>
      <w:pPr>
        <w:pStyle w:val="Heading5"/>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638" w:right="240" w:hanging="420"/>
        <w:jc w:val="left"/>
      </w:pPr>
      <w:r>
        <w:rPr>
          <w:spacing w:val="-1"/>
        </w:rPr>
        <w:t>√适用</w:t>
        <w:tab/>
      </w:r>
      <w:r>
        <w:rPr>
          <w:spacing w:val="-2"/>
        </w:rPr>
        <w:t>□不适用</w:t>
      </w:r>
      <w:r>
        <w:rPr>
          <w:spacing w:val="-99"/>
        </w:rPr>
        <w:t> </w:t>
      </w:r>
      <w:r>
        <w:rPr>
          <w:spacing w:val="-99"/>
        </w:rPr>
      </w:r>
      <w:r>
        <w:rPr>
          <w:spacing w:val="-2"/>
        </w:rPr>
        <w:t>公司结合自身快速发展需要，为打造</w:t>
      </w:r>
      <w:r>
        <w:rPr>
          <w:rFonts w:ascii="宋体" w:hAnsi="宋体" w:cs="宋体" w:eastAsia="宋体" w:hint="default"/>
          <w:spacing w:val="-2"/>
        </w:rPr>
        <w:t>"</w:t>
      </w:r>
      <w:r>
        <w:rPr>
          <w:spacing w:val="-2"/>
        </w:rPr>
        <w:t>学习型企业</w:t>
      </w:r>
      <w:r>
        <w:rPr>
          <w:rFonts w:ascii="宋体" w:hAnsi="宋体" w:cs="宋体" w:eastAsia="宋体" w:hint="default"/>
          <w:spacing w:val="-2"/>
        </w:rPr>
        <w:t>"</w:t>
      </w:r>
      <w:r>
        <w:rPr>
          <w:spacing w:val="-2"/>
        </w:rPr>
        <w:t>，创建了“企业大学”、“太阳雨营销学</w:t>
      </w:r>
    </w:p>
    <w:p>
      <w:pPr>
        <w:pStyle w:val="BodyText"/>
        <w:spacing w:line="357" w:lineRule="auto" w:before="133"/>
        <w:ind w:left="218" w:right="227"/>
        <w:jc w:val="both"/>
      </w:pPr>
      <w:r>
        <w:rPr>
          <w:spacing w:val="-2"/>
        </w:rPr>
        <w:t>院”、“四季沐歌营销学院”，一方面加强员工“忠诚、敬业、勤奋、服从、执行”的企业文化</w:t>
      </w:r>
      <w:r>
        <w:rPr>
          <w:spacing w:val="-26"/>
        </w:rPr>
        <w:t> </w:t>
      </w:r>
      <w:r>
        <w:rPr>
          <w:spacing w:val="-26"/>
        </w:rPr>
      </w:r>
      <w:r>
        <w:rPr>
          <w:spacing w:val="-2"/>
        </w:rPr>
        <w:t>理念的培训，另一方面着重于专业化的培训。在培训方式上实施走出去，请进来，内外结合，以</w:t>
      </w:r>
      <w:r>
        <w:rPr>
          <w:spacing w:val="-25"/>
        </w:rPr>
        <w:t> </w:t>
      </w:r>
      <w:r>
        <w:rPr>
          <w:spacing w:val="-25"/>
        </w:rPr>
      </w:r>
      <w:r>
        <w:rPr>
          <w:spacing w:val="-6"/>
        </w:rPr>
        <w:t>内部讲师培训为主的培训师资原则，注重实效，严格按培训三大体系（内容、方法、考核）实施，</w:t>
      </w:r>
      <w:r>
        <w:rPr>
          <w:spacing w:val="-51"/>
        </w:rPr>
        <w:t> </w:t>
      </w:r>
      <w:r>
        <w:rPr>
          <w:spacing w:val="-51"/>
        </w:rPr>
      </w:r>
      <w:r>
        <w:rPr>
          <w:spacing w:val="-2"/>
        </w:rPr>
        <w:t>使培训做到全面、专业、有效。通过培训，真正起到改进工作方式，提高员工执行力和企业竞争</w:t>
      </w:r>
      <w:r>
        <w:rPr>
          <w:spacing w:val="-25"/>
        </w:rPr>
        <w:t> </w:t>
      </w:r>
      <w:r>
        <w:rPr>
          <w:spacing w:val="-25"/>
        </w:rPr>
      </w:r>
      <w:r>
        <w:rPr/>
        <w:t>力的作用。</w:t>
      </w:r>
    </w:p>
    <w:p>
      <w:pPr>
        <w:spacing w:after="0" w:line="357"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2"/>
        <w:ind w:right="254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2"/>
        <w:ind w:left="218" w:right="254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tabs>
          <w:tab w:pos="1259" w:val="left" w:leader="none"/>
        </w:tabs>
        <w:spacing w:line="240" w:lineRule="auto" w:before="14"/>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5"/>
        <w:spacing w:line="240" w:lineRule="auto"/>
        <w:ind w:right="0"/>
        <w:jc w:val="both"/>
        <w:rPr>
          <w:b w:val="0"/>
          <w:bCs w:val="0"/>
        </w:rPr>
      </w:pPr>
      <w:r>
        <w:rPr/>
        <w:t>一、公司治理相关情况说明</w:t>
      </w:r>
      <w:r>
        <w:rPr>
          <w:b w:val="0"/>
          <w:bCs w:val="0"/>
        </w:rPr>
      </w:r>
    </w:p>
    <w:p>
      <w:pPr>
        <w:pStyle w:val="BodyText"/>
        <w:tabs>
          <w:tab w:pos="1060" w:val="left" w:leader="none"/>
        </w:tabs>
        <w:spacing w:line="333" w:lineRule="auto" w:before="56"/>
        <w:ind w:left="638" w:right="240" w:hanging="420"/>
        <w:jc w:val="left"/>
      </w:pPr>
      <w:r>
        <w:rPr>
          <w:spacing w:val="-1"/>
        </w:rPr>
        <w:t>√适用</w:t>
        <w:tab/>
      </w:r>
      <w:r>
        <w:rPr>
          <w:spacing w:val="-2"/>
        </w:rPr>
        <w:t>□不适用</w:t>
      </w:r>
      <w:r>
        <w:rPr>
          <w:spacing w:val="-99"/>
        </w:rPr>
        <w:t> </w:t>
      </w:r>
      <w:r>
        <w:rPr>
          <w:spacing w:val="-99"/>
        </w:rPr>
      </w:r>
      <w:r>
        <w:rPr>
          <w:spacing w:val="-2"/>
        </w:rPr>
        <w:t>报告期内，公司严格按照《公司法》、《证券法》、《上市公司治理准则》、《上海证券交</w:t>
      </w:r>
    </w:p>
    <w:p>
      <w:pPr>
        <w:pStyle w:val="BodyText"/>
        <w:spacing w:line="350" w:lineRule="auto" w:before="41"/>
        <w:ind w:left="218" w:right="237"/>
        <w:jc w:val="both"/>
      </w:pPr>
      <w:r>
        <w:rPr>
          <w:spacing w:val="-2"/>
        </w:rPr>
        <w:t>易所股票上市规则》等法律法规和中国证监会、上海证券交易所发布的有关公司治理的规范文件</w:t>
      </w:r>
      <w:r>
        <w:rPr>
          <w:spacing w:val="-25"/>
        </w:rPr>
        <w:t> </w:t>
      </w:r>
      <w:r>
        <w:rPr>
          <w:spacing w:val="-25"/>
        </w:rPr>
      </w:r>
      <w:r>
        <w:rPr>
          <w:spacing w:val="-2"/>
        </w:rPr>
        <w:t>要求，结合公司实际情况，不断完善公司法人治理结构，健全内部控制体系，不断加强公司规范</w:t>
      </w:r>
      <w:r>
        <w:rPr>
          <w:spacing w:val="-25"/>
        </w:rPr>
        <w:t> </w:t>
      </w:r>
      <w:r>
        <w:rPr>
          <w:spacing w:val="-25"/>
        </w:rPr>
      </w:r>
      <w:r>
        <w:rPr/>
        <w:t>运作，提升公司的治理水平。 报告期内，</w:t>
      </w:r>
      <w:r>
        <w:rPr>
          <w:spacing w:val="-4"/>
        </w:rPr>
        <w:t> </w:t>
      </w:r>
      <w:r>
        <w:rPr/>
        <w:t>公司控股股东严格规范自身行为，控股股东及其附属</w:t>
      </w:r>
      <w:r>
        <w:rPr>
          <w:w w:val="100"/>
        </w:rPr>
        <w:t> </w:t>
      </w:r>
      <w:r>
        <w:rPr>
          <w:spacing w:val="-2"/>
        </w:rPr>
        <w:t>企业等关联方不存在占用公司资金的情况，公司与控股股东在人员、资产、财务、机构、业务等</w:t>
      </w:r>
      <w:r>
        <w:rPr>
          <w:spacing w:val="-26"/>
        </w:rPr>
        <w:t> </w:t>
      </w:r>
      <w:r>
        <w:rPr>
          <w:spacing w:val="-26"/>
        </w:rPr>
      </w:r>
      <w:r>
        <w:rPr/>
        <w:t>方面做到五分开。</w:t>
      </w:r>
    </w:p>
    <w:p>
      <w:pPr>
        <w:pStyle w:val="BodyText"/>
        <w:spacing w:line="348" w:lineRule="auto" w:before="29"/>
        <w:ind w:left="218" w:right="237" w:firstLine="422"/>
        <w:jc w:val="both"/>
      </w:pPr>
      <w:r>
        <w:rPr>
          <w:spacing w:val="-2"/>
        </w:rPr>
        <w:t>报告期内，公司按照《公司章程》的要求及时召开了股东大会、临时股东大会、董事会、监</w:t>
      </w:r>
      <w:r>
        <w:rPr>
          <w:w w:val="100"/>
        </w:rPr>
        <w:t> </w:t>
      </w:r>
      <w:r>
        <w:rPr>
          <w:spacing w:val="-2"/>
        </w:rPr>
        <w:t>事会及各专门委员会会议，公司董事、监事、各专门委员会委员及高级管理人员均能以维护公司</w:t>
      </w:r>
      <w:r>
        <w:rPr>
          <w:spacing w:val="-25"/>
        </w:rPr>
        <w:t> </w:t>
      </w:r>
      <w:r>
        <w:rPr>
          <w:spacing w:val="-25"/>
        </w:rPr>
      </w:r>
      <w:r>
        <w:rPr/>
        <w:t>和股东利益为原则，忠实、诚信、勤勉的履行职责。</w:t>
      </w:r>
    </w:p>
    <w:p>
      <w:pPr>
        <w:pStyle w:val="BodyText"/>
        <w:spacing w:line="348" w:lineRule="auto" w:before="31"/>
        <w:ind w:left="218" w:right="237" w:firstLine="422"/>
        <w:jc w:val="both"/>
      </w:pPr>
      <w:r>
        <w:rPr>
          <w:spacing w:val="-2"/>
        </w:rPr>
        <w:t>报告期内，公司严格遵照《上市规则》、《信息披露管理制度》、《内幕信息知情人管理制</w:t>
      </w:r>
      <w:r>
        <w:rPr>
          <w:w w:val="100"/>
        </w:rPr>
        <w:t> </w:t>
      </w:r>
      <w:r>
        <w:rPr/>
        <w:t>度》等制度，严格执行内部信息使用人管理的相关规定，保证信息披露的公平。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73" w:lineRule="exact"/>
        <w:ind w:left="218" w:right="0"/>
        <w:jc w:val="both"/>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623703pt;width:453.2pt;height:139.2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841"/>
                    <w:gridCol w:w="2412"/>
                    <w:gridCol w:w="1993"/>
                  </w:tblGrid>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 海 证 券 交 易</w:t>
                        </w:r>
                        <w:r>
                          <w:rPr>
                            <w:rFonts w:ascii="宋体" w:hAnsi="宋体" w:cs="宋体" w:eastAsia="宋体" w:hint="default"/>
                            <w:spacing w:val="98"/>
                            <w:sz w:val="21"/>
                            <w:szCs w:val="21"/>
                          </w:rPr>
                          <w:t> </w:t>
                        </w:r>
                        <w:r>
                          <w:rPr>
                            <w:rFonts w:ascii="宋体" w:hAnsi="宋体" w:cs="宋体" w:eastAsia="宋体" w:hint="default"/>
                            <w:sz w:val="21"/>
                            <w:szCs w:val="21"/>
                          </w:rPr>
                          <w:t>所</w:t>
                        </w:r>
                      </w:p>
                      <w:p>
                        <w:pPr>
                          <w:pStyle w:val="TableParagraph"/>
                          <w:spacing w:line="274"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 海 证 券 交 易</w:t>
                        </w:r>
                        <w:r>
                          <w:rPr>
                            <w:rFonts w:ascii="宋体" w:hAnsi="宋体" w:cs="宋体" w:eastAsia="宋体" w:hint="default"/>
                            <w:spacing w:val="98"/>
                            <w:sz w:val="21"/>
                            <w:szCs w:val="21"/>
                          </w:rPr>
                          <w:t> </w:t>
                        </w:r>
                        <w:r>
                          <w:rPr>
                            <w:rFonts w:ascii="宋体" w:hAnsi="宋体" w:cs="宋体" w:eastAsia="宋体" w:hint="default"/>
                            <w:sz w:val="21"/>
                            <w:szCs w:val="21"/>
                          </w:rPr>
                          <w:t>所</w:t>
                        </w:r>
                      </w:p>
                      <w:p>
                        <w:pPr>
                          <w:pStyle w:val="TableParagraph"/>
                          <w:spacing w:line="274"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 海 证 券 交 易</w:t>
                        </w:r>
                        <w:r>
                          <w:rPr>
                            <w:rFonts w:ascii="宋体" w:hAnsi="宋体" w:cs="宋体" w:eastAsia="宋体" w:hint="default"/>
                            <w:spacing w:val="98"/>
                            <w:sz w:val="21"/>
                            <w:szCs w:val="21"/>
                          </w:rPr>
                          <w:t> </w:t>
                        </w:r>
                        <w:r>
                          <w:rPr>
                            <w:rFonts w:ascii="宋体" w:hAnsi="宋体" w:cs="宋体" w:eastAsia="宋体" w:hint="default"/>
                            <w:sz w:val="21"/>
                            <w:szCs w:val="21"/>
                          </w:rPr>
                          <w:t>所</w:t>
                        </w:r>
                      </w:p>
                      <w:p>
                        <w:pPr>
                          <w:pStyle w:val="TableParagraph"/>
                          <w:spacing w:line="274"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z w:val="21"/>
                            <w:szCs w:val="21"/>
                          </w:rPr>
                          <w:t>11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 海 证 券 交 易</w:t>
                        </w:r>
                        <w:r>
                          <w:rPr>
                            <w:rFonts w:ascii="宋体" w:hAnsi="宋体" w:cs="宋体" w:eastAsia="宋体" w:hint="default"/>
                            <w:spacing w:val="98"/>
                            <w:sz w:val="21"/>
                            <w:szCs w:val="21"/>
                          </w:rPr>
                          <w:t> </w:t>
                        </w:r>
                        <w:r>
                          <w:rPr>
                            <w:rFonts w:ascii="宋体" w:hAnsi="宋体" w:cs="宋体" w:eastAsia="宋体" w:hint="default"/>
                            <w:sz w:val="21"/>
                            <w:szCs w:val="21"/>
                          </w:rPr>
                          <w:t>所</w:t>
                        </w:r>
                      </w:p>
                      <w:p>
                        <w:pPr>
                          <w:pStyle w:val="TableParagraph"/>
                          <w:spacing w:line="274"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pStyle w:val="BodyText"/>
        <w:spacing w:line="274" w:lineRule="exact" w:before="36"/>
        <w:ind w:left="218" w:right="2549"/>
        <w:jc w:val="left"/>
      </w:pPr>
      <w:r>
        <w:rPr/>
        <w:t>股东大会情况说明</w:t>
      </w:r>
    </w:p>
    <w:p>
      <w:pPr>
        <w:pStyle w:val="BodyText"/>
        <w:spacing w:line="273" w:lineRule="exact"/>
        <w:ind w:left="218" w:right="2549"/>
        <w:jc w:val="left"/>
      </w:pPr>
      <w:r>
        <w:rPr/>
        <w:t>√适用</w:t>
      </w:r>
      <w:r>
        <w:rPr>
          <w:spacing w:val="-1"/>
        </w:rPr>
        <w:t> </w:t>
      </w:r>
      <w:r>
        <w:rPr/>
        <w:t>□不适用</w:t>
      </w:r>
    </w:p>
    <w:p>
      <w:pPr>
        <w:pStyle w:val="BodyText"/>
        <w:spacing w:line="355" w:lineRule="auto"/>
        <w:ind w:left="218" w:right="121" w:firstLine="419"/>
        <w:jc w:val="left"/>
      </w:pPr>
      <w:r>
        <w:rPr>
          <w:rFonts w:ascii="宋体" w:hAnsi="宋体" w:cs="宋体" w:eastAsia="宋体" w:hint="default"/>
        </w:rPr>
        <w:t>2016</w:t>
      </w:r>
      <w:r>
        <w:rPr>
          <w:rFonts w:ascii="宋体" w:hAnsi="宋体" w:cs="宋体" w:eastAsia="宋体" w:hint="default"/>
          <w:spacing w:val="-51"/>
        </w:rPr>
        <w:t> </w:t>
      </w:r>
      <w:r>
        <w:rPr/>
        <w:t>年年度股东大会审议通过了</w:t>
      </w:r>
      <w:r>
        <w:rPr>
          <w:spacing w:val="-49"/>
        </w:rPr>
        <w:t> </w:t>
      </w:r>
      <w:r>
        <w:rPr>
          <w:rFonts w:ascii="宋体" w:hAnsi="宋体" w:cs="宋体" w:eastAsia="宋体" w:hint="default"/>
        </w:rPr>
        <w:t>7</w:t>
      </w:r>
      <w:r>
        <w:rPr>
          <w:rFonts w:ascii="宋体" w:hAnsi="宋体" w:cs="宋体" w:eastAsia="宋体" w:hint="default"/>
          <w:spacing w:val="-49"/>
        </w:rPr>
        <w:t> </w:t>
      </w:r>
      <w:r>
        <w:rPr>
          <w:spacing w:val="-5"/>
        </w:rPr>
        <w:t>项议案：《</w:t>
      </w:r>
      <w:r>
        <w:rPr>
          <w:spacing w:val="6"/>
        </w:rPr>
        <w:t> </w:t>
      </w:r>
      <w:r>
        <w:rPr>
          <w:rFonts w:ascii="宋体" w:hAnsi="宋体" w:cs="宋体" w:eastAsia="宋体" w:hint="default"/>
        </w:rPr>
        <w:t>2016</w:t>
      </w:r>
      <w:r>
        <w:rPr>
          <w:rFonts w:ascii="宋体" w:hAnsi="宋体" w:cs="宋体" w:eastAsia="宋体" w:hint="default"/>
          <w:spacing w:val="-51"/>
        </w:rPr>
        <w:t> </w:t>
      </w:r>
      <w:r>
        <w:rPr>
          <w:spacing w:val="-3"/>
        </w:rPr>
        <w:t>年度董事会工作报告》、《</w:t>
      </w:r>
      <w:r>
        <w:rPr>
          <w:rFonts w:ascii="宋体" w:hAnsi="宋体" w:cs="宋体" w:eastAsia="宋体" w:hint="default"/>
          <w:spacing w:val="-3"/>
        </w:rPr>
        <w:t>2016</w:t>
      </w:r>
      <w:r>
        <w:rPr>
          <w:rFonts w:ascii="宋体" w:hAnsi="宋体" w:cs="宋体" w:eastAsia="宋体" w:hint="default"/>
          <w:spacing w:val="-49"/>
        </w:rPr>
        <w:t> </w:t>
      </w:r>
      <w:r>
        <w:rPr/>
        <w:t>年度监</w:t>
      </w:r>
      <w:r>
        <w:rPr>
          <w:w w:val="100"/>
        </w:rPr>
        <w:t> </w:t>
      </w:r>
      <w:r>
        <w:rPr/>
        <w:t>事会工作报告》、《</w:t>
      </w:r>
      <w:r>
        <w:rPr>
          <w:rFonts w:ascii="宋体" w:hAnsi="宋体" w:cs="宋体" w:eastAsia="宋体" w:hint="default"/>
        </w:rPr>
        <w:t>2016</w:t>
      </w:r>
      <w:r>
        <w:rPr>
          <w:rFonts w:ascii="宋体" w:hAnsi="宋体" w:cs="宋体" w:eastAsia="宋体" w:hint="default"/>
          <w:spacing w:val="-58"/>
        </w:rPr>
        <w:t> </w:t>
      </w:r>
      <w:r>
        <w:rPr/>
        <w:t>年度财务决算报告》、《</w:t>
      </w:r>
      <w:r>
        <w:rPr>
          <w:rFonts w:ascii="宋体" w:hAnsi="宋体" w:cs="宋体" w:eastAsia="宋体" w:hint="default"/>
        </w:rPr>
        <w:t>2016</w:t>
      </w:r>
      <w:r>
        <w:rPr>
          <w:rFonts w:ascii="宋体" w:hAnsi="宋体" w:cs="宋体" w:eastAsia="宋体" w:hint="default"/>
          <w:spacing w:val="-56"/>
        </w:rPr>
        <w:t> </w:t>
      </w:r>
      <w:r>
        <w:rPr/>
        <w:t>年年度利润分配预案》、《</w:t>
      </w:r>
      <w:r>
        <w:rPr>
          <w:rFonts w:ascii="宋体" w:hAnsi="宋体" w:cs="宋体" w:eastAsia="宋体" w:hint="default"/>
        </w:rPr>
        <w:t>2016</w:t>
      </w:r>
      <w:r>
        <w:rPr>
          <w:rFonts w:ascii="宋体" w:hAnsi="宋体" w:cs="宋体" w:eastAsia="宋体" w:hint="default"/>
          <w:spacing w:val="-56"/>
        </w:rPr>
        <w:t> </w:t>
      </w:r>
      <w:r>
        <w:rPr/>
        <w:t>年年度</w:t>
      </w:r>
    </w:p>
    <w:p>
      <w:pPr>
        <w:spacing w:after="0" w:line="355" w:lineRule="auto"/>
        <w:jc w:val="left"/>
        <w:sectPr>
          <w:footerReference w:type="default" r:id="rId38"/>
          <w:pgSz w:w="11910" w:h="16840"/>
          <w:pgMar w:footer="1195" w:header="880" w:top="1100" w:bottom="1380" w:left="1580" w:right="1040"/>
          <w:pgNumType w:start="58"/>
        </w:sectPr>
      </w:pPr>
    </w:p>
    <w:p>
      <w:pPr>
        <w:spacing w:line="240" w:lineRule="auto" w:before="9"/>
        <w:rPr>
          <w:rFonts w:ascii="宋体" w:hAnsi="宋体" w:cs="宋体" w:eastAsia="宋体" w:hint="default"/>
          <w:sz w:val="25"/>
          <w:szCs w:val="25"/>
        </w:rPr>
      </w:pPr>
    </w:p>
    <w:p>
      <w:pPr>
        <w:pStyle w:val="BodyText"/>
        <w:spacing w:line="357" w:lineRule="auto" w:before="36"/>
        <w:ind w:left="218" w:right="227"/>
        <w:jc w:val="left"/>
      </w:pPr>
      <w:r>
        <w:rPr>
          <w:spacing w:val="-6"/>
        </w:rPr>
        <w:t>报告及摘要》、《关于续聘</w:t>
      </w:r>
      <w:r>
        <w:rPr>
          <w:spacing w:val="-19"/>
        </w:rPr>
        <w:t> </w:t>
      </w:r>
      <w:r>
        <w:rPr>
          <w:rFonts w:ascii="宋体" w:hAnsi="宋体" w:cs="宋体" w:eastAsia="宋体" w:hint="default"/>
        </w:rPr>
        <w:t>2017</w:t>
      </w:r>
      <w:r>
        <w:rPr>
          <w:rFonts w:ascii="宋体" w:hAnsi="宋体" w:cs="宋体" w:eastAsia="宋体" w:hint="default"/>
          <w:spacing w:val="-21"/>
        </w:rPr>
        <w:t> </w:t>
      </w:r>
      <w:r>
        <w:rPr>
          <w:spacing w:val="-4"/>
        </w:rPr>
        <w:t>年财务及内控审计机构的议案》、《关于使用暂时闲置资金进行</w:t>
      </w:r>
      <w:r>
        <w:rPr>
          <w:spacing w:val="-92"/>
        </w:rPr>
        <w:t> </w:t>
      </w:r>
      <w:r>
        <w:rPr>
          <w:spacing w:val="-92"/>
        </w:rPr>
      </w:r>
      <w:r>
        <w:rPr/>
        <w:t>现金管理的议案》。</w:t>
      </w:r>
    </w:p>
    <w:p>
      <w:pPr>
        <w:pStyle w:val="BodyText"/>
        <w:spacing w:line="355" w:lineRule="auto" w:before="30"/>
        <w:ind w:left="218" w:right="227" w:firstLine="419"/>
        <w:jc w:val="left"/>
      </w:pPr>
      <w:r>
        <w:rPr>
          <w:rFonts w:ascii="宋体" w:hAnsi="宋体" w:cs="宋体" w:eastAsia="宋体" w:hint="default"/>
        </w:rPr>
        <w:t>2017</w:t>
      </w:r>
      <w:r>
        <w:rPr>
          <w:rFonts w:ascii="宋体" w:hAnsi="宋体" w:cs="宋体" w:eastAsia="宋体" w:hint="default"/>
          <w:spacing w:val="-43"/>
        </w:rPr>
        <w:t> </w:t>
      </w:r>
      <w:r>
        <w:rPr/>
        <w:t>年第一次临时股东大会审议通过了</w:t>
      </w:r>
      <w:r>
        <w:rPr>
          <w:spacing w:val="-40"/>
        </w:rPr>
        <w:t> </w:t>
      </w:r>
      <w:r>
        <w:rPr>
          <w:rFonts w:ascii="宋体" w:hAnsi="宋体" w:cs="宋体" w:eastAsia="宋体" w:hint="default"/>
        </w:rPr>
        <w:t>1</w:t>
      </w:r>
      <w:r>
        <w:rPr>
          <w:rFonts w:ascii="宋体" w:hAnsi="宋体" w:cs="宋体" w:eastAsia="宋体" w:hint="default"/>
          <w:spacing w:val="-43"/>
        </w:rPr>
        <w:t> </w:t>
      </w:r>
      <w:r>
        <w:rPr>
          <w:spacing w:val="-4"/>
        </w:rPr>
        <w:t>项议案：《关于使用超募资金和节余募集资金收购</w:t>
      </w:r>
      <w:r>
        <w:rPr>
          <w:w w:val="100"/>
        </w:rPr>
        <w:t> </w:t>
      </w:r>
      <w:r>
        <w:rPr/>
        <w:t>浙江帅康电气股份有限公司</w:t>
      </w:r>
      <w:r>
        <w:rPr>
          <w:spacing w:val="-55"/>
        </w:rPr>
        <w:t> </w:t>
      </w:r>
      <w:r>
        <w:rPr>
          <w:rFonts w:ascii="宋体" w:hAnsi="宋体" w:cs="宋体" w:eastAsia="宋体" w:hint="default"/>
        </w:rPr>
        <w:t>75</w:t>
      </w:r>
      <w:r>
        <w:rPr/>
        <w:t>％股权的议案》。</w:t>
      </w:r>
    </w:p>
    <w:p>
      <w:pPr>
        <w:pStyle w:val="BodyText"/>
        <w:spacing w:line="240" w:lineRule="auto" w:before="32"/>
        <w:ind w:left="638" w:right="0"/>
        <w:jc w:val="left"/>
      </w:pPr>
      <w:r>
        <w:rPr>
          <w:rFonts w:ascii="宋体" w:hAnsi="宋体" w:cs="宋体" w:eastAsia="宋体" w:hint="default"/>
        </w:rPr>
        <w:t>2017</w:t>
      </w:r>
      <w:r>
        <w:rPr>
          <w:rFonts w:ascii="宋体" w:hAnsi="宋体" w:cs="宋体" w:eastAsia="宋体" w:hint="default"/>
          <w:spacing w:val="-36"/>
        </w:rPr>
        <w:t> </w:t>
      </w:r>
      <w:r>
        <w:rPr/>
        <w:t>年第二次临时股东大会审议通过了</w:t>
      </w:r>
      <w:r>
        <w:rPr>
          <w:spacing w:val="-29"/>
        </w:rPr>
        <w:t> </w:t>
      </w:r>
      <w:r>
        <w:rPr>
          <w:rFonts w:ascii="宋体" w:hAnsi="宋体" w:cs="宋体" w:eastAsia="宋体" w:hint="default"/>
        </w:rPr>
        <w:t>2</w:t>
      </w:r>
      <w:r>
        <w:rPr>
          <w:rFonts w:ascii="宋体" w:hAnsi="宋体" w:cs="宋体" w:eastAsia="宋体" w:hint="default"/>
          <w:spacing w:val="-33"/>
        </w:rPr>
        <w:t> </w:t>
      </w:r>
      <w:r>
        <w:rPr/>
        <w:t>项议案：《关于申请银行综合授信额度的议案》、</w:t>
      </w:r>
    </w:p>
    <w:p>
      <w:pPr>
        <w:pStyle w:val="BodyText"/>
        <w:spacing w:line="240" w:lineRule="auto" w:before="133"/>
        <w:ind w:left="218" w:right="2549"/>
        <w:jc w:val="left"/>
      </w:pPr>
      <w:r>
        <w:rPr/>
        <w:t>《关于变更公司经营范围及修改</w:t>
      </w:r>
      <w:r>
        <w:rPr>
          <w:rFonts w:ascii="宋体" w:hAnsi="宋体" w:cs="宋体" w:eastAsia="宋体" w:hint="default"/>
        </w:rPr>
        <w:t>&lt;</w:t>
      </w:r>
      <w:r>
        <w:rPr/>
        <w:t>公司章程</w:t>
      </w:r>
      <w:r>
        <w:rPr>
          <w:rFonts w:ascii="宋体" w:hAnsi="宋体" w:cs="宋体" w:eastAsia="宋体" w:hint="default"/>
        </w:rPr>
        <w:t>&gt;</w:t>
      </w:r>
      <w:r>
        <w:rPr/>
        <w:t>的议案》。</w:t>
      </w:r>
    </w:p>
    <w:p>
      <w:pPr>
        <w:pStyle w:val="BodyText"/>
        <w:spacing w:line="355" w:lineRule="auto" w:before="135"/>
        <w:ind w:left="218" w:right="227" w:firstLine="419"/>
        <w:jc w:val="left"/>
      </w:pPr>
      <w:r>
        <w:rPr>
          <w:rFonts w:ascii="宋体" w:hAnsi="宋体" w:cs="宋体" w:eastAsia="宋体" w:hint="default"/>
        </w:rPr>
        <w:t>2017</w:t>
      </w:r>
      <w:r>
        <w:rPr>
          <w:rFonts w:ascii="宋体" w:hAnsi="宋体" w:cs="宋体" w:eastAsia="宋体" w:hint="default"/>
          <w:spacing w:val="-43"/>
        </w:rPr>
        <w:t> </w:t>
      </w:r>
      <w:r>
        <w:rPr/>
        <w:t>年第三次临时股东大会审议通过了</w:t>
      </w:r>
      <w:r>
        <w:rPr>
          <w:spacing w:val="-40"/>
        </w:rPr>
        <w:t> </w:t>
      </w:r>
      <w:r>
        <w:rPr>
          <w:rFonts w:ascii="宋体" w:hAnsi="宋体" w:cs="宋体" w:eastAsia="宋体" w:hint="default"/>
        </w:rPr>
        <w:t>4</w:t>
      </w:r>
      <w:r>
        <w:rPr>
          <w:rFonts w:ascii="宋体" w:hAnsi="宋体" w:cs="宋体" w:eastAsia="宋体" w:hint="default"/>
          <w:spacing w:val="-43"/>
        </w:rPr>
        <w:t> </w:t>
      </w:r>
      <w:r>
        <w:rPr>
          <w:spacing w:val="-4"/>
        </w:rPr>
        <w:t>项议案：《关于控股股东向公司提供财务资助的议</w:t>
      </w:r>
      <w:r>
        <w:rPr>
          <w:w w:val="100"/>
        </w:rPr>
        <w:t> </w:t>
      </w:r>
      <w:r>
        <w:rPr>
          <w:spacing w:val="-2"/>
        </w:rPr>
        <w:t>案》、《关于公司募投项目结题后，使用部分节余募集资金和超募资金归还银行贷款的议案》、</w:t>
      </w:r>
    </w:p>
    <w:p>
      <w:pPr>
        <w:pStyle w:val="BodyText"/>
        <w:spacing w:line="240" w:lineRule="auto" w:before="33"/>
        <w:ind w:left="218" w:right="227"/>
        <w:jc w:val="left"/>
      </w:pPr>
      <w:r>
        <w:rPr/>
        <w:t>《关于公司补选监事的议案》、《关于修改</w:t>
      </w:r>
      <w:r>
        <w:rPr>
          <w:rFonts w:ascii="宋体" w:hAnsi="宋体" w:cs="宋体" w:eastAsia="宋体" w:hint="default"/>
        </w:rPr>
        <w:t>&lt;</w:t>
      </w:r>
      <w:r>
        <w:rPr/>
        <w:t>公司章程</w:t>
      </w:r>
      <w:r>
        <w:rPr>
          <w:rFonts w:ascii="宋体" w:hAnsi="宋体" w:cs="宋体" w:eastAsia="宋体" w:hint="default"/>
        </w:rPr>
        <w:t>&gt;</w:t>
      </w:r>
      <w:r>
        <w:rPr/>
        <w:t>部分条款的议案》。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240" w:lineRule="auto"/>
        <w:ind w:right="2549"/>
        <w:jc w:val="left"/>
        <w:rPr>
          <w:b w:val="0"/>
          <w:bCs w:val="0"/>
        </w:rPr>
      </w:pPr>
      <w:r>
        <w:rPr/>
        <w:t>三、董事履行职责情况</w:t>
      </w:r>
      <w:r>
        <w:rPr>
          <w:b w:val="0"/>
          <w:bCs w:val="0"/>
        </w:rPr>
      </w:r>
    </w:p>
    <w:p>
      <w:pPr>
        <w:pStyle w:val="Heading5"/>
        <w:spacing w:line="240" w:lineRule="auto" w:before="58"/>
        <w:ind w:right="254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w:t>
              <w:tab/>
              <w:t>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w:t>
              <w:tab/>
              <w:t>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549"/>
        <w:jc w:val="left"/>
      </w:pPr>
      <w:r>
        <w:rPr/>
        <w:t>连续两次未亲自出席董事会会议的说明</w:t>
      </w:r>
    </w:p>
    <w:p>
      <w:pPr>
        <w:pStyle w:val="BodyText"/>
        <w:spacing w:line="274" w:lineRule="exact"/>
        <w:ind w:left="218" w:right="2549"/>
        <w:jc w:val="left"/>
      </w:pPr>
      <w:r>
        <w:rPr/>
        <w:t>□适用</w:t>
      </w:r>
      <w:r>
        <w:rPr>
          <w:spacing w:val="-1"/>
        </w:rPr>
        <w:t> </w:t>
      </w:r>
      <w:r>
        <w:rPr/>
        <w:t>√不适用</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r>
    </w:tbl>
    <w:p>
      <w:pPr>
        <w:spacing w:line="240" w:lineRule="auto" w:before="2"/>
        <w:rPr>
          <w:rFonts w:ascii="宋体" w:hAnsi="宋体" w:cs="宋体" w:eastAsia="宋体" w:hint="default"/>
          <w:sz w:val="20"/>
          <w:szCs w:val="20"/>
        </w:rPr>
      </w:pPr>
    </w:p>
    <w:p>
      <w:pPr>
        <w:pStyle w:val="Heading5"/>
        <w:spacing w:line="240" w:lineRule="auto" w:before="36"/>
        <w:ind w:right="254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254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right="254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0"/>
        <w:ind w:left="218" w:right="2549"/>
        <w:jc w:val="left"/>
      </w:pPr>
      <w:r>
        <w:rPr>
          <w:spacing w:val="-1"/>
        </w:rPr>
        <w:t>□适用</w:t>
        <w:tab/>
      </w:r>
      <w:r>
        <w:rPr>
          <w:spacing w:val="-2"/>
        </w:rPr>
        <w:t>√不适用</w:t>
      </w:r>
    </w:p>
    <w:p>
      <w:pPr>
        <w:spacing w:after="0" w:line="240" w:lineRule="auto"/>
        <w:jc w:val="left"/>
        <w:sectPr>
          <w:pgSz w:w="11910" w:h="16840"/>
          <w:pgMar w:header="880" w:footer="1195" w:top="1100" w:bottom="1380" w:left="1580" w:right="1040"/>
        </w:sectPr>
      </w:pPr>
    </w:p>
    <w:p>
      <w:pPr>
        <w:spacing w:line="240" w:lineRule="auto" w:before="9"/>
        <w:rPr>
          <w:rFonts w:ascii="宋体" w:hAnsi="宋体" w:cs="宋体" w:eastAsia="宋体" w:hint="default"/>
          <w:sz w:val="25"/>
          <w:szCs w:val="25"/>
        </w:rPr>
      </w:pPr>
    </w:p>
    <w:p>
      <w:pPr>
        <w:pStyle w:val="Heading5"/>
        <w:spacing w:line="240" w:lineRule="auto" w:before="36"/>
        <w:ind w:left="562" w:right="10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6"/>
        <w:ind w:left="138" w:right="670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108"/>
        <w:jc w:val="left"/>
        <w:rPr>
          <w:b w:val="0"/>
          <w:bCs w:val="0"/>
        </w:rPr>
      </w:pPr>
      <w:r>
        <w:rPr/>
        <w:t>五、监事会发现公司存在风险的说明</w:t>
      </w:r>
      <w:r>
        <w:rPr>
          <w:b w:val="0"/>
          <w:bCs w:val="0"/>
        </w:rPr>
      </w:r>
    </w:p>
    <w:p>
      <w:pPr>
        <w:pStyle w:val="BodyText"/>
        <w:spacing w:line="240" w:lineRule="auto" w:before="58"/>
        <w:ind w:left="138" w:right="6708"/>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5"/>
        <w:spacing w:line="272" w:lineRule="exact"/>
        <w:ind w:left="562" w:right="108"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left="138" w:right="6708"/>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left="138" w:right="108"/>
        <w:jc w:val="left"/>
      </w:pPr>
      <w:r>
        <w:rPr/>
        <w:t>存在同业竞争的，公司相应的解决措施、工作进度及后续工作计划</w:t>
      </w:r>
    </w:p>
    <w:p>
      <w:pPr>
        <w:pStyle w:val="BodyText"/>
        <w:tabs>
          <w:tab w:pos="980" w:val="left" w:leader="none"/>
        </w:tabs>
        <w:spacing w:line="273" w:lineRule="exact"/>
        <w:ind w:left="138" w:right="670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138" w:right="108"/>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报告期内，公司根据公司年度工作安排和生产经营计划的情况，对高级管理人员进行绩效考</w:t>
      </w:r>
    </w:p>
    <w:p>
      <w:pPr>
        <w:pStyle w:val="BodyText"/>
        <w:spacing w:line="240" w:lineRule="auto" w:before="108"/>
        <w:ind w:left="138" w:right="108"/>
        <w:jc w:val="left"/>
      </w:pPr>
      <w:r>
        <w:rPr/>
        <w:t>核，而后根据考核结果和公司薪酬管理制度确定薪酬。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left="138" w:right="108"/>
        <w:jc w:val="left"/>
        <w:rPr>
          <w:b w:val="0"/>
          <w:bCs w:val="0"/>
        </w:rPr>
      </w:pPr>
      <w:r>
        <w:rPr/>
        <w:t>八、是否披露内部控制自我评价报告</w:t>
      </w:r>
      <w:r>
        <w:rPr>
          <w:b w:val="0"/>
          <w:bCs w:val="0"/>
        </w:rPr>
      </w:r>
    </w:p>
    <w:p>
      <w:pPr>
        <w:pStyle w:val="BodyText"/>
        <w:spacing w:line="240" w:lineRule="auto" w:before="56"/>
        <w:ind w:left="138" w:right="6708"/>
        <w:jc w:val="left"/>
      </w:pPr>
      <w:r>
        <w:rPr/>
        <w:t>√适用</w:t>
      </w:r>
      <w:r>
        <w:rPr>
          <w:spacing w:val="-1"/>
        </w:rPr>
        <w:t> </w:t>
      </w:r>
      <w:r>
        <w:rPr/>
        <w:t>□不适用</w:t>
      </w:r>
    </w:p>
    <w:p>
      <w:pPr>
        <w:pStyle w:val="BodyText"/>
        <w:spacing w:line="314" w:lineRule="auto" w:before="76"/>
        <w:ind w:left="138" w:right="208" w:firstLine="419"/>
        <w:jc w:val="both"/>
      </w:pPr>
      <w:r>
        <w:rPr>
          <w:spacing w:val="-3"/>
        </w:rPr>
        <w:t>公司发布内部控制自我评价报告。《</w:t>
      </w:r>
      <w:r>
        <w:rPr>
          <w:rFonts w:ascii="宋体" w:hAnsi="宋体" w:cs="宋体" w:eastAsia="宋体" w:hint="default"/>
          <w:spacing w:val="-3"/>
        </w:rPr>
        <w:t>2017</w:t>
      </w:r>
      <w:r>
        <w:rPr>
          <w:rFonts w:ascii="宋体" w:hAnsi="宋体" w:cs="宋体" w:eastAsia="宋体" w:hint="default"/>
          <w:spacing w:val="1"/>
        </w:rPr>
        <w:t> </w:t>
      </w:r>
      <w:r>
        <w:rPr>
          <w:spacing w:val="-3"/>
        </w:rPr>
        <w:t>年度内部控制评价报告》全文刊登在上海证券交易</w:t>
      </w:r>
      <w:r>
        <w:rPr>
          <w:w w:val="100"/>
        </w:rPr>
        <w:t> </w:t>
      </w:r>
      <w:r>
        <w:rPr/>
        <w:t>所网站（</w:t>
      </w:r>
      <w:hyperlink r:id="rId40">
        <w:r>
          <w:rPr>
            <w:rFonts w:ascii="宋体" w:hAnsi="宋体" w:cs="宋体" w:eastAsia="宋体" w:hint="default"/>
          </w:rPr>
          <w:t>www.see.com.cn</w:t>
        </w:r>
      </w:hyperlink>
      <w:r>
        <w:rPr/>
        <w:t>）。</w:t>
      </w:r>
    </w:p>
    <w:p>
      <w:pPr>
        <w:pStyle w:val="BodyText"/>
        <w:spacing w:line="314" w:lineRule="auto" w:before="20"/>
        <w:ind w:left="138" w:right="208" w:firstLine="419"/>
        <w:jc w:val="both"/>
      </w:pPr>
      <w:r>
        <w:rPr>
          <w:spacing w:val="-2"/>
        </w:rPr>
        <w:t>公司根据《企业内部控制基本规范》及其配套指引的规定和其他内部控制监管要求，对公司</w:t>
      </w:r>
      <w:r>
        <w:rPr>
          <w:w w:val="100"/>
        </w:rPr>
        <w:t> </w:t>
      </w:r>
      <w:r>
        <w:rPr>
          <w:spacing w:val="-6"/>
          <w:w w:val="100"/>
        </w:rPr>
        <w:t>内部控制情况进行了评价，并认为公司内部控制在</w:t>
      </w:r>
      <w:r>
        <w:rPr>
          <w:spacing w:val="-72"/>
          <w:w w:val="100"/>
        </w:rPr>
        <w:t> </w:t>
      </w:r>
      <w:r>
        <w:rPr>
          <w:rFonts w:ascii="宋体" w:hAnsi="宋体" w:cs="宋体" w:eastAsia="宋体" w:hint="default"/>
          <w:spacing w:val="-1"/>
          <w:w w:val="100"/>
        </w:rPr>
        <w:t>2017</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12</w:t>
      </w:r>
      <w:r>
        <w:rPr>
          <w:rFonts w:ascii="宋体" w:hAnsi="宋体" w:cs="宋体" w:eastAsia="宋体" w:hint="default"/>
          <w:spacing w:val="-69"/>
          <w:w w:val="100"/>
        </w:rPr>
        <w:t> </w:t>
      </w:r>
      <w:r>
        <w:rPr>
          <w:w w:val="100"/>
        </w:rPr>
        <w:t>月</w:t>
      </w:r>
      <w:r>
        <w:rPr>
          <w:spacing w:val="-69"/>
          <w:w w:val="100"/>
        </w:rPr>
        <w:t> </w:t>
      </w:r>
      <w:r>
        <w:rPr>
          <w:rFonts w:ascii="宋体" w:hAnsi="宋体" w:cs="宋体" w:eastAsia="宋体" w:hint="default"/>
          <w:w w:val="100"/>
        </w:rPr>
        <w:t>31</w:t>
      </w:r>
      <w:r>
        <w:rPr>
          <w:rFonts w:ascii="宋体" w:hAnsi="宋体" w:cs="宋体" w:eastAsia="宋体" w:hint="default"/>
          <w:spacing w:val="-69"/>
          <w:w w:val="100"/>
        </w:rPr>
        <w:t> </w:t>
      </w:r>
      <w:r>
        <w:rPr>
          <w:spacing w:val="-9"/>
          <w:w w:val="100"/>
        </w:rPr>
        <w:t>日（内部控制评价报告基准日）</w:t>
      </w:r>
      <w:r>
        <w:rPr>
          <w:w w:val="100"/>
        </w:rPr>
        <w:t> </w:t>
      </w:r>
      <w:r>
        <w:rPr>
          <w:spacing w:val="-2"/>
        </w:rPr>
        <w:t>有效。评价过程中未发现与财务报告相关的内部控制重大缺陷，也未发现与非财务报告相关的内</w:t>
      </w:r>
      <w:r>
        <w:rPr>
          <w:spacing w:val="-25"/>
        </w:rPr>
        <w:t> </w:t>
      </w:r>
      <w:r>
        <w:rPr>
          <w:spacing w:val="-25"/>
        </w:rPr>
      </w:r>
      <w:r>
        <w:rPr/>
        <w:t>部控制重大缺陷。</w:t>
      </w:r>
    </w:p>
    <w:p>
      <w:pPr>
        <w:spacing w:line="240" w:lineRule="auto" w:before="5"/>
        <w:rPr>
          <w:rFonts w:ascii="宋体" w:hAnsi="宋体" w:cs="宋体" w:eastAsia="宋体" w:hint="default"/>
          <w:sz w:val="16"/>
          <w:szCs w:val="16"/>
        </w:rPr>
      </w:pPr>
    </w:p>
    <w:p>
      <w:pPr>
        <w:pStyle w:val="BodyText"/>
        <w:spacing w:line="274" w:lineRule="exact"/>
        <w:ind w:left="138" w:right="108"/>
        <w:jc w:val="left"/>
      </w:pPr>
      <w:r>
        <w:rPr/>
        <w:t>报告期内部控制存在重大缺陷情况的说明</w:t>
      </w:r>
    </w:p>
    <w:p>
      <w:pPr>
        <w:pStyle w:val="BodyText"/>
        <w:spacing w:line="274" w:lineRule="exact"/>
        <w:ind w:left="138" w:right="670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138" w:right="108"/>
        <w:jc w:val="left"/>
        <w:rPr>
          <w:b w:val="0"/>
          <w:bCs w:val="0"/>
        </w:rPr>
      </w:pPr>
      <w:r>
        <w:rPr/>
        <w:t>九、内部控制审计报告的相关情况说明</w:t>
      </w:r>
      <w:r>
        <w:rPr>
          <w:b w:val="0"/>
          <w:bCs w:val="0"/>
        </w:rPr>
      </w:r>
    </w:p>
    <w:p>
      <w:pPr>
        <w:pStyle w:val="BodyText"/>
        <w:tabs>
          <w:tab w:pos="980" w:val="left" w:leader="none"/>
        </w:tabs>
        <w:spacing w:line="240" w:lineRule="auto" w:before="56"/>
        <w:ind w:left="138" w:right="6101"/>
        <w:jc w:val="left"/>
      </w:pPr>
      <w:r>
        <w:rPr>
          <w:spacing w:val="-1"/>
        </w:rPr>
        <w:t>□适用</w:t>
        <w:tab/>
      </w:r>
      <w:r>
        <w:rPr>
          <w:spacing w:val="-2"/>
        </w:rPr>
        <w:t>√不适用</w:t>
      </w:r>
      <w:r>
        <w:rPr>
          <w:spacing w:val="-99"/>
        </w:rPr>
        <w:t> </w:t>
      </w:r>
      <w:r>
        <w:rPr>
          <w:spacing w:val="-99"/>
        </w:rPr>
      </w:r>
      <w:r>
        <w:rPr>
          <w:spacing w:val="-2"/>
        </w:rPr>
        <w:t>是否披露内部控制审计报告：是</w:t>
      </w:r>
    </w:p>
    <w:p>
      <w:pPr>
        <w:spacing w:line="240" w:lineRule="auto" w:before="3"/>
        <w:rPr>
          <w:rFonts w:ascii="宋体" w:hAnsi="宋体" w:cs="宋体" w:eastAsia="宋体" w:hint="default"/>
          <w:sz w:val="25"/>
          <w:szCs w:val="25"/>
        </w:rPr>
      </w:pPr>
    </w:p>
    <w:p>
      <w:pPr>
        <w:pStyle w:val="Heading5"/>
        <w:spacing w:line="240" w:lineRule="auto"/>
        <w:ind w:left="138" w:right="6708"/>
        <w:jc w:val="left"/>
        <w:rPr>
          <w:b w:val="0"/>
          <w:bCs w:val="0"/>
        </w:rPr>
      </w:pPr>
      <w:r>
        <w:rPr/>
        <w:t>十、其他</w:t>
      </w:r>
      <w:r>
        <w:rPr>
          <w:b w:val="0"/>
          <w:bCs w:val="0"/>
        </w:rPr>
      </w:r>
    </w:p>
    <w:p>
      <w:pPr>
        <w:pStyle w:val="BodyText"/>
        <w:tabs>
          <w:tab w:pos="980" w:val="left" w:leader="none"/>
        </w:tabs>
        <w:spacing w:line="240" w:lineRule="auto" w:before="56"/>
        <w:ind w:left="138" w:right="6708"/>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108"/>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6708"/>
        <w:jc w:val="left"/>
      </w:pPr>
      <w:r>
        <w:rPr/>
        <w:t>□适用</w:t>
      </w:r>
      <w:r>
        <w:rPr>
          <w:spacing w:val="-1"/>
        </w:rPr>
        <w:t> </w:t>
      </w:r>
      <w:r>
        <w:rPr/>
        <w:t>√不适用</w:t>
      </w:r>
    </w:p>
    <w:p>
      <w:pPr>
        <w:spacing w:after="0" w:line="240" w:lineRule="auto"/>
        <w:jc w:val="left"/>
        <w:sectPr>
          <w:footerReference w:type="default" r:id="rId39"/>
          <w:pgSz w:w="11910" w:h="16840"/>
          <w:pgMar w:footer="1195" w:header="880"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before="14"/>
        <w:ind w:left="3343" w:right="35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41"/>
          <w:pgSz w:w="11910" w:h="16840"/>
          <w:pgMar w:footer="1195" w:header="880" w:top="1100" w:bottom="1380" w:left="1660" w:right="940"/>
          <w:pgNumType w:start="61"/>
        </w:sectPr>
      </w:pPr>
    </w:p>
    <w:p>
      <w:pPr>
        <w:pStyle w:val="Heading5"/>
        <w:spacing w:line="240" w:lineRule="auto" w:before="36"/>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8"/>
        <w:rPr>
          <w:rFonts w:ascii="宋体" w:hAnsi="宋体" w:cs="宋体" w:eastAsia="宋体" w:hint="default"/>
          <w:sz w:val="39"/>
          <w:szCs w:val="39"/>
        </w:rPr>
      </w:pPr>
      <w:r>
        <w:rPr/>
        <w:br w:type="column"/>
      </w:r>
      <w:r>
        <w:rPr>
          <w:rFonts w:ascii="宋体"/>
          <w:sz w:val="39"/>
        </w:rPr>
      </w:r>
    </w:p>
    <w:p>
      <w:pPr>
        <w:spacing w:before="0"/>
        <w:ind w:left="138"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w:t>
      </w:r>
      <w:r>
        <w:rPr>
          <w:rFonts w:ascii="Microsoft JhengHei" w:hAnsi="Microsoft JhengHei" w:cs="Microsoft JhengHei" w:eastAsia="Microsoft JhengHei" w:hint="default"/>
          <w:sz w:val="32"/>
          <w:szCs w:val="32"/>
        </w:rPr>
      </w:r>
    </w:p>
    <w:p>
      <w:pPr>
        <w:spacing w:after="0"/>
        <w:jc w:val="left"/>
        <w:rPr>
          <w:rFonts w:ascii="Microsoft JhengHei" w:hAnsi="Microsoft JhengHei" w:cs="Microsoft JhengHei" w:eastAsia="Microsoft JhengHei" w:hint="default"/>
          <w:sz w:val="32"/>
          <w:szCs w:val="32"/>
        </w:rPr>
        <w:sectPr>
          <w:type w:val="continuous"/>
          <w:pgSz w:w="11910" w:h="16840"/>
          <w:pgMar w:top="1120" w:bottom="1380" w:left="1660" w:right="940"/>
          <w:cols w:num="2" w:equalWidth="0">
            <w:col w:w="1715" w:space="2058"/>
            <w:col w:w="5537"/>
          </w:cols>
        </w:sectPr>
      </w:pPr>
    </w:p>
    <w:p>
      <w:pPr>
        <w:spacing w:line="240" w:lineRule="auto" w:before="5"/>
        <w:rPr>
          <w:rFonts w:ascii="Microsoft JhengHei" w:hAnsi="Microsoft JhengHei" w:cs="Microsoft JhengHei" w:eastAsia="Microsoft JhengHei" w:hint="default"/>
          <w:b/>
          <w:bCs/>
          <w:sz w:val="18"/>
          <w:szCs w:val="18"/>
        </w:rPr>
      </w:pPr>
    </w:p>
    <w:p>
      <w:pPr>
        <w:pStyle w:val="Heading3"/>
        <w:spacing w:line="240" w:lineRule="auto" w:before="26"/>
        <w:ind w:left="5385" w:right="25"/>
        <w:jc w:val="left"/>
      </w:pPr>
      <w:r>
        <w:rPr>
          <w:spacing w:val="2"/>
        </w:rPr>
        <w:t>致同审字（</w:t>
      </w:r>
      <w:r>
        <w:rPr>
          <w:rFonts w:ascii="Arial Narrow" w:hAnsi="Arial Narrow" w:cs="Arial Narrow" w:eastAsia="Arial Narrow" w:hint="default"/>
          <w:spacing w:val="2"/>
        </w:rPr>
        <w:t>2018</w:t>
      </w:r>
      <w:r>
        <w:rPr>
          <w:spacing w:val="2"/>
        </w:rPr>
        <w:t>）第</w:t>
      </w:r>
      <w:r>
        <w:rPr>
          <w:spacing w:val="-48"/>
        </w:rPr>
        <w:t> </w:t>
      </w:r>
      <w:r>
        <w:rPr>
          <w:rFonts w:ascii="Arial Narrow" w:hAnsi="Arial Narrow" w:cs="Arial Narrow" w:eastAsia="Arial Narrow" w:hint="default"/>
          <w:spacing w:val="3"/>
        </w:rPr>
        <w:t>320ZA0060</w:t>
      </w:r>
      <w:r>
        <w:rPr>
          <w:rFonts w:ascii="Arial Narrow" w:hAnsi="Arial Narrow" w:cs="Arial Narrow" w:eastAsia="Arial Narrow" w:hint="default"/>
          <w:spacing w:val="18"/>
        </w:rPr>
        <w:t> </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2"/>
        <w:spacing w:line="367" w:lineRule="exact"/>
        <w:ind w:left="138" w:right="25"/>
        <w:jc w:val="left"/>
        <w:rPr>
          <w:b w:val="0"/>
          <w:bCs w:val="0"/>
        </w:rPr>
      </w:pPr>
      <w:r>
        <w:rPr>
          <w:spacing w:val="8"/>
        </w:rPr>
        <w:t>日出东方太阳能股份有限公司全体股东：</w:t>
      </w:r>
      <w:r>
        <w:rPr>
          <w:b w:val="0"/>
          <w:bCs w:val="0"/>
          <w:spacing w:val="8"/>
        </w:rPr>
      </w:r>
    </w:p>
    <w:p>
      <w:pPr>
        <w:pStyle w:val="Heading3"/>
        <w:spacing w:line="336" w:lineRule="auto" w:before="91"/>
        <w:ind w:left="618" w:right="25" w:firstLine="2"/>
        <w:jc w:val="left"/>
      </w:pPr>
      <w:r>
        <w:rPr>
          <w:rFonts w:ascii="Microsoft JhengHei" w:hAnsi="Microsoft JhengHei" w:cs="Microsoft JhengHei" w:eastAsia="Microsoft JhengHei" w:hint="default"/>
          <w:b/>
          <w:bCs/>
        </w:rPr>
        <w:t>一、审计意见 </w:t>
      </w:r>
      <w:r>
        <w:rPr>
          <w:spacing w:val="-2"/>
        </w:rPr>
        <w:t>我们审计了日出东方太阳能股份有限公司（以下简称日出东方公司）财务报表，</w:t>
      </w:r>
    </w:p>
    <w:p>
      <w:pPr>
        <w:pStyle w:val="Heading3"/>
        <w:spacing w:line="310" w:lineRule="exact"/>
        <w:ind w:right="25"/>
        <w:jc w:val="left"/>
      </w:pPr>
      <w:r>
        <w:rPr/>
        <w:t>包括</w:t>
      </w:r>
      <w:r>
        <w:rPr>
          <w:spacing w:val="-58"/>
        </w:rPr>
        <w:t> </w:t>
      </w:r>
      <w:r>
        <w:rPr>
          <w:rFonts w:ascii="Arial Narrow" w:hAnsi="Arial Narrow" w:cs="Arial Narrow" w:eastAsia="Arial Narrow" w:hint="default"/>
        </w:rPr>
        <w:t>2017</w:t>
      </w:r>
      <w:r>
        <w:rPr>
          <w:rFonts w:ascii="Arial Narrow" w:hAnsi="Arial Narrow" w:cs="Arial Narrow" w:eastAsia="Arial Narrow" w:hint="default"/>
          <w:spacing w:val="9"/>
        </w:rPr>
        <w:t> </w:t>
      </w:r>
      <w:r>
        <w:rPr/>
        <w:t>年</w:t>
      </w:r>
      <w:r>
        <w:rPr>
          <w:spacing w:val="-57"/>
        </w:rPr>
        <w:t> </w:t>
      </w:r>
      <w:r>
        <w:rPr>
          <w:rFonts w:ascii="Arial Narrow" w:hAnsi="Arial Narrow" w:cs="Arial Narrow" w:eastAsia="Arial Narrow" w:hint="default"/>
        </w:rPr>
        <w:t>12</w:t>
      </w:r>
      <w:r>
        <w:rPr>
          <w:rFonts w:ascii="Arial Narrow" w:hAnsi="Arial Narrow" w:cs="Arial Narrow" w:eastAsia="Arial Narrow" w:hint="default"/>
          <w:spacing w:val="9"/>
        </w:rPr>
        <w:t> </w:t>
      </w:r>
      <w:r>
        <w:rPr/>
        <w:t>月</w:t>
      </w:r>
      <w:r>
        <w:rPr>
          <w:spacing w:val="-60"/>
        </w:rPr>
        <w:t> </w:t>
      </w:r>
      <w:r>
        <w:rPr>
          <w:rFonts w:ascii="Arial Narrow" w:hAnsi="Arial Narrow" w:cs="Arial Narrow" w:eastAsia="Arial Narrow" w:hint="default"/>
        </w:rPr>
        <w:t>31</w:t>
      </w:r>
      <w:r>
        <w:rPr>
          <w:rFonts w:ascii="Arial Narrow" w:hAnsi="Arial Narrow" w:cs="Arial Narrow" w:eastAsia="Arial Narrow" w:hint="default"/>
          <w:spacing w:val="9"/>
        </w:rPr>
        <w:t> </w:t>
      </w:r>
      <w:r>
        <w:rPr>
          <w:spacing w:val="-4"/>
        </w:rPr>
        <w:t>日的合并及公司资产负债表，</w:t>
      </w:r>
      <w:r>
        <w:rPr>
          <w:rFonts w:ascii="Arial Narrow" w:hAnsi="Arial Narrow" w:cs="Arial Narrow" w:eastAsia="Arial Narrow" w:hint="default"/>
          <w:spacing w:val="-4"/>
        </w:rPr>
        <w:t>2017</w:t>
      </w:r>
      <w:r>
        <w:rPr>
          <w:rFonts w:ascii="Arial Narrow" w:hAnsi="Arial Narrow" w:cs="Arial Narrow" w:eastAsia="Arial Narrow" w:hint="default"/>
          <w:spacing w:val="9"/>
        </w:rPr>
        <w:t> </w:t>
      </w:r>
      <w:r>
        <w:rPr>
          <w:spacing w:val="-5"/>
        </w:rPr>
        <w:t>年度的合并及公司利润表、合</w:t>
      </w:r>
    </w:p>
    <w:p>
      <w:pPr>
        <w:pStyle w:val="Heading3"/>
        <w:spacing w:line="388" w:lineRule="auto" w:before="58"/>
        <w:ind w:left="618" w:right="25" w:hanging="480"/>
        <w:jc w:val="left"/>
      </w:pPr>
      <w:r>
        <w:rPr/>
        <w:t>并及公司现金流量表、合并及公司股东权益变动表以及相关财务报表附注。 </w:t>
      </w:r>
      <w:r>
        <w:rPr>
          <w:spacing w:val="-2"/>
        </w:rPr>
        <w:t>我们认为，后附的财务报表在所有重大方面按照企业会计准则的规定编制，公允</w:t>
      </w:r>
    </w:p>
    <w:p>
      <w:pPr>
        <w:pStyle w:val="Heading3"/>
        <w:spacing w:line="259" w:lineRule="exact"/>
        <w:ind w:right="25"/>
        <w:jc w:val="left"/>
      </w:pPr>
      <w:r>
        <w:rPr>
          <w:spacing w:val="3"/>
        </w:rPr>
        <w:t>反映了日出东方公司</w:t>
      </w:r>
      <w:r>
        <w:rPr>
          <w:spacing w:val="-55"/>
        </w:rPr>
        <w:t> </w:t>
      </w:r>
      <w:r>
        <w:rPr>
          <w:rFonts w:ascii="Arial Narrow" w:hAnsi="Arial Narrow" w:cs="Arial Narrow" w:eastAsia="Arial Narrow" w:hint="default"/>
        </w:rPr>
        <w:t>2017</w:t>
      </w:r>
      <w:r>
        <w:rPr>
          <w:rFonts w:ascii="Arial Narrow" w:hAnsi="Arial Narrow" w:cs="Arial Narrow" w:eastAsia="Arial Narrow" w:hint="default"/>
          <w:spacing w:val="11"/>
        </w:rPr>
        <w:t> </w:t>
      </w:r>
      <w:r>
        <w:rPr/>
        <w:t>年</w:t>
      </w:r>
      <w:r>
        <w:rPr>
          <w:spacing w:val="-56"/>
        </w:rPr>
        <w:t> </w:t>
      </w:r>
      <w:r>
        <w:rPr>
          <w:rFonts w:ascii="Arial Narrow" w:hAnsi="Arial Narrow" w:cs="Arial Narrow" w:eastAsia="Arial Narrow" w:hint="default"/>
        </w:rPr>
        <w:t>12</w:t>
      </w:r>
      <w:r>
        <w:rPr>
          <w:rFonts w:ascii="Arial Narrow" w:hAnsi="Arial Narrow" w:cs="Arial Narrow" w:eastAsia="Arial Narrow" w:hint="default"/>
          <w:spacing w:val="11"/>
        </w:rPr>
        <w:t> </w:t>
      </w:r>
      <w:r>
        <w:rPr/>
        <w:t>月</w:t>
      </w:r>
      <w:r>
        <w:rPr>
          <w:spacing w:val="-56"/>
        </w:rPr>
        <w:t> </w:t>
      </w:r>
      <w:r>
        <w:rPr>
          <w:rFonts w:ascii="Arial Narrow" w:hAnsi="Arial Narrow" w:cs="Arial Narrow" w:eastAsia="Arial Narrow" w:hint="default"/>
        </w:rPr>
        <w:t>31</w:t>
      </w:r>
      <w:r>
        <w:rPr>
          <w:rFonts w:ascii="Arial Narrow" w:hAnsi="Arial Narrow" w:cs="Arial Narrow" w:eastAsia="Arial Narrow" w:hint="default"/>
          <w:spacing w:val="11"/>
        </w:rPr>
        <w:t> </w:t>
      </w:r>
      <w:r>
        <w:rPr/>
        <w:t>日的合并及公司财务状况以及</w:t>
      </w:r>
      <w:r>
        <w:rPr>
          <w:spacing w:val="-55"/>
        </w:rPr>
        <w:t> </w:t>
      </w:r>
      <w:r>
        <w:rPr>
          <w:rFonts w:ascii="Arial Narrow" w:hAnsi="Arial Narrow" w:cs="Arial Narrow" w:eastAsia="Arial Narrow" w:hint="default"/>
        </w:rPr>
        <w:t>2017</w:t>
      </w:r>
      <w:r>
        <w:rPr>
          <w:rFonts w:ascii="Arial Narrow" w:hAnsi="Arial Narrow" w:cs="Arial Narrow" w:eastAsia="Arial Narrow" w:hint="default"/>
          <w:spacing w:val="11"/>
        </w:rPr>
        <w:t> </w:t>
      </w:r>
      <w:r>
        <w:rPr/>
        <w:t>年度的合并</w:t>
      </w:r>
    </w:p>
    <w:p>
      <w:pPr>
        <w:spacing w:line="331" w:lineRule="auto" w:before="58"/>
        <w:ind w:left="620" w:right="5789" w:hanging="48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及公司的经营成果和现金流量。 </w:t>
      </w:r>
      <w:r>
        <w:rPr>
          <w:rFonts w:ascii="Microsoft JhengHei" w:hAnsi="Microsoft JhengHei" w:cs="Microsoft JhengHei" w:eastAsia="Microsoft JhengHei" w:hint="default"/>
          <w:b/>
          <w:bCs/>
          <w:sz w:val="24"/>
          <w:szCs w:val="24"/>
        </w:rPr>
        <w:t>二、形成审计意见的基础</w:t>
      </w:r>
      <w:r>
        <w:rPr>
          <w:rFonts w:ascii="Microsoft JhengHei" w:hAnsi="Microsoft JhengHei" w:cs="Microsoft JhengHei" w:eastAsia="Microsoft JhengHei" w:hint="default"/>
          <w:sz w:val="24"/>
          <w:szCs w:val="24"/>
        </w:rPr>
      </w:r>
    </w:p>
    <w:p>
      <w:pPr>
        <w:pStyle w:val="Heading3"/>
        <w:spacing w:line="297" w:lineRule="auto" w:before="46"/>
        <w:ind w:right="340" w:firstLine="496"/>
        <w:jc w:val="both"/>
      </w:pPr>
      <w:r>
        <w:rPr>
          <w:spacing w:val="4"/>
        </w:rPr>
        <w:t>我们按照中国注册会计师审计准则的规定执行了审计工作。审计报告的“注册</w:t>
      </w:r>
      <w:r>
        <w:rPr/>
        <w:t> </w:t>
      </w:r>
      <w:r>
        <w:rPr>
          <w:spacing w:val="4"/>
        </w:rPr>
        <w:t>会计师对财务报表审计的责任”部分进一步阐述了我们在这些准则下的责任。按照</w:t>
      </w:r>
      <w:r>
        <w:rPr>
          <w:spacing w:val="-111"/>
        </w:rPr>
        <w:t> </w:t>
      </w:r>
      <w:r>
        <w:rPr>
          <w:spacing w:val="-111"/>
        </w:rPr>
      </w:r>
      <w:r>
        <w:rPr>
          <w:spacing w:val="4"/>
        </w:rPr>
        <w:t>中国注册会计师职业道德守则，我们独立于日出东方公司，并履行了职业道德方面</w:t>
      </w:r>
      <w:r>
        <w:rPr>
          <w:spacing w:val="-102"/>
        </w:rPr>
        <w:t> </w:t>
      </w:r>
      <w:r>
        <w:rPr>
          <w:spacing w:val="-102"/>
        </w:rPr>
      </w:r>
      <w:r>
        <w:rPr>
          <w:spacing w:val="4"/>
        </w:rPr>
        <w:t>的其他责任。我们相信，我们获取的审计证据是充分、适当的，为发表审计意见提</w:t>
      </w:r>
      <w:r>
        <w:rPr>
          <w:spacing w:val="-108"/>
        </w:rPr>
        <w:t> </w:t>
      </w:r>
      <w:r>
        <w:rPr>
          <w:spacing w:val="-108"/>
        </w:rPr>
      </w:r>
      <w:r>
        <w:rPr>
          <w:spacing w:val="6"/>
        </w:rPr>
        <w:t>供了基础。</w:t>
      </w:r>
    </w:p>
    <w:p>
      <w:pPr>
        <w:spacing w:line="338" w:lineRule="auto" w:before="61"/>
        <w:ind w:left="634" w:right="25" w:hanging="15"/>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三、关键审计事项</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4"/>
          <w:sz w:val="24"/>
          <w:szCs w:val="24"/>
        </w:rPr>
        <w:t>关键审计事项是我们根据职业判断，认为对本期财务报表审计最为重要的事项。</w:t>
      </w:r>
    </w:p>
    <w:p>
      <w:pPr>
        <w:pStyle w:val="Heading3"/>
        <w:spacing w:line="290" w:lineRule="exact"/>
        <w:ind w:right="25"/>
        <w:jc w:val="left"/>
      </w:pPr>
      <w:r>
        <w:rPr>
          <w:spacing w:val="4"/>
        </w:rPr>
        <w:t>这些事项的应对以对财务报表整体进行审计并形成审计意见为背景，我们不对这些</w:t>
      </w:r>
    </w:p>
    <w:p>
      <w:pPr>
        <w:pStyle w:val="Heading3"/>
        <w:spacing w:line="240" w:lineRule="auto" w:before="74"/>
        <w:ind w:right="25"/>
        <w:jc w:val="left"/>
      </w:pPr>
      <w:r>
        <w:rPr>
          <w:spacing w:val="6"/>
        </w:rPr>
        <w:t>事项单独发表意见。</w:t>
      </w:r>
    </w:p>
    <w:p>
      <w:pPr>
        <w:pStyle w:val="Heading3"/>
        <w:spacing w:line="388" w:lineRule="auto" w:before="194"/>
        <w:ind w:left="634" w:right="4013"/>
        <w:jc w:val="left"/>
      </w:pPr>
      <w:r>
        <w:rPr>
          <w:spacing w:val="6"/>
        </w:rPr>
        <w:t>（一）与帅康电气的收购事项的会计处理</w:t>
      </w:r>
      <w:r>
        <w:rPr>
          <w:spacing w:val="-109"/>
        </w:rPr>
        <w:t> </w:t>
      </w:r>
      <w:r>
        <w:rPr>
          <w:spacing w:val="-109"/>
        </w:rPr>
      </w:r>
      <w:r>
        <w:rPr>
          <w:spacing w:val="6"/>
        </w:rPr>
        <w:t>参见财务报表附注六。</w:t>
      </w:r>
    </w:p>
    <w:p>
      <w:pPr>
        <w:pStyle w:val="Heading3"/>
        <w:spacing w:line="240" w:lineRule="auto" w:before="46"/>
        <w:ind w:left="634" w:right="25"/>
        <w:jc w:val="left"/>
      </w:pPr>
      <w:r>
        <w:rPr>
          <w:rFonts w:ascii="Arial Narrow" w:hAnsi="Arial Narrow" w:cs="Arial Narrow" w:eastAsia="Arial Narrow" w:hint="default"/>
          <w:spacing w:val="5"/>
        </w:rPr>
        <w:t>1</w:t>
      </w:r>
      <w:r>
        <w:rPr>
          <w:spacing w:val="5"/>
        </w:rPr>
        <w:t>、事项描述</w:t>
      </w:r>
    </w:p>
    <w:p>
      <w:pPr>
        <w:pStyle w:val="Heading3"/>
        <w:spacing w:line="283" w:lineRule="auto" w:before="178"/>
        <w:ind w:right="341" w:firstLine="496"/>
        <w:jc w:val="both"/>
      </w:pPr>
      <w:r>
        <w:rPr>
          <w:spacing w:val="6"/>
        </w:rPr>
        <w:t>本年度日出东方公司以总对价 </w:t>
      </w:r>
      <w:r>
        <w:rPr>
          <w:rFonts w:ascii="Arial Narrow" w:hAnsi="Arial Narrow" w:cs="Arial Narrow" w:eastAsia="Arial Narrow" w:hint="default"/>
          <w:spacing w:val="3"/>
        </w:rPr>
        <w:t>73,500.00</w:t>
      </w:r>
      <w:r>
        <w:rPr>
          <w:rFonts w:ascii="Arial Narrow" w:hAnsi="Arial Narrow" w:cs="Arial Narrow" w:eastAsia="Arial Narrow" w:hint="default"/>
          <w:spacing w:val="26"/>
        </w:rPr>
        <w:t> </w:t>
      </w:r>
      <w:r>
        <w:rPr>
          <w:spacing w:val="6"/>
        </w:rPr>
        <w:t>万元收购了帅康集团有限公司持有的</w:t>
      </w:r>
      <w:r>
        <w:rPr/>
        <w:t> </w:t>
      </w:r>
      <w:r>
        <w:rPr>
          <w:spacing w:val="4"/>
        </w:rPr>
        <w:t>浙江帅康电气股份有限公司（以下简称“帅康电气”，在完成本次收购前，帅康电</w:t>
      </w:r>
    </w:p>
    <w:p>
      <w:pPr>
        <w:spacing w:after="0" w:line="283" w:lineRule="auto"/>
        <w:jc w:val="both"/>
        <w:sectPr>
          <w:type w:val="continuous"/>
          <w:pgSz w:w="11910" w:h="16840"/>
          <w:pgMar w:top="1120" w:bottom="1380" w:left="1660" w:right="940"/>
        </w:sectPr>
      </w:pPr>
    </w:p>
    <w:p>
      <w:pPr>
        <w:spacing w:line="240" w:lineRule="auto" w:before="2"/>
        <w:rPr>
          <w:rFonts w:ascii="宋体" w:hAnsi="宋体" w:cs="宋体" w:eastAsia="宋体" w:hint="default"/>
          <w:sz w:val="26"/>
          <w:szCs w:val="26"/>
        </w:rPr>
      </w:pPr>
    </w:p>
    <w:p>
      <w:pPr>
        <w:pStyle w:val="Heading3"/>
        <w:spacing w:line="240" w:lineRule="auto" w:before="26"/>
        <w:ind w:right="0"/>
        <w:jc w:val="left"/>
        <w:rPr>
          <w:rFonts w:ascii="Arial Narrow" w:hAnsi="Arial Narrow" w:cs="Arial Narrow" w:eastAsia="Arial Narrow" w:hint="default"/>
        </w:rPr>
      </w:pPr>
      <w:r>
        <w:rPr>
          <w:spacing w:val="6"/>
        </w:rPr>
        <w:t>气已分别完成对浙江帅康营销有限公司及宁波帅康热水器有限公司剩余</w:t>
      </w:r>
      <w:r>
        <w:rPr>
          <w:spacing w:val="-47"/>
        </w:rPr>
        <w:t> </w:t>
      </w:r>
      <w:r>
        <w:rPr>
          <w:rFonts w:ascii="Arial Narrow" w:hAnsi="Arial Narrow" w:cs="Arial Narrow" w:eastAsia="Arial Narrow" w:hint="default"/>
          <w:spacing w:val="2"/>
        </w:rPr>
        <w:t>75%</w:t>
      </w:r>
      <w:r>
        <w:rPr>
          <w:spacing w:val="2"/>
        </w:rPr>
        <w:t>及</w:t>
      </w:r>
      <w:r>
        <w:rPr>
          <w:spacing w:val="-55"/>
        </w:rPr>
        <w:t> </w:t>
      </w:r>
      <w:r>
        <w:rPr>
          <w:rFonts w:ascii="Arial Narrow" w:hAnsi="Arial Narrow" w:cs="Arial Narrow" w:eastAsia="Arial Narrow" w:hint="default"/>
          <w:spacing w:val="2"/>
        </w:rPr>
        <w:t>49%</w:t>
      </w:r>
    </w:p>
    <w:p>
      <w:pPr>
        <w:pStyle w:val="Heading3"/>
        <w:spacing w:line="240" w:lineRule="auto" w:before="60"/>
        <w:ind w:right="0"/>
        <w:jc w:val="left"/>
      </w:pPr>
      <w:r>
        <w:rPr>
          <w:spacing w:val="6"/>
        </w:rPr>
        <w:t>的股权收购，将其</w:t>
      </w:r>
      <w:r>
        <w:rPr>
          <w:spacing w:val="-42"/>
        </w:rPr>
        <w:t> </w:t>
      </w:r>
      <w:r>
        <w:rPr>
          <w:rFonts w:ascii="Arial Narrow" w:hAnsi="Arial Narrow" w:cs="Arial Narrow" w:eastAsia="Arial Narrow" w:hint="default"/>
          <w:spacing w:val="5"/>
        </w:rPr>
        <w:t>100%</w:t>
      </w:r>
      <w:r>
        <w:rPr>
          <w:spacing w:val="5"/>
        </w:rPr>
        <w:t>纳入合并范围）</w:t>
      </w:r>
      <w:r>
        <w:rPr>
          <w:rFonts w:ascii="Arial Narrow" w:hAnsi="Arial Narrow" w:cs="Arial Narrow" w:eastAsia="Arial Narrow" w:hint="default"/>
          <w:spacing w:val="5"/>
        </w:rPr>
        <w:t>75%</w:t>
      </w:r>
      <w:r>
        <w:rPr>
          <w:spacing w:val="5"/>
        </w:rPr>
        <w:t>的股权。</w:t>
      </w:r>
    </w:p>
    <w:p>
      <w:pPr>
        <w:pStyle w:val="Heading3"/>
        <w:spacing w:line="295" w:lineRule="auto" w:before="178"/>
        <w:ind w:right="138" w:firstLine="496"/>
        <w:jc w:val="both"/>
      </w:pPr>
      <w:r>
        <w:rPr>
          <w:spacing w:val="6"/>
        </w:rPr>
        <w:t>根据《企业会计准则 </w:t>
      </w:r>
      <w:r>
        <w:rPr>
          <w:rFonts w:ascii="Arial Narrow" w:hAnsi="Arial Narrow" w:cs="Arial Narrow" w:eastAsia="Arial Narrow" w:hint="default"/>
        </w:rPr>
        <w:t>20</w:t>
      </w:r>
      <w:r>
        <w:rPr>
          <w:rFonts w:ascii="Arial Narrow" w:hAnsi="Arial Narrow" w:cs="Arial Narrow" w:eastAsia="Arial Narrow" w:hint="default"/>
          <w:spacing w:val="30"/>
        </w:rPr>
        <w:t> </w:t>
      </w:r>
      <w:r>
        <w:rPr>
          <w:spacing w:val="6"/>
        </w:rPr>
        <w:t>号一业务合并》的规定，日出东方公司需要在购买日</w:t>
      </w:r>
      <w:r>
        <w:rPr/>
        <w:t> </w:t>
      </w:r>
      <w:r>
        <w:rPr>
          <w:spacing w:val="4"/>
        </w:rPr>
        <w:t>对合并成本进行分配，确认所取得的被购买方各项符合确认条件的可辨认资产、负</w:t>
      </w:r>
      <w:r>
        <w:rPr>
          <w:spacing w:val="-110"/>
        </w:rPr>
        <w:t> </w:t>
      </w:r>
      <w:r>
        <w:rPr>
          <w:spacing w:val="-110"/>
        </w:rPr>
      </w:r>
      <w:r>
        <w:rPr>
          <w:spacing w:val="4"/>
        </w:rPr>
        <w:t>债及或有负债于购买日的公允价值，并计算收购产生的商誉。由于金额重大，且被</w:t>
      </w:r>
      <w:r>
        <w:rPr>
          <w:spacing w:val="-113"/>
        </w:rPr>
        <w:t> </w:t>
      </w:r>
      <w:r>
        <w:rPr>
          <w:spacing w:val="-113"/>
        </w:rPr>
      </w:r>
      <w:r>
        <w:rPr>
          <w:spacing w:val="11"/>
        </w:rPr>
        <w:t>收购资产和负债及或有负债的公允价值的确定涉及复杂的估值技术以及管理层重</w:t>
      </w:r>
      <w:r>
        <w:rPr>
          <w:spacing w:val="-108"/>
        </w:rPr>
        <w:t> </w:t>
      </w:r>
      <w:r>
        <w:rPr>
          <w:spacing w:val="-108"/>
        </w:rPr>
      </w:r>
      <w:r>
        <w:rPr>
          <w:spacing w:val="4"/>
        </w:rPr>
        <w:t>大估计及判断，包括折现率以及基于未来市场供需情况的现金流量预测等。估值基</w:t>
      </w:r>
      <w:r>
        <w:rPr>
          <w:spacing w:val="-102"/>
        </w:rPr>
        <w:t> </w:t>
      </w:r>
      <w:r>
        <w:rPr>
          <w:spacing w:val="-102"/>
        </w:rPr>
      </w:r>
      <w:r>
        <w:rPr>
          <w:spacing w:val="4"/>
        </w:rPr>
        <w:t>础和方法的选择，管理层估计及判断的不同可能造成重大财务影响。因此，我们将</w:t>
      </w:r>
      <w:r>
        <w:rPr>
          <w:spacing w:val="-114"/>
        </w:rPr>
        <w:t> </w:t>
      </w:r>
      <w:r>
        <w:rPr>
          <w:spacing w:val="-114"/>
        </w:rPr>
      </w:r>
      <w:r>
        <w:rPr>
          <w:spacing w:val="6"/>
        </w:rPr>
        <w:t>与本次重大业务收购的相关会计处理视为日出东方公司 </w:t>
      </w:r>
      <w:r>
        <w:rPr>
          <w:rFonts w:ascii="Arial Narrow" w:hAnsi="Arial Narrow" w:cs="Arial Narrow" w:eastAsia="Arial Narrow" w:hint="default"/>
          <w:spacing w:val="2"/>
        </w:rPr>
        <w:t>2017</w:t>
      </w:r>
      <w:r>
        <w:rPr>
          <w:rFonts w:ascii="Arial Narrow" w:hAnsi="Arial Narrow" w:cs="Arial Narrow" w:eastAsia="Arial Narrow" w:hint="default"/>
          <w:spacing w:val="-16"/>
        </w:rPr>
        <w:t> </w:t>
      </w:r>
      <w:r>
        <w:rPr>
          <w:spacing w:val="6"/>
        </w:rPr>
        <w:t>年度关键审计事项。</w:t>
      </w:r>
    </w:p>
    <w:p>
      <w:pPr>
        <w:pStyle w:val="Heading3"/>
        <w:spacing w:line="240" w:lineRule="auto" w:before="115"/>
        <w:ind w:left="634" w:right="0"/>
        <w:jc w:val="left"/>
      </w:pPr>
      <w:r>
        <w:rPr>
          <w:rFonts w:ascii="Arial Narrow" w:hAnsi="Arial Narrow" w:cs="Arial Narrow" w:eastAsia="Arial Narrow" w:hint="default"/>
          <w:spacing w:val="5"/>
        </w:rPr>
        <w:t>2</w:t>
      </w:r>
      <w:r>
        <w:rPr>
          <w:spacing w:val="5"/>
        </w:rPr>
        <w:t>、审计应对</w:t>
      </w:r>
    </w:p>
    <w:p>
      <w:pPr>
        <w:pStyle w:val="Heading3"/>
        <w:spacing w:line="240" w:lineRule="auto" w:before="180"/>
        <w:ind w:left="634" w:right="0"/>
        <w:jc w:val="left"/>
      </w:pPr>
      <w:r>
        <w:rPr>
          <w:rFonts w:ascii="Arial Narrow" w:hAnsi="Arial Narrow" w:cs="Arial Narrow" w:eastAsia="Arial Narrow" w:hint="default"/>
          <w:spacing w:val="2"/>
        </w:rPr>
        <w:t>2017</w:t>
      </w:r>
      <w:r>
        <w:rPr>
          <w:rFonts w:ascii="Arial Narrow" w:hAnsi="Arial Narrow" w:cs="Arial Narrow" w:eastAsia="Arial Narrow" w:hint="default"/>
          <w:spacing w:val="30"/>
        </w:rPr>
        <w:t> </w:t>
      </w:r>
      <w:r>
        <w:rPr>
          <w:spacing w:val="6"/>
        </w:rPr>
        <w:t>年度财务报表审计中，执行了以下程序：</w:t>
      </w:r>
    </w:p>
    <w:p>
      <w:pPr>
        <w:pStyle w:val="Heading3"/>
        <w:spacing w:line="283" w:lineRule="auto" w:before="178"/>
        <w:ind w:right="146" w:firstLine="496"/>
        <w:jc w:val="both"/>
      </w:pPr>
      <w:r>
        <w:rPr>
          <w:spacing w:val="8"/>
        </w:rPr>
        <w:t>（</w:t>
      </w:r>
      <w:r>
        <w:rPr>
          <w:rFonts w:ascii="Arial Narrow" w:hAnsi="Arial Narrow" w:cs="Arial Narrow" w:eastAsia="Arial Narrow" w:hint="default"/>
          <w:spacing w:val="8"/>
        </w:rPr>
        <w:t>1</w:t>
      </w:r>
      <w:r>
        <w:rPr>
          <w:spacing w:val="8"/>
        </w:rPr>
        <w:t>）了解及评价了与重大资产收购相关的决策、审批的内部控制的设计有效</w:t>
      </w:r>
      <w:r>
        <w:rPr/>
        <w:t> </w:t>
      </w:r>
      <w:r>
        <w:rPr>
          <w:spacing w:val="7"/>
        </w:rPr>
        <w:t>性，并测试了关键控制执行的有效性，包括检查相关会议纪要和批准文件；</w:t>
      </w:r>
    </w:p>
    <w:p>
      <w:pPr>
        <w:pStyle w:val="Heading3"/>
        <w:spacing w:line="283" w:lineRule="auto" w:before="151"/>
        <w:ind w:right="146" w:firstLine="496"/>
        <w:jc w:val="both"/>
      </w:pPr>
      <w:r>
        <w:rPr>
          <w:spacing w:val="8"/>
        </w:rPr>
        <w:t>（</w:t>
      </w:r>
      <w:r>
        <w:rPr>
          <w:rFonts w:ascii="Arial Narrow" w:hAnsi="Arial Narrow" w:cs="Arial Narrow" w:eastAsia="Arial Narrow" w:hint="default"/>
          <w:spacing w:val="8"/>
        </w:rPr>
        <w:t>2</w:t>
      </w:r>
      <w:r>
        <w:rPr>
          <w:spacing w:val="8"/>
        </w:rPr>
        <w:t>）检查协议生效条件、合并价款的支付情况、完成资产交割并享有相应的</w:t>
      </w:r>
      <w:r>
        <w:rPr/>
        <w:t> </w:t>
      </w:r>
      <w:r>
        <w:rPr>
          <w:spacing w:val="6"/>
        </w:rPr>
        <w:t>收益和承担相应的风险的时点等评价收购日的判断；</w:t>
      </w:r>
    </w:p>
    <w:p>
      <w:pPr>
        <w:pStyle w:val="Heading3"/>
        <w:spacing w:line="283" w:lineRule="auto" w:before="152"/>
        <w:ind w:right="137" w:firstLine="496"/>
        <w:jc w:val="both"/>
      </w:pPr>
      <w:r>
        <w:rPr>
          <w:spacing w:val="1"/>
        </w:rPr>
        <w:t>（</w:t>
      </w:r>
      <w:r>
        <w:rPr>
          <w:rFonts w:ascii="Arial Narrow" w:hAnsi="Arial Narrow" w:cs="Arial Narrow" w:eastAsia="Arial Narrow" w:hint="default"/>
          <w:spacing w:val="1"/>
        </w:rPr>
        <w:t>3</w:t>
      </w:r>
      <w:r>
        <w:rPr>
          <w:spacing w:val="1"/>
        </w:rPr>
        <w:t>）评价管理层聘请的第三方评估机构的专业胜任能力、专业素质和客观性，</w:t>
      </w:r>
      <w:r>
        <w:rPr/>
        <w:t> </w:t>
      </w:r>
      <w:r>
        <w:rPr>
          <w:spacing w:val="7"/>
        </w:rPr>
        <w:t>理解和复核管理层对收购日各项可辨认资产确定的方法和分析；</w:t>
      </w:r>
    </w:p>
    <w:p>
      <w:pPr>
        <w:pStyle w:val="Heading3"/>
        <w:spacing w:line="283" w:lineRule="auto" w:before="151"/>
        <w:ind w:right="146" w:firstLine="496"/>
        <w:jc w:val="both"/>
      </w:pPr>
      <w:r>
        <w:rPr>
          <w:spacing w:val="8"/>
        </w:rPr>
        <w:t>（</w:t>
      </w:r>
      <w:r>
        <w:rPr>
          <w:rFonts w:ascii="Arial Narrow" w:hAnsi="Arial Narrow" w:cs="Arial Narrow" w:eastAsia="Arial Narrow" w:hint="default"/>
          <w:spacing w:val="8"/>
        </w:rPr>
        <w:t>4</w:t>
      </w:r>
      <w:r>
        <w:rPr>
          <w:spacing w:val="8"/>
        </w:rPr>
        <w:t>）复核收购日被收购方可辨认资产和负债的公允价值评估所采用的方法、</w:t>
      </w:r>
      <w:r>
        <w:rPr/>
        <w:t> </w:t>
      </w:r>
      <w:r>
        <w:rPr>
          <w:spacing w:val="6"/>
        </w:rPr>
        <w:t>假设和估计的合理性；</w:t>
      </w:r>
    </w:p>
    <w:p>
      <w:pPr>
        <w:pStyle w:val="Heading3"/>
        <w:spacing w:line="240" w:lineRule="auto" w:before="151"/>
        <w:ind w:left="634" w:right="0"/>
        <w:jc w:val="left"/>
      </w:pPr>
      <w:r>
        <w:rPr>
          <w:spacing w:val="6"/>
        </w:rPr>
        <w:t>（</w:t>
      </w:r>
      <w:r>
        <w:rPr>
          <w:rFonts w:ascii="Arial Narrow" w:hAnsi="Arial Narrow" w:cs="Arial Narrow" w:eastAsia="Arial Narrow" w:hint="default"/>
          <w:spacing w:val="6"/>
        </w:rPr>
        <w:t>5</w:t>
      </w:r>
      <w:r>
        <w:rPr>
          <w:spacing w:val="6"/>
        </w:rPr>
        <w:t>）复核商誉的计算及企业合并会计处理是否正确；</w:t>
      </w:r>
    </w:p>
    <w:p>
      <w:pPr>
        <w:pStyle w:val="Heading3"/>
        <w:spacing w:line="292" w:lineRule="auto" w:before="180"/>
        <w:ind w:right="141" w:firstLine="496"/>
        <w:jc w:val="both"/>
      </w:pPr>
      <w:r>
        <w:rPr>
          <w:spacing w:val="8"/>
        </w:rPr>
        <w:t>（</w:t>
      </w:r>
      <w:r>
        <w:rPr>
          <w:rFonts w:ascii="Arial Narrow" w:hAnsi="Arial Narrow" w:cs="Arial Narrow" w:eastAsia="Arial Narrow" w:hint="default"/>
          <w:spacing w:val="8"/>
        </w:rPr>
        <w:t>6</w:t>
      </w:r>
      <w:r>
        <w:rPr>
          <w:spacing w:val="8"/>
        </w:rPr>
        <w:t>）复核管理层及其估值专家在评估各项可辨认资产公允价值时运用的基本</w:t>
      </w:r>
      <w:r>
        <w:rPr/>
        <w:t> </w:t>
      </w:r>
      <w:r>
        <w:rPr>
          <w:spacing w:val="4"/>
        </w:rPr>
        <w:t>假设、估值基础、重大估计及判断的合理性，对折现率，我们参考了若干家可比公</w:t>
      </w:r>
      <w:r>
        <w:rPr>
          <w:spacing w:val="-105"/>
        </w:rPr>
        <w:t> </w:t>
      </w:r>
      <w:r>
        <w:rPr>
          <w:spacing w:val="-105"/>
        </w:rPr>
      </w:r>
      <w:r>
        <w:rPr>
          <w:spacing w:val="4"/>
        </w:rPr>
        <w:t>司的公开财务信息；对评估中采用的未来若干年的经营和财务假设，我们与帅康电</w:t>
      </w:r>
      <w:r>
        <w:rPr>
          <w:spacing w:val="-111"/>
        </w:rPr>
        <w:t> </w:t>
      </w:r>
      <w:r>
        <w:rPr>
          <w:spacing w:val="-111"/>
        </w:rPr>
      </w:r>
      <w:r>
        <w:rPr>
          <w:spacing w:val="6"/>
        </w:rPr>
        <w:t>气的历史财务数据、经批准的预算以及厨电行业的发展趋势进行了比较；</w:t>
      </w:r>
    </w:p>
    <w:p>
      <w:pPr>
        <w:pStyle w:val="Heading3"/>
        <w:spacing w:line="369" w:lineRule="auto" w:before="142"/>
        <w:ind w:left="634" w:right="0"/>
        <w:jc w:val="left"/>
      </w:pPr>
      <w:r>
        <w:rPr>
          <w:spacing w:val="6"/>
        </w:rPr>
        <w:t>（</w:t>
      </w:r>
      <w:r>
        <w:rPr>
          <w:rFonts w:ascii="Arial Narrow" w:hAnsi="Arial Narrow" w:cs="Arial Narrow" w:eastAsia="Arial Narrow" w:hint="default"/>
          <w:spacing w:val="6"/>
        </w:rPr>
        <w:t>7</w:t>
      </w:r>
      <w:r>
        <w:rPr>
          <w:spacing w:val="6"/>
        </w:rPr>
        <w:t>）检查财务报表中与该收购事项有关的披露是否充分。</w:t>
      </w:r>
      <w:r>
        <w:rPr>
          <w:spacing w:val="-106"/>
        </w:rPr>
        <w:t> </w:t>
      </w:r>
      <w:r>
        <w:rPr>
          <w:spacing w:val="-106"/>
        </w:rPr>
      </w:r>
      <w:r>
        <w:rPr>
          <w:spacing w:val="4"/>
        </w:rPr>
        <w:t>我们发现，评估中采用的方法和假设、对总对价的分摊以及收购事项的会计处</w:t>
      </w:r>
    </w:p>
    <w:p>
      <w:pPr>
        <w:pStyle w:val="Heading3"/>
        <w:spacing w:line="259" w:lineRule="exact"/>
        <w:ind w:right="0"/>
        <w:jc w:val="left"/>
      </w:pPr>
      <w:r>
        <w:rPr>
          <w:spacing w:val="6"/>
        </w:rPr>
        <w:t>理，与我们取得的审计证据是一致的，且在财务报表附注六中的披露是恰当的。</w:t>
      </w:r>
    </w:p>
    <w:p>
      <w:pPr>
        <w:pStyle w:val="Heading3"/>
        <w:spacing w:line="379" w:lineRule="auto" w:before="194"/>
        <w:ind w:left="634" w:right="1958"/>
        <w:jc w:val="left"/>
      </w:pPr>
      <w:r>
        <w:rPr>
          <w:spacing w:val="6"/>
        </w:rPr>
        <w:t>（二）商誉及使用寿命不确定的无形资产减值事项</w:t>
      </w:r>
      <w:r>
        <w:rPr>
          <w:spacing w:val="-106"/>
        </w:rPr>
        <w:t> </w:t>
      </w:r>
      <w:r>
        <w:rPr>
          <w:spacing w:val="-106"/>
        </w:rPr>
      </w:r>
      <w:r>
        <w:rPr>
          <w:spacing w:val="3"/>
        </w:rPr>
        <w:t>参见财务报表附注三、</w:t>
      </w:r>
      <w:r>
        <w:rPr>
          <w:rFonts w:ascii="Arial Narrow" w:hAnsi="Arial Narrow" w:cs="Arial Narrow" w:eastAsia="Arial Narrow" w:hint="default"/>
          <w:spacing w:val="3"/>
        </w:rPr>
        <w:t>19</w:t>
      </w:r>
      <w:r>
        <w:rPr>
          <w:rFonts w:ascii="Arial Narrow" w:hAnsi="Arial Narrow" w:cs="Arial Narrow" w:eastAsia="Arial Narrow" w:hint="default"/>
          <w:spacing w:val="6"/>
        </w:rPr>
        <w:t> </w:t>
      </w:r>
      <w:r>
        <w:rPr/>
        <w:t>以及附注五、</w:t>
      </w:r>
      <w:r>
        <w:rPr>
          <w:rFonts w:ascii="Arial Narrow" w:hAnsi="Arial Narrow" w:cs="Arial Narrow" w:eastAsia="Arial Narrow" w:hint="default"/>
        </w:rPr>
        <w:t>16</w:t>
      </w:r>
      <w:r>
        <w:rPr>
          <w:rFonts w:ascii="Arial Narrow" w:hAnsi="Arial Narrow" w:cs="Arial Narrow" w:eastAsia="Arial Narrow" w:hint="default"/>
          <w:spacing w:val="6"/>
        </w:rPr>
        <w:t> </w:t>
      </w:r>
      <w:r>
        <w:rPr/>
        <w:t>和</w:t>
      </w:r>
      <w:r>
        <w:rPr>
          <w:spacing w:val="-60"/>
        </w:rPr>
        <w:t> </w:t>
      </w:r>
      <w:r>
        <w:rPr>
          <w:rFonts w:ascii="Arial Narrow" w:hAnsi="Arial Narrow" w:cs="Arial Narrow" w:eastAsia="Arial Narrow" w:hint="default"/>
        </w:rPr>
        <w:t>17</w:t>
      </w:r>
      <w:r>
        <w:rPr/>
        <w:t>。</w:t>
      </w:r>
      <w:r>
        <w:rPr>
          <w:spacing w:val="-118"/>
        </w:rPr>
        <w:t> </w:t>
      </w:r>
      <w:r>
        <w:rPr>
          <w:rFonts w:ascii="Arial Narrow" w:hAnsi="Arial Narrow" w:cs="Arial Narrow" w:eastAsia="Arial Narrow" w:hint="default"/>
          <w:spacing w:val="5"/>
        </w:rPr>
        <w:t>1</w:t>
      </w:r>
      <w:r>
        <w:rPr>
          <w:spacing w:val="5"/>
        </w:rPr>
        <w:t>、事项描述</w:t>
      </w:r>
    </w:p>
    <w:p>
      <w:pPr>
        <w:spacing w:after="0" w:line="379" w:lineRule="auto"/>
        <w:jc w:val="left"/>
        <w:sectPr>
          <w:pgSz w:w="11910" w:h="16840"/>
          <w:pgMar w:header="880" w:footer="1195" w:top="1100" w:bottom="1380" w:left="1660" w:right="1140"/>
        </w:sectPr>
      </w:pPr>
    </w:p>
    <w:p>
      <w:pPr>
        <w:spacing w:line="240" w:lineRule="auto" w:before="2"/>
        <w:rPr>
          <w:rFonts w:ascii="宋体" w:hAnsi="宋体" w:cs="宋体" w:eastAsia="宋体" w:hint="default"/>
          <w:sz w:val="26"/>
          <w:szCs w:val="26"/>
        </w:rPr>
      </w:pPr>
    </w:p>
    <w:p>
      <w:pPr>
        <w:pStyle w:val="Heading3"/>
        <w:spacing w:line="240" w:lineRule="auto" w:before="26"/>
        <w:ind w:left="618" w:right="108"/>
        <w:jc w:val="left"/>
      </w:pPr>
      <w:r>
        <w:rPr/>
        <w:t>于</w:t>
      </w:r>
      <w:r>
        <w:rPr>
          <w:spacing w:val="-62"/>
        </w:rPr>
        <w:t> </w:t>
      </w:r>
      <w:r>
        <w:rPr>
          <w:rFonts w:ascii="Arial Narrow" w:hAnsi="Arial Narrow" w:cs="Arial Narrow" w:eastAsia="Arial Narrow" w:hint="default"/>
        </w:rPr>
        <w:t>2017</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12 </w:t>
      </w:r>
      <w:r>
        <w:rPr>
          <w:rFonts w:ascii="Arial Narrow" w:hAnsi="Arial Narrow" w:cs="Arial Narrow" w:eastAsia="Arial Narrow" w:hint="default"/>
          <w:spacing w:val="8"/>
        </w:rPr>
        <w:t> </w:t>
      </w:r>
      <w:r>
        <w:rPr/>
        <w:t>月</w:t>
      </w:r>
      <w:r>
        <w:rPr>
          <w:spacing w:val="-64"/>
        </w:rPr>
        <w:t> </w:t>
      </w:r>
      <w:r>
        <w:rPr>
          <w:rFonts w:ascii="Arial Narrow" w:hAnsi="Arial Narrow" w:cs="Arial Narrow" w:eastAsia="Arial Narrow" w:hint="default"/>
        </w:rPr>
        <w:t>31 </w:t>
      </w:r>
      <w:r>
        <w:rPr>
          <w:rFonts w:ascii="Arial Narrow" w:hAnsi="Arial Narrow" w:cs="Arial Narrow" w:eastAsia="Arial Narrow" w:hint="default"/>
          <w:spacing w:val="8"/>
        </w:rPr>
        <w:t> </w:t>
      </w:r>
      <w:r>
        <w:rPr/>
        <w:t>日，合并财务报表中商誉的账面价值为</w:t>
      </w:r>
      <w:r>
        <w:rPr>
          <w:spacing w:val="-62"/>
        </w:rPr>
        <w:t> </w:t>
      </w:r>
      <w:r>
        <w:rPr>
          <w:rFonts w:ascii="Arial Narrow" w:hAnsi="Arial Narrow" w:cs="Arial Narrow" w:eastAsia="Arial Narrow" w:hint="default"/>
        </w:rPr>
        <w:t>499,720,378.77</w:t>
      </w:r>
      <w:r>
        <w:rPr>
          <w:rFonts w:ascii="Arial Narrow" w:hAnsi="Arial Narrow" w:cs="Arial Narrow" w:eastAsia="Arial Narrow" w:hint="default"/>
          <w:spacing w:val="6"/>
        </w:rPr>
        <w:t> </w:t>
      </w:r>
      <w:r>
        <w:rPr>
          <w:spacing w:val="-4"/>
        </w:rPr>
        <w:t>元，使</w:t>
      </w:r>
      <w:r>
        <w:rPr/>
      </w:r>
    </w:p>
    <w:p>
      <w:pPr>
        <w:pStyle w:val="Heading3"/>
        <w:spacing w:line="369" w:lineRule="auto" w:before="60"/>
        <w:ind w:left="618" w:right="108" w:hanging="480"/>
        <w:jc w:val="left"/>
      </w:pPr>
      <w:r>
        <w:rPr/>
        <w:t>用寿命不确定的无形资产（商标权）的账面价值为人民币</w:t>
      </w:r>
      <w:r>
        <w:rPr>
          <w:spacing w:val="-61"/>
        </w:rPr>
        <w:t> </w:t>
      </w:r>
      <w:r>
        <w:rPr>
          <w:rFonts w:ascii="Arial Narrow" w:hAnsi="Arial Narrow" w:cs="Arial Narrow" w:eastAsia="Arial Narrow" w:hint="default"/>
        </w:rPr>
        <w:t>158,359,600.00</w:t>
      </w:r>
      <w:r>
        <w:rPr>
          <w:rFonts w:ascii="Arial Narrow" w:hAnsi="Arial Narrow" w:cs="Arial Narrow" w:eastAsia="Arial Narrow" w:hint="default"/>
          <w:spacing w:val="7"/>
        </w:rPr>
        <w:t> </w:t>
      </w:r>
      <w:r>
        <w:rPr/>
        <w:t>元。 </w:t>
      </w:r>
      <w:r>
        <w:rPr>
          <w:spacing w:val="-5"/>
        </w:rPr>
        <w:t>根据企业会计准则，商誉和使用寿命不确定的无形资产，无论是否存在减值迹象，</w:t>
      </w:r>
    </w:p>
    <w:p>
      <w:pPr>
        <w:pStyle w:val="Heading3"/>
        <w:spacing w:line="259" w:lineRule="exact"/>
        <w:ind w:right="0"/>
        <w:jc w:val="both"/>
      </w:pPr>
      <w:r>
        <w:rPr/>
        <w:t>管理层每年都应当进行减值测试。由于每个被收购的子公司就是一个资产组，因此企</w:t>
      </w:r>
    </w:p>
    <w:p>
      <w:pPr>
        <w:pStyle w:val="Heading3"/>
        <w:spacing w:line="297" w:lineRule="auto" w:before="74"/>
        <w:ind w:right="232"/>
        <w:jc w:val="both"/>
      </w:pPr>
      <w:r>
        <w:rPr>
          <w:spacing w:val="-2"/>
        </w:rPr>
        <w:t>业合并形成的商誉被分配至相对应的子公司以进行减值测试；同时，上述使用寿命不</w:t>
      </w:r>
      <w:r>
        <w:rPr>
          <w:spacing w:val="-94"/>
        </w:rPr>
        <w:t> </w:t>
      </w:r>
      <w:r>
        <w:rPr>
          <w:spacing w:val="-94"/>
        </w:rPr>
      </w:r>
      <w:r>
        <w:rPr>
          <w:spacing w:val="-2"/>
        </w:rPr>
        <w:t>确定的无形资产（商标权）系收购帅康电气时产生的，故与相应的商誉均可归属于同</w:t>
      </w:r>
      <w:r>
        <w:rPr>
          <w:spacing w:val="-94"/>
        </w:rPr>
        <w:t> </w:t>
      </w:r>
      <w:r>
        <w:rPr>
          <w:spacing w:val="-94"/>
        </w:rPr>
      </w:r>
      <w:r>
        <w:rPr/>
        <w:t>一资产组。</w:t>
      </w:r>
    </w:p>
    <w:p>
      <w:pPr>
        <w:pStyle w:val="Heading3"/>
        <w:spacing w:line="297" w:lineRule="auto" w:before="137"/>
        <w:ind w:right="231" w:firstLine="479"/>
        <w:jc w:val="both"/>
      </w:pPr>
      <w:r>
        <w:rPr>
          <w:spacing w:val="-2"/>
        </w:rPr>
        <w:t>减值测试以包含商誉、使用寿命不确定的无形资产（商标权）的资产组的可收回</w:t>
      </w:r>
      <w:r>
        <w:rPr/>
        <w:t> </w:t>
      </w:r>
      <w:r>
        <w:rPr>
          <w:spacing w:val="-2"/>
        </w:rPr>
        <w:t>金额为基础，而折现现金流预测的编制涉及运用重大判断和估计，特别是确定收入增</w:t>
      </w:r>
      <w:r>
        <w:rPr>
          <w:spacing w:val="-95"/>
        </w:rPr>
        <w:t> </w:t>
      </w:r>
      <w:r>
        <w:rPr>
          <w:spacing w:val="-95"/>
        </w:rPr>
      </w:r>
      <w:r>
        <w:rPr>
          <w:spacing w:val="-2"/>
        </w:rPr>
        <w:t>长率、永续增长率、成本上涨，以及确定所应用的风险调整折现率时均存在固有不确</w:t>
      </w:r>
      <w:r>
        <w:rPr>
          <w:spacing w:val="-93"/>
        </w:rPr>
        <w:t> </w:t>
      </w:r>
      <w:r>
        <w:rPr>
          <w:spacing w:val="-93"/>
        </w:rPr>
      </w:r>
      <w:r>
        <w:rPr/>
        <w:t>定性和可能受到管理层偏好的影响。</w:t>
      </w:r>
    </w:p>
    <w:p>
      <w:pPr>
        <w:pStyle w:val="Heading3"/>
        <w:spacing w:line="297" w:lineRule="auto" w:before="137"/>
        <w:ind w:right="108" w:firstLine="479"/>
        <w:jc w:val="left"/>
      </w:pPr>
      <w:r>
        <w:rPr/>
        <w:t>由于商誉、使用寿命不确定的无形资产的减值预测和折现未来现金流量涉及固有 不确定性，以及管理层在选用假设和估计时可能出现偏好的风险，我们将评估商誉、</w:t>
      </w:r>
      <w:r>
        <w:rPr>
          <w:spacing w:val="-56"/>
        </w:rPr>
        <w:t> </w:t>
      </w:r>
      <w:r>
        <w:rPr>
          <w:spacing w:val="-56"/>
        </w:rPr>
      </w:r>
      <w:r>
        <w:rPr/>
        <w:t>使用寿命不确定的无形资产的减值视为日出东方公司</w:t>
      </w:r>
      <w:r>
        <w:rPr>
          <w:spacing w:val="-63"/>
        </w:rPr>
        <w:t> </w:t>
      </w:r>
      <w:r>
        <w:rPr>
          <w:rFonts w:ascii="Arial Narrow" w:hAnsi="Arial Narrow" w:cs="Arial Narrow" w:eastAsia="Arial Narrow" w:hint="default"/>
        </w:rPr>
        <w:t>2017</w:t>
      </w:r>
      <w:r>
        <w:rPr>
          <w:rFonts w:ascii="Arial Narrow" w:hAnsi="Arial Narrow" w:cs="Arial Narrow" w:eastAsia="Arial Narrow" w:hint="default"/>
          <w:spacing w:val="3"/>
        </w:rPr>
        <w:t> </w:t>
      </w:r>
      <w:r>
        <w:rPr/>
        <w:t>年度关键审计事项。</w:t>
      </w:r>
    </w:p>
    <w:p>
      <w:pPr>
        <w:pStyle w:val="Heading3"/>
        <w:spacing w:line="240" w:lineRule="auto" w:before="112"/>
        <w:ind w:left="634" w:right="108"/>
        <w:jc w:val="left"/>
      </w:pPr>
      <w:r>
        <w:rPr>
          <w:rFonts w:ascii="Arial Narrow" w:hAnsi="Arial Narrow" w:cs="Arial Narrow" w:eastAsia="Arial Narrow" w:hint="default"/>
          <w:spacing w:val="5"/>
        </w:rPr>
        <w:t>2</w:t>
      </w:r>
      <w:r>
        <w:rPr>
          <w:spacing w:val="5"/>
        </w:rPr>
        <w:t>、审计应对</w:t>
      </w:r>
    </w:p>
    <w:p>
      <w:pPr>
        <w:pStyle w:val="Heading3"/>
        <w:spacing w:line="240" w:lineRule="auto" w:before="178"/>
        <w:ind w:left="634" w:right="108"/>
        <w:jc w:val="left"/>
      </w:pPr>
      <w:r>
        <w:rPr>
          <w:rFonts w:ascii="Arial Narrow" w:hAnsi="Arial Narrow" w:cs="Arial Narrow" w:eastAsia="Arial Narrow" w:hint="default"/>
          <w:spacing w:val="2"/>
        </w:rPr>
        <w:t>2017</w:t>
      </w:r>
      <w:r>
        <w:rPr>
          <w:rFonts w:ascii="Arial Narrow" w:hAnsi="Arial Narrow" w:cs="Arial Narrow" w:eastAsia="Arial Narrow" w:hint="default"/>
          <w:spacing w:val="30"/>
        </w:rPr>
        <w:t> </w:t>
      </w:r>
      <w:r>
        <w:rPr>
          <w:spacing w:val="6"/>
        </w:rPr>
        <w:t>年度财务报表审计中，执行了以下程序：</w:t>
      </w:r>
    </w:p>
    <w:p>
      <w:pPr>
        <w:pStyle w:val="Heading3"/>
        <w:spacing w:line="283" w:lineRule="auto" w:before="178"/>
        <w:ind w:right="246" w:firstLine="496"/>
        <w:jc w:val="both"/>
      </w:pPr>
      <w:r>
        <w:rPr>
          <w:spacing w:val="8"/>
        </w:rPr>
        <w:t>（</w:t>
      </w:r>
      <w:r>
        <w:rPr>
          <w:rFonts w:ascii="Arial Narrow" w:hAnsi="Arial Narrow" w:cs="Arial Narrow" w:eastAsia="Arial Narrow" w:hint="default"/>
          <w:spacing w:val="8"/>
        </w:rPr>
        <w:t>1</w:t>
      </w:r>
      <w:r>
        <w:rPr>
          <w:spacing w:val="8"/>
        </w:rPr>
        <w:t>）评价与编制折现现金流预测（估计资产组可收回金额的基础）相关的关</w:t>
      </w:r>
      <w:r>
        <w:rPr/>
        <w:t> </w:t>
      </w:r>
      <w:r>
        <w:rPr>
          <w:spacing w:val="6"/>
        </w:rPr>
        <w:t>键内部控制的设计和运行有效性；</w:t>
      </w:r>
    </w:p>
    <w:p>
      <w:pPr>
        <w:pStyle w:val="Heading3"/>
        <w:spacing w:line="240" w:lineRule="auto" w:before="151"/>
        <w:ind w:left="634" w:right="108"/>
        <w:jc w:val="left"/>
      </w:pPr>
      <w:r>
        <w:rPr>
          <w:spacing w:val="6"/>
        </w:rPr>
        <w:t>（</w:t>
      </w:r>
      <w:r>
        <w:rPr>
          <w:rFonts w:ascii="Arial Narrow" w:hAnsi="Arial Narrow" w:cs="Arial Narrow" w:eastAsia="Arial Narrow" w:hint="default"/>
          <w:spacing w:val="6"/>
        </w:rPr>
        <w:t>2</w:t>
      </w:r>
      <w:r>
        <w:rPr>
          <w:spacing w:val="6"/>
        </w:rPr>
        <w:t>）评价由管理层聘请的外部评估机构的独立性、客观性、经验和资质；</w:t>
      </w:r>
    </w:p>
    <w:p>
      <w:pPr>
        <w:pStyle w:val="Heading3"/>
        <w:spacing w:line="283" w:lineRule="auto" w:before="178"/>
        <w:ind w:right="246" w:firstLine="496"/>
        <w:jc w:val="both"/>
      </w:pPr>
      <w:r>
        <w:rPr>
          <w:spacing w:val="8"/>
        </w:rPr>
        <w:t>（</w:t>
      </w:r>
      <w:r>
        <w:rPr>
          <w:rFonts w:ascii="Arial Narrow" w:hAnsi="Arial Narrow" w:cs="Arial Narrow" w:eastAsia="Arial Narrow" w:hint="default"/>
          <w:spacing w:val="8"/>
        </w:rPr>
        <w:t>3</w:t>
      </w:r>
      <w:r>
        <w:rPr>
          <w:spacing w:val="8"/>
        </w:rPr>
        <w:t>）利用注册会计师的估值专家的工作，协助我们评价用于编制折现现金流</w:t>
      </w:r>
      <w:r>
        <w:rPr/>
        <w:t> </w:t>
      </w:r>
      <w:r>
        <w:rPr>
          <w:spacing w:val="6"/>
        </w:rPr>
        <w:t>预测所采用的方法；</w:t>
      </w:r>
    </w:p>
    <w:p>
      <w:pPr>
        <w:pStyle w:val="Heading3"/>
        <w:spacing w:line="290" w:lineRule="auto" w:before="151"/>
        <w:ind w:right="242" w:firstLine="496"/>
        <w:jc w:val="both"/>
      </w:pPr>
      <w:r>
        <w:rPr>
          <w:spacing w:val="8"/>
        </w:rPr>
        <w:t>（</w:t>
      </w:r>
      <w:r>
        <w:rPr>
          <w:rFonts w:ascii="Arial Narrow" w:hAnsi="Arial Narrow" w:cs="Arial Narrow" w:eastAsia="Arial Narrow" w:hint="default"/>
          <w:spacing w:val="8"/>
        </w:rPr>
        <w:t>4</w:t>
      </w:r>
      <w:r>
        <w:rPr>
          <w:spacing w:val="8"/>
        </w:rPr>
        <w:t>）综合考虑了该资产组的历史运营情况、行业走势及新的市场机会及由于</w:t>
      </w:r>
      <w:r>
        <w:rPr/>
        <w:t> </w:t>
      </w:r>
      <w:r>
        <w:rPr>
          <w:spacing w:val="4"/>
        </w:rPr>
        <w:t>规模效应带来的成本及费用节约，对管理层使用的未来收入增长率、毛利率和费用</w:t>
      </w:r>
      <w:r>
        <w:rPr>
          <w:spacing w:val="-107"/>
        </w:rPr>
        <w:t> </w:t>
      </w:r>
      <w:r>
        <w:rPr>
          <w:spacing w:val="-107"/>
        </w:rPr>
      </w:r>
      <w:r>
        <w:rPr>
          <w:spacing w:val="6"/>
        </w:rPr>
        <w:t>率假设进行了合理性分析；</w:t>
      </w:r>
    </w:p>
    <w:p>
      <w:pPr>
        <w:pStyle w:val="Heading3"/>
        <w:spacing w:line="283" w:lineRule="auto" w:before="144"/>
        <w:ind w:right="246" w:firstLine="496"/>
        <w:jc w:val="both"/>
      </w:pPr>
      <w:r>
        <w:rPr>
          <w:spacing w:val="8"/>
        </w:rPr>
        <w:t>（</w:t>
      </w:r>
      <w:r>
        <w:rPr>
          <w:rFonts w:ascii="Arial Narrow" w:hAnsi="Arial Narrow" w:cs="Arial Narrow" w:eastAsia="Arial Narrow" w:hint="default"/>
          <w:spacing w:val="8"/>
        </w:rPr>
        <w:t>5</w:t>
      </w:r>
      <w:r>
        <w:rPr>
          <w:spacing w:val="8"/>
        </w:rPr>
        <w:t>）通过将折现率与同行业类似企业的折现率进行比较，评价折现的现金流</w:t>
      </w:r>
      <w:r>
        <w:rPr/>
        <w:t> </w:t>
      </w:r>
      <w:r>
        <w:rPr>
          <w:spacing w:val="7"/>
        </w:rPr>
        <w:t>量预测中采用的风险调整折现率；</w:t>
      </w:r>
      <w:r>
        <w:rPr/>
      </w:r>
    </w:p>
    <w:p>
      <w:pPr>
        <w:pStyle w:val="Heading3"/>
        <w:spacing w:line="290" w:lineRule="auto" w:before="151"/>
        <w:ind w:right="246" w:firstLine="496"/>
        <w:jc w:val="both"/>
      </w:pPr>
      <w:r>
        <w:rPr>
          <w:spacing w:val="8"/>
        </w:rPr>
        <w:t>（</w:t>
      </w:r>
      <w:r>
        <w:rPr>
          <w:rFonts w:ascii="Arial Narrow" w:hAnsi="Arial Narrow" w:cs="Arial Narrow" w:eastAsia="Arial Narrow" w:hint="default"/>
          <w:spacing w:val="8"/>
        </w:rPr>
        <w:t>6</w:t>
      </w:r>
      <w:r>
        <w:rPr>
          <w:spacing w:val="8"/>
        </w:rPr>
        <w:t>）获取管理层的关键假设敏感性分析，包括折现现金流预测运用的收入增</w:t>
      </w:r>
      <w:r>
        <w:rPr/>
        <w:t> </w:t>
      </w:r>
      <w:r>
        <w:rPr>
          <w:spacing w:val="4"/>
        </w:rPr>
        <w:t>长率和风险调整折现率，评价关键假设变动对管理层在其减值评估发表的结论造成</w:t>
      </w:r>
      <w:r>
        <w:rPr>
          <w:spacing w:val="-111"/>
        </w:rPr>
        <w:t> </w:t>
      </w:r>
      <w:r>
        <w:rPr>
          <w:spacing w:val="-111"/>
        </w:rPr>
      </w:r>
      <w:r>
        <w:rPr>
          <w:spacing w:val="7"/>
        </w:rPr>
        <w:t>的影响，以及是否存在管理层偏好的任何迹象。</w:t>
      </w:r>
    </w:p>
    <w:p>
      <w:pPr>
        <w:pStyle w:val="Heading3"/>
        <w:spacing w:line="297" w:lineRule="auto" w:before="146"/>
        <w:ind w:right="239" w:firstLine="496"/>
        <w:jc w:val="both"/>
      </w:pPr>
      <w:r>
        <w:rPr>
          <w:spacing w:val="11"/>
        </w:rPr>
        <w:t>我们在上述工作中取得的相关证据能够支持管理层在商誉及使用寿命不确定</w:t>
      </w:r>
      <w:r>
        <w:rPr/>
        <w:t> </w:t>
      </w:r>
      <w:r>
        <w:rPr>
          <w:spacing w:val="6"/>
        </w:rPr>
        <w:t>的无形资产减值测试中使用的关键假设。</w:t>
      </w:r>
    </w:p>
    <w:p>
      <w:pPr>
        <w:spacing w:after="0" w:line="297" w:lineRule="auto"/>
        <w:jc w:val="both"/>
        <w:sectPr>
          <w:pgSz w:w="11910" w:h="16840"/>
          <w:pgMar w:header="880" w:footer="1195" w:top="1100" w:bottom="1380" w:left="1660" w:right="1040"/>
        </w:sectPr>
      </w:pPr>
    </w:p>
    <w:p>
      <w:pPr>
        <w:spacing w:line="240" w:lineRule="auto" w:before="2"/>
        <w:rPr>
          <w:rFonts w:ascii="宋体" w:hAnsi="宋体" w:cs="宋体" w:eastAsia="宋体" w:hint="default"/>
          <w:sz w:val="26"/>
          <w:szCs w:val="26"/>
        </w:rPr>
      </w:pPr>
    </w:p>
    <w:p>
      <w:pPr>
        <w:pStyle w:val="Heading3"/>
        <w:spacing w:line="379" w:lineRule="auto" w:before="26"/>
        <w:ind w:left="634" w:right="2537"/>
        <w:jc w:val="left"/>
      </w:pPr>
      <w:r>
        <w:rPr>
          <w:spacing w:val="6"/>
        </w:rPr>
        <w:t>（三）可供出售金融资产减值准备的计提</w:t>
      </w:r>
      <w:r>
        <w:rPr>
          <w:spacing w:val="-105"/>
        </w:rPr>
        <w:t> </w:t>
      </w:r>
      <w:r>
        <w:rPr>
          <w:spacing w:val="-105"/>
        </w:rPr>
      </w:r>
      <w:r>
        <w:rPr>
          <w:spacing w:val="6"/>
        </w:rPr>
        <w:t>参见财务报表附注三、</w:t>
      </w:r>
      <w:r>
        <w:rPr>
          <w:rFonts w:ascii="Arial Narrow" w:hAnsi="Arial Narrow" w:cs="Arial Narrow" w:eastAsia="Arial Narrow" w:hint="default"/>
          <w:spacing w:val="6"/>
        </w:rPr>
        <w:t>19</w:t>
      </w:r>
      <w:r>
        <w:rPr>
          <w:rFonts w:ascii="Arial Narrow" w:hAnsi="Arial Narrow" w:cs="Arial Narrow" w:eastAsia="Arial Narrow" w:hint="default"/>
          <w:spacing w:val="26"/>
        </w:rPr>
        <w:t> </w:t>
      </w:r>
      <w:r>
        <w:rPr>
          <w:spacing w:val="5"/>
        </w:rPr>
        <w:t>以及附注五、</w:t>
      </w:r>
      <w:r>
        <w:rPr>
          <w:rFonts w:ascii="Arial Narrow" w:hAnsi="Arial Narrow" w:cs="Arial Narrow" w:eastAsia="Arial Narrow" w:hint="default"/>
          <w:spacing w:val="5"/>
        </w:rPr>
        <w:t>11</w:t>
      </w:r>
      <w:r>
        <w:rPr>
          <w:spacing w:val="5"/>
        </w:rPr>
        <w:t>。</w:t>
      </w:r>
      <w:r>
        <w:rPr/>
        <w:t> </w:t>
      </w:r>
      <w:r>
        <w:rPr>
          <w:rFonts w:ascii="Arial Narrow" w:hAnsi="Arial Narrow" w:cs="Arial Narrow" w:eastAsia="Arial Narrow" w:hint="default"/>
          <w:spacing w:val="5"/>
        </w:rPr>
        <w:t>1</w:t>
      </w:r>
      <w:r>
        <w:rPr>
          <w:spacing w:val="5"/>
        </w:rPr>
        <w:t>、事项描述</w:t>
      </w:r>
    </w:p>
    <w:p>
      <w:pPr>
        <w:pStyle w:val="Heading3"/>
        <w:spacing w:line="240" w:lineRule="auto" w:before="20"/>
        <w:ind w:left="634" w:right="108"/>
        <w:jc w:val="left"/>
      </w:pPr>
      <w:r>
        <w:rPr/>
        <w:t>于 </w:t>
      </w:r>
      <w:r>
        <w:rPr>
          <w:rFonts w:ascii="Arial Narrow" w:hAnsi="Arial Narrow" w:cs="Arial Narrow" w:eastAsia="Arial Narrow" w:hint="default"/>
          <w:spacing w:val="2"/>
        </w:rPr>
        <w:t>2017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w:t>
      </w:r>
      <w:r>
        <w:rPr>
          <w:rFonts w:ascii="Arial Narrow" w:hAnsi="Arial Narrow" w:cs="Arial Narrow" w:eastAsia="Arial Narrow" w:hint="default"/>
          <w:spacing w:val="22"/>
        </w:rPr>
        <w:t> </w:t>
      </w:r>
      <w:r>
        <w:rPr>
          <w:spacing w:val="6"/>
        </w:rPr>
        <w:t>日，合并财务报表中可供出售金融资产账面价值为人民币</w:t>
      </w:r>
    </w:p>
    <w:p>
      <w:pPr>
        <w:pStyle w:val="Heading3"/>
        <w:spacing w:line="240" w:lineRule="auto" w:before="58"/>
        <w:ind w:right="0"/>
        <w:jc w:val="both"/>
        <w:rPr>
          <w:rFonts w:ascii="Arial Narrow" w:hAnsi="Arial Narrow" w:cs="Arial Narrow" w:eastAsia="Arial Narrow" w:hint="default"/>
        </w:rPr>
      </w:pPr>
      <w:r>
        <w:rPr>
          <w:rFonts w:ascii="Arial Narrow" w:hAnsi="Arial Narrow" w:cs="Arial Narrow" w:eastAsia="Arial Narrow" w:hint="default"/>
          <w:spacing w:val="5"/>
        </w:rPr>
        <w:t>5</w:t>
      </w:r>
      <w:r>
        <w:rPr>
          <w:rFonts w:ascii="Arial Narrow" w:hAnsi="Arial Narrow" w:cs="Arial Narrow" w:eastAsia="Arial Narrow" w:hint="default"/>
          <w:spacing w:val="3"/>
        </w:rPr>
        <w:t>04</w:t>
      </w:r>
      <w:r>
        <w:rPr>
          <w:rFonts w:ascii="Arial Narrow" w:hAnsi="Arial Narrow" w:cs="Arial Narrow" w:eastAsia="Arial Narrow" w:hint="default"/>
          <w:spacing w:val="5"/>
        </w:rPr>
        <w:t>,</w:t>
      </w:r>
      <w:r>
        <w:rPr>
          <w:rFonts w:ascii="Arial Narrow" w:hAnsi="Arial Narrow" w:cs="Arial Narrow" w:eastAsia="Arial Narrow" w:hint="default"/>
          <w:spacing w:val="3"/>
        </w:rPr>
        <w:t>10</w:t>
      </w:r>
      <w:r>
        <w:rPr>
          <w:rFonts w:ascii="Arial Narrow" w:hAnsi="Arial Narrow" w:cs="Arial Narrow" w:eastAsia="Arial Narrow" w:hint="default"/>
          <w:spacing w:val="5"/>
        </w:rPr>
        <w:t>6</w:t>
      </w:r>
      <w:r>
        <w:rPr>
          <w:rFonts w:ascii="Arial Narrow" w:hAnsi="Arial Narrow" w:cs="Arial Narrow" w:eastAsia="Arial Narrow" w:hint="default"/>
          <w:spacing w:val="2"/>
        </w:rPr>
        <w:t>,</w:t>
      </w:r>
      <w:r>
        <w:rPr>
          <w:rFonts w:ascii="Arial Narrow" w:hAnsi="Arial Narrow" w:cs="Arial Narrow" w:eastAsia="Arial Narrow" w:hint="default"/>
          <w:spacing w:val="3"/>
        </w:rPr>
        <w:t>54</w:t>
      </w:r>
      <w:r>
        <w:rPr>
          <w:rFonts w:ascii="Arial Narrow" w:hAnsi="Arial Narrow" w:cs="Arial Narrow" w:eastAsia="Arial Narrow" w:hint="default"/>
          <w:spacing w:val="5"/>
        </w:rPr>
        <w:t>4</w:t>
      </w:r>
      <w:r>
        <w:rPr>
          <w:rFonts w:ascii="Arial Narrow" w:hAnsi="Arial Narrow" w:cs="Arial Narrow" w:eastAsia="Arial Narrow" w:hint="default"/>
          <w:spacing w:val="2"/>
        </w:rPr>
        <w:t>.</w:t>
      </w:r>
      <w:r>
        <w:rPr>
          <w:rFonts w:ascii="Arial Narrow" w:hAnsi="Arial Narrow" w:cs="Arial Narrow" w:eastAsia="Arial Narrow" w:hint="default"/>
          <w:spacing w:val="3"/>
        </w:rPr>
        <w:t>4</w:t>
      </w:r>
      <w:r>
        <w:rPr>
          <w:rFonts w:ascii="Arial Narrow" w:hAnsi="Arial Narrow" w:cs="Arial Narrow" w:eastAsia="Arial Narrow" w:hint="default"/>
        </w:rPr>
        <w:t>5</w:t>
      </w:r>
      <w:r>
        <w:rPr>
          <w:rFonts w:ascii="Arial Narrow" w:hAnsi="Arial Narrow" w:cs="Arial Narrow" w:eastAsia="Arial Narrow" w:hint="default"/>
          <w:spacing w:val="16"/>
        </w:rPr>
        <w:t> </w:t>
      </w:r>
      <w:r>
        <w:rPr>
          <w:spacing w:val="6"/>
        </w:rPr>
        <w:t>元</w:t>
      </w:r>
      <w:r>
        <w:rPr>
          <w:spacing w:val="-106"/>
        </w:rPr>
        <w:t>，</w:t>
      </w:r>
      <w:r>
        <w:rPr>
          <w:spacing w:val="9"/>
        </w:rPr>
        <w:t>其</w:t>
      </w:r>
      <w:r>
        <w:rPr>
          <w:spacing w:val="6"/>
        </w:rPr>
        <w:t>中</w:t>
      </w:r>
      <w:r>
        <w:rPr>
          <w:spacing w:val="-104"/>
        </w:rPr>
        <w:t>，</w:t>
      </w:r>
      <w:r>
        <w:rPr>
          <w:spacing w:val="6"/>
        </w:rPr>
        <w:t>以公</w:t>
      </w:r>
      <w:r>
        <w:rPr>
          <w:spacing w:val="9"/>
        </w:rPr>
        <w:t>允</w:t>
      </w:r>
      <w:r>
        <w:rPr>
          <w:spacing w:val="6"/>
        </w:rPr>
        <w:t>价值</w:t>
      </w:r>
      <w:r>
        <w:rPr>
          <w:spacing w:val="9"/>
        </w:rPr>
        <w:t>计</w:t>
      </w:r>
      <w:r>
        <w:rPr>
          <w:spacing w:val="6"/>
        </w:rPr>
        <w:t>量的可</w:t>
      </w:r>
      <w:r>
        <w:rPr>
          <w:spacing w:val="9"/>
        </w:rPr>
        <w:t>供</w:t>
      </w:r>
      <w:r>
        <w:rPr>
          <w:spacing w:val="6"/>
        </w:rPr>
        <w:t>出售</w:t>
      </w:r>
      <w:r>
        <w:rPr>
          <w:spacing w:val="9"/>
        </w:rPr>
        <w:t>金</w:t>
      </w:r>
      <w:r>
        <w:rPr>
          <w:spacing w:val="6"/>
        </w:rPr>
        <w:t>融资</w:t>
      </w:r>
      <w:r>
        <w:rPr>
          <w:spacing w:val="9"/>
        </w:rPr>
        <w:t>产</w:t>
      </w:r>
      <w:r>
        <w:rPr>
          <w:spacing w:val="6"/>
        </w:rPr>
        <w:t>为人</w:t>
      </w:r>
      <w:r>
        <w:rPr>
          <w:spacing w:val="9"/>
        </w:rPr>
        <w:t>民</w:t>
      </w:r>
      <w:r>
        <w:rPr/>
        <w:t>币</w:t>
      </w:r>
      <w:r>
        <w:rPr>
          <w:spacing w:val="-44"/>
        </w:rPr>
        <w:t> </w:t>
      </w:r>
      <w:r>
        <w:rPr>
          <w:rFonts w:ascii="Arial Narrow" w:hAnsi="Arial Narrow" w:cs="Arial Narrow" w:eastAsia="Arial Narrow" w:hint="default"/>
          <w:spacing w:val="3"/>
        </w:rPr>
        <w:t>3</w:t>
      </w:r>
      <w:r>
        <w:rPr>
          <w:rFonts w:ascii="Arial Narrow" w:hAnsi="Arial Narrow" w:cs="Arial Narrow" w:eastAsia="Arial Narrow" w:hint="default"/>
          <w:spacing w:val="5"/>
        </w:rPr>
        <w:t>1</w:t>
      </w:r>
      <w:r>
        <w:rPr>
          <w:rFonts w:ascii="Arial Narrow" w:hAnsi="Arial Narrow" w:cs="Arial Narrow" w:eastAsia="Arial Narrow" w:hint="default"/>
          <w:spacing w:val="2"/>
        </w:rPr>
        <w:t>,</w:t>
      </w:r>
      <w:r>
        <w:rPr>
          <w:rFonts w:ascii="Arial Narrow" w:hAnsi="Arial Narrow" w:cs="Arial Narrow" w:eastAsia="Arial Narrow" w:hint="default"/>
          <w:spacing w:val="3"/>
        </w:rPr>
        <w:t>28</w:t>
      </w:r>
      <w:r>
        <w:rPr>
          <w:rFonts w:ascii="Arial Narrow" w:hAnsi="Arial Narrow" w:cs="Arial Narrow" w:eastAsia="Arial Narrow" w:hint="default"/>
          <w:spacing w:val="5"/>
        </w:rPr>
        <w:t>4</w:t>
      </w:r>
      <w:r>
        <w:rPr>
          <w:rFonts w:ascii="Arial Narrow" w:hAnsi="Arial Narrow" w:cs="Arial Narrow" w:eastAsia="Arial Narrow" w:hint="default"/>
          <w:spacing w:val="2"/>
        </w:rPr>
        <w:t>,</w:t>
      </w:r>
      <w:r>
        <w:rPr>
          <w:rFonts w:ascii="Arial Narrow" w:hAnsi="Arial Narrow" w:cs="Arial Narrow" w:eastAsia="Arial Narrow" w:hint="default"/>
          <w:spacing w:val="3"/>
        </w:rPr>
        <w:t>2</w:t>
      </w:r>
      <w:r>
        <w:rPr>
          <w:rFonts w:ascii="Arial Narrow" w:hAnsi="Arial Narrow" w:cs="Arial Narrow" w:eastAsia="Arial Narrow" w:hint="default"/>
          <w:spacing w:val="5"/>
        </w:rPr>
        <w:t>0</w:t>
      </w:r>
      <w:r>
        <w:rPr>
          <w:rFonts w:ascii="Arial Narrow" w:hAnsi="Arial Narrow" w:cs="Arial Narrow" w:eastAsia="Arial Narrow" w:hint="default"/>
          <w:spacing w:val="3"/>
        </w:rPr>
        <w:t>1</w:t>
      </w:r>
      <w:r>
        <w:rPr>
          <w:rFonts w:ascii="Arial Narrow" w:hAnsi="Arial Narrow" w:cs="Arial Narrow" w:eastAsia="Arial Narrow" w:hint="default"/>
          <w:spacing w:val="2"/>
        </w:rPr>
        <w:t>.</w:t>
      </w:r>
      <w:r>
        <w:rPr>
          <w:rFonts w:ascii="Arial Narrow" w:hAnsi="Arial Narrow" w:cs="Arial Narrow" w:eastAsia="Arial Narrow" w:hint="default"/>
          <w:spacing w:val="5"/>
        </w:rPr>
        <w:t>4</w:t>
      </w:r>
      <w:r>
        <w:rPr>
          <w:rFonts w:ascii="Arial Narrow" w:hAnsi="Arial Narrow" w:cs="Arial Narrow" w:eastAsia="Arial Narrow" w:hint="default"/>
        </w:rPr>
        <w:t>3</w:t>
      </w:r>
    </w:p>
    <w:p>
      <w:pPr>
        <w:pStyle w:val="Heading3"/>
        <w:spacing w:line="295" w:lineRule="auto" w:before="58"/>
        <w:ind w:right="115"/>
        <w:jc w:val="both"/>
      </w:pPr>
      <w:r>
        <w:rPr>
          <w:spacing w:val="6"/>
        </w:rPr>
        <w:t>元，以成本计量的可供出售金融资产为人民币 </w:t>
      </w:r>
      <w:r>
        <w:rPr>
          <w:rFonts w:ascii="Arial Narrow" w:hAnsi="Arial Narrow" w:cs="Arial Narrow" w:eastAsia="Arial Narrow" w:hint="default"/>
          <w:spacing w:val="3"/>
        </w:rPr>
        <w:t>472,822,343.02 </w:t>
      </w:r>
      <w:r>
        <w:rPr>
          <w:spacing w:val="6"/>
        </w:rPr>
        <w:t>元。根据日出东方公</w:t>
      </w:r>
      <w:r>
        <w:rPr>
          <w:spacing w:val="-102"/>
        </w:rPr>
        <w:t> </w:t>
      </w:r>
      <w:r>
        <w:rPr>
          <w:spacing w:val="-102"/>
        </w:rPr>
      </w:r>
      <w:r>
        <w:rPr>
          <w:spacing w:val="4"/>
        </w:rPr>
        <w:t>司的会计政策，对于以公允价值计量的可供出售权益工具投资，在其公允价值发生</w:t>
      </w:r>
      <w:r>
        <w:rPr>
          <w:spacing w:val="-111"/>
        </w:rPr>
        <w:t> </w:t>
      </w:r>
      <w:r>
        <w:rPr>
          <w:spacing w:val="-111"/>
        </w:rPr>
      </w:r>
      <w:r>
        <w:rPr>
          <w:spacing w:val="4"/>
        </w:rPr>
        <w:t>严重或非暂时性下跌时计提减值准备；对于以成本计量的可供出售金融资产，当存</w:t>
      </w:r>
      <w:r>
        <w:rPr>
          <w:spacing w:val="-111"/>
        </w:rPr>
        <w:t> </w:t>
      </w:r>
      <w:r>
        <w:rPr>
          <w:spacing w:val="-111"/>
        </w:rPr>
      </w:r>
      <w:r>
        <w:rPr>
          <w:spacing w:val="4"/>
        </w:rPr>
        <w:t>在减值迹象时计提减值准备。在判断减值迹象及计提减值准备过程中，日出东方公</w:t>
      </w:r>
      <w:r>
        <w:rPr>
          <w:spacing w:val="-101"/>
        </w:rPr>
        <w:t> </w:t>
      </w:r>
      <w:r>
        <w:rPr>
          <w:spacing w:val="-101"/>
        </w:rPr>
      </w:r>
      <w:r>
        <w:rPr>
          <w:spacing w:val="4"/>
        </w:rPr>
        <w:t>司需对减值的客观证据进行分析和判断，同时估计未来现金流量现值。上述资产减</w:t>
      </w:r>
      <w:r>
        <w:rPr>
          <w:spacing w:val="-112"/>
        </w:rPr>
        <w:t> </w:t>
      </w:r>
      <w:r>
        <w:rPr>
          <w:spacing w:val="-112"/>
        </w:rPr>
      </w:r>
      <w:r>
        <w:rPr>
          <w:spacing w:val="4"/>
        </w:rPr>
        <w:t>值准备的计提涉及管理层的主观判断和估计，且结果对财务报表影响重大，因此我</w:t>
      </w:r>
      <w:r>
        <w:rPr>
          <w:spacing w:val="-100"/>
        </w:rPr>
        <w:t> </w:t>
      </w:r>
      <w:r>
        <w:rPr>
          <w:spacing w:val="-100"/>
        </w:rPr>
      </w:r>
      <w:r>
        <w:rPr>
          <w:spacing w:val="6"/>
        </w:rPr>
        <w:t>们将可供出售金融资产减值准备的计提视为日出东方公司</w:t>
      </w:r>
      <w:r>
        <w:rPr>
          <w:spacing w:val="-57"/>
        </w:rPr>
        <w:t> </w:t>
      </w:r>
      <w:r>
        <w:rPr>
          <w:rFonts w:ascii="Arial Narrow" w:hAnsi="Arial Narrow" w:cs="Arial Narrow" w:eastAsia="Arial Narrow" w:hint="default"/>
          <w:spacing w:val="2"/>
        </w:rPr>
        <w:t>2017</w:t>
      </w:r>
      <w:r>
        <w:rPr>
          <w:rFonts w:ascii="Arial Narrow" w:hAnsi="Arial Narrow" w:cs="Arial Narrow" w:eastAsia="Arial Narrow" w:hint="default"/>
          <w:spacing w:val="-3"/>
        </w:rPr>
        <w:t> </w:t>
      </w:r>
      <w:r>
        <w:rPr>
          <w:spacing w:val="6"/>
        </w:rPr>
        <w:t>年度关键审计事项。</w:t>
      </w:r>
    </w:p>
    <w:p>
      <w:pPr>
        <w:pStyle w:val="Heading3"/>
        <w:spacing w:line="240" w:lineRule="auto" w:before="115"/>
        <w:ind w:left="634" w:right="108"/>
        <w:jc w:val="left"/>
      </w:pPr>
      <w:r>
        <w:rPr>
          <w:rFonts w:ascii="Arial Narrow" w:hAnsi="Arial Narrow" w:cs="Arial Narrow" w:eastAsia="Arial Narrow" w:hint="default"/>
          <w:spacing w:val="5"/>
        </w:rPr>
        <w:t>2</w:t>
      </w:r>
      <w:r>
        <w:rPr>
          <w:spacing w:val="5"/>
        </w:rPr>
        <w:t>、审计应对</w:t>
      </w:r>
    </w:p>
    <w:p>
      <w:pPr>
        <w:pStyle w:val="Heading3"/>
        <w:spacing w:line="240" w:lineRule="auto" w:before="178"/>
        <w:ind w:left="634" w:right="108"/>
        <w:jc w:val="left"/>
      </w:pPr>
      <w:r>
        <w:rPr>
          <w:rFonts w:ascii="Arial Narrow" w:hAnsi="Arial Narrow" w:cs="Arial Narrow" w:eastAsia="Arial Narrow" w:hint="default"/>
          <w:spacing w:val="2"/>
        </w:rPr>
        <w:t>2017</w:t>
      </w:r>
      <w:r>
        <w:rPr>
          <w:rFonts w:ascii="Arial Narrow" w:hAnsi="Arial Narrow" w:cs="Arial Narrow" w:eastAsia="Arial Narrow" w:hint="default"/>
          <w:spacing w:val="30"/>
        </w:rPr>
        <w:t> </w:t>
      </w:r>
      <w:r>
        <w:rPr>
          <w:spacing w:val="6"/>
        </w:rPr>
        <w:t>年度财务报表审计中，执行了以下程序：</w:t>
      </w:r>
    </w:p>
    <w:p>
      <w:pPr>
        <w:pStyle w:val="Heading3"/>
        <w:spacing w:line="240" w:lineRule="auto" w:before="178"/>
        <w:ind w:left="634" w:right="108"/>
        <w:jc w:val="left"/>
      </w:pPr>
      <w:r>
        <w:rPr>
          <w:spacing w:val="4"/>
        </w:rPr>
        <w:t>（</w:t>
      </w:r>
      <w:r>
        <w:rPr>
          <w:rFonts w:ascii="Arial Narrow" w:hAnsi="Arial Narrow" w:cs="Arial Narrow" w:eastAsia="Arial Narrow" w:hint="default"/>
          <w:spacing w:val="4"/>
        </w:rPr>
        <w:t>1</w:t>
      </w:r>
      <w:r>
        <w:rPr>
          <w:spacing w:val="4"/>
        </w:rPr>
        <w:t>）测试了日出东方公司与计提减值准备相关的内部控制是否得到有效实施；</w:t>
      </w:r>
    </w:p>
    <w:p>
      <w:pPr>
        <w:pStyle w:val="Heading3"/>
        <w:spacing w:line="290" w:lineRule="auto" w:before="178"/>
        <w:ind w:right="239" w:firstLine="496"/>
        <w:jc w:val="both"/>
      </w:pPr>
      <w:r>
        <w:rPr>
          <w:spacing w:val="8"/>
        </w:rPr>
        <w:t>（</w:t>
      </w:r>
      <w:r>
        <w:rPr>
          <w:rFonts w:ascii="Arial Narrow" w:hAnsi="Arial Narrow" w:cs="Arial Narrow" w:eastAsia="Arial Narrow" w:hint="default"/>
          <w:spacing w:val="8"/>
        </w:rPr>
        <w:t>2</w:t>
      </w:r>
      <w:r>
        <w:rPr>
          <w:spacing w:val="8"/>
        </w:rPr>
        <w:t>）对于以公允价值计量的可供出售权益工具投资，我们选取样本，使用可</w:t>
      </w:r>
      <w:r>
        <w:rPr/>
        <w:t> </w:t>
      </w:r>
      <w:r>
        <w:rPr>
          <w:spacing w:val="11"/>
        </w:rPr>
        <w:t>观测的公开市场价格评价管理层对公允价值是否发生严重或非暂时性下跌的判断</w:t>
      </w:r>
      <w:r>
        <w:rPr>
          <w:spacing w:val="-108"/>
        </w:rPr>
        <w:t> </w:t>
      </w:r>
      <w:r>
        <w:rPr>
          <w:spacing w:val="-108"/>
        </w:rPr>
      </w:r>
      <w:r>
        <w:rPr>
          <w:spacing w:val="7"/>
        </w:rPr>
        <w:t>是否合理，同时检查减值准备计算的正确性；</w:t>
      </w:r>
    </w:p>
    <w:p>
      <w:pPr>
        <w:pStyle w:val="Heading3"/>
        <w:spacing w:line="290" w:lineRule="auto" w:before="144"/>
        <w:ind w:right="240" w:firstLine="496"/>
        <w:jc w:val="both"/>
      </w:pPr>
      <w:r>
        <w:rPr>
          <w:spacing w:val="8"/>
        </w:rPr>
        <w:t>（</w:t>
      </w:r>
      <w:r>
        <w:rPr>
          <w:rFonts w:ascii="Arial Narrow" w:hAnsi="Arial Narrow" w:cs="Arial Narrow" w:eastAsia="Arial Narrow" w:hint="default"/>
          <w:spacing w:val="8"/>
        </w:rPr>
        <w:t>3</w:t>
      </w:r>
      <w:r>
        <w:rPr>
          <w:spacing w:val="8"/>
        </w:rPr>
        <w:t>）对于以成本计量的权益工具投资，我们分析了被投资单位的财务信息及</w:t>
      </w:r>
      <w:r>
        <w:rPr/>
        <w:t> </w:t>
      </w:r>
      <w:r>
        <w:rPr>
          <w:spacing w:val="4"/>
        </w:rPr>
        <w:t>所在行业信息，判断管理层对其减值迹象的判断是否合理；分析现金流量的预测及</w:t>
      </w:r>
      <w:r>
        <w:rPr>
          <w:spacing w:val="-110"/>
        </w:rPr>
        <w:t> </w:t>
      </w:r>
      <w:r>
        <w:rPr>
          <w:spacing w:val="-110"/>
        </w:rPr>
      </w:r>
      <w:r>
        <w:rPr>
          <w:spacing w:val="7"/>
        </w:rPr>
        <w:t>折现率的选择是否合理，同时检查减值准备计算的正确性；</w:t>
      </w:r>
    </w:p>
    <w:p>
      <w:pPr>
        <w:pStyle w:val="Heading3"/>
        <w:spacing w:line="369" w:lineRule="auto" w:before="144"/>
        <w:ind w:left="634" w:right="108"/>
        <w:jc w:val="left"/>
      </w:pPr>
      <w:r>
        <w:rPr>
          <w:spacing w:val="6"/>
        </w:rPr>
        <w:t>（</w:t>
      </w:r>
      <w:r>
        <w:rPr>
          <w:rFonts w:ascii="Arial Narrow" w:hAnsi="Arial Narrow" w:cs="Arial Narrow" w:eastAsia="Arial Narrow" w:hint="default"/>
          <w:spacing w:val="6"/>
        </w:rPr>
        <w:t>3</w:t>
      </w:r>
      <w:r>
        <w:rPr>
          <w:spacing w:val="6"/>
        </w:rPr>
        <w:t>）关注了对可供出售金融资产减值披露的充分性。</w:t>
      </w:r>
      <w:r>
        <w:rPr>
          <w:spacing w:val="-99"/>
        </w:rPr>
        <w:t> </w:t>
      </w:r>
      <w:r>
        <w:rPr>
          <w:spacing w:val="-99"/>
        </w:rPr>
      </w:r>
      <w:r>
        <w:rPr>
          <w:spacing w:val="4"/>
        </w:rPr>
        <w:t>基于获取的审计证据，我们认为，管理层对可供出售金融资产减值准备的计提</w:t>
      </w:r>
    </w:p>
    <w:p>
      <w:pPr>
        <w:pStyle w:val="Heading3"/>
        <w:spacing w:line="259" w:lineRule="exact"/>
        <w:ind w:right="0"/>
        <w:jc w:val="both"/>
      </w:pPr>
      <w:r>
        <w:rPr>
          <w:spacing w:val="6"/>
        </w:rPr>
        <w:t>是合理的。</w:t>
      </w:r>
    </w:p>
    <w:p>
      <w:pPr>
        <w:pStyle w:val="Heading2"/>
        <w:spacing w:line="240" w:lineRule="auto" w:before="118"/>
        <w:ind w:left="620" w:right="108"/>
        <w:jc w:val="left"/>
        <w:rPr>
          <w:b w:val="0"/>
          <w:bCs w:val="0"/>
        </w:rPr>
      </w:pPr>
      <w:r>
        <w:rPr/>
        <w:t>四、其他信息</w:t>
      </w:r>
      <w:r>
        <w:rPr>
          <w:b w:val="0"/>
          <w:bCs w:val="0"/>
        </w:rPr>
      </w:r>
    </w:p>
    <w:p>
      <w:pPr>
        <w:spacing w:line="240" w:lineRule="auto" w:before="0"/>
        <w:rPr>
          <w:rFonts w:ascii="Microsoft JhengHei" w:hAnsi="Microsoft JhengHei" w:cs="Microsoft JhengHei" w:eastAsia="Microsoft JhengHei" w:hint="default"/>
          <w:b/>
          <w:bCs/>
          <w:sz w:val="24"/>
          <w:szCs w:val="24"/>
        </w:rPr>
      </w:pPr>
    </w:p>
    <w:p>
      <w:pPr>
        <w:pStyle w:val="Heading3"/>
        <w:spacing w:line="283" w:lineRule="auto" w:before="215"/>
        <w:ind w:right="228" w:firstLine="496"/>
        <w:jc w:val="both"/>
      </w:pPr>
      <w:r>
        <w:rPr>
          <w:spacing w:val="6"/>
        </w:rPr>
        <w:t>日出东方公司管理层对其他信息负责。其他信息包括日出东方公司 </w:t>
      </w:r>
      <w:r>
        <w:rPr>
          <w:rFonts w:ascii="Arial Narrow" w:hAnsi="Arial Narrow" w:cs="Arial Narrow" w:eastAsia="Arial Narrow" w:hint="default"/>
          <w:spacing w:val="2"/>
        </w:rPr>
        <w:t>2017</w:t>
      </w:r>
      <w:r>
        <w:rPr>
          <w:rFonts w:ascii="Arial Narrow" w:hAnsi="Arial Narrow" w:cs="Arial Narrow" w:eastAsia="Arial Narrow" w:hint="default"/>
          <w:spacing w:val="55"/>
        </w:rPr>
        <w:t> </w:t>
      </w:r>
      <w:r>
        <w:rPr>
          <w:spacing w:val="9"/>
        </w:rPr>
        <w:t>年年 </w:t>
      </w:r>
      <w:r>
        <w:rPr>
          <w:spacing w:val="6"/>
        </w:rPr>
        <w:t>度报告中涵盖的信息，但不包括财务报表和我们的审计报告。</w:t>
      </w:r>
    </w:p>
    <w:p>
      <w:pPr>
        <w:pStyle w:val="Heading3"/>
        <w:spacing w:line="297" w:lineRule="auto" w:before="151"/>
        <w:ind w:right="246" w:firstLine="496"/>
        <w:jc w:val="both"/>
      </w:pPr>
      <w:r>
        <w:rPr>
          <w:spacing w:val="4"/>
        </w:rPr>
        <w:t>我们对财务报表发表的审计意见不涵盖其他信息，我们也不对其他信息发表任</w:t>
      </w:r>
      <w:r>
        <w:rPr/>
        <w:t> </w:t>
      </w:r>
      <w:r>
        <w:rPr>
          <w:spacing w:val="6"/>
        </w:rPr>
        <w:t>何形式的鉴证结论。</w:t>
      </w:r>
    </w:p>
    <w:p>
      <w:pPr>
        <w:spacing w:after="0" w:line="297" w:lineRule="auto"/>
        <w:jc w:val="both"/>
        <w:sectPr>
          <w:pgSz w:w="11910" w:h="16840"/>
          <w:pgMar w:header="880" w:footer="1195" w:top="1100" w:bottom="1380" w:left="1660" w:right="1040"/>
        </w:sectPr>
      </w:pPr>
    </w:p>
    <w:p>
      <w:pPr>
        <w:spacing w:line="240" w:lineRule="auto" w:before="2"/>
        <w:rPr>
          <w:rFonts w:ascii="宋体" w:hAnsi="宋体" w:cs="宋体" w:eastAsia="宋体" w:hint="default"/>
          <w:sz w:val="26"/>
          <w:szCs w:val="26"/>
        </w:rPr>
      </w:pPr>
    </w:p>
    <w:p>
      <w:pPr>
        <w:pStyle w:val="Heading3"/>
        <w:spacing w:line="297" w:lineRule="auto" w:before="26"/>
        <w:ind w:right="246" w:firstLine="496"/>
        <w:jc w:val="both"/>
      </w:pPr>
      <w:r>
        <w:rPr>
          <w:spacing w:val="4"/>
        </w:rPr>
        <w:t>结合我们对财务报表的审计，我们的责任是阅读其他信息，在此过程中，考虑</w:t>
      </w:r>
      <w:r>
        <w:rPr/>
        <w:t> </w:t>
      </w:r>
      <w:r>
        <w:rPr>
          <w:spacing w:val="11"/>
        </w:rPr>
        <w:t>其他信息是否与财务报表或我们在审计过程中了解到的情况存在重大不一致或者</w:t>
      </w:r>
      <w:r>
        <w:rPr>
          <w:spacing w:val="-108"/>
        </w:rPr>
        <w:t> </w:t>
      </w:r>
      <w:r>
        <w:rPr>
          <w:spacing w:val="-108"/>
        </w:rPr>
      </w:r>
      <w:r>
        <w:rPr>
          <w:spacing w:val="6"/>
        </w:rPr>
        <w:t>似乎存在重大错报。</w:t>
      </w:r>
    </w:p>
    <w:p>
      <w:pPr>
        <w:pStyle w:val="Heading3"/>
        <w:spacing w:line="297" w:lineRule="auto" w:before="137"/>
        <w:ind w:right="246" w:firstLine="496"/>
        <w:jc w:val="both"/>
      </w:pPr>
      <w:r>
        <w:rPr>
          <w:spacing w:val="4"/>
        </w:rPr>
        <w:t>基于我们已执行的工作，如果我们确定其他信息存在重大错报，我们应当报告</w:t>
      </w:r>
      <w:r>
        <w:rPr/>
        <w:t> </w:t>
      </w:r>
      <w:r>
        <w:rPr>
          <w:spacing w:val="6"/>
        </w:rPr>
        <w:t>该事实。在这方面，我们无任何事项需要报告。</w:t>
      </w:r>
    </w:p>
    <w:p>
      <w:pPr>
        <w:spacing w:line="336" w:lineRule="auto" w:before="60"/>
        <w:ind w:left="634" w:right="108" w:hanging="15"/>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五、管理层和治理层对财务报表的责任</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pacing w:val="4"/>
          <w:sz w:val="24"/>
          <w:szCs w:val="24"/>
        </w:rPr>
        <w:t>日出东方公司管理层负责按照企业会计准则的规定编制财务报表，使其实现公</w:t>
      </w:r>
    </w:p>
    <w:p>
      <w:pPr>
        <w:pStyle w:val="Heading3"/>
        <w:spacing w:line="293" w:lineRule="exact"/>
        <w:ind w:right="108"/>
        <w:jc w:val="left"/>
      </w:pPr>
      <w:r>
        <w:rPr>
          <w:spacing w:val="4"/>
        </w:rPr>
        <w:t>允反映，并设计、执行和维护必要的内部控制，以使财务报表不存在由于舞弊或错</w:t>
      </w:r>
    </w:p>
    <w:p>
      <w:pPr>
        <w:pStyle w:val="Heading3"/>
        <w:spacing w:line="388" w:lineRule="auto" w:before="75"/>
        <w:ind w:left="634" w:right="108" w:hanging="497"/>
        <w:jc w:val="left"/>
      </w:pPr>
      <w:r>
        <w:rPr>
          <w:spacing w:val="6"/>
        </w:rPr>
        <w:t>误导致的重大错报。</w:t>
      </w:r>
      <w:r>
        <w:rPr>
          <w:spacing w:val="-118"/>
        </w:rPr>
        <w:t> </w:t>
      </w:r>
      <w:r>
        <w:rPr>
          <w:spacing w:val="-118"/>
        </w:rPr>
      </w:r>
      <w:r>
        <w:rPr>
          <w:spacing w:val="4"/>
        </w:rPr>
        <w:t>在编制财务报表时，管理层负责评估日出东方公司的持续经营能力，披露与持</w:t>
      </w:r>
    </w:p>
    <w:p>
      <w:pPr>
        <w:pStyle w:val="Heading3"/>
        <w:spacing w:line="242" w:lineRule="exact"/>
        <w:ind w:right="108"/>
        <w:jc w:val="left"/>
      </w:pPr>
      <w:r>
        <w:rPr>
          <w:spacing w:val="4"/>
        </w:rPr>
        <w:t>续经营相关的事项（如适用），并运用持续经营假设，除非管理层计划清算日出东</w:t>
      </w:r>
    </w:p>
    <w:p>
      <w:pPr>
        <w:pStyle w:val="Heading3"/>
        <w:spacing w:line="388" w:lineRule="auto" w:before="74"/>
        <w:ind w:left="620" w:right="108" w:hanging="483"/>
        <w:jc w:val="left"/>
      </w:pPr>
      <w:r>
        <w:rPr>
          <w:spacing w:val="6"/>
        </w:rPr>
        <w:t>方公司、终止运营或别无其他现实的选择。</w:t>
      </w:r>
      <w:r>
        <w:rPr>
          <w:spacing w:val="-109"/>
        </w:rPr>
        <w:t> </w:t>
      </w:r>
      <w:r>
        <w:rPr>
          <w:spacing w:val="-109"/>
        </w:rPr>
      </w:r>
      <w:r>
        <w:rPr>
          <w:spacing w:val="6"/>
        </w:rPr>
        <w:t>治理层负责监督日出东方公司的财务报告过程。</w:t>
      </w:r>
    </w:p>
    <w:p>
      <w:pPr>
        <w:pStyle w:val="Heading2"/>
        <w:spacing w:line="387" w:lineRule="exact"/>
        <w:ind w:left="620" w:right="108"/>
        <w:jc w:val="left"/>
        <w:rPr>
          <w:b w:val="0"/>
          <w:bCs w:val="0"/>
        </w:rPr>
      </w:pPr>
      <w:r>
        <w:rPr/>
        <w:t>六、注册会计师对财务报表审计的责任</w:t>
      </w:r>
      <w:r>
        <w:rPr>
          <w:b w:val="0"/>
          <w:bCs w:val="0"/>
        </w:rPr>
      </w:r>
    </w:p>
    <w:p>
      <w:pPr>
        <w:pStyle w:val="Heading3"/>
        <w:spacing w:line="297" w:lineRule="auto" w:before="167"/>
        <w:ind w:right="246" w:firstLine="496"/>
        <w:jc w:val="both"/>
      </w:pPr>
      <w:r>
        <w:rPr>
          <w:spacing w:val="11"/>
        </w:rPr>
        <w:t>我们的目标是对财务报表整体是否不存在由于舞弊或错误导致的重大错报获</w:t>
      </w:r>
      <w:r>
        <w:rPr/>
        <w:t> </w:t>
      </w:r>
      <w:r>
        <w:rPr>
          <w:spacing w:val="4"/>
        </w:rPr>
        <w:t>取合理保证，并出具包含审计意见的审计报告。合理保证是高水平的保证，但并不</w:t>
      </w:r>
      <w:r>
        <w:rPr>
          <w:spacing w:val="-114"/>
        </w:rPr>
        <w:t> </w:t>
      </w:r>
      <w:r>
        <w:rPr>
          <w:spacing w:val="-114"/>
        </w:rPr>
      </w:r>
      <w:r>
        <w:rPr>
          <w:spacing w:val="4"/>
        </w:rPr>
        <w:t>能保证按照审计准则执行的审计在某一重大错报存在时总能发现。错报可能由于舞</w:t>
      </w:r>
      <w:r>
        <w:rPr>
          <w:spacing w:val="-111"/>
        </w:rPr>
        <w:t> </w:t>
      </w:r>
      <w:r>
        <w:rPr>
          <w:spacing w:val="-111"/>
        </w:rPr>
      </w:r>
      <w:r>
        <w:rPr>
          <w:spacing w:val="4"/>
        </w:rPr>
        <w:t>弊或错误导致，如果合理预期错报单独或汇总起来可能影响财务报表使用者依据财</w:t>
      </w:r>
      <w:r>
        <w:rPr>
          <w:spacing w:val="-111"/>
        </w:rPr>
        <w:t> </w:t>
      </w:r>
      <w:r>
        <w:rPr>
          <w:spacing w:val="-111"/>
        </w:rPr>
      </w:r>
      <w:r>
        <w:rPr>
          <w:spacing w:val="6"/>
        </w:rPr>
        <w:t>务报表作出的经济决策，则通常认为错报是重大的。</w:t>
      </w:r>
    </w:p>
    <w:p>
      <w:pPr>
        <w:pStyle w:val="Heading3"/>
        <w:spacing w:line="300" w:lineRule="auto" w:before="137"/>
        <w:ind w:right="108" w:firstLine="496"/>
        <w:jc w:val="left"/>
      </w:pPr>
      <w:r>
        <w:rPr/>
        <w:t>在按照审计准则执行审计工作的过程中，我们运用职业判断，并保持职业怀疑。 </w:t>
      </w:r>
      <w:r>
        <w:rPr>
          <w:spacing w:val="6"/>
        </w:rPr>
        <w:t>同时，我们也执行以下工作：</w:t>
      </w:r>
    </w:p>
    <w:p>
      <w:pPr>
        <w:pStyle w:val="Heading3"/>
        <w:spacing w:line="292" w:lineRule="auto" w:before="134"/>
        <w:ind w:right="108" w:firstLine="496"/>
        <w:jc w:val="left"/>
      </w:pPr>
      <w:r>
        <w:rPr>
          <w:spacing w:val="8"/>
        </w:rPr>
        <w:t>（</w:t>
      </w:r>
      <w:r>
        <w:rPr>
          <w:rFonts w:ascii="Arial Narrow" w:hAnsi="Arial Narrow" w:cs="Arial Narrow" w:eastAsia="Arial Narrow" w:hint="default"/>
          <w:spacing w:val="8"/>
        </w:rPr>
        <w:t>1</w:t>
      </w:r>
      <w:r>
        <w:rPr>
          <w:spacing w:val="8"/>
        </w:rPr>
        <w:t>）识别和评估由于舞弊或错误导致的财务报表重大错报风险，设计和实施</w:t>
      </w:r>
      <w:r>
        <w:rPr/>
        <w:t> </w:t>
      </w:r>
      <w:r>
        <w:rPr>
          <w:spacing w:val="4"/>
        </w:rPr>
        <w:t>审计程序以应对这些风险，并获取充分、适当的审计证据，作为发表审计意见的基</w:t>
      </w:r>
      <w:r>
        <w:rPr>
          <w:spacing w:val="-110"/>
        </w:rPr>
        <w:t> </w:t>
      </w:r>
      <w:r>
        <w:rPr>
          <w:spacing w:val="-110"/>
        </w:rPr>
      </w:r>
      <w:r>
        <w:rPr>
          <w:spacing w:val="7"/>
        </w:rPr>
        <w:t>础。由于舞弊可能涉及串通、伪造、故意遗漏、虚假陈述或凌驾于内部控制之上，</w:t>
      </w:r>
      <w:r>
        <w:rPr>
          <w:spacing w:val="-91"/>
        </w:rPr>
        <w:t> </w:t>
      </w:r>
      <w:r>
        <w:rPr>
          <w:spacing w:val="-91"/>
        </w:rPr>
      </w:r>
      <w:r>
        <w:rPr>
          <w:spacing w:val="11"/>
        </w:rPr>
        <w:t>未能发现由于舞弊导致的重大错报的风险高于未能发现由于错误导致的重大错报</w:t>
      </w:r>
      <w:r>
        <w:rPr>
          <w:spacing w:val="-108"/>
        </w:rPr>
        <w:t> </w:t>
      </w:r>
      <w:r>
        <w:rPr>
          <w:spacing w:val="-108"/>
        </w:rPr>
      </w:r>
      <w:r>
        <w:rPr>
          <w:spacing w:val="5"/>
        </w:rPr>
        <w:t>的风险。</w:t>
      </w:r>
    </w:p>
    <w:p>
      <w:pPr>
        <w:pStyle w:val="Heading3"/>
        <w:spacing w:line="240" w:lineRule="auto" w:before="142"/>
        <w:ind w:left="634" w:right="108"/>
        <w:jc w:val="left"/>
      </w:pPr>
      <w:r>
        <w:rPr>
          <w:spacing w:val="6"/>
        </w:rPr>
        <w:t>（</w:t>
      </w:r>
      <w:r>
        <w:rPr>
          <w:rFonts w:ascii="Arial Narrow" w:hAnsi="Arial Narrow" w:cs="Arial Narrow" w:eastAsia="Arial Narrow" w:hint="default"/>
          <w:spacing w:val="6"/>
        </w:rPr>
        <w:t>2</w:t>
      </w:r>
      <w:r>
        <w:rPr>
          <w:spacing w:val="6"/>
        </w:rPr>
        <w:t>）了解与审计相关的内部控制，以设计恰当的审计程序。</w:t>
      </w:r>
    </w:p>
    <w:p>
      <w:pPr>
        <w:pStyle w:val="Heading3"/>
        <w:spacing w:line="240" w:lineRule="auto" w:before="178"/>
        <w:ind w:left="634" w:right="108"/>
        <w:jc w:val="left"/>
      </w:pPr>
      <w:r>
        <w:rPr>
          <w:spacing w:val="4"/>
        </w:rPr>
        <w:t>（</w:t>
      </w:r>
      <w:r>
        <w:rPr>
          <w:rFonts w:ascii="Arial Narrow" w:hAnsi="Arial Narrow" w:cs="Arial Narrow" w:eastAsia="Arial Narrow" w:hint="default"/>
          <w:spacing w:val="4"/>
        </w:rPr>
        <w:t>3</w:t>
      </w:r>
      <w:r>
        <w:rPr>
          <w:spacing w:val="4"/>
        </w:rPr>
        <w:t>）评价管理层选用会计政策的恰当性和作出会计估计及相关披露的合理性。</w:t>
      </w:r>
    </w:p>
    <w:p>
      <w:pPr>
        <w:pStyle w:val="Heading3"/>
        <w:spacing w:line="292" w:lineRule="auto" w:before="178"/>
        <w:ind w:right="228" w:firstLine="496"/>
        <w:jc w:val="both"/>
      </w:pPr>
      <w:r>
        <w:rPr>
          <w:spacing w:val="8"/>
        </w:rPr>
        <w:t>（</w:t>
      </w:r>
      <w:r>
        <w:rPr>
          <w:rFonts w:ascii="Arial Narrow" w:hAnsi="Arial Narrow" w:cs="Arial Narrow" w:eastAsia="Arial Narrow" w:hint="default"/>
          <w:spacing w:val="8"/>
        </w:rPr>
        <w:t>4</w:t>
      </w:r>
      <w:r>
        <w:rPr>
          <w:spacing w:val="8"/>
        </w:rPr>
        <w:t>）对管理层使用持续经营假设的恰当性得出结论。同时，根据获取的审计</w:t>
      </w:r>
      <w:r>
        <w:rPr/>
        <w:t> </w:t>
      </w:r>
      <w:r>
        <w:rPr>
          <w:spacing w:val="4"/>
        </w:rPr>
        <w:t>证据，就可能导致对日出东方公司的持续经营能力产生重大疑虑的事项或情况是否</w:t>
      </w:r>
      <w:r>
        <w:rPr>
          <w:spacing w:val="-93"/>
        </w:rPr>
        <w:t> </w:t>
      </w:r>
      <w:r>
        <w:rPr>
          <w:spacing w:val="-93"/>
        </w:rPr>
      </w:r>
      <w:r>
        <w:rPr>
          <w:spacing w:val="4"/>
        </w:rPr>
        <w:t>存在重大不确定性得出结论。如果我们得出结论认为存在重大不确定性，审计准则</w:t>
      </w:r>
      <w:r>
        <w:rPr>
          <w:spacing w:val="-110"/>
        </w:rPr>
        <w:t> </w:t>
      </w:r>
      <w:r>
        <w:rPr>
          <w:spacing w:val="-110"/>
        </w:rPr>
      </w:r>
      <w:r>
        <w:rPr>
          <w:spacing w:val="4"/>
        </w:rPr>
        <w:t>要求我们在审计报告中提请报表使用者注意财务报表中的相关披露；如果披露不充</w:t>
      </w:r>
    </w:p>
    <w:p>
      <w:pPr>
        <w:spacing w:after="0" w:line="292" w:lineRule="auto"/>
        <w:jc w:val="both"/>
        <w:sectPr>
          <w:pgSz w:w="11910" w:h="16840"/>
          <w:pgMar w:header="880" w:footer="1195" w:top="1100" w:bottom="1380" w:left="1660" w:right="1040"/>
        </w:sectPr>
      </w:pPr>
    </w:p>
    <w:p>
      <w:pPr>
        <w:spacing w:line="240" w:lineRule="auto" w:before="2"/>
        <w:rPr>
          <w:rFonts w:ascii="宋体" w:hAnsi="宋体" w:cs="宋体" w:eastAsia="宋体" w:hint="default"/>
          <w:sz w:val="26"/>
          <w:szCs w:val="26"/>
        </w:rPr>
      </w:pPr>
    </w:p>
    <w:p>
      <w:pPr>
        <w:pStyle w:val="Heading3"/>
        <w:spacing w:line="300" w:lineRule="auto" w:before="26"/>
        <w:ind w:right="0"/>
        <w:jc w:val="left"/>
      </w:pPr>
      <w:r>
        <w:rPr>
          <w:spacing w:val="7"/>
        </w:rPr>
        <w:t>分，我们应当发表非无保留意见。我们的结论基于截至审计报告日可获得的信息。</w:t>
      </w:r>
      <w:r>
        <w:rPr>
          <w:spacing w:val="-91"/>
        </w:rPr>
        <w:t> </w:t>
      </w:r>
      <w:r>
        <w:rPr>
          <w:spacing w:val="-91"/>
        </w:rPr>
      </w:r>
      <w:r>
        <w:rPr>
          <w:spacing w:val="6"/>
        </w:rPr>
        <w:t>然而，未来的事项或情况可能导致日出东方公司不能持续经营。</w:t>
      </w:r>
    </w:p>
    <w:p>
      <w:pPr>
        <w:pStyle w:val="Heading3"/>
        <w:spacing w:line="283" w:lineRule="auto" w:before="134"/>
        <w:ind w:right="0" w:firstLine="496"/>
        <w:jc w:val="left"/>
      </w:pPr>
      <w:r>
        <w:rPr>
          <w:spacing w:val="8"/>
        </w:rPr>
        <w:t>（</w:t>
      </w:r>
      <w:r>
        <w:rPr>
          <w:rFonts w:ascii="Arial Narrow" w:hAnsi="Arial Narrow" w:cs="Arial Narrow" w:eastAsia="Arial Narrow" w:hint="default"/>
          <w:spacing w:val="8"/>
        </w:rPr>
        <w:t>5</w:t>
      </w:r>
      <w:r>
        <w:rPr>
          <w:spacing w:val="8"/>
        </w:rPr>
        <w:t>）评价财务报表的总体列报、结构和内容（包括披露），并评价财务报表</w:t>
      </w:r>
      <w:r>
        <w:rPr/>
        <w:t> </w:t>
      </w:r>
      <w:r>
        <w:rPr>
          <w:spacing w:val="6"/>
        </w:rPr>
        <w:t>是否公允反映相关交易和事项。</w:t>
      </w:r>
    </w:p>
    <w:p>
      <w:pPr>
        <w:pStyle w:val="Heading3"/>
        <w:spacing w:line="290" w:lineRule="auto" w:before="151"/>
        <w:ind w:right="366" w:firstLine="496"/>
        <w:jc w:val="both"/>
      </w:pPr>
      <w:r>
        <w:rPr>
          <w:spacing w:val="8"/>
        </w:rPr>
        <w:t>（</w:t>
      </w:r>
      <w:r>
        <w:rPr>
          <w:rFonts w:ascii="Arial Narrow" w:hAnsi="Arial Narrow" w:cs="Arial Narrow" w:eastAsia="Arial Narrow" w:hint="default"/>
          <w:spacing w:val="8"/>
        </w:rPr>
        <w:t>6</w:t>
      </w:r>
      <w:r>
        <w:rPr>
          <w:spacing w:val="8"/>
        </w:rPr>
        <w:t>）就日出东方公司中实体或业务活动的财务信息获取充分、适当的审计证</w:t>
      </w:r>
      <w:r>
        <w:rPr/>
        <w:t> </w:t>
      </w:r>
      <w:r>
        <w:rPr>
          <w:spacing w:val="4"/>
        </w:rPr>
        <w:t>据，以对财务报表发表意见。我们负责指导、监督和执行集团审计，并对审计意见</w:t>
      </w:r>
      <w:r>
        <w:rPr>
          <w:spacing w:val="-112"/>
        </w:rPr>
        <w:t> </w:t>
      </w:r>
      <w:r>
        <w:rPr>
          <w:spacing w:val="-112"/>
        </w:rPr>
      </w:r>
      <w:r>
        <w:rPr>
          <w:spacing w:val="6"/>
        </w:rPr>
        <w:t>承担全部责任。</w:t>
      </w:r>
    </w:p>
    <w:p>
      <w:pPr>
        <w:pStyle w:val="Heading3"/>
        <w:spacing w:line="297" w:lineRule="auto" w:before="144"/>
        <w:ind w:right="0" w:firstLine="496"/>
        <w:jc w:val="left"/>
      </w:pPr>
      <w:r>
        <w:rPr>
          <w:spacing w:val="7"/>
        </w:rPr>
        <w:t>我们与治理层就计划的审计范围、时间安排和重大审计发现等事项进行沟通，</w:t>
      </w:r>
      <w:r>
        <w:rPr/>
        <w:t> </w:t>
      </w:r>
      <w:r>
        <w:rPr>
          <w:spacing w:val="6"/>
        </w:rPr>
        <w:t>包括沟通我们在审计中识别出的值得关注的内部控制缺陷。</w:t>
      </w:r>
    </w:p>
    <w:p>
      <w:pPr>
        <w:pStyle w:val="Heading3"/>
        <w:spacing w:line="300" w:lineRule="auto" w:before="137"/>
        <w:ind w:right="0" w:firstLine="496"/>
        <w:jc w:val="left"/>
      </w:pPr>
      <w:r>
        <w:rPr>
          <w:spacing w:val="9"/>
        </w:rPr>
        <w:t>我</w:t>
      </w:r>
      <w:r>
        <w:rPr>
          <w:spacing w:val="6"/>
        </w:rPr>
        <w:t>们还</w:t>
      </w:r>
      <w:r>
        <w:rPr>
          <w:spacing w:val="10"/>
        </w:rPr>
        <w:t>就</w:t>
      </w:r>
      <w:r>
        <w:rPr>
          <w:spacing w:val="7"/>
        </w:rPr>
        <w:t>已遵</w:t>
      </w:r>
      <w:r>
        <w:rPr>
          <w:spacing w:val="10"/>
        </w:rPr>
        <w:t>守</w:t>
      </w:r>
      <w:r>
        <w:rPr>
          <w:spacing w:val="7"/>
        </w:rPr>
        <w:t>与</w:t>
      </w:r>
      <w:r>
        <w:rPr>
          <w:spacing w:val="6"/>
        </w:rPr>
        <w:t>独</w:t>
      </w:r>
      <w:r>
        <w:rPr>
          <w:spacing w:val="9"/>
        </w:rPr>
        <w:t>立</w:t>
      </w:r>
      <w:r>
        <w:rPr>
          <w:spacing w:val="7"/>
        </w:rPr>
        <w:t>性</w:t>
      </w:r>
      <w:r>
        <w:rPr>
          <w:spacing w:val="6"/>
        </w:rPr>
        <w:t>相</w:t>
      </w:r>
      <w:r>
        <w:rPr>
          <w:spacing w:val="9"/>
        </w:rPr>
        <w:t>关</w:t>
      </w:r>
      <w:r>
        <w:rPr>
          <w:spacing w:val="7"/>
        </w:rPr>
        <w:t>的</w:t>
      </w:r>
      <w:r>
        <w:rPr>
          <w:spacing w:val="6"/>
        </w:rPr>
        <w:t>职</w:t>
      </w:r>
      <w:r>
        <w:rPr>
          <w:spacing w:val="9"/>
        </w:rPr>
        <w:t>业</w:t>
      </w:r>
      <w:r>
        <w:rPr>
          <w:spacing w:val="6"/>
        </w:rPr>
        <w:t>道德</w:t>
      </w:r>
      <w:r>
        <w:rPr>
          <w:spacing w:val="9"/>
        </w:rPr>
        <w:t>要</w:t>
      </w:r>
      <w:r>
        <w:rPr>
          <w:spacing w:val="6"/>
        </w:rPr>
        <w:t>求向</w:t>
      </w:r>
      <w:r>
        <w:rPr>
          <w:spacing w:val="9"/>
        </w:rPr>
        <w:t>治</w:t>
      </w:r>
      <w:r>
        <w:rPr>
          <w:spacing w:val="6"/>
        </w:rPr>
        <w:t>理层</w:t>
      </w:r>
      <w:r>
        <w:rPr>
          <w:spacing w:val="9"/>
        </w:rPr>
        <w:t>提</w:t>
      </w:r>
      <w:r>
        <w:rPr>
          <w:spacing w:val="6"/>
        </w:rPr>
        <w:t>供声</w:t>
      </w:r>
      <w:r>
        <w:rPr>
          <w:spacing w:val="9"/>
        </w:rPr>
        <w:t>明</w:t>
      </w:r>
      <w:r>
        <w:rPr>
          <w:spacing w:val="-89"/>
        </w:rPr>
        <w:t>，</w:t>
      </w:r>
      <w:r>
        <w:rPr>
          <w:spacing w:val="9"/>
        </w:rPr>
        <w:t>并</w:t>
      </w:r>
      <w:r>
        <w:rPr>
          <w:spacing w:val="6"/>
        </w:rPr>
        <w:t>与治</w:t>
      </w:r>
      <w:r>
        <w:rPr>
          <w:spacing w:val="9"/>
        </w:rPr>
        <w:t>理</w:t>
      </w:r>
      <w:r>
        <w:rPr/>
        <w:t>层</w:t>
      </w:r>
      <w:r>
        <w:rPr/>
        <w:t> </w:t>
      </w:r>
      <w:r>
        <w:rPr>
          <w:spacing w:val="9"/>
        </w:rPr>
        <w:t>沟</w:t>
      </w:r>
      <w:r>
        <w:rPr>
          <w:spacing w:val="6"/>
        </w:rPr>
        <w:t>通可</w:t>
      </w:r>
      <w:r>
        <w:rPr>
          <w:spacing w:val="9"/>
        </w:rPr>
        <w:t>能</w:t>
      </w:r>
      <w:r>
        <w:rPr>
          <w:spacing w:val="6"/>
        </w:rPr>
        <w:t>被合</w:t>
      </w:r>
      <w:r>
        <w:rPr>
          <w:spacing w:val="9"/>
        </w:rPr>
        <w:t>理</w:t>
      </w:r>
      <w:r>
        <w:rPr>
          <w:spacing w:val="6"/>
        </w:rPr>
        <w:t>认为</w:t>
      </w:r>
      <w:r>
        <w:rPr>
          <w:spacing w:val="9"/>
        </w:rPr>
        <w:t>影</w:t>
      </w:r>
      <w:r>
        <w:rPr>
          <w:spacing w:val="6"/>
        </w:rPr>
        <w:t>响我</w:t>
      </w:r>
      <w:r>
        <w:rPr>
          <w:spacing w:val="9"/>
        </w:rPr>
        <w:t>们</w:t>
      </w:r>
      <w:r>
        <w:rPr>
          <w:spacing w:val="6"/>
        </w:rPr>
        <w:t>独立</w:t>
      </w:r>
      <w:r>
        <w:rPr>
          <w:spacing w:val="9"/>
        </w:rPr>
        <w:t>性</w:t>
      </w:r>
      <w:r>
        <w:rPr>
          <w:spacing w:val="6"/>
        </w:rPr>
        <w:t>的所</w:t>
      </w:r>
      <w:r>
        <w:rPr>
          <w:spacing w:val="9"/>
        </w:rPr>
        <w:t>有</w:t>
      </w:r>
      <w:r>
        <w:rPr>
          <w:spacing w:val="6"/>
        </w:rPr>
        <w:t>关系</w:t>
      </w:r>
      <w:r>
        <w:rPr>
          <w:spacing w:val="9"/>
        </w:rPr>
        <w:t>和</w:t>
      </w:r>
      <w:r>
        <w:rPr>
          <w:spacing w:val="6"/>
        </w:rPr>
        <w:t>其他</w:t>
      </w:r>
      <w:r>
        <w:rPr>
          <w:spacing w:val="9"/>
        </w:rPr>
        <w:t>事项</w:t>
      </w:r>
      <w:r>
        <w:rPr>
          <w:spacing w:val="-89"/>
        </w:rPr>
        <w:t>，</w:t>
      </w:r>
      <w:r>
        <w:rPr>
          <w:spacing w:val="6"/>
        </w:rPr>
        <w:t>以</w:t>
      </w:r>
      <w:r>
        <w:rPr>
          <w:spacing w:val="9"/>
        </w:rPr>
        <w:t>及</w:t>
      </w:r>
      <w:r>
        <w:rPr>
          <w:spacing w:val="6"/>
        </w:rPr>
        <w:t>相关</w:t>
      </w:r>
      <w:r>
        <w:rPr>
          <w:spacing w:val="9"/>
        </w:rPr>
        <w:t>的</w:t>
      </w:r>
      <w:r>
        <w:rPr>
          <w:spacing w:val="6"/>
        </w:rPr>
        <w:t>防范</w:t>
      </w:r>
      <w:r>
        <w:rPr>
          <w:spacing w:val="9"/>
        </w:rPr>
        <w:t>措</w:t>
      </w:r>
      <w:r>
        <w:rPr/>
        <w:t>施</w:t>
      </w:r>
    </w:p>
    <w:p>
      <w:pPr>
        <w:pStyle w:val="Heading3"/>
        <w:spacing w:line="240" w:lineRule="auto" w:before="14"/>
        <w:ind w:right="0"/>
        <w:jc w:val="left"/>
      </w:pPr>
      <w:r>
        <w:rPr>
          <w:spacing w:val="6"/>
        </w:rPr>
        <w:t>（如适用）。</w:t>
      </w:r>
    </w:p>
    <w:p>
      <w:pPr>
        <w:pStyle w:val="Heading3"/>
        <w:spacing w:line="297" w:lineRule="auto" w:before="194"/>
        <w:ind w:right="0" w:firstLine="496"/>
        <w:jc w:val="left"/>
      </w:pPr>
      <w:r>
        <w:rPr>
          <w:spacing w:val="4"/>
        </w:rPr>
        <w:t>从与治理层沟通过的事项中，我们确定哪些事项对本期财务报表审计最为重要，</w:t>
      </w:r>
      <w:r>
        <w:rPr/>
        <w:t> </w:t>
      </w:r>
      <w:r>
        <w:rPr>
          <w:spacing w:val="4"/>
        </w:rPr>
        <w:t>因而构成关键审计事项。我们在审计报告中描述这些事项，除非法律法规禁止公开</w:t>
      </w:r>
      <w:r>
        <w:rPr>
          <w:spacing w:val="-110"/>
        </w:rPr>
        <w:t> </w:t>
      </w:r>
      <w:r>
        <w:rPr>
          <w:spacing w:val="-110"/>
        </w:rPr>
      </w:r>
      <w:r>
        <w:rPr>
          <w:spacing w:val="4"/>
        </w:rPr>
        <w:t>披露这些事项，或在极少数情形下，如果合理预期在审计报告中沟通某事项造成的</w:t>
      </w:r>
      <w:r>
        <w:rPr>
          <w:spacing w:val="-111"/>
        </w:rPr>
        <w:t> </w:t>
      </w:r>
      <w:r>
        <w:rPr>
          <w:spacing w:val="-111"/>
        </w:rPr>
      </w:r>
      <w:r>
        <w:rPr>
          <w:spacing w:val="4"/>
        </w:rPr>
        <w:t>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87" w:type="dxa"/>
        <w:tblLayout w:type="fixed"/>
        <w:tblCellMar>
          <w:top w:w="0" w:type="dxa"/>
          <w:left w:w="0" w:type="dxa"/>
          <w:bottom w:w="0" w:type="dxa"/>
          <w:right w:w="0" w:type="dxa"/>
        </w:tblCellMar>
        <w:tblLook w:val="01E0"/>
      </w:tblPr>
      <w:tblGrid>
        <w:gridCol w:w="3402"/>
        <w:gridCol w:w="3036"/>
        <w:gridCol w:w="1270"/>
      </w:tblGrid>
      <w:tr>
        <w:trPr>
          <w:trHeight w:val="2018"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240" w:lineRule="auto" w:before="26"/>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exact"/>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before="26"/>
              <w:ind w:left="1248" w:right="0"/>
              <w:jc w:val="left"/>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4"/>
                <w:szCs w:val="24"/>
              </w:rPr>
            </w:pPr>
            <w:r>
              <w:rPr>
                <w:rFonts w:ascii="宋体" w:hAnsi="宋体" w:cs="宋体" w:eastAsia="宋体" w:hint="default"/>
                <w:sz w:val="24"/>
                <w:szCs w:val="24"/>
              </w:rPr>
              <w:t>涂振连</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8"/>
              <w:ind w:left="107" w:right="0"/>
              <w:jc w:val="left"/>
              <w:rPr>
                <w:rFonts w:ascii="宋体" w:hAnsi="宋体" w:cs="宋体" w:eastAsia="宋体" w:hint="default"/>
                <w:sz w:val="24"/>
                <w:szCs w:val="24"/>
              </w:rPr>
            </w:pPr>
            <w:r>
              <w:rPr>
                <w:rFonts w:ascii="宋体" w:hAnsi="宋体" w:cs="宋体" w:eastAsia="宋体" w:hint="default"/>
                <w:sz w:val="24"/>
                <w:szCs w:val="24"/>
              </w:rPr>
              <w:t>马云峰</w:t>
            </w:r>
          </w:p>
        </w:tc>
      </w:tr>
      <w:tr>
        <w:trPr>
          <w:trHeight w:val="604"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43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6" w:right="0"/>
              <w:jc w:val="left"/>
              <w:rPr>
                <w:rFonts w:ascii="宋体" w:hAnsi="宋体" w:cs="宋体" w:eastAsia="宋体" w:hint="default"/>
                <w:sz w:val="24"/>
                <w:szCs w:val="24"/>
              </w:rPr>
            </w:pPr>
            <w:r>
              <w:rPr>
                <w:rFonts w:ascii="宋体" w:hAnsi="宋体" w:cs="宋体" w:eastAsia="宋体" w:hint="default"/>
                <w:sz w:val="24"/>
                <w:szCs w:val="24"/>
              </w:rPr>
              <w:t>二Ｏ一八年 四 月二十六日</w:t>
            </w:r>
          </w:p>
        </w:tc>
      </w:tr>
    </w:tbl>
    <w:p>
      <w:pPr>
        <w:spacing w:after="0" w:line="240" w:lineRule="auto"/>
        <w:jc w:val="left"/>
        <w:rPr>
          <w:rFonts w:ascii="宋体" w:hAnsi="宋体" w:cs="宋体" w:eastAsia="宋体" w:hint="default"/>
          <w:sz w:val="24"/>
          <w:szCs w:val="24"/>
        </w:rPr>
        <w:sectPr>
          <w:pgSz w:w="11910" w:h="16840"/>
          <w:pgMar w:header="880" w:footer="1195" w:top="1100" w:bottom="1380" w:left="1660" w:right="9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00" w:bottom="1380" w:left="1580" w:right="1040"/>
        </w:sectPr>
      </w:pPr>
    </w:p>
    <w:p>
      <w:pPr>
        <w:pStyle w:val="Heading5"/>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left="218" w:right="2549"/>
        <w:jc w:val="left"/>
      </w:pPr>
      <w:r>
        <w:rPr/>
        <w:t>编制单位</w:t>
      </w:r>
      <w:r>
        <w:rPr>
          <w:rFonts w:ascii="宋体" w:hAnsi="宋体" w:cs="宋体" w:eastAsia="宋体" w:hint="default"/>
        </w:rPr>
        <w:t>: </w:t>
      </w:r>
      <w:r>
        <w:rPr/>
        <w:t>日出东方太阳能股份有限公司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385,673,640.72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833,144,455.30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359,620,000.00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37,419,701.07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20,329,308.07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85,583,615.27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28,742,080.08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44,325,666.51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50,156,310.88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5,882,518.44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5,069,849.25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85,133,519.69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52,050,333.47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447,912,777.42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273,257,892.48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152,271,000.00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648,741,547.73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1,861,985,702.02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2,252,563,986.85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3,294,735,931.55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504,106,544.45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514,872,239.71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959,956,072.80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4,905,297.88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101,926,055.64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1,236,637,601.16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778,022,662.21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40,197,806.54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215,161,551.96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511,228,359.34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211,110,988.07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499,720,378.77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1,843,194.14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7,319,037.25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2,602,166.07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65,830,049.49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57,897,785.60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141,755,768.67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140,269,626.07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4,068,677,674.11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1,926,685,511.71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6,321,241,660.96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5,221,421,443.26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604,650,000.00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226,130,000.00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156,340,000.00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409,131,293.74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306,946,292.17</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401,115,088.38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402,093,244.15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71,024,064.48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61,051,184.06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40,332,935.27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27,641,137.04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730,023.65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302,083.33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654,131,157.01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151,347,525.46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2,960,424.74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13,094,900.00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2,420,339,462.53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1,358,681,890.95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13,580,829.32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17,872,501.15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63,807,206.70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59,376,036.69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35,377,017.33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2,382,483.73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112,765,053.35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79,631,021.57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2,533,104,515.88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1,438,312,912.52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1,919,348,906.83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1,919,348,906.83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13,201,233.82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10,984,629.54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189,068,883.05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187,559,754.85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770,321,569.47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863,461,866.33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3,691,940,593.17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3,781,355,157.55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96,196,551.91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1,753,373.19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3,788,137,145.08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3,783,108,530.74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6,321,241,660.96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5,221,421,443.26</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18" w:right="227"/>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00" w:bottom="1380" w:left="1580" w:right="1040"/>
        </w:sectPr>
      </w:pPr>
    </w:p>
    <w:p>
      <w:pPr>
        <w:spacing w:before="36"/>
        <w:ind w:left="3768" w:right="0" w:firstLine="21"/>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71" w:lineRule="exact"/>
        <w:ind w:left="218" w:right="0"/>
        <w:jc w:val="left"/>
      </w:pPr>
      <w:r>
        <w:rPr/>
        <w:t>编制单位</w:t>
      </w:r>
      <w:r>
        <w:rPr>
          <w:rFonts w:ascii="宋体" w:hAnsi="宋体" w:cs="宋体" w:eastAsia="宋体" w:hint="default"/>
        </w:rPr>
        <w:t>:</w:t>
      </w:r>
      <w:r>
        <w:rPr/>
        <w:t>日出东方太阳能股份有限公司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0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227,241,363.65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668,763,275.26</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205,570,000.00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7,048,396.80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10,814,610.17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16,978,269.57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14,494,179.74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37,007,384.00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51,592,172.31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3,566,635.62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4,212,170.46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42,984,610.28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53,099,814.86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137,384,014.79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128,412,598.83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152,271,000.00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371,369,104.74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1,598,929,164.41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1,201,420,779.45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2,700,317,986.04</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163,771,646.91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222,530,000.00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3,197,816,251.39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1,493,409,394.40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55,111,436.22</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633,540,970.46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575,456,478.36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18,767,599.98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125,631,983.16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81,292,952.76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77,369,425.75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6,727,931.43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1,825,197.88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38,348,560.08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36,972,352.84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54,795,907.28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131,038,593.78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4,250,173,256.51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2,664,233,426.17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5,451,594,035.96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5,364,551,412.21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167,400,000.00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156,340,000.00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380,509,824.29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301,823,197.07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437,280,168.14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929,440,346.96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11,161,808.04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13,758,251.48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4,169,987.23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11,368,843.32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199,375.00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302,083.33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767,226,740.09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25,674,314.19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2,109,792.45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1,917,947,902.79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1,690,816,828.80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8,521,914.74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15,243,859.82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39,734,774.88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39,784,774.87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1,221,333.07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1,623,135.90</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49,478,022.69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56,651,770.59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1,967,425,925.48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1,747,468,599.39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1,928,624,914.39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1,928,624,914.39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5,559,515.65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7,165,500.00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186,281,975.20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184,772,847.00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563,701,705.24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696,519,551.43</w:t>
            </w:r>
          </w:p>
        </w:tc>
      </w:tr>
    </w:tbl>
    <w:p>
      <w:pPr>
        <w:spacing w:after="0" w:line="243" w:lineRule="exact"/>
        <w:jc w:val="right"/>
        <w:rPr>
          <w:rFonts w:ascii="宋体" w:hAnsi="宋体" w:cs="宋体" w:eastAsia="宋体" w:hint="default"/>
          <w:sz w:val="21"/>
          <w:szCs w:val="21"/>
        </w:rPr>
        <w:sectPr>
          <w:footerReference w:type="default" r:id="rId42"/>
          <w:pgSz w:w="11910" w:h="16840"/>
          <w:pgMar w:footer="1195" w:header="880"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3,484,168,110.48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3,617,082,812.82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5,451,594,035.96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5,364,551,412.21</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18" w:right="227"/>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3"/>
          <w:pgSz w:w="11910" w:h="16840"/>
          <w:pgMar w:footer="1195" w:header="880" w:top="1100" w:bottom="1380" w:left="1580" w:right="1040"/>
          <w:pgNumType w:start="71"/>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2,783,914,360.60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2,351,760,250.50</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2,783,914,360.60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2,351,760,250.50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2,817,682,796.74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2,188,479,584.43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1,760,207,253.18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1,438,694,443.50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30,056,781.30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23,464,604.55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694,632,599.12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520,519,392.78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260,360,027.83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195,808,694.99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42,679,089.31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4,260,039.77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29,747,046.00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5,732,408.84</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98,600,854.99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122,233,676.42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2,713,235.23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-3,396,636.47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-16,203.23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-2,948,961.39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20,770,806.10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85,587,021.72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282,565,381.10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1,418,603.66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15,654,891.52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9,323,254.13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8,388,110.68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77,682,371.25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289,832,161.94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19,494,384.84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45,795,642.71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58,187,986.41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244,036,519.23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58,187,986.41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244,036,519.23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3,419,155.07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221,455.35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54,768,831.34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243,815,063.88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2,216,604.28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10,972,458.31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2,216,604.28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10,972,458.31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2,216,604.28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10,972,458.31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162,015.65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2,088,019.03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11,008,260.22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-33,430.40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-35,801.91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60,404,590.69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255,008,977.54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56,985,435.62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254,787,522.19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3,419,155.07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221,455.35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0.3048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22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50"/>
        </w:rPr>
        <w:t> </w:t>
      </w:r>
      <w:r>
        <w:rPr>
          <w:spacing w:val="-3"/>
        </w:rPr>
        <w:t>元。</w:t>
      </w:r>
      <w:r>
        <w:rPr/>
      </w:r>
    </w:p>
    <w:p>
      <w:pPr>
        <w:pStyle w:val="BodyText"/>
        <w:spacing w:line="272" w:lineRule="exact"/>
        <w:ind w:left="218" w:right="227"/>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934,016,416.44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1,143,486,329.24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818,243,629.38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897,039,287.19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6,846,380.78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8,354,652.11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7,986,012.76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9,363,907.14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125,264,937.15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111,994,784.09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30,512,373.61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7,843,788.85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18,991,290.08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2,397,935.56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83,462,524.61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117,157,825.10</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5,089,317.30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-405,524.04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56,327.22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-65,010.00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8,799,392.44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18,490,036.95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223,584,789.40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533,889.31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8,839,556.59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4,065,220.37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3,693,025.12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14,958,705.89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228,731,320.87</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-132,576.12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32,100,960.65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15,091,282.01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196,630,360.22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15,091,282.01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196,630,360.22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-1,605,984.35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7,165,500.00</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-1,605,984.35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7,165,500.00</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162,015.65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-1,768,000.00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7,165,500.00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13,485,297.66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203,795,860.22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227"/>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2,760,327,751.51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2,069,070,318.05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5,520,865.83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7,265,143.64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228,986,531.24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39,816,178.03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2,994,835,148.58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2,116,151,639.72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1,584,420,925.76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815,915,648.23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476,337,457.05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390,219,123.26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217,969,215.53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240,167,414.81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616,623,875.55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470,226,019.27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2,895,351,473.89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1,916,528,205.57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99,483,674.69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199,623,434.15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2,773,840,727.30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1,749,201,991.18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97,978,675.09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131,470,603.02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2,106,817.39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6,148,303.53</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11,667,753.13</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2,873,926,219.78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1,898,488,650.86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210,268,361.92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187,377,273.73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2,690,484,886.08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1,341,492,540.08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583,495,361.41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994,024.03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3,484,248,609.41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1,529,863,837.84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-610,322,389.63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368,624,813.02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11,983,085.20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790,062.51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11,983,085.20</w:t>
            </w: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1,648,650,000.00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470,000,000.00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2,137,727,985.20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470,790,062.51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1,970,305,000.00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220,508,875.00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187,481,598.17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169,144,696.73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2,157,786,598.17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389,653,571.73</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-20,058,612.97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81,136,490.78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-2,539,750.91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4,270,658.59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-533,437,078.82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653,655,396.54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776,541,629.08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122,886,232.54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243,104,550.26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776,541,629.08</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18" w:right="227"/>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687,427,357.57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1,165,800,068.04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68,274,333.50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15,350,102.14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755,701,691.07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1,181,150,170.18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618,662,554.38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701,313,243.21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85,142,542.21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97,941,134.10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41,336,750.01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96,347,120.49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118,257,054.26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110,375,683.90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863,398,900.86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1,005,977,181.70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-107,697,209.79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175,172,988.48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1,798,929,164.41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1,721,670,835.59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83,468,935.41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123,093,497.41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2,163,826.92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1,933,339.35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10,045,245.00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1,884,561,926.74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1,856,742,917.35</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95,565,192.59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141,765,692.26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2,336,580,964.21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1,395,099,932.93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2,432,146,156.80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1,536,865,625.19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-547,584,230.06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319,877,292.16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1,194,000,000.00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470,000,000.00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1,658,000,000.00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470,000,000.00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1,294,000,000.00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220,000,000.00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177,940,851.76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167,817,675.00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1,471,940,851.76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387,817,675.00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186,059,148.24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82,182,325.00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-469,222,291.61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577,232,605.64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635,660,275.26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58,427,669.62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166,437,983.65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635,660,275.26</w:t>
            </w:r>
          </w:p>
        </w:tc>
      </w:tr>
    </w:tbl>
    <w:p>
      <w:pPr>
        <w:spacing w:line="240" w:lineRule="auto" w:before="5"/>
        <w:rPr>
          <w:rFonts w:ascii="宋体" w:hAnsi="宋体" w:cs="宋体" w:eastAsia="宋体" w:hint="default"/>
          <w:sz w:val="15"/>
          <w:szCs w:val="15"/>
        </w:rPr>
      </w:pPr>
    </w:p>
    <w:p>
      <w:pPr>
        <w:pStyle w:val="BodyText"/>
        <w:spacing w:line="240" w:lineRule="auto" w:before="36"/>
        <w:ind w:left="218" w:right="227"/>
        <w:jc w:val="left"/>
      </w:pPr>
      <w:r>
        <w:rPr/>
        <w:t>法定代表人：徐新建 主管会计工作负责人：李立干</w:t>
      </w:r>
      <w:r>
        <w:rPr>
          <w:spacing w:val="-10"/>
        </w:rPr>
        <w:t> </w:t>
      </w:r>
      <w:r>
        <w:rPr/>
        <w:t>会计机构负责人：吉超</w:t>
      </w:r>
    </w:p>
    <w:p>
      <w:pPr>
        <w:spacing w:after="0" w:line="240" w:lineRule="auto"/>
        <w:jc w:val="left"/>
        <w:sectPr>
          <w:pgSz w:w="11910" w:h="16840"/>
          <w:pgMar w:header="880"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4"/>
          <w:footerReference w:type="default" r:id="rId45"/>
          <w:pgSz w:w="16840" w:h="11910" w:orient="landscape"/>
          <w:pgMar w:header="882" w:footer="1195" w:top="1120" w:bottom="1380" w:left="980" w:right="1220"/>
          <w:pgNumType w:start="77"/>
        </w:sectPr>
      </w:pPr>
    </w:p>
    <w:p>
      <w:pPr>
        <w:spacing w:before="36"/>
        <w:ind w:left="670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980" w:right="1220"/>
          <w:cols w:num="2" w:equalWidth="0">
            <w:col w:w="8526" w:space="40"/>
            <w:col w:w="607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96"/>
        <w:gridCol w:w="994"/>
        <w:gridCol w:w="682"/>
        <w:gridCol w:w="734"/>
        <w:gridCol w:w="566"/>
        <w:gridCol w:w="1419"/>
        <w:gridCol w:w="761"/>
        <w:gridCol w:w="1082"/>
        <w:gridCol w:w="650"/>
        <w:gridCol w:w="1052"/>
        <w:gridCol w:w="694"/>
        <w:gridCol w:w="874"/>
        <w:gridCol w:w="1102"/>
        <w:gridCol w:w="1095"/>
      </w:tblGrid>
      <w:tr>
        <w:trPr>
          <w:trHeight w:val="250"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0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696" w:type="dxa"/>
            <w:vMerge/>
            <w:tcBorders>
              <w:left w:val="single" w:sz="4" w:space="0" w:color="000000"/>
              <w:right w:val="single" w:sz="4" w:space="0" w:color="000000"/>
            </w:tcBorders>
          </w:tcPr>
          <w:p>
            <w:pPr/>
          </w:p>
        </w:tc>
        <w:tc>
          <w:tcPr>
            <w:tcW w:w="95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5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696" w:type="dxa"/>
            <w:vMerge/>
            <w:tcBorders>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1" w:type="dxa"/>
            <w:vMerge w:val="restart"/>
            <w:tcBorders>
              <w:top w:val="single" w:sz="4" w:space="0" w:color="000000"/>
              <w:left w:val="single" w:sz="4" w:space="0" w:color="000000"/>
              <w:right w:val="single" w:sz="4" w:space="0" w:color="000000"/>
            </w:tcBorders>
          </w:tcPr>
          <w:p>
            <w:pPr>
              <w:pStyle w:val="TableParagraph"/>
              <w:spacing w:line="244" w:lineRule="auto" w:before="157"/>
              <w:ind w:left="196" w:right="103"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082" w:type="dxa"/>
            <w:vMerge w:val="restart"/>
            <w:tcBorders>
              <w:top w:val="single" w:sz="4" w:space="0" w:color="000000"/>
              <w:left w:val="single" w:sz="4" w:space="0" w:color="000000"/>
              <w:right w:val="single" w:sz="4" w:space="0" w:color="000000"/>
            </w:tcBorders>
          </w:tcPr>
          <w:p>
            <w:pPr>
              <w:pStyle w:val="TableParagraph"/>
              <w:spacing w:line="244" w:lineRule="auto" w:before="157"/>
              <w:ind w:left="355" w:right="17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50" w:type="dxa"/>
            <w:vMerge w:val="restart"/>
            <w:tcBorders>
              <w:top w:val="single" w:sz="4" w:space="0" w:color="000000"/>
              <w:left w:val="single" w:sz="4" w:space="0" w:color="000000"/>
              <w:right w:val="single" w:sz="4" w:space="0" w:color="000000"/>
            </w:tcBorders>
          </w:tcPr>
          <w:p>
            <w:pPr>
              <w:pStyle w:val="TableParagraph"/>
              <w:spacing w:line="244" w:lineRule="auto" w:before="157"/>
              <w:ind w:left="141" w:right="13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94" w:type="dxa"/>
            <w:vMerge w:val="restart"/>
            <w:tcBorders>
              <w:top w:val="single" w:sz="4" w:space="0" w:color="000000"/>
              <w:left w:val="single" w:sz="4" w:space="0" w:color="000000"/>
              <w:right w:val="single" w:sz="4" w:space="0" w:color="000000"/>
            </w:tcBorders>
          </w:tcPr>
          <w:p>
            <w:pPr>
              <w:pStyle w:val="TableParagraph"/>
              <w:spacing w:line="244" w:lineRule="auto" w:before="37"/>
              <w:ind w:left="160" w:right="16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157"/>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490" w:hRule="exact"/>
        </w:trPr>
        <w:tc>
          <w:tcPr>
            <w:tcW w:w="269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419"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 w:right="0"/>
              <w:jc w:val="center"/>
              <w:rPr>
                <w:rFonts w:ascii="宋体" w:hAnsi="宋体" w:cs="宋体" w:eastAsia="宋体" w:hint="default"/>
                <w:sz w:val="18"/>
                <w:szCs w:val="18"/>
              </w:rPr>
            </w:pPr>
            <w:r>
              <w:rPr>
                <w:rFonts w:ascii="宋体"/>
                <w:sz w:val="18"/>
              </w:rPr>
              <w:t>800,000,</w:t>
            </w:r>
          </w:p>
          <w:p>
            <w:pPr>
              <w:pStyle w:val="TableParagraph"/>
              <w:spacing w:line="234" w:lineRule="exact"/>
              <w:ind w:left="238" w:right="0"/>
              <w:jc w:val="center"/>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1,919,348,906</w:t>
            </w:r>
          </w:p>
          <w:p>
            <w:pPr>
              <w:pStyle w:val="TableParagraph"/>
              <w:spacing w:line="234" w:lineRule="exact"/>
              <w:ind w:right="96"/>
              <w:jc w:val="right"/>
              <w:rPr>
                <w:rFonts w:ascii="宋体" w:hAnsi="宋体" w:cs="宋体" w:eastAsia="宋体" w:hint="default"/>
                <w:sz w:val="18"/>
                <w:szCs w:val="18"/>
              </w:rPr>
            </w:pPr>
            <w:r>
              <w:rPr>
                <w:rFonts w:ascii="宋体"/>
                <w:sz w:val="18"/>
              </w:rPr>
              <w:t>.83</w:t>
            </w: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10,984,62</w:t>
            </w:r>
          </w:p>
          <w:p>
            <w:pPr>
              <w:pStyle w:val="TableParagraph"/>
              <w:spacing w:line="234" w:lineRule="exact"/>
              <w:ind w:left="609" w:right="0"/>
              <w:jc w:val="left"/>
              <w:rPr>
                <w:rFonts w:ascii="宋体" w:hAnsi="宋体" w:cs="宋体" w:eastAsia="宋体" w:hint="default"/>
                <w:sz w:val="18"/>
                <w:szCs w:val="18"/>
              </w:rPr>
            </w:pPr>
            <w:r>
              <w:rPr>
                <w:rFonts w:ascii="宋体"/>
                <w:sz w:val="18"/>
              </w:rPr>
              <w:t>9.54</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187,559,7</w:t>
            </w:r>
          </w:p>
          <w:p>
            <w:pPr>
              <w:pStyle w:val="TableParagraph"/>
              <w:spacing w:line="234" w:lineRule="exact"/>
              <w:ind w:left="487" w:right="0"/>
              <w:jc w:val="left"/>
              <w:rPr>
                <w:rFonts w:ascii="宋体" w:hAnsi="宋体" w:cs="宋体" w:eastAsia="宋体" w:hint="default"/>
                <w:sz w:val="18"/>
                <w:szCs w:val="18"/>
              </w:rPr>
            </w:pPr>
            <w:r>
              <w:rPr>
                <w:rFonts w:ascii="宋体"/>
                <w:sz w:val="18"/>
              </w:rPr>
              <w:t>54.85</w:t>
            </w: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863,461</w:t>
            </w:r>
          </w:p>
          <w:p>
            <w:pPr>
              <w:pStyle w:val="TableParagraph"/>
              <w:spacing w:line="234" w:lineRule="exact"/>
              <w:ind w:left="129" w:right="0"/>
              <w:jc w:val="left"/>
              <w:rPr>
                <w:rFonts w:ascii="宋体" w:hAnsi="宋体" w:cs="宋体" w:eastAsia="宋体" w:hint="default"/>
                <w:sz w:val="18"/>
                <w:szCs w:val="18"/>
              </w:rPr>
            </w:pPr>
            <w:r>
              <w:rPr>
                <w:rFonts w:ascii="宋体"/>
                <w:sz w:val="18"/>
              </w:rPr>
              <w:t>,866.33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1,753,373</w:t>
            </w:r>
          </w:p>
          <w:p>
            <w:pPr>
              <w:pStyle w:val="TableParagraph"/>
              <w:spacing w:line="234" w:lineRule="exact"/>
              <w:ind w:left="717" w:right="0"/>
              <w:jc w:val="left"/>
              <w:rPr>
                <w:rFonts w:ascii="宋体" w:hAnsi="宋体" w:cs="宋体" w:eastAsia="宋体" w:hint="default"/>
                <w:sz w:val="18"/>
                <w:szCs w:val="18"/>
              </w:rPr>
            </w:pPr>
            <w:r>
              <w:rPr>
                <w:rFonts w:ascii="宋体"/>
                <w:sz w:val="18"/>
              </w:rPr>
              <w:t>.19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3,783,108</w:t>
            </w:r>
          </w:p>
          <w:p>
            <w:pPr>
              <w:pStyle w:val="TableParagraph"/>
              <w:spacing w:line="234" w:lineRule="exact"/>
              <w:ind w:left="248" w:right="0"/>
              <w:jc w:val="center"/>
              <w:rPr>
                <w:rFonts w:ascii="宋体" w:hAnsi="宋体" w:cs="宋体" w:eastAsia="宋体" w:hint="default"/>
                <w:sz w:val="18"/>
                <w:szCs w:val="18"/>
              </w:rPr>
            </w:pPr>
            <w:r>
              <w:rPr>
                <w:rFonts w:ascii="宋体"/>
                <w:sz w:val="18"/>
              </w:rPr>
              <w:t>,530.74</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8" w:right="0"/>
              <w:jc w:val="center"/>
              <w:rPr>
                <w:rFonts w:ascii="宋体" w:hAnsi="宋体" w:cs="宋体" w:eastAsia="宋体" w:hint="default"/>
                <w:sz w:val="18"/>
                <w:szCs w:val="18"/>
              </w:rPr>
            </w:pPr>
            <w:r>
              <w:rPr>
                <w:rFonts w:ascii="宋体"/>
                <w:sz w:val="18"/>
              </w:rPr>
              <w:t>800,000,</w:t>
            </w:r>
          </w:p>
          <w:p>
            <w:pPr>
              <w:pStyle w:val="TableParagraph"/>
              <w:spacing w:line="234" w:lineRule="exact"/>
              <w:ind w:left="238" w:right="0"/>
              <w:jc w:val="center"/>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1,919,348,906</w:t>
            </w:r>
          </w:p>
          <w:p>
            <w:pPr>
              <w:pStyle w:val="TableParagraph"/>
              <w:spacing w:line="234" w:lineRule="exact"/>
              <w:ind w:right="96"/>
              <w:jc w:val="right"/>
              <w:rPr>
                <w:rFonts w:ascii="宋体" w:hAnsi="宋体" w:cs="宋体" w:eastAsia="宋体" w:hint="default"/>
                <w:sz w:val="18"/>
                <w:szCs w:val="18"/>
              </w:rPr>
            </w:pPr>
            <w:r>
              <w:rPr>
                <w:rFonts w:ascii="宋体"/>
                <w:sz w:val="18"/>
              </w:rPr>
              <w:t>.83</w:t>
            </w: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10,984,62</w:t>
            </w:r>
          </w:p>
          <w:p>
            <w:pPr>
              <w:pStyle w:val="TableParagraph"/>
              <w:spacing w:line="234" w:lineRule="exact"/>
              <w:ind w:left="609" w:right="0"/>
              <w:jc w:val="left"/>
              <w:rPr>
                <w:rFonts w:ascii="宋体" w:hAnsi="宋体" w:cs="宋体" w:eastAsia="宋体" w:hint="default"/>
                <w:sz w:val="18"/>
                <w:szCs w:val="18"/>
              </w:rPr>
            </w:pPr>
            <w:r>
              <w:rPr>
                <w:rFonts w:ascii="宋体"/>
                <w:sz w:val="18"/>
              </w:rPr>
              <w:t>9.54</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187,559,7</w:t>
            </w:r>
          </w:p>
          <w:p>
            <w:pPr>
              <w:pStyle w:val="TableParagraph"/>
              <w:spacing w:line="234" w:lineRule="exact"/>
              <w:ind w:left="487" w:right="0"/>
              <w:jc w:val="left"/>
              <w:rPr>
                <w:rFonts w:ascii="宋体" w:hAnsi="宋体" w:cs="宋体" w:eastAsia="宋体" w:hint="default"/>
                <w:sz w:val="18"/>
                <w:szCs w:val="18"/>
              </w:rPr>
            </w:pPr>
            <w:r>
              <w:rPr>
                <w:rFonts w:ascii="宋体"/>
                <w:sz w:val="18"/>
              </w:rPr>
              <w:t>54.85</w:t>
            </w: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863,461</w:t>
            </w:r>
          </w:p>
          <w:p>
            <w:pPr>
              <w:pStyle w:val="TableParagraph"/>
              <w:spacing w:line="234" w:lineRule="exact"/>
              <w:ind w:left="129" w:right="0"/>
              <w:jc w:val="left"/>
              <w:rPr>
                <w:rFonts w:ascii="宋体" w:hAnsi="宋体" w:cs="宋体" w:eastAsia="宋体" w:hint="default"/>
                <w:sz w:val="18"/>
                <w:szCs w:val="18"/>
              </w:rPr>
            </w:pPr>
            <w:r>
              <w:rPr>
                <w:rFonts w:ascii="宋体"/>
                <w:sz w:val="18"/>
              </w:rPr>
              <w:t>,866.33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1,753,373</w:t>
            </w:r>
          </w:p>
          <w:p>
            <w:pPr>
              <w:pStyle w:val="TableParagraph"/>
              <w:spacing w:line="234" w:lineRule="exact"/>
              <w:ind w:left="717" w:right="0"/>
              <w:jc w:val="left"/>
              <w:rPr>
                <w:rFonts w:ascii="宋体" w:hAnsi="宋体" w:cs="宋体" w:eastAsia="宋体" w:hint="default"/>
                <w:sz w:val="18"/>
                <w:szCs w:val="18"/>
              </w:rPr>
            </w:pPr>
            <w:r>
              <w:rPr>
                <w:rFonts w:ascii="宋体"/>
                <w:sz w:val="18"/>
              </w:rPr>
              <w:t>.19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7" w:right="0"/>
              <w:jc w:val="center"/>
              <w:rPr>
                <w:rFonts w:ascii="宋体" w:hAnsi="宋体" w:cs="宋体" w:eastAsia="宋体" w:hint="default"/>
                <w:sz w:val="18"/>
                <w:szCs w:val="18"/>
              </w:rPr>
            </w:pPr>
            <w:r>
              <w:rPr>
                <w:rFonts w:ascii="宋体"/>
                <w:sz w:val="18"/>
              </w:rPr>
              <w:t>3,783,108</w:t>
            </w:r>
          </w:p>
          <w:p>
            <w:pPr>
              <w:pStyle w:val="TableParagraph"/>
              <w:spacing w:line="234" w:lineRule="exact"/>
              <w:ind w:left="248" w:right="0"/>
              <w:jc w:val="center"/>
              <w:rPr>
                <w:rFonts w:ascii="宋体" w:hAnsi="宋体" w:cs="宋体" w:eastAsia="宋体" w:hint="default"/>
                <w:sz w:val="18"/>
                <w:szCs w:val="18"/>
              </w:rPr>
            </w:pPr>
            <w:r>
              <w:rPr>
                <w:rFonts w:ascii="宋体"/>
                <w:sz w:val="18"/>
              </w:rPr>
              <w:t>,530.74</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2,216,604</w:t>
            </w:r>
          </w:p>
          <w:p>
            <w:pPr>
              <w:pStyle w:val="TableParagraph"/>
              <w:spacing w:line="234" w:lineRule="exact"/>
              <w:ind w:left="698" w:right="0"/>
              <w:jc w:val="left"/>
              <w:rPr>
                <w:rFonts w:ascii="宋体" w:hAnsi="宋体" w:cs="宋体" w:eastAsia="宋体" w:hint="default"/>
                <w:sz w:val="18"/>
                <w:szCs w:val="18"/>
              </w:rPr>
            </w:pPr>
            <w:r>
              <w:rPr>
                <w:rFonts w:ascii="宋体"/>
                <w:sz w:val="18"/>
              </w:rPr>
              <w:t>.28</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1,509,128</w:t>
            </w:r>
          </w:p>
          <w:p>
            <w:pPr>
              <w:pStyle w:val="TableParagraph"/>
              <w:spacing w:line="234" w:lineRule="exact"/>
              <w:ind w:left="667" w:right="0"/>
              <w:jc w:val="left"/>
              <w:rPr>
                <w:rFonts w:ascii="宋体" w:hAnsi="宋体" w:cs="宋体" w:eastAsia="宋体" w:hint="default"/>
                <w:sz w:val="18"/>
                <w:szCs w:val="18"/>
              </w:rPr>
            </w:pPr>
            <w:r>
              <w:rPr>
                <w:rFonts w:ascii="宋体"/>
                <w:sz w:val="18"/>
              </w:rPr>
              <w:t>.20</w:t>
            </w: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-93,140</w:t>
            </w:r>
          </w:p>
          <w:p>
            <w:pPr>
              <w:pStyle w:val="TableParagraph"/>
              <w:spacing w:line="234" w:lineRule="exact"/>
              <w:ind w:left="129" w:right="0"/>
              <w:jc w:val="left"/>
              <w:rPr>
                <w:rFonts w:ascii="宋体" w:hAnsi="宋体" w:cs="宋体" w:eastAsia="宋体" w:hint="default"/>
                <w:sz w:val="18"/>
                <w:szCs w:val="18"/>
              </w:rPr>
            </w:pPr>
            <w:r>
              <w:rPr>
                <w:rFonts w:ascii="宋体"/>
                <w:sz w:val="18"/>
              </w:rPr>
              <w:t>,296.86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94,443,17</w:t>
            </w:r>
          </w:p>
          <w:p>
            <w:pPr>
              <w:pStyle w:val="TableParagraph"/>
              <w:spacing w:line="234" w:lineRule="exact"/>
              <w:ind w:left="628" w:right="0"/>
              <w:jc w:val="left"/>
              <w:rPr>
                <w:rFonts w:ascii="宋体" w:hAnsi="宋体" w:cs="宋体" w:eastAsia="宋体" w:hint="default"/>
                <w:sz w:val="18"/>
                <w:szCs w:val="18"/>
              </w:rPr>
            </w:pPr>
            <w:r>
              <w:rPr>
                <w:rFonts w:ascii="宋体"/>
                <w:sz w:val="18"/>
              </w:rPr>
              <w:t>8.72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5,028,614</w:t>
            </w:r>
          </w:p>
          <w:p>
            <w:pPr>
              <w:pStyle w:val="TableParagraph"/>
              <w:spacing w:line="234" w:lineRule="exact"/>
              <w:ind w:left="710" w:right="0"/>
              <w:jc w:val="left"/>
              <w:rPr>
                <w:rFonts w:ascii="宋体" w:hAnsi="宋体" w:cs="宋体" w:eastAsia="宋体" w:hint="default"/>
                <w:sz w:val="18"/>
                <w:szCs w:val="18"/>
              </w:rPr>
            </w:pPr>
            <w:r>
              <w:rPr>
                <w:rFonts w:ascii="宋体"/>
                <w:sz w:val="18"/>
              </w:rPr>
              <w:t>.34</w:t>
            </w:r>
          </w:p>
        </w:tc>
      </w:tr>
      <w:tr>
        <w:trPr>
          <w:trHeight w:val="47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2,216,604</w:t>
            </w:r>
          </w:p>
          <w:p>
            <w:pPr>
              <w:pStyle w:val="TableParagraph"/>
              <w:spacing w:line="234" w:lineRule="exact"/>
              <w:ind w:left="698" w:right="0"/>
              <w:jc w:val="left"/>
              <w:rPr>
                <w:rFonts w:ascii="宋体" w:hAnsi="宋体" w:cs="宋体" w:eastAsia="宋体" w:hint="default"/>
                <w:sz w:val="18"/>
                <w:szCs w:val="18"/>
              </w:rPr>
            </w:pPr>
            <w:r>
              <w:rPr>
                <w:rFonts w:ascii="宋体"/>
                <w:sz w:val="18"/>
              </w:rPr>
              <w:t>.28</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54,768,</w:t>
            </w:r>
          </w:p>
          <w:p>
            <w:pPr>
              <w:pStyle w:val="TableParagraph"/>
              <w:spacing w:line="234" w:lineRule="exact"/>
              <w:ind w:left="220" w:right="0"/>
              <w:jc w:val="left"/>
              <w:rPr>
                <w:rFonts w:ascii="宋体" w:hAnsi="宋体" w:cs="宋体" w:eastAsia="宋体" w:hint="default"/>
                <w:sz w:val="18"/>
                <w:szCs w:val="18"/>
              </w:rPr>
            </w:pPr>
            <w:r>
              <w:rPr>
                <w:rFonts w:ascii="宋体"/>
                <w:sz w:val="18"/>
              </w:rPr>
              <w:t>831.34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3,419,155</w:t>
            </w:r>
          </w:p>
          <w:p>
            <w:pPr>
              <w:pStyle w:val="TableParagraph"/>
              <w:spacing w:line="234" w:lineRule="exact"/>
              <w:ind w:left="717" w:right="0"/>
              <w:jc w:val="left"/>
              <w:rPr>
                <w:rFonts w:ascii="宋体" w:hAnsi="宋体" w:cs="宋体" w:eastAsia="宋体" w:hint="default"/>
                <w:sz w:val="18"/>
                <w:szCs w:val="18"/>
              </w:rPr>
            </w:pPr>
            <w:r>
              <w:rPr>
                <w:rFonts w:ascii="宋体"/>
                <w:sz w:val="18"/>
              </w:rPr>
              <w:t>.07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60,404,59</w:t>
            </w:r>
          </w:p>
          <w:p>
            <w:pPr>
              <w:pStyle w:val="TableParagraph"/>
              <w:spacing w:line="234" w:lineRule="exact"/>
              <w:ind w:left="622" w:right="0"/>
              <w:jc w:val="left"/>
              <w:rPr>
                <w:rFonts w:ascii="宋体" w:hAnsi="宋体" w:cs="宋体" w:eastAsia="宋体" w:hint="default"/>
                <w:sz w:val="18"/>
                <w:szCs w:val="18"/>
              </w:rPr>
            </w:pPr>
            <w:r>
              <w:rPr>
                <w:rFonts w:ascii="宋体"/>
                <w:sz w:val="18"/>
              </w:rPr>
              <w:t>0.69</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11,983,08</w:t>
            </w:r>
          </w:p>
          <w:p>
            <w:pPr>
              <w:pStyle w:val="TableParagraph"/>
              <w:spacing w:line="234" w:lineRule="exact"/>
              <w:ind w:left="628" w:right="0"/>
              <w:jc w:val="left"/>
              <w:rPr>
                <w:rFonts w:ascii="宋体" w:hAnsi="宋体" w:cs="宋体" w:eastAsia="宋体" w:hint="default"/>
                <w:sz w:val="18"/>
                <w:szCs w:val="18"/>
              </w:rPr>
            </w:pPr>
            <w:r>
              <w:rPr>
                <w:rFonts w:ascii="宋体"/>
                <w:sz w:val="18"/>
              </w:rPr>
              <w:t>5.20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11,983,08</w:t>
            </w:r>
          </w:p>
          <w:p>
            <w:pPr>
              <w:pStyle w:val="TableParagraph"/>
              <w:spacing w:line="234" w:lineRule="exact"/>
              <w:ind w:left="622" w:right="0"/>
              <w:jc w:val="left"/>
              <w:rPr>
                <w:rFonts w:ascii="宋体" w:hAnsi="宋体" w:cs="宋体" w:eastAsia="宋体" w:hint="default"/>
                <w:sz w:val="18"/>
                <w:szCs w:val="18"/>
              </w:rPr>
            </w:pPr>
            <w:r>
              <w:rPr>
                <w:rFonts w:ascii="宋体"/>
                <w:sz w:val="18"/>
              </w:rPr>
              <w:t>5.20</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11,983,08</w:t>
            </w:r>
          </w:p>
          <w:p>
            <w:pPr>
              <w:pStyle w:val="TableParagraph"/>
              <w:spacing w:line="240" w:lineRule="auto"/>
              <w:ind w:left="628" w:right="0"/>
              <w:jc w:val="left"/>
              <w:rPr>
                <w:rFonts w:ascii="宋体" w:hAnsi="宋体" w:cs="宋体" w:eastAsia="宋体" w:hint="default"/>
                <w:sz w:val="18"/>
                <w:szCs w:val="18"/>
              </w:rPr>
            </w:pPr>
            <w:r>
              <w:rPr>
                <w:rFonts w:ascii="宋体"/>
                <w:sz w:val="18"/>
              </w:rPr>
              <w:t>5.20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11,983,08</w:t>
            </w:r>
          </w:p>
          <w:p>
            <w:pPr>
              <w:pStyle w:val="TableParagraph"/>
              <w:spacing w:line="240" w:lineRule="auto"/>
              <w:ind w:left="622" w:right="0"/>
              <w:jc w:val="left"/>
              <w:rPr>
                <w:rFonts w:ascii="宋体" w:hAnsi="宋体" w:cs="宋体" w:eastAsia="宋体" w:hint="default"/>
                <w:sz w:val="18"/>
                <w:szCs w:val="18"/>
              </w:rPr>
            </w:pPr>
            <w:r>
              <w:rPr>
                <w:rFonts w:ascii="宋体"/>
                <w:sz w:val="18"/>
              </w:rPr>
              <w:t>5.20</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1,509,128</w:t>
            </w:r>
          </w:p>
          <w:p>
            <w:pPr>
              <w:pStyle w:val="TableParagraph"/>
              <w:spacing w:line="234" w:lineRule="exact"/>
              <w:ind w:left="667" w:right="0"/>
              <w:jc w:val="left"/>
              <w:rPr>
                <w:rFonts w:ascii="宋体" w:hAnsi="宋体" w:cs="宋体" w:eastAsia="宋体" w:hint="default"/>
                <w:sz w:val="18"/>
                <w:szCs w:val="18"/>
              </w:rPr>
            </w:pPr>
            <w:r>
              <w:rPr>
                <w:rFonts w:ascii="宋体"/>
                <w:sz w:val="18"/>
              </w:rPr>
              <w:t>.20</w:t>
            </w: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-147,90</w:t>
            </w:r>
          </w:p>
          <w:p>
            <w:pPr>
              <w:pStyle w:val="TableParagraph"/>
              <w:spacing w:line="233" w:lineRule="exact"/>
              <w:ind w:right="100"/>
              <w:jc w:val="right"/>
              <w:rPr>
                <w:rFonts w:ascii="宋体" w:hAnsi="宋体" w:cs="宋体" w:eastAsia="宋体" w:hint="default"/>
                <w:sz w:val="18"/>
                <w:szCs w:val="18"/>
              </w:rPr>
            </w:pPr>
            <w:r>
              <w:rPr>
                <w:rFonts w:ascii="宋体"/>
                <w:sz w:val="18"/>
              </w:rPr>
              <w:t>9,128.2</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-146,400,</w:t>
            </w:r>
          </w:p>
          <w:p>
            <w:pPr>
              <w:pStyle w:val="TableParagraph"/>
              <w:spacing w:line="234" w:lineRule="exact"/>
              <w:ind w:left="442" w:right="0"/>
              <w:jc w:val="left"/>
              <w:rPr>
                <w:rFonts w:ascii="宋体" w:hAnsi="宋体" w:cs="宋体" w:eastAsia="宋体" w:hint="default"/>
                <w:sz w:val="18"/>
                <w:szCs w:val="18"/>
              </w:rPr>
            </w:pPr>
            <w:r>
              <w:rPr>
                <w:rFonts w:ascii="宋体"/>
                <w:sz w:val="18"/>
              </w:rPr>
              <w:t>000.00</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1,509,128</w:t>
            </w: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-1,509,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98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696"/>
        <w:gridCol w:w="994"/>
        <w:gridCol w:w="682"/>
        <w:gridCol w:w="734"/>
        <w:gridCol w:w="566"/>
        <w:gridCol w:w="1419"/>
        <w:gridCol w:w="761"/>
        <w:gridCol w:w="1082"/>
        <w:gridCol w:w="650"/>
        <w:gridCol w:w="1052"/>
        <w:gridCol w:w="694"/>
        <w:gridCol w:w="874"/>
        <w:gridCol w:w="1102"/>
        <w:gridCol w:w="1095"/>
      </w:tblGrid>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7" w:right="0"/>
              <w:jc w:val="left"/>
              <w:rPr>
                <w:rFonts w:ascii="宋体" w:hAnsi="宋体" w:cs="宋体" w:eastAsia="宋体" w:hint="default"/>
                <w:sz w:val="18"/>
                <w:szCs w:val="18"/>
              </w:rPr>
            </w:pPr>
            <w:r>
              <w:rPr>
                <w:rFonts w:ascii="宋体"/>
                <w:sz w:val="18"/>
              </w:rPr>
              <w:t>.20</w:t>
            </w: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128.20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-146,40</w:t>
            </w:r>
          </w:p>
          <w:p>
            <w:pPr>
              <w:pStyle w:val="TableParagraph"/>
              <w:spacing w:line="234" w:lineRule="exact"/>
              <w:ind w:right="100"/>
              <w:jc w:val="right"/>
              <w:rPr>
                <w:rFonts w:ascii="宋体" w:hAnsi="宋体" w:cs="宋体" w:eastAsia="宋体" w:hint="default"/>
                <w:sz w:val="18"/>
                <w:szCs w:val="18"/>
              </w:rPr>
            </w:pPr>
            <w:r>
              <w:rPr>
                <w:rFonts w:ascii="宋体"/>
                <w:sz w:val="18"/>
              </w:rPr>
              <w:t>0,000.0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-146,400,</w:t>
            </w:r>
          </w:p>
          <w:p>
            <w:pPr>
              <w:pStyle w:val="TableParagraph"/>
              <w:spacing w:line="240" w:lineRule="auto"/>
              <w:ind w:left="442" w:right="0"/>
              <w:jc w:val="left"/>
              <w:rPr>
                <w:rFonts w:ascii="宋体" w:hAnsi="宋体" w:cs="宋体" w:eastAsia="宋体" w:hint="default"/>
                <w:sz w:val="18"/>
                <w:szCs w:val="18"/>
              </w:rPr>
            </w:pPr>
            <w:r>
              <w:rPr>
                <w:rFonts w:ascii="宋体"/>
                <w:sz w:val="18"/>
              </w:rPr>
              <w:t>000.00</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79,040,93</w:t>
            </w:r>
          </w:p>
          <w:p>
            <w:pPr>
              <w:pStyle w:val="TableParagraph"/>
              <w:spacing w:line="234" w:lineRule="exact"/>
              <w:ind w:left="628" w:right="0"/>
              <w:jc w:val="left"/>
              <w:rPr>
                <w:rFonts w:ascii="宋体" w:hAnsi="宋体" w:cs="宋体" w:eastAsia="宋体" w:hint="default"/>
                <w:sz w:val="18"/>
                <w:szCs w:val="18"/>
              </w:rPr>
            </w:pPr>
            <w:r>
              <w:rPr>
                <w:rFonts w:ascii="宋体"/>
                <w:sz w:val="18"/>
              </w:rPr>
              <w:t>8.45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79,040,93</w:t>
            </w:r>
          </w:p>
          <w:p>
            <w:pPr>
              <w:pStyle w:val="TableParagraph"/>
              <w:spacing w:line="234" w:lineRule="exact"/>
              <w:ind w:left="622" w:right="0"/>
              <w:jc w:val="left"/>
              <w:rPr>
                <w:rFonts w:ascii="宋体" w:hAnsi="宋体" w:cs="宋体" w:eastAsia="宋体" w:hint="default"/>
                <w:sz w:val="18"/>
                <w:szCs w:val="18"/>
              </w:rPr>
            </w:pPr>
            <w:r>
              <w:rPr>
                <w:rFonts w:ascii="宋体"/>
                <w:sz w:val="18"/>
              </w:rPr>
              <w:t>8.45</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 w:right="0"/>
              <w:jc w:val="center"/>
              <w:rPr>
                <w:rFonts w:ascii="宋体" w:hAnsi="宋体" w:cs="宋体" w:eastAsia="宋体" w:hint="default"/>
                <w:sz w:val="18"/>
                <w:szCs w:val="18"/>
              </w:rPr>
            </w:pPr>
            <w:r>
              <w:rPr>
                <w:rFonts w:ascii="宋体"/>
                <w:sz w:val="18"/>
              </w:rPr>
              <w:t>800,000,</w:t>
            </w:r>
          </w:p>
          <w:p>
            <w:pPr>
              <w:pStyle w:val="TableParagraph"/>
              <w:spacing w:line="240" w:lineRule="auto"/>
              <w:ind w:left="238" w:right="0"/>
              <w:jc w:val="center"/>
              <w:rPr>
                <w:rFonts w:ascii="宋体" w:hAnsi="宋体" w:cs="宋体" w:eastAsia="宋体" w:hint="default"/>
                <w:sz w:val="18"/>
                <w:szCs w:val="18"/>
              </w:rPr>
            </w:pPr>
            <w:r>
              <w:rPr>
                <w:rFonts w:ascii="宋体"/>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1,919,348,906</w:t>
            </w:r>
          </w:p>
          <w:p>
            <w:pPr>
              <w:pStyle w:val="TableParagraph"/>
              <w:spacing w:line="240" w:lineRule="auto"/>
              <w:ind w:right="96"/>
              <w:jc w:val="right"/>
              <w:rPr>
                <w:rFonts w:ascii="宋体" w:hAnsi="宋体" w:cs="宋体" w:eastAsia="宋体" w:hint="default"/>
                <w:sz w:val="18"/>
                <w:szCs w:val="18"/>
              </w:rPr>
            </w:pPr>
            <w:r>
              <w:rPr>
                <w:rFonts w:ascii="宋体"/>
                <w:sz w:val="18"/>
              </w:rPr>
              <w:t>.83</w:t>
            </w:r>
          </w:p>
        </w:tc>
        <w:tc>
          <w:tcPr>
            <w:tcW w:w="76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13,201,23</w:t>
            </w:r>
          </w:p>
          <w:p>
            <w:pPr>
              <w:pStyle w:val="TableParagraph"/>
              <w:spacing w:line="240" w:lineRule="auto"/>
              <w:ind w:left="609" w:right="0"/>
              <w:jc w:val="left"/>
              <w:rPr>
                <w:rFonts w:ascii="宋体" w:hAnsi="宋体" w:cs="宋体" w:eastAsia="宋体" w:hint="default"/>
                <w:sz w:val="18"/>
                <w:szCs w:val="18"/>
              </w:rPr>
            </w:pPr>
            <w:r>
              <w:rPr>
                <w:rFonts w:ascii="宋体"/>
                <w:sz w:val="18"/>
              </w:rPr>
              <w:t>3.82</w:t>
            </w:r>
          </w:p>
        </w:tc>
        <w:tc>
          <w:tcPr>
            <w:tcW w:w="6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189,068,8</w:t>
            </w:r>
          </w:p>
          <w:p>
            <w:pPr>
              <w:pStyle w:val="TableParagraph"/>
              <w:spacing w:line="240" w:lineRule="auto"/>
              <w:ind w:left="487" w:right="0"/>
              <w:jc w:val="left"/>
              <w:rPr>
                <w:rFonts w:ascii="宋体" w:hAnsi="宋体" w:cs="宋体" w:eastAsia="宋体" w:hint="default"/>
                <w:sz w:val="18"/>
                <w:szCs w:val="18"/>
              </w:rPr>
            </w:pPr>
            <w:r>
              <w:rPr>
                <w:rFonts w:ascii="宋体"/>
                <w:sz w:val="18"/>
              </w:rPr>
              <w:t>83.05</w:t>
            </w:r>
          </w:p>
        </w:tc>
        <w:tc>
          <w:tcPr>
            <w:tcW w:w="69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770,321</w:t>
            </w:r>
          </w:p>
          <w:p>
            <w:pPr>
              <w:pStyle w:val="TableParagraph"/>
              <w:spacing w:line="240" w:lineRule="auto"/>
              <w:ind w:left="129" w:right="0"/>
              <w:jc w:val="left"/>
              <w:rPr>
                <w:rFonts w:ascii="宋体" w:hAnsi="宋体" w:cs="宋体" w:eastAsia="宋体" w:hint="default"/>
                <w:sz w:val="18"/>
                <w:szCs w:val="18"/>
              </w:rPr>
            </w:pPr>
            <w:r>
              <w:rPr>
                <w:rFonts w:ascii="宋体"/>
                <w:sz w:val="18"/>
              </w:rPr>
              <w:t>,569.47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96,196,55</w:t>
            </w:r>
          </w:p>
          <w:p>
            <w:pPr>
              <w:pStyle w:val="TableParagraph"/>
              <w:spacing w:line="240" w:lineRule="auto"/>
              <w:ind w:left="628" w:right="0"/>
              <w:jc w:val="left"/>
              <w:rPr>
                <w:rFonts w:ascii="宋体" w:hAnsi="宋体" w:cs="宋体" w:eastAsia="宋体" w:hint="default"/>
                <w:sz w:val="18"/>
                <w:szCs w:val="18"/>
              </w:rPr>
            </w:pPr>
            <w:r>
              <w:rPr>
                <w:rFonts w:ascii="宋体"/>
                <w:sz w:val="18"/>
              </w:rPr>
              <w:t>1.91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3,788,137</w:t>
            </w:r>
          </w:p>
          <w:p>
            <w:pPr>
              <w:pStyle w:val="TableParagraph"/>
              <w:spacing w:line="240" w:lineRule="auto"/>
              <w:ind w:left="248" w:right="0"/>
              <w:jc w:val="center"/>
              <w:rPr>
                <w:rFonts w:ascii="宋体" w:hAnsi="宋体" w:cs="宋体" w:eastAsia="宋体" w:hint="default"/>
                <w:sz w:val="18"/>
                <w:szCs w:val="18"/>
              </w:rPr>
            </w:pPr>
            <w:r>
              <w:rPr>
                <w:rFonts w:ascii="宋体"/>
                <w:sz w:val="18"/>
              </w:rPr>
              <w:t>,145.08</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46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7"/>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7"/>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7"/>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800,00</w:t>
            </w:r>
          </w:p>
          <w:p>
            <w:pPr>
              <w:pStyle w:val="TableParagraph"/>
              <w:spacing w:line="272" w:lineRule="exact"/>
              <w:ind w:left="124" w:right="0"/>
              <w:jc w:val="left"/>
              <w:rPr>
                <w:rFonts w:ascii="宋体" w:hAnsi="宋体" w:cs="宋体" w:eastAsia="宋体" w:hint="default"/>
                <w:sz w:val="21"/>
                <w:szCs w:val="21"/>
              </w:rPr>
            </w:pPr>
            <w:r>
              <w:rPr>
                <w:rFonts w:ascii="宋体"/>
                <w:sz w:val="21"/>
              </w:rPr>
              <w:t>0,000.</w:t>
            </w:r>
          </w:p>
          <w:p>
            <w:pPr>
              <w:pStyle w:val="TableParagraph"/>
              <w:spacing w:line="274" w:lineRule="exact"/>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1,918,</w:t>
            </w:r>
          </w:p>
          <w:p>
            <w:pPr>
              <w:pStyle w:val="TableParagraph"/>
              <w:spacing w:line="272" w:lineRule="exact"/>
              <w:ind w:left="127" w:right="0"/>
              <w:jc w:val="left"/>
              <w:rPr>
                <w:rFonts w:ascii="宋体" w:hAnsi="宋体" w:cs="宋体" w:eastAsia="宋体" w:hint="default"/>
                <w:sz w:val="21"/>
                <w:szCs w:val="21"/>
              </w:rPr>
            </w:pPr>
            <w:r>
              <w:rPr>
                <w:rFonts w:ascii="宋体"/>
                <w:sz w:val="21"/>
              </w:rPr>
              <w:t>658,18</w:t>
            </w:r>
          </w:p>
          <w:p>
            <w:pPr>
              <w:pStyle w:val="TableParagraph"/>
              <w:spacing w:line="274" w:lineRule="exact"/>
              <w:ind w:left="338" w:right="0"/>
              <w:jc w:val="left"/>
              <w:rPr>
                <w:rFonts w:ascii="宋体" w:hAnsi="宋体" w:cs="宋体" w:eastAsia="宋体" w:hint="default"/>
                <w:sz w:val="21"/>
                <w:szCs w:val="21"/>
              </w:rPr>
            </w:pPr>
            <w:r>
              <w:rPr>
                <w:rFonts w:ascii="宋体"/>
                <w:sz w:val="21"/>
              </w:rPr>
              <w:t>7.65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12,171</w:t>
            </w:r>
          </w:p>
          <w:p>
            <w:pPr>
              <w:pStyle w:val="TableParagraph"/>
              <w:spacing w:line="273" w:lineRule="exact"/>
              <w:ind w:left="458" w:right="0"/>
              <w:jc w:val="left"/>
              <w:rPr>
                <w:rFonts w:ascii="宋体" w:hAnsi="宋体" w:cs="宋体" w:eastAsia="宋体" w:hint="default"/>
                <w:sz w:val="21"/>
                <w:szCs w:val="21"/>
              </w:rPr>
            </w:pPr>
            <w:r>
              <w:rPr>
                <w:rFonts w:ascii="宋体"/>
                <w:sz w:val="21"/>
              </w:rPr>
              <w:t>.23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167,89</w:t>
            </w:r>
          </w:p>
          <w:p>
            <w:pPr>
              <w:pStyle w:val="TableParagraph"/>
              <w:spacing w:line="272" w:lineRule="exact"/>
              <w:ind w:left="127" w:right="0"/>
              <w:jc w:val="left"/>
              <w:rPr>
                <w:rFonts w:ascii="宋体" w:hAnsi="宋体" w:cs="宋体" w:eastAsia="宋体" w:hint="default"/>
                <w:sz w:val="21"/>
                <w:szCs w:val="21"/>
              </w:rPr>
            </w:pPr>
            <w:r>
              <w:rPr>
                <w:rFonts w:ascii="宋体"/>
                <w:sz w:val="21"/>
              </w:rPr>
              <w:t>6,718.</w:t>
            </w:r>
          </w:p>
          <w:p>
            <w:pPr>
              <w:pStyle w:val="TableParagraph"/>
              <w:spacing w:line="274" w:lineRule="exact"/>
              <w:ind w:left="547" w:right="0"/>
              <w:jc w:val="left"/>
              <w:rPr>
                <w:rFonts w:ascii="宋体" w:hAnsi="宋体" w:cs="宋体" w:eastAsia="宋体" w:hint="default"/>
                <w:sz w:val="21"/>
                <w:szCs w:val="21"/>
              </w:rPr>
            </w:pPr>
            <w:r>
              <w:rPr>
                <w:rFonts w:ascii="宋体"/>
                <w:sz w:val="21"/>
              </w:rPr>
              <w:t>83</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799,30</w:t>
            </w:r>
          </w:p>
          <w:p>
            <w:pPr>
              <w:pStyle w:val="TableParagraph"/>
              <w:spacing w:line="272" w:lineRule="exact"/>
              <w:ind w:left="129" w:right="0"/>
              <w:jc w:val="left"/>
              <w:rPr>
                <w:rFonts w:ascii="宋体" w:hAnsi="宋体" w:cs="宋体" w:eastAsia="宋体" w:hint="default"/>
                <w:sz w:val="21"/>
                <w:szCs w:val="21"/>
              </w:rPr>
            </w:pPr>
            <w:r>
              <w:rPr>
                <w:rFonts w:ascii="宋体"/>
                <w:sz w:val="21"/>
              </w:rPr>
              <w:t>9,838.</w:t>
            </w:r>
          </w:p>
          <w:p>
            <w:pPr>
              <w:pStyle w:val="TableParagraph"/>
              <w:spacing w:line="274" w:lineRule="exact"/>
              <w:ind w:left="549" w:right="0"/>
              <w:jc w:val="left"/>
              <w:rPr>
                <w:rFonts w:ascii="宋体" w:hAnsi="宋体" w:cs="宋体" w:eastAsia="宋体" w:hint="default"/>
                <w:sz w:val="21"/>
                <w:szCs w:val="21"/>
              </w:rPr>
            </w:pPr>
            <w:r>
              <w:rPr>
                <w:rFonts w:ascii="宋体"/>
                <w:sz w:val="21"/>
              </w:rPr>
              <w:t>47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-451,216</w:t>
            </w:r>
          </w:p>
          <w:p>
            <w:pPr>
              <w:pStyle w:val="TableParagraph"/>
              <w:spacing w:line="273" w:lineRule="exact"/>
              <w:ind w:left="655" w:right="0"/>
              <w:jc w:val="left"/>
              <w:rPr>
                <w:rFonts w:ascii="宋体" w:hAnsi="宋体" w:cs="宋体" w:eastAsia="宋体" w:hint="default"/>
                <w:sz w:val="21"/>
                <w:szCs w:val="21"/>
              </w:rPr>
            </w:pPr>
            <w:r>
              <w:rPr>
                <w:rFonts w:ascii="宋体"/>
                <w:sz w:val="21"/>
              </w:rPr>
              <w:t>.14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sz w:val="21"/>
              </w:rPr>
              <w:t>3,685,42</w:t>
            </w:r>
          </w:p>
          <w:p>
            <w:pPr>
              <w:pStyle w:val="TableParagraph"/>
              <w:spacing w:line="273" w:lineRule="exact"/>
              <w:ind w:left="155" w:right="0"/>
              <w:jc w:val="left"/>
              <w:rPr>
                <w:rFonts w:ascii="宋体" w:hAnsi="宋体" w:cs="宋体" w:eastAsia="宋体" w:hint="default"/>
                <w:sz w:val="21"/>
                <w:szCs w:val="21"/>
              </w:rPr>
            </w:pPr>
            <w:r>
              <w:rPr>
                <w:rFonts w:ascii="宋体"/>
                <w:sz w:val="21"/>
              </w:rPr>
              <w:t>5,700.04</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800,00</w:t>
            </w:r>
          </w:p>
          <w:p>
            <w:pPr>
              <w:pStyle w:val="TableParagraph"/>
              <w:spacing w:line="274" w:lineRule="exact"/>
              <w:ind w:left="124" w:right="0"/>
              <w:jc w:val="left"/>
              <w:rPr>
                <w:rFonts w:ascii="宋体" w:hAnsi="宋体" w:cs="宋体" w:eastAsia="宋体" w:hint="default"/>
                <w:sz w:val="21"/>
                <w:szCs w:val="21"/>
              </w:rPr>
            </w:pPr>
            <w:r>
              <w:rPr>
                <w:rFonts w:ascii="宋体"/>
                <w:sz w:val="21"/>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1,918,</w:t>
            </w:r>
          </w:p>
          <w:p>
            <w:pPr>
              <w:pStyle w:val="TableParagraph"/>
              <w:spacing w:line="274" w:lineRule="exact"/>
              <w:ind w:left="127" w:right="0"/>
              <w:jc w:val="left"/>
              <w:rPr>
                <w:rFonts w:ascii="宋体" w:hAnsi="宋体" w:cs="宋体" w:eastAsia="宋体" w:hint="default"/>
                <w:sz w:val="21"/>
                <w:szCs w:val="21"/>
              </w:rPr>
            </w:pPr>
            <w:r>
              <w:rPr>
                <w:rFonts w:ascii="宋体"/>
                <w:sz w:val="21"/>
              </w:rPr>
              <w:t>658,18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12,171</w:t>
            </w:r>
          </w:p>
          <w:p>
            <w:pPr>
              <w:pStyle w:val="TableParagraph"/>
              <w:spacing w:line="274" w:lineRule="exact"/>
              <w:ind w:left="458" w:right="0"/>
              <w:jc w:val="left"/>
              <w:rPr>
                <w:rFonts w:ascii="宋体" w:hAnsi="宋体" w:cs="宋体" w:eastAsia="宋体" w:hint="default"/>
                <w:sz w:val="21"/>
                <w:szCs w:val="21"/>
              </w:rPr>
            </w:pPr>
            <w:r>
              <w:rPr>
                <w:rFonts w:ascii="宋体"/>
                <w:sz w:val="21"/>
              </w:rPr>
              <w:t>.23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167,89</w:t>
            </w:r>
          </w:p>
          <w:p>
            <w:pPr>
              <w:pStyle w:val="TableParagraph"/>
              <w:spacing w:line="274" w:lineRule="exact"/>
              <w:ind w:left="127" w:right="0"/>
              <w:jc w:val="left"/>
              <w:rPr>
                <w:rFonts w:ascii="宋体" w:hAnsi="宋体" w:cs="宋体" w:eastAsia="宋体" w:hint="default"/>
                <w:sz w:val="21"/>
                <w:szCs w:val="21"/>
              </w:rPr>
            </w:pPr>
            <w:r>
              <w:rPr>
                <w:rFonts w:ascii="宋体"/>
                <w:sz w:val="21"/>
              </w:rPr>
              <w:t>6,718.</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799,30</w:t>
            </w:r>
          </w:p>
          <w:p>
            <w:pPr>
              <w:pStyle w:val="TableParagraph"/>
              <w:spacing w:line="274" w:lineRule="exact"/>
              <w:ind w:left="129" w:right="0"/>
              <w:jc w:val="left"/>
              <w:rPr>
                <w:rFonts w:ascii="宋体" w:hAnsi="宋体" w:cs="宋体" w:eastAsia="宋体" w:hint="default"/>
                <w:sz w:val="21"/>
                <w:szCs w:val="21"/>
              </w:rPr>
            </w:pPr>
            <w:r>
              <w:rPr>
                <w:rFonts w:ascii="宋体"/>
                <w:sz w:val="21"/>
              </w:rPr>
              <w:t>9,838.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-451,216</w:t>
            </w:r>
          </w:p>
          <w:p>
            <w:pPr>
              <w:pStyle w:val="TableParagraph"/>
              <w:spacing w:line="274" w:lineRule="exact"/>
              <w:ind w:left="655" w:right="0"/>
              <w:jc w:val="left"/>
              <w:rPr>
                <w:rFonts w:ascii="宋体" w:hAnsi="宋体" w:cs="宋体" w:eastAsia="宋体" w:hint="default"/>
                <w:sz w:val="21"/>
                <w:szCs w:val="21"/>
              </w:rPr>
            </w:pPr>
            <w:r>
              <w:rPr>
                <w:rFonts w:ascii="宋体"/>
                <w:sz w:val="21"/>
              </w:rPr>
              <w:t>.14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3,685,42</w:t>
            </w:r>
          </w:p>
          <w:p>
            <w:pPr>
              <w:pStyle w:val="TableParagraph"/>
              <w:spacing w:line="274" w:lineRule="exact"/>
              <w:ind w:left="155" w:right="0"/>
              <w:jc w:val="left"/>
              <w:rPr>
                <w:rFonts w:ascii="宋体" w:hAnsi="宋体" w:cs="宋体" w:eastAsia="宋体" w:hint="default"/>
                <w:sz w:val="21"/>
                <w:szCs w:val="21"/>
              </w:rPr>
            </w:pPr>
            <w:r>
              <w:rPr>
                <w:rFonts w:ascii="宋体"/>
                <w:sz w:val="21"/>
              </w:rPr>
              <w:t>5,700.04</w:t>
            </w:r>
          </w:p>
        </w:tc>
      </w:tr>
    </w:tbl>
    <w:p>
      <w:pPr>
        <w:spacing w:after="0" w:line="274" w:lineRule="exact"/>
        <w:jc w:val="left"/>
        <w:rPr>
          <w:rFonts w:ascii="宋体" w:hAnsi="宋体" w:cs="宋体" w:eastAsia="宋体" w:hint="default"/>
          <w:sz w:val="21"/>
          <w:szCs w:val="21"/>
        </w:rPr>
        <w:sectPr>
          <w:pgSz w:w="16840" w:h="11910" w:orient="landscape"/>
          <w:pgMar w:header="882" w:footer="1195" w:top="1120" w:bottom="1380" w:left="98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sz w:val="21"/>
              </w:rPr>
              <w:t>7.65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sz w:val="21"/>
              </w:rPr>
              <w:t>83</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sz w:val="21"/>
              </w:rPr>
              <w:t>47</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690,71</w:t>
            </w:r>
          </w:p>
          <w:p>
            <w:pPr>
              <w:pStyle w:val="TableParagraph"/>
              <w:spacing w:line="274" w:lineRule="exact"/>
              <w:ind w:left="338" w:right="0"/>
              <w:jc w:val="left"/>
              <w:rPr>
                <w:rFonts w:ascii="宋体" w:hAnsi="宋体" w:cs="宋体" w:eastAsia="宋体" w:hint="default"/>
                <w:sz w:val="21"/>
                <w:szCs w:val="21"/>
              </w:rPr>
            </w:pPr>
            <w:r>
              <w:rPr>
                <w:rFonts w:ascii="宋体"/>
                <w:sz w:val="21"/>
              </w:rPr>
              <w:t>9.18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10,972</w:t>
            </w:r>
          </w:p>
          <w:p>
            <w:pPr>
              <w:pStyle w:val="TableParagraph"/>
              <w:spacing w:line="272" w:lineRule="exact"/>
              <w:ind w:right="98"/>
              <w:jc w:val="right"/>
              <w:rPr>
                <w:rFonts w:ascii="宋体" w:hAnsi="宋体" w:cs="宋体" w:eastAsia="宋体" w:hint="default"/>
                <w:sz w:val="21"/>
                <w:szCs w:val="21"/>
              </w:rPr>
            </w:pPr>
            <w:r>
              <w:rPr>
                <w:rFonts w:ascii="宋体"/>
                <w:sz w:val="21"/>
              </w:rPr>
              <w:t>,458.3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19,663</w:t>
            </w:r>
          </w:p>
          <w:p>
            <w:pPr>
              <w:pStyle w:val="TableParagraph"/>
              <w:spacing w:line="272" w:lineRule="exact"/>
              <w:ind w:right="99"/>
              <w:jc w:val="right"/>
              <w:rPr>
                <w:rFonts w:ascii="宋体" w:hAnsi="宋体" w:cs="宋体" w:eastAsia="宋体" w:hint="default"/>
                <w:sz w:val="21"/>
                <w:szCs w:val="21"/>
              </w:rPr>
            </w:pPr>
            <w:r>
              <w:rPr>
                <w:rFonts w:ascii="宋体"/>
                <w:sz w:val="21"/>
              </w:rPr>
              <w:t>,036.0</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64,152</w:t>
            </w:r>
          </w:p>
          <w:p>
            <w:pPr>
              <w:pStyle w:val="TableParagraph"/>
              <w:spacing w:line="272" w:lineRule="exact"/>
              <w:ind w:right="96"/>
              <w:jc w:val="right"/>
              <w:rPr>
                <w:rFonts w:ascii="宋体" w:hAnsi="宋体" w:cs="宋体" w:eastAsia="宋体" w:hint="default"/>
                <w:sz w:val="21"/>
                <w:szCs w:val="21"/>
              </w:rPr>
            </w:pPr>
            <w:r>
              <w:rPr>
                <w:rFonts w:ascii="宋体"/>
                <w:sz w:val="21"/>
              </w:rPr>
              <w:t>,027.8</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2,204,58</w:t>
            </w:r>
          </w:p>
          <w:p>
            <w:pPr>
              <w:pStyle w:val="TableParagraph"/>
              <w:spacing w:line="274" w:lineRule="exact"/>
              <w:ind w:left="549" w:right="0"/>
              <w:jc w:val="left"/>
              <w:rPr>
                <w:rFonts w:ascii="宋体" w:hAnsi="宋体" w:cs="宋体" w:eastAsia="宋体" w:hint="default"/>
                <w:sz w:val="21"/>
                <w:szCs w:val="21"/>
              </w:rPr>
            </w:pPr>
            <w:r>
              <w:rPr>
                <w:rFonts w:ascii="宋体"/>
                <w:sz w:val="21"/>
              </w:rPr>
              <w:t>9.33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97,682,8</w:t>
            </w:r>
          </w:p>
          <w:p>
            <w:pPr>
              <w:pStyle w:val="TableParagraph"/>
              <w:spacing w:line="274" w:lineRule="exact"/>
              <w:ind w:left="470" w:right="0"/>
              <w:jc w:val="left"/>
              <w:rPr>
                <w:rFonts w:ascii="宋体" w:hAnsi="宋体" w:cs="宋体" w:eastAsia="宋体" w:hint="default"/>
                <w:sz w:val="21"/>
                <w:szCs w:val="21"/>
              </w:rPr>
            </w:pPr>
            <w:r>
              <w:rPr>
                <w:rFonts w:ascii="宋体"/>
                <w:sz w:val="21"/>
              </w:rPr>
              <w:t>30.70</w:t>
            </w: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10,972</w:t>
            </w:r>
          </w:p>
          <w:p>
            <w:pPr>
              <w:pStyle w:val="TableParagraph"/>
              <w:spacing w:line="272" w:lineRule="exact"/>
              <w:ind w:right="98"/>
              <w:jc w:val="right"/>
              <w:rPr>
                <w:rFonts w:ascii="宋体" w:hAnsi="宋体" w:cs="宋体" w:eastAsia="宋体" w:hint="default"/>
                <w:sz w:val="21"/>
                <w:szCs w:val="21"/>
              </w:rPr>
            </w:pPr>
            <w:r>
              <w:rPr>
                <w:rFonts w:ascii="宋体"/>
                <w:sz w:val="21"/>
              </w:rPr>
              <w:t>,458.3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243,81</w:t>
            </w:r>
          </w:p>
          <w:p>
            <w:pPr>
              <w:pStyle w:val="TableParagraph"/>
              <w:spacing w:line="272" w:lineRule="exact"/>
              <w:ind w:left="129" w:right="0"/>
              <w:jc w:val="left"/>
              <w:rPr>
                <w:rFonts w:ascii="宋体" w:hAnsi="宋体" w:cs="宋体" w:eastAsia="宋体" w:hint="default"/>
                <w:sz w:val="21"/>
                <w:szCs w:val="21"/>
              </w:rPr>
            </w:pPr>
            <w:r>
              <w:rPr>
                <w:rFonts w:ascii="宋体"/>
                <w:sz w:val="21"/>
              </w:rPr>
              <w:t>5,063.</w:t>
            </w:r>
          </w:p>
          <w:p>
            <w:pPr>
              <w:pStyle w:val="TableParagraph"/>
              <w:spacing w:line="273" w:lineRule="exact"/>
              <w:ind w:left="549" w:right="0"/>
              <w:jc w:val="left"/>
              <w:rPr>
                <w:rFonts w:ascii="宋体" w:hAnsi="宋体" w:cs="宋体" w:eastAsia="宋体" w:hint="default"/>
                <w:sz w:val="21"/>
                <w:szCs w:val="21"/>
              </w:rPr>
            </w:pPr>
            <w:r>
              <w:rPr>
                <w:rFonts w:ascii="宋体"/>
                <w:sz w:val="21"/>
              </w:rPr>
              <w:t>88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221,455.</w:t>
            </w:r>
          </w:p>
          <w:p>
            <w:pPr>
              <w:pStyle w:val="TableParagraph"/>
              <w:spacing w:line="274" w:lineRule="exact"/>
              <w:ind w:right="101"/>
              <w:jc w:val="right"/>
              <w:rPr>
                <w:rFonts w:ascii="宋体" w:hAnsi="宋体" w:cs="宋体" w:eastAsia="宋体" w:hint="default"/>
                <w:sz w:val="21"/>
                <w:szCs w:val="21"/>
              </w:rPr>
            </w:pPr>
            <w:r>
              <w:rPr>
                <w:rFonts w:ascii="宋体"/>
                <w:sz w:val="21"/>
              </w:rPr>
              <w:t>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255,008,</w:t>
            </w:r>
          </w:p>
          <w:p>
            <w:pPr>
              <w:pStyle w:val="TableParagraph"/>
              <w:spacing w:line="274" w:lineRule="exact"/>
              <w:ind w:left="365" w:right="0"/>
              <w:jc w:val="left"/>
              <w:rPr>
                <w:rFonts w:ascii="宋体" w:hAnsi="宋体" w:cs="宋体" w:eastAsia="宋体" w:hint="default"/>
                <w:sz w:val="21"/>
                <w:szCs w:val="21"/>
              </w:rPr>
            </w:pPr>
            <w:r>
              <w:rPr>
                <w:rFonts w:ascii="宋体"/>
                <w:sz w:val="21"/>
              </w:rPr>
              <w:t>977.54</w:t>
            </w: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690,71</w:t>
            </w:r>
          </w:p>
          <w:p>
            <w:pPr>
              <w:pStyle w:val="TableParagraph"/>
              <w:spacing w:line="273" w:lineRule="exact"/>
              <w:ind w:left="338" w:right="0"/>
              <w:jc w:val="left"/>
              <w:rPr>
                <w:rFonts w:ascii="宋体" w:hAnsi="宋体" w:cs="宋体" w:eastAsia="宋体" w:hint="default"/>
                <w:sz w:val="21"/>
                <w:szCs w:val="21"/>
              </w:rPr>
            </w:pPr>
            <w:r>
              <w:rPr>
                <w:rFonts w:ascii="宋体"/>
                <w:sz w:val="21"/>
              </w:rPr>
              <w:t>9.18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1,983,13</w:t>
            </w:r>
          </w:p>
          <w:p>
            <w:pPr>
              <w:pStyle w:val="TableParagraph"/>
              <w:spacing w:line="273" w:lineRule="exact"/>
              <w:ind w:left="549" w:right="0"/>
              <w:jc w:val="left"/>
              <w:rPr>
                <w:rFonts w:ascii="宋体" w:hAnsi="宋体" w:cs="宋体" w:eastAsia="宋体" w:hint="default"/>
                <w:sz w:val="21"/>
                <w:szCs w:val="21"/>
              </w:rPr>
            </w:pPr>
            <w:r>
              <w:rPr>
                <w:rFonts w:ascii="宋体"/>
                <w:sz w:val="21"/>
              </w:rPr>
              <w:t>3.98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sz w:val="21"/>
              </w:rPr>
              <w:t>2,673,85</w:t>
            </w:r>
          </w:p>
          <w:p>
            <w:pPr>
              <w:pStyle w:val="TableParagraph"/>
              <w:spacing w:line="273" w:lineRule="exact"/>
              <w:ind w:left="576" w:right="0"/>
              <w:jc w:val="left"/>
              <w:rPr>
                <w:rFonts w:ascii="宋体" w:hAnsi="宋体" w:cs="宋体" w:eastAsia="宋体" w:hint="default"/>
                <w:sz w:val="21"/>
                <w:szCs w:val="21"/>
              </w:rPr>
            </w:pPr>
            <w:r>
              <w:rPr>
                <w:rFonts w:ascii="宋体"/>
                <w:sz w:val="21"/>
              </w:rPr>
              <w:t>3.16</w:t>
            </w:r>
          </w:p>
        </w:tc>
      </w:tr>
      <w:tr>
        <w:trPr>
          <w:trHeight w:val="55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1,983,13</w:t>
            </w:r>
          </w:p>
          <w:p>
            <w:pPr>
              <w:pStyle w:val="TableParagraph"/>
              <w:spacing w:line="273" w:lineRule="exact"/>
              <w:ind w:left="549" w:right="0"/>
              <w:jc w:val="left"/>
              <w:rPr>
                <w:rFonts w:ascii="宋体" w:hAnsi="宋体" w:cs="宋体" w:eastAsia="宋体" w:hint="default"/>
                <w:sz w:val="21"/>
                <w:szCs w:val="21"/>
              </w:rPr>
            </w:pPr>
            <w:r>
              <w:rPr>
                <w:rFonts w:ascii="宋体"/>
                <w:sz w:val="21"/>
              </w:rPr>
              <w:t>3.98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1,983,13</w:t>
            </w:r>
          </w:p>
          <w:p>
            <w:pPr>
              <w:pStyle w:val="TableParagraph"/>
              <w:spacing w:line="273" w:lineRule="exact"/>
              <w:ind w:left="576" w:right="0"/>
              <w:jc w:val="left"/>
              <w:rPr>
                <w:rFonts w:ascii="宋体" w:hAnsi="宋体" w:cs="宋体" w:eastAsia="宋体" w:hint="default"/>
                <w:sz w:val="21"/>
                <w:szCs w:val="21"/>
              </w:rPr>
            </w:pPr>
            <w:r>
              <w:rPr>
                <w:rFonts w:ascii="宋体"/>
                <w:sz w:val="21"/>
              </w:rPr>
              <w:t>3.98</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623,79</w:t>
            </w:r>
          </w:p>
          <w:p>
            <w:pPr>
              <w:pStyle w:val="TableParagraph"/>
              <w:spacing w:line="273" w:lineRule="exact"/>
              <w:ind w:left="338" w:right="0"/>
              <w:jc w:val="left"/>
              <w:rPr>
                <w:rFonts w:ascii="宋体" w:hAnsi="宋体" w:cs="宋体" w:eastAsia="宋体" w:hint="default"/>
                <w:sz w:val="21"/>
                <w:szCs w:val="21"/>
              </w:rPr>
            </w:pPr>
            <w:r>
              <w:rPr>
                <w:rFonts w:ascii="宋体"/>
                <w:sz w:val="21"/>
              </w:rPr>
              <w:t>0.65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623,790.</w:t>
            </w:r>
          </w:p>
          <w:p>
            <w:pPr>
              <w:pStyle w:val="TableParagraph"/>
              <w:spacing w:line="273" w:lineRule="exact"/>
              <w:ind w:right="101"/>
              <w:jc w:val="right"/>
              <w:rPr>
                <w:rFonts w:ascii="宋体" w:hAnsi="宋体" w:cs="宋体" w:eastAsia="宋体" w:hint="default"/>
                <w:sz w:val="21"/>
                <w:szCs w:val="21"/>
              </w:rPr>
            </w:pPr>
            <w:r>
              <w:rPr>
                <w:rFonts w:ascii="宋体"/>
                <w:sz w:val="21"/>
              </w:rPr>
              <w:t>65</w:t>
            </w: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66,928</w:t>
            </w:r>
          </w:p>
          <w:p>
            <w:pPr>
              <w:pStyle w:val="TableParagraph"/>
              <w:spacing w:line="273" w:lineRule="exact"/>
              <w:ind w:left="443" w:right="0"/>
              <w:jc w:val="left"/>
              <w:rPr>
                <w:rFonts w:ascii="宋体" w:hAnsi="宋体" w:cs="宋体" w:eastAsia="宋体" w:hint="default"/>
                <w:sz w:val="21"/>
                <w:szCs w:val="21"/>
              </w:rPr>
            </w:pPr>
            <w:r>
              <w:rPr>
                <w:rFonts w:ascii="宋体"/>
                <w:sz w:val="21"/>
              </w:rPr>
              <w:t>.53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66,928.5</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19,663</w:t>
            </w:r>
          </w:p>
          <w:p>
            <w:pPr>
              <w:pStyle w:val="TableParagraph"/>
              <w:spacing w:line="273" w:lineRule="exact"/>
              <w:ind w:right="99"/>
              <w:jc w:val="right"/>
              <w:rPr>
                <w:rFonts w:ascii="宋体" w:hAnsi="宋体" w:cs="宋体" w:eastAsia="宋体" w:hint="default"/>
                <w:sz w:val="21"/>
                <w:szCs w:val="21"/>
              </w:rPr>
            </w:pPr>
            <w:r>
              <w:rPr>
                <w:rFonts w:ascii="宋体"/>
                <w:sz w:val="21"/>
              </w:rPr>
              <w:t>,036.0</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-179,6</w:t>
            </w:r>
          </w:p>
          <w:p>
            <w:pPr>
              <w:pStyle w:val="TableParagraph"/>
              <w:spacing w:line="273" w:lineRule="exact"/>
              <w:ind w:left="129" w:right="0"/>
              <w:jc w:val="left"/>
              <w:rPr>
                <w:rFonts w:ascii="宋体" w:hAnsi="宋体" w:cs="宋体" w:eastAsia="宋体" w:hint="default"/>
                <w:sz w:val="21"/>
                <w:szCs w:val="21"/>
              </w:rPr>
            </w:pPr>
            <w:r>
              <w:rPr>
                <w:rFonts w:ascii="宋体"/>
                <w:sz w:val="21"/>
              </w:rPr>
              <w:t>63,036</w:t>
            </w:r>
          </w:p>
          <w:p>
            <w:pPr>
              <w:pStyle w:val="TableParagraph"/>
              <w:spacing w:line="274" w:lineRule="exact"/>
              <w:ind w:left="446" w:right="0"/>
              <w:jc w:val="left"/>
              <w:rPr>
                <w:rFonts w:ascii="宋体" w:hAnsi="宋体" w:cs="宋体" w:eastAsia="宋体" w:hint="default"/>
                <w:sz w:val="21"/>
                <w:szCs w:val="21"/>
              </w:rPr>
            </w:pPr>
            <w:r>
              <w:rPr>
                <w:rFonts w:ascii="宋体"/>
                <w:sz w:val="21"/>
              </w:rPr>
              <w:t>.02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sz w:val="21"/>
              </w:rPr>
              <w:t>-160,000</w:t>
            </w:r>
          </w:p>
          <w:p>
            <w:pPr>
              <w:pStyle w:val="TableParagraph"/>
              <w:spacing w:line="273" w:lineRule="exact"/>
              <w:ind w:left="161" w:right="0"/>
              <w:jc w:val="center"/>
              <w:rPr>
                <w:rFonts w:ascii="宋体" w:hAnsi="宋体" w:cs="宋体" w:eastAsia="宋体" w:hint="default"/>
                <w:sz w:val="21"/>
                <w:szCs w:val="21"/>
              </w:rPr>
            </w:pPr>
            <w:r>
              <w:rPr>
                <w:rFonts w:ascii="宋体"/>
                <w:sz w:val="21"/>
              </w:rPr>
              <w:t>,000.00</w:t>
            </w: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19,663</w:t>
            </w:r>
          </w:p>
          <w:p>
            <w:pPr>
              <w:pStyle w:val="TableParagraph"/>
              <w:spacing w:line="272" w:lineRule="exact"/>
              <w:ind w:right="99"/>
              <w:jc w:val="right"/>
              <w:rPr>
                <w:rFonts w:ascii="宋体" w:hAnsi="宋体" w:cs="宋体" w:eastAsia="宋体" w:hint="default"/>
                <w:sz w:val="21"/>
                <w:szCs w:val="21"/>
              </w:rPr>
            </w:pPr>
            <w:r>
              <w:rPr>
                <w:rFonts w:ascii="宋体"/>
                <w:sz w:val="21"/>
              </w:rPr>
              <w:t>,036.0</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-19,66</w:t>
            </w:r>
          </w:p>
          <w:p>
            <w:pPr>
              <w:pStyle w:val="TableParagraph"/>
              <w:spacing w:line="272" w:lineRule="exact"/>
              <w:ind w:left="129" w:right="0"/>
              <w:jc w:val="left"/>
              <w:rPr>
                <w:rFonts w:ascii="宋体" w:hAnsi="宋体" w:cs="宋体" w:eastAsia="宋体" w:hint="default"/>
                <w:sz w:val="21"/>
                <w:szCs w:val="21"/>
              </w:rPr>
            </w:pPr>
            <w:r>
              <w:rPr>
                <w:rFonts w:ascii="宋体"/>
                <w:sz w:val="21"/>
              </w:rPr>
              <w:t>3,036.</w:t>
            </w:r>
          </w:p>
          <w:p>
            <w:pPr>
              <w:pStyle w:val="TableParagraph"/>
              <w:spacing w:line="273" w:lineRule="exact"/>
              <w:ind w:left="549" w:right="0"/>
              <w:jc w:val="left"/>
              <w:rPr>
                <w:rFonts w:ascii="宋体" w:hAnsi="宋体" w:cs="宋体" w:eastAsia="宋体" w:hint="default"/>
                <w:sz w:val="21"/>
                <w:szCs w:val="21"/>
              </w:rPr>
            </w:pPr>
            <w:r>
              <w:rPr>
                <w:rFonts w:ascii="宋体"/>
                <w:sz w:val="21"/>
              </w:rPr>
              <w:t>02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-160,0</w:t>
            </w:r>
          </w:p>
          <w:p>
            <w:pPr>
              <w:pStyle w:val="TableParagraph"/>
              <w:spacing w:line="272" w:lineRule="exact"/>
              <w:ind w:left="129" w:right="0"/>
              <w:jc w:val="left"/>
              <w:rPr>
                <w:rFonts w:ascii="宋体" w:hAnsi="宋体" w:cs="宋体" w:eastAsia="宋体" w:hint="default"/>
                <w:sz w:val="21"/>
                <w:szCs w:val="21"/>
              </w:rPr>
            </w:pPr>
            <w:r>
              <w:rPr>
                <w:rFonts w:ascii="宋体"/>
                <w:sz w:val="21"/>
              </w:rPr>
              <w:t>00,000</w:t>
            </w:r>
          </w:p>
          <w:p>
            <w:pPr>
              <w:pStyle w:val="TableParagraph"/>
              <w:spacing w:line="273" w:lineRule="exact"/>
              <w:ind w:left="446" w:right="0"/>
              <w:jc w:val="left"/>
              <w:rPr>
                <w:rFonts w:ascii="宋体" w:hAnsi="宋体" w:cs="宋体" w:eastAsia="宋体" w:hint="default"/>
                <w:sz w:val="21"/>
                <w:szCs w:val="21"/>
              </w:rPr>
            </w:pPr>
            <w:r>
              <w:rPr>
                <w:rFonts w:ascii="宋体"/>
                <w:sz w:val="21"/>
              </w:rPr>
              <w:t>.00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sz w:val="21"/>
              </w:rPr>
              <w:t>-160,000</w:t>
            </w:r>
          </w:p>
          <w:p>
            <w:pPr>
              <w:pStyle w:val="TableParagraph"/>
              <w:spacing w:line="274" w:lineRule="exact"/>
              <w:ind w:left="161" w:right="0"/>
              <w:jc w:val="center"/>
              <w:rPr>
                <w:rFonts w:ascii="宋体" w:hAnsi="宋体" w:cs="宋体" w:eastAsia="宋体" w:hint="default"/>
                <w:sz w:val="21"/>
                <w:szCs w:val="21"/>
              </w:rPr>
            </w:pPr>
            <w:r>
              <w:rPr>
                <w:rFonts w:ascii="宋体"/>
                <w:sz w:val="21"/>
              </w:rPr>
              <w:t>,000.00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800,00</w:t>
            </w:r>
          </w:p>
          <w:p>
            <w:pPr>
              <w:pStyle w:val="TableParagraph"/>
              <w:spacing w:line="273" w:lineRule="exact"/>
              <w:ind w:left="124" w:right="0"/>
              <w:jc w:val="left"/>
              <w:rPr>
                <w:rFonts w:ascii="宋体" w:hAnsi="宋体" w:cs="宋体" w:eastAsia="宋体" w:hint="default"/>
                <w:sz w:val="21"/>
                <w:szCs w:val="21"/>
              </w:rPr>
            </w:pPr>
            <w:r>
              <w:rPr>
                <w:rFonts w:ascii="宋体"/>
                <w:sz w:val="21"/>
              </w:rPr>
              <w:t>0,000.</w:t>
            </w:r>
          </w:p>
          <w:p>
            <w:pPr>
              <w:pStyle w:val="TableParagraph"/>
              <w:spacing w:line="273" w:lineRule="exact"/>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1,919,</w:t>
            </w:r>
          </w:p>
          <w:p>
            <w:pPr>
              <w:pStyle w:val="TableParagraph"/>
              <w:spacing w:line="273" w:lineRule="exact"/>
              <w:ind w:left="127" w:right="0"/>
              <w:jc w:val="left"/>
              <w:rPr>
                <w:rFonts w:ascii="宋体" w:hAnsi="宋体" w:cs="宋体" w:eastAsia="宋体" w:hint="default"/>
                <w:sz w:val="21"/>
                <w:szCs w:val="21"/>
              </w:rPr>
            </w:pPr>
            <w:r>
              <w:rPr>
                <w:rFonts w:ascii="宋体"/>
                <w:sz w:val="21"/>
              </w:rPr>
              <w:t>348,90</w:t>
            </w:r>
          </w:p>
          <w:p>
            <w:pPr>
              <w:pStyle w:val="TableParagraph"/>
              <w:spacing w:line="273" w:lineRule="exact"/>
              <w:ind w:left="338" w:right="0"/>
              <w:jc w:val="left"/>
              <w:rPr>
                <w:rFonts w:ascii="宋体" w:hAnsi="宋体" w:cs="宋体" w:eastAsia="宋体" w:hint="default"/>
                <w:sz w:val="21"/>
                <w:szCs w:val="21"/>
              </w:rPr>
            </w:pPr>
            <w:r>
              <w:rPr>
                <w:rFonts w:ascii="宋体"/>
                <w:sz w:val="21"/>
              </w:rPr>
              <w:t>6.83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10,984</w:t>
            </w:r>
          </w:p>
          <w:p>
            <w:pPr>
              <w:pStyle w:val="TableParagraph"/>
              <w:spacing w:line="273" w:lineRule="exact"/>
              <w:ind w:right="98"/>
              <w:jc w:val="right"/>
              <w:rPr>
                <w:rFonts w:ascii="宋体" w:hAnsi="宋体" w:cs="宋体" w:eastAsia="宋体" w:hint="default"/>
                <w:sz w:val="21"/>
                <w:szCs w:val="21"/>
              </w:rPr>
            </w:pPr>
            <w:r>
              <w:rPr>
                <w:rFonts w:ascii="宋体"/>
                <w:sz w:val="21"/>
              </w:rPr>
              <w:t>,629.5</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187,55</w:t>
            </w:r>
          </w:p>
          <w:p>
            <w:pPr>
              <w:pStyle w:val="TableParagraph"/>
              <w:spacing w:line="273" w:lineRule="exact"/>
              <w:ind w:left="127" w:right="0"/>
              <w:jc w:val="left"/>
              <w:rPr>
                <w:rFonts w:ascii="宋体" w:hAnsi="宋体" w:cs="宋体" w:eastAsia="宋体" w:hint="default"/>
                <w:sz w:val="21"/>
                <w:szCs w:val="21"/>
              </w:rPr>
            </w:pPr>
            <w:r>
              <w:rPr>
                <w:rFonts w:ascii="宋体"/>
                <w:sz w:val="21"/>
              </w:rPr>
              <w:t>9,754.</w:t>
            </w:r>
          </w:p>
          <w:p>
            <w:pPr>
              <w:pStyle w:val="TableParagraph"/>
              <w:spacing w:line="273" w:lineRule="exact"/>
              <w:ind w:left="547" w:right="0"/>
              <w:jc w:val="left"/>
              <w:rPr>
                <w:rFonts w:ascii="宋体" w:hAnsi="宋体" w:cs="宋体" w:eastAsia="宋体" w:hint="default"/>
                <w:sz w:val="21"/>
                <w:szCs w:val="21"/>
              </w:rPr>
            </w:pPr>
            <w:r>
              <w:rPr>
                <w:rFonts w:ascii="宋体"/>
                <w:sz w:val="21"/>
              </w:rPr>
              <w:t>85</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863,46</w:t>
            </w:r>
          </w:p>
          <w:p>
            <w:pPr>
              <w:pStyle w:val="TableParagraph"/>
              <w:spacing w:line="273" w:lineRule="exact"/>
              <w:ind w:left="129" w:right="0"/>
              <w:jc w:val="left"/>
              <w:rPr>
                <w:rFonts w:ascii="宋体" w:hAnsi="宋体" w:cs="宋体" w:eastAsia="宋体" w:hint="default"/>
                <w:sz w:val="21"/>
                <w:szCs w:val="21"/>
              </w:rPr>
            </w:pPr>
            <w:r>
              <w:rPr>
                <w:rFonts w:ascii="宋体"/>
                <w:sz w:val="21"/>
              </w:rPr>
              <w:t>1,866.</w:t>
            </w:r>
          </w:p>
          <w:p>
            <w:pPr>
              <w:pStyle w:val="TableParagraph"/>
              <w:spacing w:line="273" w:lineRule="exact"/>
              <w:ind w:left="549" w:right="0"/>
              <w:jc w:val="left"/>
              <w:rPr>
                <w:rFonts w:ascii="宋体" w:hAnsi="宋体" w:cs="宋体" w:eastAsia="宋体" w:hint="default"/>
                <w:sz w:val="21"/>
                <w:szCs w:val="21"/>
              </w:rPr>
            </w:pPr>
            <w:r>
              <w:rPr>
                <w:rFonts w:ascii="宋体"/>
                <w:sz w:val="21"/>
              </w:rPr>
              <w:t>33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1,753,37</w:t>
            </w:r>
          </w:p>
          <w:p>
            <w:pPr>
              <w:pStyle w:val="TableParagraph"/>
              <w:spacing w:line="274" w:lineRule="exact"/>
              <w:ind w:left="549" w:right="0"/>
              <w:jc w:val="left"/>
              <w:rPr>
                <w:rFonts w:ascii="宋体" w:hAnsi="宋体" w:cs="宋体" w:eastAsia="宋体" w:hint="default"/>
                <w:sz w:val="21"/>
                <w:szCs w:val="21"/>
              </w:rPr>
            </w:pPr>
            <w:r>
              <w:rPr>
                <w:rFonts w:ascii="宋体"/>
                <w:sz w:val="21"/>
              </w:rPr>
              <w:t>3.19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3,783,10</w:t>
            </w:r>
          </w:p>
          <w:p>
            <w:pPr>
              <w:pStyle w:val="TableParagraph"/>
              <w:spacing w:line="274" w:lineRule="exact"/>
              <w:ind w:left="155" w:right="0"/>
              <w:jc w:val="left"/>
              <w:rPr>
                <w:rFonts w:ascii="宋体" w:hAnsi="宋体" w:cs="宋体" w:eastAsia="宋体" w:hint="default"/>
                <w:sz w:val="21"/>
                <w:szCs w:val="21"/>
              </w:rPr>
            </w:pPr>
            <w:r>
              <w:rPr>
                <w:rFonts w:ascii="宋体"/>
                <w:sz w:val="21"/>
              </w:rPr>
              <w:t>8,530.74</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84" w:right="0"/>
        <w:jc w:val="left"/>
      </w:pPr>
      <w:r>
        <w:rPr/>
        <w:t>法定代表人：徐新建 主管会计工作负责人：李立干</w:t>
      </w:r>
      <w:r>
        <w:rPr>
          <w:spacing w:val="-11"/>
        </w:rPr>
        <w:t> </w:t>
      </w:r>
      <w:r>
        <w:rPr/>
        <w:t>会计机构负责人：吉超</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6"/>
          <w:pgSz w:w="16840" w:h="11910" w:orient="landscape"/>
          <w:pgMar w:footer="1195" w:header="882"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7"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4"/>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4"/>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4"/>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83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3"/>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800,000,</w:t>
            </w:r>
          </w:p>
          <w:p>
            <w:pPr>
              <w:pStyle w:val="TableParagraph"/>
              <w:spacing w:line="274"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1,928,6</w:t>
            </w:r>
          </w:p>
          <w:p>
            <w:pPr>
              <w:pStyle w:val="TableParagraph"/>
              <w:spacing w:line="272" w:lineRule="exact"/>
              <w:ind w:right="96"/>
              <w:jc w:val="right"/>
              <w:rPr>
                <w:rFonts w:ascii="宋体" w:hAnsi="宋体" w:cs="宋体" w:eastAsia="宋体" w:hint="default"/>
                <w:sz w:val="21"/>
                <w:szCs w:val="21"/>
              </w:rPr>
            </w:pPr>
            <w:r>
              <w:rPr>
                <w:rFonts w:ascii="宋体"/>
                <w:spacing w:val="-1"/>
                <w:sz w:val="21"/>
              </w:rPr>
              <w:t>24,914.</w:t>
            </w:r>
          </w:p>
          <w:p>
            <w:pPr>
              <w:pStyle w:val="TableParagraph"/>
              <w:spacing w:line="273" w:lineRule="exact"/>
              <w:ind w:right="98"/>
              <w:jc w:val="right"/>
              <w:rPr>
                <w:rFonts w:ascii="宋体" w:hAnsi="宋体" w:cs="宋体" w:eastAsia="宋体" w:hint="default"/>
                <w:sz w:val="21"/>
                <w:szCs w:val="21"/>
              </w:rPr>
            </w:pPr>
            <w:r>
              <w:rPr>
                <w:rFonts w:ascii="宋体"/>
                <w:sz w:val="21"/>
              </w:rPr>
              <w:t>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7,165,5</w:t>
            </w:r>
          </w:p>
          <w:p>
            <w:pPr>
              <w:pStyle w:val="TableParagraph"/>
              <w:spacing w:line="274" w:lineRule="exact"/>
              <w:ind w:left="381" w:right="0"/>
              <w:jc w:val="left"/>
              <w:rPr>
                <w:rFonts w:ascii="宋体" w:hAnsi="宋体" w:cs="宋体" w:eastAsia="宋体" w:hint="default"/>
                <w:sz w:val="21"/>
                <w:szCs w:val="21"/>
              </w:rPr>
            </w:pPr>
            <w:r>
              <w:rPr>
                <w:rFonts w:ascii="宋体"/>
                <w:sz w:val="21"/>
              </w:rPr>
              <w:t>00.00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184,772</w:t>
            </w:r>
          </w:p>
          <w:p>
            <w:pPr>
              <w:pStyle w:val="TableParagraph"/>
              <w:spacing w:line="274" w:lineRule="exact"/>
              <w:ind w:left="172" w:right="0"/>
              <w:jc w:val="left"/>
              <w:rPr>
                <w:rFonts w:ascii="宋体" w:hAnsi="宋体" w:cs="宋体" w:eastAsia="宋体" w:hint="default"/>
                <w:sz w:val="21"/>
                <w:szCs w:val="21"/>
              </w:rPr>
            </w:pPr>
            <w:r>
              <w:rPr>
                <w:rFonts w:ascii="宋体"/>
                <w:sz w:val="21"/>
              </w:rPr>
              <w:t>,847.00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696,519</w:t>
            </w:r>
          </w:p>
          <w:p>
            <w:pPr>
              <w:pStyle w:val="TableParagraph"/>
              <w:spacing w:line="274" w:lineRule="exact"/>
              <w:ind w:left="158" w:right="0"/>
              <w:jc w:val="left"/>
              <w:rPr>
                <w:rFonts w:ascii="宋体" w:hAnsi="宋体" w:cs="宋体" w:eastAsia="宋体" w:hint="default"/>
                <w:sz w:val="21"/>
                <w:szCs w:val="21"/>
              </w:rPr>
            </w:pPr>
            <w:r>
              <w:rPr>
                <w:rFonts w:ascii="宋体"/>
                <w:sz w:val="21"/>
              </w:rPr>
              <w:t>,551.43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3,617,0</w:t>
            </w:r>
          </w:p>
          <w:p>
            <w:pPr>
              <w:pStyle w:val="TableParagraph"/>
              <w:spacing w:line="272" w:lineRule="exact"/>
              <w:ind w:right="94"/>
              <w:jc w:val="right"/>
              <w:rPr>
                <w:rFonts w:ascii="宋体" w:hAnsi="宋体" w:cs="宋体" w:eastAsia="宋体" w:hint="default"/>
                <w:sz w:val="21"/>
                <w:szCs w:val="21"/>
              </w:rPr>
            </w:pPr>
            <w:r>
              <w:rPr>
                <w:rFonts w:ascii="宋体"/>
                <w:spacing w:val="-1"/>
                <w:sz w:val="21"/>
              </w:rPr>
              <w:t>82,812.</w:t>
            </w:r>
          </w:p>
          <w:p>
            <w:pPr>
              <w:pStyle w:val="TableParagraph"/>
              <w:spacing w:line="273" w:lineRule="exact"/>
              <w:ind w:right="96"/>
              <w:jc w:val="right"/>
              <w:rPr>
                <w:rFonts w:ascii="宋体" w:hAnsi="宋体" w:cs="宋体" w:eastAsia="宋体" w:hint="default"/>
                <w:sz w:val="21"/>
                <w:szCs w:val="21"/>
              </w:rPr>
            </w:pPr>
            <w:r>
              <w:rPr>
                <w:rFonts w:ascii="宋体"/>
                <w:sz w:val="21"/>
              </w:rPr>
              <w:t>82</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3"/>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800,000,</w:t>
            </w:r>
          </w:p>
          <w:p>
            <w:pPr>
              <w:pStyle w:val="TableParagraph"/>
              <w:spacing w:line="275"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1,928,6</w:t>
            </w:r>
          </w:p>
          <w:p>
            <w:pPr>
              <w:pStyle w:val="TableParagraph"/>
              <w:spacing w:line="273" w:lineRule="exact"/>
              <w:ind w:right="96"/>
              <w:jc w:val="right"/>
              <w:rPr>
                <w:rFonts w:ascii="宋体" w:hAnsi="宋体" w:cs="宋体" w:eastAsia="宋体" w:hint="default"/>
                <w:sz w:val="21"/>
                <w:szCs w:val="21"/>
              </w:rPr>
            </w:pPr>
            <w:r>
              <w:rPr>
                <w:rFonts w:ascii="宋体"/>
                <w:spacing w:val="-1"/>
                <w:sz w:val="21"/>
              </w:rPr>
              <w:t>24,914.</w:t>
            </w:r>
          </w:p>
          <w:p>
            <w:pPr>
              <w:pStyle w:val="TableParagraph"/>
              <w:spacing w:line="273" w:lineRule="exact"/>
              <w:ind w:right="98"/>
              <w:jc w:val="right"/>
              <w:rPr>
                <w:rFonts w:ascii="宋体" w:hAnsi="宋体" w:cs="宋体" w:eastAsia="宋体" w:hint="default"/>
                <w:sz w:val="21"/>
                <w:szCs w:val="21"/>
              </w:rPr>
            </w:pPr>
            <w:r>
              <w:rPr>
                <w:rFonts w:ascii="宋体"/>
                <w:sz w:val="21"/>
              </w:rPr>
              <w:t>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7,165,5</w:t>
            </w:r>
          </w:p>
          <w:p>
            <w:pPr>
              <w:pStyle w:val="TableParagraph"/>
              <w:spacing w:line="275" w:lineRule="exact"/>
              <w:ind w:left="381" w:right="0"/>
              <w:jc w:val="left"/>
              <w:rPr>
                <w:rFonts w:ascii="宋体" w:hAnsi="宋体" w:cs="宋体" w:eastAsia="宋体" w:hint="default"/>
                <w:sz w:val="21"/>
                <w:szCs w:val="21"/>
              </w:rPr>
            </w:pPr>
            <w:r>
              <w:rPr>
                <w:rFonts w:ascii="宋体"/>
                <w:sz w:val="21"/>
              </w:rPr>
              <w:t>00.00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184,772</w:t>
            </w:r>
          </w:p>
          <w:p>
            <w:pPr>
              <w:pStyle w:val="TableParagraph"/>
              <w:spacing w:line="275" w:lineRule="exact"/>
              <w:ind w:left="172" w:right="0"/>
              <w:jc w:val="left"/>
              <w:rPr>
                <w:rFonts w:ascii="宋体" w:hAnsi="宋体" w:cs="宋体" w:eastAsia="宋体" w:hint="default"/>
                <w:sz w:val="21"/>
                <w:szCs w:val="21"/>
              </w:rPr>
            </w:pPr>
            <w:r>
              <w:rPr>
                <w:rFonts w:ascii="宋体"/>
                <w:sz w:val="21"/>
              </w:rPr>
              <w:t>,847.00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696,519</w:t>
            </w:r>
          </w:p>
          <w:p>
            <w:pPr>
              <w:pStyle w:val="TableParagraph"/>
              <w:spacing w:line="275" w:lineRule="exact"/>
              <w:ind w:left="158" w:right="0"/>
              <w:jc w:val="left"/>
              <w:rPr>
                <w:rFonts w:ascii="宋体" w:hAnsi="宋体" w:cs="宋体" w:eastAsia="宋体" w:hint="default"/>
                <w:sz w:val="21"/>
                <w:szCs w:val="21"/>
              </w:rPr>
            </w:pPr>
            <w:r>
              <w:rPr>
                <w:rFonts w:ascii="宋体"/>
                <w:sz w:val="21"/>
              </w:rPr>
              <w:t>,551.43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3,617,0</w:t>
            </w:r>
          </w:p>
          <w:p>
            <w:pPr>
              <w:pStyle w:val="TableParagraph"/>
              <w:spacing w:line="273" w:lineRule="exact"/>
              <w:ind w:right="94"/>
              <w:jc w:val="right"/>
              <w:rPr>
                <w:rFonts w:ascii="宋体" w:hAnsi="宋体" w:cs="宋体" w:eastAsia="宋体" w:hint="default"/>
                <w:sz w:val="21"/>
                <w:szCs w:val="21"/>
              </w:rPr>
            </w:pPr>
            <w:r>
              <w:rPr>
                <w:rFonts w:ascii="宋体"/>
                <w:spacing w:val="-1"/>
                <w:sz w:val="21"/>
              </w:rPr>
              <w:t>82,812.</w:t>
            </w:r>
          </w:p>
          <w:p>
            <w:pPr>
              <w:pStyle w:val="TableParagraph"/>
              <w:spacing w:line="273" w:lineRule="exact"/>
              <w:ind w:right="96"/>
              <w:jc w:val="right"/>
              <w:rPr>
                <w:rFonts w:ascii="宋体" w:hAnsi="宋体" w:cs="宋体" w:eastAsia="宋体" w:hint="default"/>
                <w:sz w:val="21"/>
                <w:szCs w:val="21"/>
              </w:rPr>
            </w:pPr>
            <w:r>
              <w:rPr>
                <w:rFonts w:ascii="宋体"/>
                <w:sz w:val="21"/>
              </w:rPr>
              <w:t>82</w:t>
            </w:r>
          </w:p>
        </w:tc>
      </w:tr>
      <w:tr>
        <w:trPr>
          <w:trHeight w:val="83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-1,605,</w:t>
            </w:r>
          </w:p>
          <w:p>
            <w:pPr>
              <w:pStyle w:val="TableParagraph"/>
              <w:spacing w:line="273" w:lineRule="exact"/>
              <w:ind w:left="177" w:right="0"/>
              <w:jc w:val="center"/>
              <w:rPr>
                <w:rFonts w:ascii="宋体" w:hAnsi="宋体" w:cs="宋体" w:eastAsia="宋体" w:hint="default"/>
                <w:sz w:val="21"/>
                <w:szCs w:val="21"/>
              </w:rPr>
            </w:pPr>
            <w:r>
              <w:rPr>
                <w:rFonts w:ascii="宋体"/>
                <w:sz w:val="21"/>
              </w:rPr>
              <w:t>984.35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1,509,1</w:t>
            </w:r>
          </w:p>
          <w:p>
            <w:pPr>
              <w:pStyle w:val="TableParagraph"/>
              <w:spacing w:line="273" w:lineRule="exact"/>
              <w:ind w:left="381" w:right="0"/>
              <w:jc w:val="left"/>
              <w:rPr>
                <w:rFonts w:ascii="宋体" w:hAnsi="宋体" w:cs="宋体" w:eastAsia="宋体" w:hint="default"/>
                <w:sz w:val="21"/>
                <w:szCs w:val="21"/>
              </w:rPr>
            </w:pPr>
            <w:r>
              <w:rPr>
                <w:rFonts w:ascii="宋体"/>
                <w:sz w:val="21"/>
              </w:rPr>
              <w:t>28.20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-132,81</w:t>
            </w:r>
          </w:p>
          <w:p>
            <w:pPr>
              <w:pStyle w:val="TableParagraph"/>
              <w:spacing w:line="272" w:lineRule="exact"/>
              <w:ind w:right="96"/>
              <w:jc w:val="right"/>
              <w:rPr>
                <w:rFonts w:ascii="宋体" w:hAnsi="宋体" w:cs="宋体" w:eastAsia="宋体" w:hint="default"/>
                <w:sz w:val="21"/>
                <w:szCs w:val="21"/>
              </w:rPr>
            </w:pPr>
            <w:r>
              <w:rPr>
                <w:rFonts w:ascii="宋体"/>
                <w:spacing w:val="-1"/>
                <w:sz w:val="21"/>
              </w:rPr>
              <w:t>7,846.1</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-132,91</w:t>
            </w:r>
          </w:p>
          <w:p>
            <w:pPr>
              <w:pStyle w:val="TableParagraph"/>
              <w:spacing w:line="272" w:lineRule="exact"/>
              <w:ind w:right="94"/>
              <w:jc w:val="right"/>
              <w:rPr>
                <w:rFonts w:ascii="宋体" w:hAnsi="宋体" w:cs="宋体" w:eastAsia="宋体" w:hint="default"/>
                <w:sz w:val="21"/>
                <w:szCs w:val="21"/>
              </w:rPr>
            </w:pPr>
            <w:r>
              <w:rPr>
                <w:rFonts w:ascii="宋体"/>
                <w:spacing w:val="-1"/>
                <w:sz w:val="21"/>
              </w:rPr>
              <w:t>4,702.3</w:t>
            </w:r>
          </w:p>
          <w:p>
            <w:pPr>
              <w:pStyle w:val="TableParagraph"/>
              <w:spacing w:line="274" w:lineRule="exact"/>
              <w:ind w:right="96"/>
              <w:jc w:val="right"/>
              <w:rPr>
                <w:rFonts w:ascii="宋体" w:hAnsi="宋体" w:cs="宋体" w:eastAsia="宋体" w:hint="default"/>
                <w:sz w:val="21"/>
                <w:szCs w:val="21"/>
              </w:rPr>
            </w:pPr>
            <w:r>
              <w:rPr>
                <w:rFonts w:ascii="宋体"/>
                <w:w w:val="100"/>
                <w:sz w:val="21"/>
              </w:rPr>
              <w:t>4</w:t>
            </w:r>
          </w:p>
        </w:tc>
      </w:tr>
    </w:tbl>
    <w:p>
      <w:pPr>
        <w:spacing w:after="0" w:line="274" w:lineRule="exact"/>
        <w:jc w:val="right"/>
        <w:rPr>
          <w:rFonts w:ascii="宋体" w:hAnsi="宋体" w:cs="宋体" w:eastAsia="宋体" w:hint="default"/>
          <w:sz w:val="21"/>
          <w:szCs w:val="21"/>
        </w:rPr>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55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-1,605,</w:t>
            </w:r>
          </w:p>
          <w:p>
            <w:pPr>
              <w:pStyle w:val="TableParagraph"/>
              <w:spacing w:line="273" w:lineRule="exact"/>
              <w:ind w:left="177" w:right="0"/>
              <w:jc w:val="center"/>
              <w:rPr>
                <w:rFonts w:ascii="宋体" w:hAnsi="宋体" w:cs="宋体" w:eastAsia="宋体" w:hint="default"/>
                <w:sz w:val="21"/>
                <w:szCs w:val="21"/>
              </w:rPr>
            </w:pPr>
            <w:r>
              <w:rPr>
                <w:rFonts w:ascii="宋体"/>
                <w:sz w:val="21"/>
              </w:rPr>
              <w:t>984.35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0" w:right="0"/>
              <w:jc w:val="center"/>
              <w:rPr>
                <w:rFonts w:ascii="宋体" w:hAnsi="宋体" w:cs="宋体" w:eastAsia="宋体" w:hint="default"/>
                <w:sz w:val="21"/>
                <w:szCs w:val="21"/>
              </w:rPr>
            </w:pPr>
            <w:r>
              <w:rPr>
                <w:rFonts w:ascii="宋体"/>
                <w:sz w:val="21"/>
              </w:rPr>
              <w:t>15,091,</w:t>
            </w:r>
          </w:p>
          <w:p>
            <w:pPr>
              <w:pStyle w:val="TableParagraph"/>
              <w:spacing w:line="273" w:lineRule="exact"/>
              <w:ind w:left="163" w:right="0"/>
              <w:jc w:val="center"/>
              <w:rPr>
                <w:rFonts w:ascii="宋体" w:hAnsi="宋体" w:cs="宋体" w:eastAsia="宋体" w:hint="default"/>
                <w:sz w:val="21"/>
                <w:szCs w:val="21"/>
              </w:rPr>
            </w:pPr>
            <w:r>
              <w:rPr>
                <w:rFonts w:ascii="宋体"/>
                <w:sz w:val="21"/>
              </w:rPr>
              <w:t>282.01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13,485,</w:t>
            </w:r>
          </w:p>
          <w:p>
            <w:pPr>
              <w:pStyle w:val="TableParagraph"/>
              <w:spacing w:line="273" w:lineRule="exact"/>
              <w:ind w:left="185" w:right="0"/>
              <w:jc w:val="center"/>
              <w:rPr>
                <w:rFonts w:ascii="宋体" w:hAnsi="宋体" w:cs="宋体" w:eastAsia="宋体" w:hint="default"/>
                <w:sz w:val="21"/>
                <w:szCs w:val="21"/>
              </w:rPr>
            </w:pPr>
            <w:r>
              <w:rPr>
                <w:rFonts w:ascii="宋体"/>
                <w:sz w:val="21"/>
              </w:rPr>
              <w:t>297.66</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1,509,1</w:t>
            </w:r>
          </w:p>
          <w:p>
            <w:pPr>
              <w:pStyle w:val="TableParagraph"/>
              <w:spacing w:line="274" w:lineRule="exact"/>
              <w:ind w:left="381" w:right="0"/>
              <w:jc w:val="left"/>
              <w:rPr>
                <w:rFonts w:ascii="宋体" w:hAnsi="宋体" w:cs="宋体" w:eastAsia="宋体" w:hint="default"/>
                <w:sz w:val="21"/>
                <w:szCs w:val="21"/>
              </w:rPr>
            </w:pPr>
            <w:r>
              <w:rPr>
                <w:rFonts w:ascii="宋体"/>
                <w:sz w:val="21"/>
              </w:rPr>
              <w:t>28.20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-147,90</w:t>
            </w:r>
          </w:p>
          <w:p>
            <w:pPr>
              <w:pStyle w:val="TableParagraph"/>
              <w:spacing w:line="272" w:lineRule="exact"/>
              <w:ind w:right="96"/>
              <w:jc w:val="right"/>
              <w:rPr>
                <w:rFonts w:ascii="宋体" w:hAnsi="宋体" w:cs="宋体" w:eastAsia="宋体" w:hint="default"/>
                <w:sz w:val="21"/>
                <w:szCs w:val="21"/>
              </w:rPr>
            </w:pPr>
            <w:r>
              <w:rPr>
                <w:rFonts w:ascii="宋体"/>
                <w:spacing w:val="-1"/>
                <w:sz w:val="21"/>
              </w:rPr>
              <w:t>9,128.2</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-146,40</w:t>
            </w:r>
          </w:p>
          <w:p>
            <w:pPr>
              <w:pStyle w:val="TableParagraph"/>
              <w:spacing w:line="272" w:lineRule="exact"/>
              <w:ind w:right="94"/>
              <w:jc w:val="right"/>
              <w:rPr>
                <w:rFonts w:ascii="宋体" w:hAnsi="宋体" w:cs="宋体" w:eastAsia="宋体" w:hint="default"/>
                <w:sz w:val="21"/>
                <w:szCs w:val="21"/>
              </w:rPr>
            </w:pPr>
            <w:r>
              <w:rPr>
                <w:rFonts w:ascii="宋体"/>
                <w:spacing w:val="-1"/>
                <w:sz w:val="21"/>
              </w:rPr>
              <w:t>0,000.0</w:t>
            </w:r>
          </w:p>
          <w:p>
            <w:pPr>
              <w:pStyle w:val="TableParagraph"/>
              <w:spacing w:line="273" w:lineRule="exact"/>
              <w:ind w:right="96"/>
              <w:jc w:val="right"/>
              <w:rPr>
                <w:rFonts w:ascii="宋体" w:hAnsi="宋体" w:cs="宋体" w:eastAsia="宋体" w:hint="default"/>
                <w:sz w:val="21"/>
                <w:szCs w:val="21"/>
              </w:rPr>
            </w:pPr>
            <w:r>
              <w:rPr>
                <w:rFonts w:ascii="宋体"/>
                <w:w w:val="100"/>
                <w:sz w:val="21"/>
              </w:rPr>
              <w:t>0</w:t>
            </w:r>
          </w:p>
        </w:tc>
      </w:tr>
      <w:tr>
        <w:trPr>
          <w:trHeight w:val="55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1,509,1</w:t>
            </w:r>
          </w:p>
          <w:p>
            <w:pPr>
              <w:pStyle w:val="TableParagraph"/>
              <w:spacing w:line="274" w:lineRule="exact"/>
              <w:ind w:left="381" w:right="0"/>
              <w:jc w:val="left"/>
              <w:rPr>
                <w:rFonts w:ascii="宋体" w:hAnsi="宋体" w:cs="宋体" w:eastAsia="宋体" w:hint="default"/>
                <w:sz w:val="21"/>
                <w:szCs w:val="21"/>
              </w:rPr>
            </w:pPr>
            <w:r>
              <w:rPr>
                <w:rFonts w:ascii="宋体"/>
                <w:sz w:val="21"/>
              </w:rPr>
              <w:t>28.20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-1,509,</w:t>
            </w:r>
          </w:p>
          <w:p>
            <w:pPr>
              <w:pStyle w:val="TableParagraph"/>
              <w:spacing w:line="274" w:lineRule="exact"/>
              <w:ind w:left="163" w:right="0"/>
              <w:jc w:val="center"/>
              <w:rPr>
                <w:rFonts w:ascii="宋体" w:hAnsi="宋体" w:cs="宋体" w:eastAsia="宋体" w:hint="default"/>
                <w:sz w:val="21"/>
                <w:szCs w:val="21"/>
              </w:rPr>
            </w:pPr>
            <w:r>
              <w:rPr>
                <w:rFonts w:ascii="宋体"/>
                <w:sz w:val="21"/>
              </w:rPr>
              <w:t>128.20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-146,40</w:t>
            </w:r>
          </w:p>
          <w:p>
            <w:pPr>
              <w:pStyle w:val="TableParagraph"/>
              <w:spacing w:line="272" w:lineRule="exact"/>
              <w:ind w:right="96"/>
              <w:jc w:val="right"/>
              <w:rPr>
                <w:rFonts w:ascii="宋体" w:hAnsi="宋体" w:cs="宋体" w:eastAsia="宋体" w:hint="default"/>
                <w:sz w:val="21"/>
                <w:szCs w:val="21"/>
              </w:rPr>
            </w:pPr>
            <w:r>
              <w:rPr>
                <w:rFonts w:ascii="宋体"/>
                <w:spacing w:val="-1"/>
                <w:sz w:val="21"/>
              </w:rPr>
              <w:t>0,000.0</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pacing w:val="-1"/>
                <w:sz w:val="21"/>
              </w:rPr>
              <w:t>-146,40</w:t>
            </w:r>
          </w:p>
          <w:p>
            <w:pPr>
              <w:pStyle w:val="TableParagraph"/>
              <w:spacing w:line="272" w:lineRule="exact"/>
              <w:ind w:right="94"/>
              <w:jc w:val="right"/>
              <w:rPr>
                <w:rFonts w:ascii="宋体" w:hAnsi="宋体" w:cs="宋体" w:eastAsia="宋体" w:hint="default"/>
                <w:sz w:val="21"/>
                <w:szCs w:val="21"/>
              </w:rPr>
            </w:pPr>
            <w:r>
              <w:rPr>
                <w:rFonts w:ascii="宋体"/>
                <w:spacing w:val="-1"/>
                <w:sz w:val="21"/>
              </w:rPr>
              <w:t>0,000.0</w:t>
            </w:r>
          </w:p>
          <w:p>
            <w:pPr>
              <w:pStyle w:val="TableParagraph"/>
              <w:spacing w:line="273" w:lineRule="exact"/>
              <w:ind w:right="96"/>
              <w:jc w:val="right"/>
              <w:rPr>
                <w:rFonts w:ascii="宋体" w:hAnsi="宋体" w:cs="宋体" w:eastAsia="宋体" w:hint="default"/>
                <w:sz w:val="21"/>
                <w:szCs w:val="21"/>
              </w:rPr>
            </w:pPr>
            <w:r>
              <w:rPr>
                <w:rFonts w:ascii="宋体"/>
                <w:w w:val="100"/>
                <w:sz w:val="21"/>
              </w:rPr>
              <w:t>0</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800,000,</w:t>
            </w:r>
          </w:p>
          <w:p>
            <w:pPr>
              <w:pStyle w:val="TableParagraph"/>
              <w:spacing w:line="273"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1,928,6</w:t>
            </w:r>
          </w:p>
          <w:p>
            <w:pPr>
              <w:pStyle w:val="TableParagraph"/>
              <w:spacing w:line="272" w:lineRule="exact"/>
              <w:ind w:right="96"/>
              <w:jc w:val="right"/>
              <w:rPr>
                <w:rFonts w:ascii="宋体" w:hAnsi="宋体" w:cs="宋体" w:eastAsia="宋体" w:hint="default"/>
                <w:sz w:val="21"/>
                <w:szCs w:val="21"/>
              </w:rPr>
            </w:pPr>
            <w:r>
              <w:rPr>
                <w:rFonts w:ascii="宋体"/>
                <w:spacing w:val="-1"/>
                <w:sz w:val="21"/>
              </w:rPr>
              <w:t>24,914.</w:t>
            </w:r>
          </w:p>
          <w:p>
            <w:pPr>
              <w:pStyle w:val="TableParagraph"/>
              <w:spacing w:line="274" w:lineRule="exact"/>
              <w:ind w:right="98"/>
              <w:jc w:val="right"/>
              <w:rPr>
                <w:rFonts w:ascii="宋体" w:hAnsi="宋体" w:cs="宋体" w:eastAsia="宋体" w:hint="default"/>
                <w:sz w:val="21"/>
                <w:szCs w:val="21"/>
              </w:rPr>
            </w:pPr>
            <w:r>
              <w:rPr>
                <w:rFonts w:ascii="宋体"/>
                <w:sz w:val="21"/>
              </w:rPr>
              <w:t>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5,559,5</w:t>
            </w:r>
          </w:p>
          <w:p>
            <w:pPr>
              <w:pStyle w:val="TableParagraph"/>
              <w:spacing w:line="273" w:lineRule="exact"/>
              <w:ind w:left="381" w:right="0"/>
              <w:jc w:val="left"/>
              <w:rPr>
                <w:rFonts w:ascii="宋体" w:hAnsi="宋体" w:cs="宋体" w:eastAsia="宋体" w:hint="default"/>
                <w:sz w:val="21"/>
                <w:szCs w:val="21"/>
              </w:rPr>
            </w:pPr>
            <w:r>
              <w:rPr>
                <w:rFonts w:ascii="宋体"/>
                <w:sz w:val="21"/>
              </w:rPr>
              <w:t>15.65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186,281</w:t>
            </w:r>
          </w:p>
          <w:p>
            <w:pPr>
              <w:pStyle w:val="TableParagraph"/>
              <w:spacing w:line="273" w:lineRule="exact"/>
              <w:ind w:left="172" w:right="0"/>
              <w:jc w:val="left"/>
              <w:rPr>
                <w:rFonts w:ascii="宋体" w:hAnsi="宋体" w:cs="宋体" w:eastAsia="宋体" w:hint="default"/>
                <w:sz w:val="21"/>
                <w:szCs w:val="21"/>
              </w:rPr>
            </w:pPr>
            <w:r>
              <w:rPr>
                <w:rFonts w:ascii="宋体"/>
                <w:sz w:val="21"/>
              </w:rPr>
              <w:t>,975.20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563,701</w:t>
            </w:r>
          </w:p>
          <w:p>
            <w:pPr>
              <w:pStyle w:val="TableParagraph"/>
              <w:spacing w:line="273" w:lineRule="exact"/>
              <w:ind w:left="158" w:right="0"/>
              <w:jc w:val="left"/>
              <w:rPr>
                <w:rFonts w:ascii="宋体" w:hAnsi="宋体" w:cs="宋体" w:eastAsia="宋体" w:hint="default"/>
                <w:sz w:val="21"/>
                <w:szCs w:val="21"/>
              </w:rPr>
            </w:pPr>
            <w:r>
              <w:rPr>
                <w:rFonts w:ascii="宋体"/>
                <w:sz w:val="21"/>
              </w:rPr>
              <w:t>,705.24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3,484,1</w:t>
            </w:r>
          </w:p>
          <w:p>
            <w:pPr>
              <w:pStyle w:val="TableParagraph"/>
              <w:spacing w:line="272" w:lineRule="exact"/>
              <w:ind w:right="94"/>
              <w:jc w:val="right"/>
              <w:rPr>
                <w:rFonts w:ascii="宋体" w:hAnsi="宋体" w:cs="宋体" w:eastAsia="宋体" w:hint="default"/>
                <w:sz w:val="21"/>
                <w:szCs w:val="21"/>
              </w:rPr>
            </w:pPr>
            <w:r>
              <w:rPr>
                <w:rFonts w:ascii="宋体"/>
                <w:spacing w:val="-1"/>
                <w:sz w:val="21"/>
              </w:rPr>
              <w:t>68,110.</w:t>
            </w:r>
          </w:p>
          <w:p>
            <w:pPr>
              <w:pStyle w:val="TableParagraph"/>
              <w:spacing w:line="274" w:lineRule="exact"/>
              <w:ind w:right="96"/>
              <w:jc w:val="right"/>
              <w:rPr>
                <w:rFonts w:ascii="宋体" w:hAnsi="宋体" w:cs="宋体" w:eastAsia="宋体" w:hint="default"/>
                <w:sz w:val="21"/>
                <w:szCs w:val="21"/>
              </w:rPr>
            </w:pPr>
            <w:r>
              <w:rPr>
                <w:rFonts w:ascii="宋体"/>
                <w:sz w:val="21"/>
              </w:rPr>
              <w:t>48</w:t>
            </w:r>
          </w:p>
        </w:tc>
      </w:tr>
    </w:tbl>
    <w:p>
      <w:pPr>
        <w:spacing w:after="0" w:line="274" w:lineRule="exact"/>
        <w:jc w:val="right"/>
        <w:rPr>
          <w:rFonts w:ascii="宋体" w:hAnsi="宋体" w:cs="宋体" w:eastAsia="宋体" w:hint="default"/>
          <w:sz w:val="21"/>
          <w:szCs w:val="21"/>
        </w:rPr>
        <w:sectPr>
          <w:footerReference w:type="default" r:id="rId47"/>
          <w:pgSz w:w="16840" w:h="11910" w:orient="landscape"/>
          <w:pgMar w:footer="1195" w:header="882" w:top="1120" w:bottom="1380" w:left="1360" w:right="128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800,000,</w:t>
            </w:r>
          </w:p>
          <w:p>
            <w:pPr>
              <w:pStyle w:val="TableParagraph"/>
              <w:spacing w:line="274"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1,928,0</w:t>
            </w:r>
          </w:p>
          <w:p>
            <w:pPr>
              <w:pStyle w:val="TableParagraph"/>
              <w:spacing w:line="272" w:lineRule="exact"/>
              <w:ind w:right="96"/>
              <w:jc w:val="right"/>
              <w:rPr>
                <w:rFonts w:ascii="宋体" w:hAnsi="宋体" w:cs="宋体" w:eastAsia="宋体" w:hint="default"/>
                <w:sz w:val="21"/>
                <w:szCs w:val="21"/>
              </w:rPr>
            </w:pPr>
            <w:r>
              <w:rPr>
                <w:rFonts w:ascii="宋体"/>
                <w:spacing w:val="-1"/>
                <w:sz w:val="21"/>
              </w:rPr>
              <w:t>01,123.</w:t>
            </w:r>
          </w:p>
          <w:p>
            <w:pPr>
              <w:pStyle w:val="TableParagraph"/>
              <w:spacing w:line="273" w:lineRule="exact"/>
              <w:ind w:right="98"/>
              <w:jc w:val="right"/>
              <w:rPr>
                <w:rFonts w:ascii="宋体" w:hAnsi="宋体" w:cs="宋体" w:eastAsia="宋体" w:hint="default"/>
                <w:sz w:val="21"/>
                <w:szCs w:val="21"/>
              </w:rPr>
            </w:pPr>
            <w:r>
              <w:rPr>
                <w:rFonts w:ascii="宋体"/>
                <w:sz w:val="21"/>
              </w:rPr>
              <w:t>74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165,109</w:t>
            </w:r>
          </w:p>
          <w:p>
            <w:pPr>
              <w:pStyle w:val="TableParagraph"/>
              <w:spacing w:line="274" w:lineRule="exact"/>
              <w:ind w:left="172" w:right="0"/>
              <w:jc w:val="left"/>
              <w:rPr>
                <w:rFonts w:ascii="宋体" w:hAnsi="宋体" w:cs="宋体" w:eastAsia="宋体" w:hint="default"/>
                <w:sz w:val="21"/>
                <w:szCs w:val="21"/>
              </w:rPr>
            </w:pPr>
            <w:r>
              <w:rPr>
                <w:rFonts w:ascii="宋体"/>
                <w:sz w:val="21"/>
              </w:rPr>
              <w:t>,810.98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679,552</w:t>
            </w:r>
          </w:p>
          <w:p>
            <w:pPr>
              <w:pStyle w:val="TableParagraph"/>
              <w:spacing w:line="274" w:lineRule="exact"/>
              <w:ind w:left="158" w:right="0"/>
              <w:jc w:val="left"/>
              <w:rPr>
                <w:rFonts w:ascii="宋体" w:hAnsi="宋体" w:cs="宋体" w:eastAsia="宋体" w:hint="default"/>
                <w:sz w:val="21"/>
                <w:szCs w:val="21"/>
              </w:rPr>
            </w:pPr>
            <w:r>
              <w:rPr>
                <w:rFonts w:ascii="宋体"/>
                <w:sz w:val="21"/>
              </w:rPr>
              <w:t>,227.23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3,572,6</w:t>
            </w:r>
          </w:p>
          <w:p>
            <w:pPr>
              <w:pStyle w:val="TableParagraph"/>
              <w:spacing w:line="272" w:lineRule="exact"/>
              <w:ind w:right="94"/>
              <w:jc w:val="right"/>
              <w:rPr>
                <w:rFonts w:ascii="宋体" w:hAnsi="宋体" w:cs="宋体" w:eastAsia="宋体" w:hint="default"/>
                <w:sz w:val="21"/>
                <w:szCs w:val="21"/>
              </w:rPr>
            </w:pPr>
            <w:r>
              <w:rPr>
                <w:rFonts w:ascii="宋体"/>
                <w:spacing w:val="-1"/>
                <w:sz w:val="21"/>
              </w:rPr>
              <w:t>63,161.</w:t>
            </w:r>
          </w:p>
          <w:p>
            <w:pPr>
              <w:pStyle w:val="TableParagraph"/>
              <w:spacing w:line="273" w:lineRule="exact"/>
              <w:ind w:right="96"/>
              <w:jc w:val="right"/>
              <w:rPr>
                <w:rFonts w:ascii="宋体" w:hAnsi="宋体" w:cs="宋体" w:eastAsia="宋体" w:hint="default"/>
                <w:sz w:val="21"/>
                <w:szCs w:val="21"/>
              </w:rPr>
            </w:pPr>
            <w:r>
              <w:rPr>
                <w:rFonts w:ascii="宋体"/>
                <w:sz w:val="21"/>
              </w:rPr>
              <w:t>95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800,000,</w:t>
            </w:r>
          </w:p>
          <w:p>
            <w:pPr>
              <w:pStyle w:val="TableParagraph"/>
              <w:spacing w:line="274"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1,928,0</w:t>
            </w:r>
          </w:p>
          <w:p>
            <w:pPr>
              <w:pStyle w:val="TableParagraph"/>
              <w:spacing w:line="272" w:lineRule="exact"/>
              <w:ind w:right="96"/>
              <w:jc w:val="right"/>
              <w:rPr>
                <w:rFonts w:ascii="宋体" w:hAnsi="宋体" w:cs="宋体" w:eastAsia="宋体" w:hint="default"/>
                <w:sz w:val="21"/>
                <w:szCs w:val="21"/>
              </w:rPr>
            </w:pPr>
            <w:r>
              <w:rPr>
                <w:rFonts w:ascii="宋体"/>
                <w:spacing w:val="-1"/>
                <w:sz w:val="21"/>
              </w:rPr>
              <w:t>01,123.</w:t>
            </w:r>
          </w:p>
          <w:p>
            <w:pPr>
              <w:pStyle w:val="TableParagraph"/>
              <w:spacing w:line="273" w:lineRule="exact"/>
              <w:ind w:right="98"/>
              <w:jc w:val="right"/>
              <w:rPr>
                <w:rFonts w:ascii="宋体" w:hAnsi="宋体" w:cs="宋体" w:eastAsia="宋体" w:hint="default"/>
                <w:sz w:val="21"/>
                <w:szCs w:val="21"/>
              </w:rPr>
            </w:pPr>
            <w:r>
              <w:rPr>
                <w:rFonts w:ascii="宋体"/>
                <w:sz w:val="21"/>
              </w:rPr>
              <w:t>74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165,109</w:t>
            </w:r>
          </w:p>
          <w:p>
            <w:pPr>
              <w:pStyle w:val="TableParagraph"/>
              <w:spacing w:line="274" w:lineRule="exact"/>
              <w:ind w:left="172" w:right="0"/>
              <w:jc w:val="left"/>
              <w:rPr>
                <w:rFonts w:ascii="宋体" w:hAnsi="宋体" w:cs="宋体" w:eastAsia="宋体" w:hint="default"/>
                <w:sz w:val="21"/>
                <w:szCs w:val="21"/>
              </w:rPr>
            </w:pPr>
            <w:r>
              <w:rPr>
                <w:rFonts w:ascii="宋体"/>
                <w:sz w:val="21"/>
              </w:rPr>
              <w:t>,810.98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679,552</w:t>
            </w:r>
          </w:p>
          <w:p>
            <w:pPr>
              <w:pStyle w:val="TableParagraph"/>
              <w:spacing w:line="274" w:lineRule="exact"/>
              <w:ind w:left="158" w:right="0"/>
              <w:jc w:val="left"/>
              <w:rPr>
                <w:rFonts w:ascii="宋体" w:hAnsi="宋体" w:cs="宋体" w:eastAsia="宋体" w:hint="default"/>
                <w:sz w:val="21"/>
                <w:szCs w:val="21"/>
              </w:rPr>
            </w:pPr>
            <w:r>
              <w:rPr>
                <w:rFonts w:ascii="宋体"/>
                <w:sz w:val="21"/>
              </w:rPr>
              <w:t>,227.23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3,572,6</w:t>
            </w:r>
          </w:p>
          <w:p>
            <w:pPr>
              <w:pStyle w:val="TableParagraph"/>
              <w:spacing w:line="272" w:lineRule="exact"/>
              <w:ind w:right="94"/>
              <w:jc w:val="right"/>
              <w:rPr>
                <w:rFonts w:ascii="宋体" w:hAnsi="宋体" w:cs="宋体" w:eastAsia="宋体" w:hint="default"/>
                <w:sz w:val="21"/>
                <w:szCs w:val="21"/>
              </w:rPr>
            </w:pPr>
            <w:r>
              <w:rPr>
                <w:rFonts w:ascii="宋体"/>
                <w:spacing w:val="-1"/>
                <w:sz w:val="21"/>
              </w:rPr>
              <w:t>63,161.</w:t>
            </w:r>
          </w:p>
          <w:p>
            <w:pPr>
              <w:pStyle w:val="TableParagraph"/>
              <w:spacing w:line="273" w:lineRule="exact"/>
              <w:ind w:right="96"/>
              <w:jc w:val="right"/>
              <w:rPr>
                <w:rFonts w:ascii="宋体" w:hAnsi="宋体" w:cs="宋体" w:eastAsia="宋体" w:hint="default"/>
                <w:sz w:val="21"/>
                <w:szCs w:val="21"/>
              </w:rPr>
            </w:pPr>
            <w:r>
              <w:rPr>
                <w:rFonts w:ascii="宋体"/>
                <w:sz w:val="21"/>
              </w:rPr>
              <w:t>95</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623,790</w:t>
            </w:r>
          </w:p>
          <w:p>
            <w:pPr>
              <w:pStyle w:val="TableParagraph"/>
              <w:spacing w:line="274" w:lineRule="exact"/>
              <w:ind w:left="607" w:right="0"/>
              <w:jc w:val="left"/>
              <w:rPr>
                <w:rFonts w:ascii="宋体" w:hAnsi="宋体" w:cs="宋体" w:eastAsia="宋体" w:hint="default"/>
                <w:sz w:val="21"/>
                <w:szCs w:val="21"/>
              </w:rPr>
            </w:pPr>
            <w:r>
              <w:rPr>
                <w:rFonts w:ascii="宋体"/>
                <w:sz w:val="21"/>
              </w:rPr>
              <w:t>.65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7,165,5</w:t>
            </w:r>
          </w:p>
          <w:p>
            <w:pPr>
              <w:pStyle w:val="TableParagraph"/>
              <w:spacing w:line="274" w:lineRule="exact"/>
              <w:ind w:left="381" w:right="0"/>
              <w:jc w:val="left"/>
              <w:rPr>
                <w:rFonts w:ascii="宋体" w:hAnsi="宋体" w:cs="宋体" w:eastAsia="宋体" w:hint="default"/>
                <w:sz w:val="21"/>
                <w:szCs w:val="21"/>
              </w:rPr>
            </w:pPr>
            <w:r>
              <w:rPr>
                <w:rFonts w:ascii="宋体"/>
                <w:sz w:val="21"/>
              </w:rPr>
              <w:t>00.00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19,663,</w:t>
            </w:r>
          </w:p>
          <w:p>
            <w:pPr>
              <w:pStyle w:val="TableParagraph"/>
              <w:spacing w:line="274" w:lineRule="exact"/>
              <w:ind w:left="177" w:right="0"/>
              <w:jc w:val="center"/>
              <w:rPr>
                <w:rFonts w:ascii="宋体" w:hAnsi="宋体" w:cs="宋体" w:eastAsia="宋体" w:hint="default"/>
                <w:sz w:val="21"/>
                <w:szCs w:val="21"/>
              </w:rPr>
            </w:pPr>
            <w:r>
              <w:rPr>
                <w:rFonts w:ascii="宋体"/>
                <w:sz w:val="21"/>
              </w:rPr>
              <w:t>036.02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16,967,</w:t>
            </w:r>
          </w:p>
          <w:p>
            <w:pPr>
              <w:pStyle w:val="TableParagraph"/>
              <w:spacing w:line="274" w:lineRule="exact"/>
              <w:ind w:left="163" w:right="0"/>
              <w:jc w:val="center"/>
              <w:rPr>
                <w:rFonts w:ascii="宋体" w:hAnsi="宋体" w:cs="宋体" w:eastAsia="宋体" w:hint="default"/>
                <w:sz w:val="21"/>
                <w:szCs w:val="21"/>
              </w:rPr>
            </w:pPr>
            <w:r>
              <w:rPr>
                <w:rFonts w:ascii="宋体"/>
                <w:sz w:val="21"/>
              </w:rPr>
              <w:t>324.20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44,419,</w:t>
            </w:r>
          </w:p>
          <w:p>
            <w:pPr>
              <w:pStyle w:val="TableParagraph"/>
              <w:spacing w:line="274" w:lineRule="exact"/>
              <w:ind w:left="185" w:right="0"/>
              <w:jc w:val="center"/>
              <w:rPr>
                <w:rFonts w:ascii="宋体" w:hAnsi="宋体" w:cs="宋体" w:eastAsia="宋体" w:hint="default"/>
                <w:sz w:val="21"/>
                <w:szCs w:val="21"/>
              </w:rPr>
            </w:pPr>
            <w:r>
              <w:rPr>
                <w:rFonts w:ascii="宋体"/>
                <w:sz w:val="21"/>
              </w:rPr>
              <w:t>650.87</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7,165,5</w:t>
            </w:r>
          </w:p>
          <w:p>
            <w:pPr>
              <w:pStyle w:val="TableParagraph"/>
              <w:spacing w:line="274" w:lineRule="exact"/>
              <w:ind w:left="381" w:right="0"/>
              <w:jc w:val="left"/>
              <w:rPr>
                <w:rFonts w:ascii="宋体" w:hAnsi="宋体" w:cs="宋体" w:eastAsia="宋体" w:hint="default"/>
                <w:sz w:val="21"/>
                <w:szCs w:val="21"/>
              </w:rPr>
            </w:pPr>
            <w:r>
              <w:rPr>
                <w:rFonts w:ascii="宋体"/>
                <w:sz w:val="21"/>
              </w:rPr>
              <w:t>00.00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196,630</w:t>
            </w:r>
          </w:p>
          <w:p>
            <w:pPr>
              <w:pStyle w:val="TableParagraph"/>
              <w:spacing w:line="274" w:lineRule="exact"/>
              <w:ind w:left="158" w:right="0"/>
              <w:jc w:val="left"/>
              <w:rPr>
                <w:rFonts w:ascii="宋体" w:hAnsi="宋体" w:cs="宋体" w:eastAsia="宋体" w:hint="default"/>
                <w:sz w:val="21"/>
                <w:szCs w:val="21"/>
              </w:rPr>
            </w:pPr>
            <w:r>
              <w:rPr>
                <w:rFonts w:ascii="宋体"/>
                <w:sz w:val="21"/>
              </w:rPr>
              <w:t>,360.22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203,795</w:t>
            </w:r>
          </w:p>
          <w:p>
            <w:pPr>
              <w:pStyle w:val="TableParagraph"/>
              <w:spacing w:line="274" w:lineRule="exact"/>
              <w:ind w:left="177" w:right="0"/>
              <w:jc w:val="left"/>
              <w:rPr>
                <w:rFonts w:ascii="宋体" w:hAnsi="宋体" w:cs="宋体" w:eastAsia="宋体" w:hint="default"/>
                <w:sz w:val="21"/>
                <w:szCs w:val="21"/>
              </w:rPr>
            </w:pPr>
            <w:r>
              <w:rPr>
                <w:rFonts w:ascii="宋体"/>
                <w:sz w:val="21"/>
              </w:rPr>
              <w:t>,860.22</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623,790</w:t>
            </w:r>
          </w:p>
          <w:p>
            <w:pPr>
              <w:pStyle w:val="TableParagraph"/>
              <w:spacing w:line="274" w:lineRule="exact"/>
              <w:ind w:left="607" w:right="0"/>
              <w:jc w:val="left"/>
              <w:rPr>
                <w:rFonts w:ascii="宋体" w:hAnsi="宋体" w:cs="宋体" w:eastAsia="宋体" w:hint="default"/>
                <w:sz w:val="21"/>
                <w:szCs w:val="21"/>
              </w:rPr>
            </w:pPr>
            <w:r>
              <w:rPr>
                <w:rFonts w:ascii="宋体"/>
                <w:sz w:val="21"/>
              </w:rPr>
              <w:t>.65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623,790</w:t>
            </w:r>
          </w:p>
          <w:p>
            <w:pPr>
              <w:pStyle w:val="TableParagraph"/>
              <w:spacing w:line="274" w:lineRule="exact"/>
              <w:ind w:left="598" w:right="0"/>
              <w:jc w:val="left"/>
              <w:rPr>
                <w:rFonts w:ascii="宋体" w:hAnsi="宋体" w:cs="宋体" w:eastAsia="宋体" w:hint="default"/>
                <w:sz w:val="21"/>
                <w:szCs w:val="21"/>
              </w:rPr>
            </w:pPr>
            <w:r>
              <w:rPr>
                <w:rFonts w:ascii="宋体"/>
                <w:sz w:val="21"/>
              </w:rPr>
              <w:t>.65</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623,790</w:t>
            </w:r>
          </w:p>
          <w:p>
            <w:pPr>
              <w:pStyle w:val="TableParagraph"/>
              <w:spacing w:line="273" w:lineRule="exact"/>
              <w:ind w:left="607" w:right="0"/>
              <w:jc w:val="left"/>
              <w:rPr>
                <w:rFonts w:ascii="宋体" w:hAnsi="宋体" w:cs="宋体" w:eastAsia="宋体" w:hint="default"/>
                <w:sz w:val="21"/>
                <w:szCs w:val="21"/>
              </w:rPr>
            </w:pPr>
            <w:r>
              <w:rPr>
                <w:rFonts w:ascii="宋体"/>
                <w:sz w:val="21"/>
              </w:rPr>
              <w:t>.65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623,790</w:t>
            </w:r>
          </w:p>
          <w:p>
            <w:pPr>
              <w:pStyle w:val="TableParagraph"/>
              <w:spacing w:line="273" w:lineRule="exact"/>
              <w:ind w:left="598" w:right="0"/>
              <w:jc w:val="left"/>
              <w:rPr>
                <w:rFonts w:ascii="宋体" w:hAnsi="宋体" w:cs="宋体" w:eastAsia="宋体" w:hint="default"/>
                <w:sz w:val="21"/>
                <w:szCs w:val="21"/>
              </w:rPr>
            </w:pPr>
            <w:r>
              <w:rPr>
                <w:rFonts w:ascii="宋体"/>
                <w:sz w:val="21"/>
              </w:rPr>
              <w:t>.65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19,663,</w:t>
            </w:r>
          </w:p>
          <w:p>
            <w:pPr>
              <w:pStyle w:val="TableParagraph"/>
              <w:spacing w:line="273" w:lineRule="exact"/>
              <w:ind w:left="177" w:right="0"/>
              <w:jc w:val="center"/>
              <w:rPr>
                <w:rFonts w:ascii="宋体" w:hAnsi="宋体" w:cs="宋体" w:eastAsia="宋体" w:hint="default"/>
                <w:sz w:val="21"/>
                <w:szCs w:val="21"/>
              </w:rPr>
            </w:pPr>
            <w:r>
              <w:rPr>
                <w:rFonts w:ascii="宋体"/>
                <w:sz w:val="21"/>
              </w:rPr>
              <w:t>036.02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-179,66</w:t>
            </w:r>
          </w:p>
          <w:p>
            <w:pPr>
              <w:pStyle w:val="TableParagraph"/>
              <w:spacing w:line="272" w:lineRule="exact"/>
              <w:ind w:right="96"/>
              <w:jc w:val="right"/>
              <w:rPr>
                <w:rFonts w:ascii="宋体" w:hAnsi="宋体" w:cs="宋体" w:eastAsia="宋体" w:hint="default"/>
                <w:sz w:val="21"/>
                <w:szCs w:val="21"/>
              </w:rPr>
            </w:pPr>
            <w:r>
              <w:rPr>
                <w:rFonts w:ascii="宋体"/>
                <w:spacing w:val="-1"/>
                <w:sz w:val="21"/>
              </w:rPr>
              <w:t>3,036.0</w:t>
            </w:r>
          </w:p>
          <w:p>
            <w:pPr>
              <w:pStyle w:val="TableParagraph"/>
              <w:spacing w:line="274" w:lineRule="exact"/>
              <w:ind w:right="98"/>
              <w:jc w:val="right"/>
              <w:rPr>
                <w:rFonts w:ascii="宋体" w:hAnsi="宋体" w:cs="宋体" w:eastAsia="宋体" w:hint="default"/>
                <w:sz w:val="21"/>
                <w:szCs w:val="21"/>
              </w:rPr>
            </w:pPr>
            <w:r>
              <w:rPr>
                <w:rFonts w:ascii="宋体"/>
                <w:w w:val="100"/>
                <w:sz w:val="21"/>
              </w:rPr>
              <w:t>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-160,00</w:t>
            </w:r>
          </w:p>
          <w:p>
            <w:pPr>
              <w:pStyle w:val="TableParagraph"/>
              <w:spacing w:line="272" w:lineRule="exact"/>
              <w:ind w:right="94"/>
              <w:jc w:val="right"/>
              <w:rPr>
                <w:rFonts w:ascii="宋体" w:hAnsi="宋体" w:cs="宋体" w:eastAsia="宋体" w:hint="default"/>
                <w:sz w:val="21"/>
                <w:szCs w:val="21"/>
              </w:rPr>
            </w:pPr>
            <w:r>
              <w:rPr>
                <w:rFonts w:ascii="宋体"/>
                <w:spacing w:val="-1"/>
                <w:sz w:val="21"/>
              </w:rPr>
              <w:t>0,000.0</w:t>
            </w:r>
          </w:p>
          <w:p>
            <w:pPr>
              <w:pStyle w:val="TableParagraph"/>
              <w:spacing w:line="274" w:lineRule="exact"/>
              <w:ind w:right="96"/>
              <w:jc w:val="right"/>
              <w:rPr>
                <w:rFonts w:ascii="宋体" w:hAnsi="宋体" w:cs="宋体" w:eastAsia="宋体" w:hint="default"/>
                <w:sz w:val="21"/>
                <w:szCs w:val="21"/>
              </w:rPr>
            </w:pPr>
            <w:r>
              <w:rPr>
                <w:rFonts w:ascii="宋体"/>
                <w:w w:val="100"/>
                <w:sz w:val="21"/>
              </w:rPr>
              <w:t>0</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19,663,</w:t>
            </w:r>
          </w:p>
          <w:p>
            <w:pPr>
              <w:pStyle w:val="TableParagraph"/>
              <w:spacing w:line="274" w:lineRule="exact"/>
              <w:ind w:left="177" w:right="0"/>
              <w:jc w:val="center"/>
              <w:rPr>
                <w:rFonts w:ascii="宋体" w:hAnsi="宋体" w:cs="宋体" w:eastAsia="宋体" w:hint="default"/>
                <w:sz w:val="21"/>
                <w:szCs w:val="21"/>
              </w:rPr>
            </w:pPr>
            <w:r>
              <w:rPr>
                <w:rFonts w:ascii="宋体"/>
                <w:sz w:val="21"/>
              </w:rPr>
              <w:t>036.02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-19,663</w:t>
            </w:r>
          </w:p>
          <w:p>
            <w:pPr>
              <w:pStyle w:val="TableParagraph"/>
              <w:spacing w:line="274" w:lineRule="exact"/>
              <w:ind w:left="158" w:right="0"/>
              <w:jc w:val="left"/>
              <w:rPr>
                <w:rFonts w:ascii="宋体" w:hAnsi="宋体" w:cs="宋体" w:eastAsia="宋体" w:hint="default"/>
                <w:sz w:val="21"/>
                <w:szCs w:val="21"/>
              </w:rPr>
            </w:pPr>
            <w:r>
              <w:rPr>
                <w:rFonts w:ascii="宋体"/>
                <w:sz w:val="21"/>
              </w:rPr>
              <w:t>,036.02</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-160,00</w:t>
            </w:r>
          </w:p>
          <w:p>
            <w:pPr>
              <w:pStyle w:val="TableParagraph"/>
              <w:spacing w:line="273" w:lineRule="exact"/>
              <w:ind w:left="158" w:right="0"/>
              <w:jc w:val="left"/>
              <w:rPr>
                <w:rFonts w:ascii="宋体" w:hAnsi="宋体" w:cs="宋体" w:eastAsia="宋体" w:hint="default"/>
                <w:sz w:val="21"/>
                <w:szCs w:val="21"/>
              </w:rPr>
            </w:pPr>
            <w:r>
              <w:rPr>
                <w:rFonts w:ascii="宋体"/>
                <w:sz w:val="21"/>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-160,00</w:t>
            </w:r>
          </w:p>
          <w:p>
            <w:pPr>
              <w:pStyle w:val="TableParagraph"/>
              <w:spacing w:line="273" w:lineRule="exact"/>
              <w:ind w:left="177" w:right="0"/>
              <w:jc w:val="left"/>
              <w:rPr>
                <w:rFonts w:ascii="宋体" w:hAnsi="宋体" w:cs="宋体" w:eastAsia="宋体" w:hint="default"/>
                <w:sz w:val="21"/>
                <w:szCs w:val="21"/>
              </w:rPr>
            </w:pPr>
            <w:r>
              <w:rPr>
                <w:rFonts w:ascii="宋体"/>
                <w:sz w:val="21"/>
              </w:rPr>
              <w:t>0,000.0</w:t>
            </w:r>
          </w:p>
        </w:tc>
      </w:tr>
    </w:tbl>
    <w:p>
      <w:pPr>
        <w:spacing w:after="0" w:line="273" w:lineRule="exact"/>
        <w:jc w:val="left"/>
        <w:rPr>
          <w:rFonts w:ascii="宋体" w:hAnsi="宋体" w:cs="宋体" w:eastAsia="宋体" w:hint="default"/>
          <w:sz w:val="21"/>
          <w:szCs w:val="21"/>
        </w:rPr>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86"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800,000,</w:t>
            </w:r>
          </w:p>
          <w:p>
            <w:pPr>
              <w:pStyle w:val="TableParagraph"/>
              <w:spacing w:line="274"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1,928,6</w:t>
            </w:r>
          </w:p>
          <w:p>
            <w:pPr>
              <w:pStyle w:val="TableParagraph"/>
              <w:spacing w:line="272" w:lineRule="exact"/>
              <w:ind w:right="96"/>
              <w:jc w:val="right"/>
              <w:rPr>
                <w:rFonts w:ascii="宋体" w:hAnsi="宋体" w:cs="宋体" w:eastAsia="宋体" w:hint="default"/>
                <w:sz w:val="21"/>
                <w:szCs w:val="21"/>
              </w:rPr>
            </w:pPr>
            <w:r>
              <w:rPr>
                <w:rFonts w:ascii="宋体"/>
                <w:spacing w:val="-1"/>
                <w:sz w:val="21"/>
              </w:rPr>
              <w:t>24,914.</w:t>
            </w:r>
          </w:p>
          <w:p>
            <w:pPr>
              <w:pStyle w:val="TableParagraph"/>
              <w:spacing w:line="273" w:lineRule="exact"/>
              <w:ind w:right="98"/>
              <w:jc w:val="right"/>
              <w:rPr>
                <w:rFonts w:ascii="宋体" w:hAnsi="宋体" w:cs="宋体" w:eastAsia="宋体" w:hint="default"/>
                <w:sz w:val="21"/>
                <w:szCs w:val="21"/>
              </w:rPr>
            </w:pPr>
            <w:r>
              <w:rPr>
                <w:rFonts w:ascii="宋体"/>
                <w:sz w:val="21"/>
              </w:rPr>
              <w:t>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7,165,5</w:t>
            </w:r>
          </w:p>
          <w:p>
            <w:pPr>
              <w:pStyle w:val="TableParagraph"/>
              <w:spacing w:line="274" w:lineRule="exact"/>
              <w:ind w:left="381" w:right="0"/>
              <w:jc w:val="left"/>
              <w:rPr>
                <w:rFonts w:ascii="宋体" w:hAnsi="宋体" w:cs="宋体" w:eastAsia="宋体" w:hint="default"/>
                <w:sz w:val="21"/>
                <w:szCs w:val="21"/>
              </w:rPr>
            </w:pPr>
            <w:r>
              <w:rPr>
                <w:rFonts w:ascii="宋体"/>
                <w:sz w:val="21"/>
              </w:rPr>
              <w:t>00.00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184,772</w:t>
            </w:r>
          </w:p>
          <w:p>
            <w:pPr>
              <w:pStyle w:val="TableParagraph"/>
              <w:spacing w:line="274" w:lineRule="exact"/>
              <w:ind w:left="172" w:right="0"/>
              <w:jc w:val="left"/>
              <w:rPr>
                <w:rFonts w:ascii="宋体" w:hAnsi="宋体" w:cs="宋体" w:eastAsia="宋体" w:hint="default"/>
                <w:sz w:val="21"/>
                <w:szCs w:val="21"/>
              </w:rPr>
            </w:pPr>
            <w:r>
              <w:rPr>
                <w:rFonts w:ascii="宋体"/>
                <w:sz w:val="21"/>
              </w:rPr>
              <w:t>,847.00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696,519</w:t>
            </w:r>
          </w:p>
          <w:p>
            <w:pPr>
              <w:pStyle w:val="TableParagraph"/>
              <w:spacing w:line="274" w:lineRule="exact"/>
              <w:ind w:left="158" w:right="0"/>
              <w:jc w:val="left"/>
              <w:rPr>
                <w:rFonts w:ascii="宋体" w:hAnsi="宋体" w:cs="宋体" w:eastAsia="宋体" w:hint="default"/>
                <w:sz w:val="21"/>
                <w:szCs w:val="21"/>
              </w:rPr>
            </w:pPr>
            <w:r>
              <w:rPr>
                <w:rFonts w:ascii="宋体"/>
                <w:sz w:val="21"/>
              </w:rPr>
              <w:t>,551.43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3,617,0</w:t>
            </w:r>
          </w:p>
          <w:p>
            <w:pPr>
              <w:pStyle w:val="TableParagraph"/>
              <w:spacing w:line="272" w:lineRule="exact"/>
              <w:ind w:right="94"/>
              <w:jc w:val="right"/>
              <w:rPr>
                <w:rFonts w:ascii="宋体" w:hAnsi="宋体" w:cs="宋体" w:eastAsia="宋体" w:hint="default"/>
                <w:sz w:val="21"/>
                <w:szCs w:val="21"/>
              </w:rPr>
            </w:pPr>
            <w:r>
              <w:rPr>
                <w:rFonts w:ascii="宋体"/>
                <w:spacing w:val="-1"/>
                <w:sz w:val="21"/>
              </w:rPr>
              <w:t>82,812.</w:t>
            </w:r>
          </w:p>
          <w:p>
            <w:pPr>
              <w:pStyle w:val="TableParagraph"/>
              <w:spacing w:line="273" w:lineRule="exact"/>
              <w:ind w:right="96"/>
              <w:jc w:val="right"/>
              <w:rPr>
                <w:rFonts w:ascii="宋体" w:hAnsi="宋体" w:cs="宋体" w:eastAsia="宋体" w:hint="default"/>
                <w:sz w:val="21"/>
                <w:szCs w:val="21"/>
              </w:rPr>
            </w:pPr>
            <w:r>
              <w:rPr>
                <w:rFonts w:ascii="宋体"/>
                <w:sz w:val="21"/>
              </w:rPr>
              <w:t>82</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44" w:right="0"/>
        <w:jc w:val="left"/>
      </w:pPr>
      <w:r>
        <w:rPr/>
        <w:t>法定代表人：徐新建 主管会计工作负责人：李立干</w:t>
      </w:r>
      <w:r>
        <w:rPr>
          <w:spacing w:val="-11"/>
        </w:rPr>
        <w:t> </w:t>
      </w:r>
      <w:r>
        <w:rPr/>
        <w:t>会计机构负责人：吉超</w:t>
      </w:r>
    </w:p>
    <w:p>
      <w:pPr>
        <w:spacing w:after="0" w:line="240" w:lineRule="auto"/>
        <w:jc w:val="left"/>
        <w:sectPr>
          <w:pgSz w:w="16840" w:h="11910" w:orient="landscape"/>
          <w:pgMar w:header="882" w:footer="1195" w:top="1120" w:bottom="1380" w:left="1380" w:right="1280"/>
        </w:sectPr>
      </w:pPr>
    </w:p>
    <w:p>
      <w:pPr>
        <w:spacing w:line="240" w:lineRule="auto" w:before="4"/>
        <w:rPr>
          <w:rFonts w:ascii="宋体" w:hAnsi="宋体" w:cs="宋体" w:eastAsia="宋体" w:hint="default"/>
          <w:sz w:val="12"/>
          <w:szCs w:val="12"/>
        </w:rPr>
      </w:pPr>
    </w:p>
    <w:p>
      <w:pPr>
        <w:pStyle w:val="Heading5"/>
        <w:tabs>
          <w:tab w:pos="573" w:val="left" w:leader="none"/>
        </w:tabs>
        <w:spacing w:line="292" w:lineRule="auto" w:before="36"/>
        <w:ind w:left="152" w:right="7399"/>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95" w:val="left" w:leader="none"/>
        </w:tabs>
        <w:spacing w:line="240" w:lineRule="auto" w:before="10"/>
        <w:ind w:left="573" w:right="296" w:hanging="421"/>
        <w:jc w:val="left"/>
      </w:pPr>
      <w:r>
        <w:rPr/>
        <w:t>√适用</w:t>
        <w:tab/>
        <w:t>□不适用</w:t>
      </w:r>
      <w:r>
        <w:rPr>
          <w:w w:val="100"/>
        </w:rPr>
        <w:t> </w:t>
      </w:r>
      <w:r>
        <w:rPr>
          <w:spacing w:val="-3"/>
        </w:rPr>
        <w:t>日出东方太阳能股份有限公司（以下简称本公司）的前身系江苏太阳雨太阳能有限公司，于</w:t>
      </w:r>
    </w:p>
    <w:p>
      <w:pPr>
        <w:pStyle w:val="BodyText"/>
        <w:spacing w:line="240" w:lineRule="auto" w:before="133"/>
        <w:ind w:left="152" w:right="191"/>
        <w:jc w:val="left"/>
      </w:pPr>
      <w:r>
        <w:rPr>
          <w:rFonts w:ascii="宋体" w:hAnsi="宋体" w:cs="宋体" w:eastAsia="宋体" w:hint="default"/>
        </w:rPr>
        <w:t>1997</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spacing w:val="-3"/>
        </w:rPr>
        <w:t>日成立，初始注册资本为人民币</w:t>
      </w:r>
      <w:r>
        <w:rPr>
          <w:spacing w:val="-48"/>
        </w:rPr>
        <w:t> </w:t>
      </w:r>
      <w:r>
        <w:rPr>
          <w:rFonts w:ascii="宋体" w:hAnsi="宋体" w:cs="宋体" w:eastAsia="宋体" w:hint="default"/>
        </w:rPr>
        <w:t>108</w:t>
      </w:r>
      <w:r>
        <w:rPr>
          <w:rFonts w:ascii="宋体" w:hAnsi="宋体" w:cs="宋体" w:eastAsia="宋体" w:hint="default"/>
          <w:spacing w:val="-50"/>
        </w:rPr>
        <w:t> </w:t>
      </w:r>
      <w:r>
        <w:rPr>
          <w:spacing w:val="-3"/>
        </w:rPr>
        <w:t>万元。</w:t>
      </w:r>
      <w:r>
        <w:rPr>
          <w:rFonts w:ascii="宋体" w:hAnsi="宋体" w:cs="宋体" w:eastAsia="宋体" w:hint="default"/>
          <w:spacing w:val="-3"/>
        </w:rPr>
        <w:t>2010</w:t>
      </w:r>
      <w:r>
        <w:rPr>
          <w:rFonts w:ascii="宋体" w:hAnsi="宋体" w:cs="宋体" w:eastAsia="宋体" w:hint="default"/>
          <w:spacing w:val="-50"/>
        </w:rPr>
        <w:t> </w:t>
      </w:r>
      <w:r>
        <w:rPr/>
        <w:t>年</w:t>
      </w:r>
      <w:r>
        <w:rPr>
          <w:spacing w:val="-48"/>
        </w:rPr>
        <w:t> </w:t>
      </w:r>
      <w:r>
        <w:rPr>
          <w:rFonts w:ascii="宋体" w:hAnsi="宋体" w:cs="宋体" w:eastAsia="宋体" w:hint="default"/>
        </w:rPr>
        <w:t>9</w:t>
      </w:r>
      <w:r>
        <w:rPr>
          <w:rFonts w:ascii="宋体" w:hAnsi="宋体" w:cs="宋体" w:eastAsia="宋体" w:hint="default"/>
          <w:spacing w:val="-50"/>
        </w:rPr>
        <w:t> </w:t>
      </w:r>
      <w:r>
        <w:rPr/>
        <w:t>月</w:t>
      </w:r>
      <w:r>
        <w:rPr>
          <w:spacing w:val="-48"/>
        </w:rPr>
        <w:t> </w:t>
      </w:r>
      <w:r>
        <w:rPr>
          <w:rFonts w:ascii="宋体" w:hAnsi="宋体" w:cs="宋体" w:eastAsia="宋体" w:hint="default"/>
        </w:rPr>
        <w:t>16</w:t>
      </w:r>
      <w:r>
        <w:rPr>
          <w:rFonts w:ascii="宋体" w:hAnsi="宋体" w:cs="宋体" w:eastAsia="宋体" w:hint="default"/>
          <w:spacing w:val="-50"/>
        </w:rPr>
        <w:t> </w:t>
      </w:r>
      <w:r>
        <w:rPr>
          <w:spacing w:val="-3"/>
        </w:rPr>
        <w:t>日，江苏太阳雨太阳能</w:t>
      </w:r>
    </w:p>
    <w:p>
      <w:pPr>
        <w:pStyle w:val="BodyText"/>
        <w:spacing w:line="240" w:lineRule="auto" w:before="133"/>
        <w:ind w:left="152" w:right="191"/>
        <w:jc w:val="left"/>
        <w:rPr>
          <w:rFonts w:ascii="宋体" w:hAnsi="宋体" w:cs="宋体" w:eastAsia="宋体" w:hint="default"/>
        </w:rPr>
      </w:pPr>
      <w:r>
        <w:rPr/>
        <w:t>有限公司整体变更并更名为日出东方太阳能股份有限公司，注册资本为人民币</w:t>
      </w:r>
      <w:r>
        <w:rPr>
          <w:spacing w:val="-54"/>
        </w:rPr>
        <w:t> </w:t>
      </w:r>
      <w:r>
        <w:rPr>
          <w:rFonts w:ascii="宋体" w:hAnsi="宋体" w:cs="宋体" w:eastAsia="宋体" w:hint="default"/>
        </w:rPr>
        <w:t>3</w:t>
      </w:r>
      <w:r>
        <w:rPr>
          <w:rFonts w:ascii="宋体" w:hAnsi="宋体" w:cs="宋体" w:eastAsia="宋体" w:hint="default"/>
          <w:spacing w:val="-55"/>
        </w:rPr>
        <w:t> </w:t>
      </w:r>
      <w:r>
        <w:rPr>
          <w:spacing w:val="-4"/>
        </w:rPr>
        <w:t>亿元。</w:t>
      </w:r>
      <w:r>
        <w:rPr>
          <w:rFonts w:ascii="宋体" w:hAnsi="宋体" w:cs="宋体" w:eastAsia="宋体" w:hint="default"/>
          <w:spacing w:val="-4"/>
        </w:rPr>
        <w:t>2012</w:t>
      </w:r>
      <w:r>
        <w:rPr>
          <w:rFonts w:ascii="宋体" w:hAnsi="宋体" w:cs="宋体" w:eastAsia="宋体" w:hint="default"/>
          <w:spacing w:val="-57"/>
        </w:rPr>
        <w:t> </w:t>
      </w:r>
      <w:r>
        <w:rPr/>
        <w:t>年</w:t>
      </w:r>
      <w:r>
        <w:rPr>
          <w:spacing w:val="-55"/>
        </w:rPr>
        <w:t> </w:t>
      </w:r>
      <w:r>
        <w:rPr>
          <w:rFonts w:ascii="宋体" w:hAnsi="宋体" w:cs="宋体" w:eastAsia="宋体" w:hint="default"/>
        </w:rPr>
        <w:t>5</w:t>
      </w:r>
    </w:p>
    <w:p>
      <w:pPr>
        <w:pStyle w:val="BodyText"/>
        <w:spacing w:line="240" w:lineRule="auto" w:before="135"/>
        <w:ind w:left="152" w:right="191"/>
        <w:jc w:val="left"/>
        <w:rPr>
          <w:rFonts w:ascii="宋体" w:hAnsi="宋体" w:cs="宋体" w:eastAsia="宋体" w:hint="default"/>
        </w:rPr>
      </w:pPr>
      <w:r>
        <w:rPr/>
        <w:t>月经中国证券监督管理委员会证监许可</w:t>
      </w:r>
      <w:r>
        <w:rPr>
          <w:rFonts w:ascii="宋体" w:hAnsi="宋体" w:cs="宋体" w:eastAsia="宋体" w:hint="default"/>
        </w:rPr>
        <w:t>[2012]386 </w:t>
      </w:r>
      <w:r>
        <w:rPr>
          <w:spacing w:val="-4"/>
        </w:rPr>
        <w:t>号核准，本公司向社会公众股股东发行</w:t>
      </w:r>
      <w:r>
        <w:rPr>
          <w:spacing w:val="-78"/>
        </w:rPr>
        <w:t> </w:t>
      </w:r>
      <w:r>
        <w:rPr>
          <w:rFonts w:ascii="宋体" w:hAnsi="宋体" w:cs="宋体" w:eastAsia="宋体" w:hint="default"/>
        </w:rPr>
        <w:t>10,000</w:t>
      </w:r>
    </w:p>
    <w:p>
      <w:pPr>
        <w:pStyle w:val="BodyText"/>
        <w:spacing w:line="240" w:lineRule="auto" w:before="133"/>
        <w:ind w:left="152" w:right="191"/>
        <w:jc w:val="left"/>
      </w:pPr>
      <w:r>
        <w:rPr>
          <w:spacing w:val="-4"/>
        </w:rPr>
        <w:t>万股，发行后注册资本变更为人民币</w:t>
      </w:r>
      <w:r>
        <w:rPr>
          <w:spacing w:val="-46"/>
        </w:rPr>
        <w:t> </w:t>
      </w:r>
      <w:r>
        <w:rPr>
          <w:rFonts w:ascii="宋体" w:hAnsi="宋体" w:cs="宋体" w:eastAsia="宋体" w:hint="default"/>
        </w:rPr>
        <w:t>40,000.00</w:t>
      </w:r>
      <w:r>
        <w:rPr>
          <w:rFonts w:ascii="宋体" w:hAnsi="宋体" w:cs="宋体" w:eastAsia="宋体" w:hint="default"/>
          <w:spacing w:val="-47"/>
        </w:rPr>
        <w:t> </w:t>
      </w:r>
      <w:r>
        <w:rPr>
          <w:spacing w:val="-8"/>
        </w:rPr>
        <w:t>万元。</w:t>
      </w:r>
      <w:r>
        <w:rPr>
          <w:rFonts w:ascii="宋体" w:hAnsi="宋体" w:cs="宋体" w:eastAsia="宋体" w:hint="default"/>
          <w:spacing w:val="-8"/>
        </w:rPr>
        <w:t>2015</w:t>
      </w:r>
      <w:r>
        <w:rPr>
          <w:rFonts w:ascii="宋体" w:hAnsi="宋体" w:cs="宋体" w:eastAsia="宋体" w:hint="default"/>
          <w:spacing w:val="-46"/>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月经公司股东大会审议通过了以</w:t>
      </w:r>
    </w:p>
    <w:p>
      <w:pPr>
        <w:pStyle w:val="BodyText"/>
        <w:spacing w:line="357" w:lineRule="auto" w:before="133"/>
        <w:ind w:left="573" w:right="296" w:hanging="421"/>
        <w:jc w:val="left"/>
      </w:pPr>
      <w:r>
        <w:rPr/>
        <w:t>资本公积转增股本，转增后注册资本变更为</w:t>
      </w:r>
      <w:r>
        <w:rPr>
          <w:spacing w:val="-53"/>
        </w:rPr>
        <w:t> </w:t>
      </w:r>
      <w:r>
        <w:rPr>
          <w:rFonts w:ascii="宋体" w:hAnsi="宋体" w:cs="宋体" w:eastAsia="宋体" w:hint="default"/>
        </w:rPr>
        <w:t>80,000.00</w:t>
      </w:r>
      <w:r>
        <w:rPr>
          <w:rFonts w:ascii="宋体" w:hAnsi="宋体" w:cs="宋体" w:eastAsia="宋体" w:hint="default"/>
          <w:spacing w:val="-54"/>
        </w:rPr>
        <w:t> </w:t>
      </w:r>
      <w:r>
        <w:rPr/>
        <w:t>万元。</w:t>
      </w:r>
      <w:r>
        <w:rPr>
          <w:w w:val="100"/>
        </w:rPr>
        <w:t> </w:t>
      </w:r>
      <w:r>
        <w:rPr>
          <w:spacing w:val="-2"/>
        </w:rPr>
        <w:t>本公司《营业执照》统一社会信用代码：</w:t>
      </w:r>
      <w:r>
        <w:rPr>
          <w:rFonts w:ascii="宋体" w:hAnsi="宋体" w:cs="宋体" w:eastAsia="宋体" w:hint="default"/>
          <w:spacing w:val="-2"/>
        </w:rPr>
        <w:t>913207001389723206</w:t>
      </w:r>
      <w:r>
        <w:rPr>
          <w:spacing w:val="-2"/>
        </w:rPr>
        <w:t>，总部位于连云港市海宁工贸</w:t>
      </w:r>
    </w:p>
    <w:p>
      <w:pPr>
        <w:pStyle w:val="BodyText"/>
        <w:spacing w:line="240" w:lineRule="auto" w:before="30"/>
        <w:ind w:left="152" w:right="7399"/>
        <w:jc w:val="left"/>
      </w:pPr>
      <w:r>
        <w:rPr/>
        <w:t>园。</w:t>
      </w:r>
    </w:p>
    <w:p>
      <w:pPr>
        <w:pStyle w:val="BodyText"/>
        <w:spacing w:line="355" w:lineRule="auto" w:before="135"/>
        <w:ind w:left="152" w:right="300" w:firstLine="420"/>
        <w:jc w:val="both"/>
      </w:pPr>
      <w:r>
        <w:rPr>
          <w:spacing w:val="-3"/>
        </w:rPr>
        <w:t>本公司建立了股东大会、董事会、监事会的法人治理结构，目前设太阳能事业部、空气能事</w:t>
      </w:r>
      <w:r>
        <w:rPr>
          <w:w w:val="100"/>
        </w:rPr>
        <w:t> </w:t>
      </w:r>
      <w:r>
        <w:rPr>
          <w:spacing w:val="-8"/>
        </w:rPr>
        <w:t>业部、净水事业部、厨电事业部、采购部、基建部、集团办公室、投资部、财务部、审计督察部、</w:t>
      </w:r>
      <w:r>
        <w:rPr>
          <w:spacing w:val="-15"/>
        </w:rPr>
        <w:t> </w:t>
      </w:r>
      <w:r>
        <w:rPr>
          <w:spacing w:val="-15"/>
        </w:rPr>
      </w:r>
      <w:r>
        <w:rPr/>
        <w:t>人力资源部、信息与数据中心、光热研发中心、计划物流部、政策事务部等部门。</w:t>
      </w:r>
    </w:p>
    <w:p>
      <w:pPr>
        <w:pStyle w:val="BodyText"/>
        <w:spacing w:line="357" w:lineRule="auto" w:before="32"/>
        <w:ind w:left="152" w:right="296" w:firstLine="420"/>
        <w:jc w:val="both"/>
      </w:pPr>
      <w:r>
        <w:rPr>
          <w:spacing w:val="-3"/>
        </w:rPr>
        <w:t>本公司及其子公司主要从事太阳能热水器、太阳能热水工程系统、太阳能采暖系统等太阳能</w:t>
      </w:r>
      <w:r>
        <w:rPr>
          <w:w w:val="100"/>
        </w:rPr>
        <w:t> </w:t>
      </w:r>
      <w:r>
        <w:rPr>
          <w:spacing w:val="-3"/>
        </w:rPr>
        <w:t>热利用产品；油烟机、燃气灶等厨电类产品以及空气能、净水机等产品的研发、生产与销售，拥</w:t>
      </w:r>
      <w:r>
        <w:rPr>
          <w:spacing w:val="-20"/>
        </w:rPr>
        <w:t> </w:t>
      </w:r>
      <w:r>
        <w:rPr>
          <w:spacing w:val="-20"/>
        </w:rPr>
      </w:r>
      <w:r>
        <w:rPr/>
        <w:t>有“太阳雨”、“四季沐歌”、“帅康”三个品牌。</w:t>
      </w:r>
    </w:p>
    <w:p>
      <w:pPr>
        <w:pStyle w:val="BodyText"/>
        <w:spacing w:line="355" w:lineRule="auto" w:before="30"/>
        <w:ind w:left="573" w:right="191"/>
        <w:jc w:val="left"/>
      </w:pPr>
      <w:r>
        <w:rPr/>
        <w:t>本公司的控股股东为太阳雨控股集团有限公司，实际控制人为徐新建。</w:t>
      </w:r>
      <w:r>
        <w:rPr>
          <w:w w:val="100"/>
        </w:rPr>
        <w:t> </w:t>
      </w:r>
      <w:r>
        <w:rPr/>
        <w:t>本财务报表及财务报表附注业经本公司第三届董事会第十三次会议于</w:t>
      </w:r>
      <w:r>
        <w:rPr>
          <w:spacing w:val="-77"/>
        </w:rPr>
        <w:t> </w:t>
      </w:r>
      <w:r>
        <w:rPr>
          <w:rFonts w:ascii="宋体" w:hAnsi="宋体" w:cs="宋体" w:eastAsia="宋体" w:hint="default"/>
        </w:rPr>
        <w:t>2018</w:t>
      </w:r>
      <w:r>
        <w:rPr>
          <w:rFonts w:ascii="宋体" w:hAnsi="宋体" w:cs="宋体" w:eastAsia="宋体" w:hint="default"/>
          <w:spacing w:val="-77"/>
        </w:rPr>
        <w:t> </w:t>
      </w:r>
      <w:r>
        <w:rPr/>
        <w:t>年</w:t>
      </w:r>
      <w:r>
        <w:rPr>
          <w:spacing w:val="-79"/>
        </w:rPr>
        <w:t> </w:t>
      </w:r>
      <w:r>
        <w:rPr>
          <w:rFonts w:ascii="宋体" w:hAnsi="宋体" w:cs="宋体" w:eastAsia="宋体" w:hint="default"/>
        </w:rPr>
        <w:t>4</w:t>
      </w:r>
      <w:r>
        <w:rPr>
          <w:rFonts w:ascii="宋体" w:hAnsi="宋体" w:cs="宋体" w:eastAsia="宋体" w:hint="default"/>
          <w:spacing w:val="-77"/>
        </w:rPr>
        <w:t> </w:t>
      </w:r>
      <w:r>
        <w:rPr/>
        <w:t>月</w:t>
      </w:r>
      <w:r>
        <w:rPr>
          <w:spacing w:val="-76"/>
        </w:rPr>
        <w:t> </w:t>
      </w:r>
      <w:r>
        <w:rPr>
          <w:rFonts w:ascii="宋体" w:hAnsi="宋体" w:cs="宋体" w:eastAsia="宋体" w:hint="default"/>
        </w:rPr>
        <w:t>26</w:t>
      </w:r>
      <w:r>
        <w:rPr>
          <w:rFonts w:ascii="宋体" w:hAnsi="宋体" w:cs="宋体" w:eastAsia="宋体" w:hint="default"/>
          <w:spacing w:val="-77"/>
        </w:rPr>
        <w:t> </w:t>
      </w:r>
      <w:r>
        <w:rPr/>
        <w:t>日批准。</w:t>
      </w:r>
    </w:p>
    <w:p>
      <w:pPr>
        <w:spacing w:line="240" w:lineRule="auto" w:before="13"/>
        <w:rPr>
          <w:rFonts w:ascii="宋体" w:hAnsi="宋体" w:cs="宋体" w:eastAsia="宋体" w:hint="default"/>
          <w:sz w:val="27"/>
          <w:szCs w:val="27"/>
        </w:rPr>
      </w:pPr>
    </w:p>
    <w:p>
      <w:pPr>
        <w:pStyle w:val="Heading5"/>
        <w:tabs>
          <w:tab w:pos="573" w:val="left" w:leader="none"/>
        </w:tabs>
        <w:spacing w:line="240" w:lineRule="auto"/>
        <w:ind w:left="152" w:right="296"/>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95" w:val="left" w:leader="none"/>
        </w:tabs>
        <w:spacing w:line="274" w:lineRule="exact" w:before="56"/>
        <w:ind w:left="152" w:right="296"/>
        <w:jc w:val="left"/>
      </w:pPr>
      <w:r>
        <w:rPr/>
        <w:t>√适用</w:t>
        <w:tab/>
        <w:t>□不适用</w:t>
      </w:r>
    </w:p>
    <w:p>
      <w:pPr>
        <w:pStyle w:val="BodyText"/>
        <w:spacing w:line="357" w:lineRule="auto"/>
        <w:ind w:left="152" w:right="191" w:firstLine="420"/>
        <w:jc w:val="left"/>
      </w:pPr>
      <w:r>
        <w:rPr/>
        <w:t>本年度，本公司合并财务报表范围包括本公司及</w:t>
      </w:r>
      <w:r>
        <w:rPr>
          <w:spacing w:val="-54"/>
        </w:rPr>
        <w:t> </w:t>
      </w:r>
      <w:r>
        <w:rPr>
          <w:rFonts w:ascii="宋体" w:hAnsi="宋体" w:cs="宋体" w:eastAsia="宋体" w:hint="default"/>
        </w:rPr>
        <w:t>31</w:t>
      </w:r>
      <w:r>
        <w:rPr>
          <w:rFonts w:ascii="宋体" w:hAnsi="宋体" w:cs="宋体" w:eastAsia="宋体" w:hint="default"/>
          <w:spacing w:val="-56"/>
        </w:rPr>
        <w:t> </w:t>
      </w:r>
      <w:r>
        <w:rPr/>
        <w:t>家通过设立取得的子公司（包括该等子</w:t>
      </w:r>
      <w:r>
        <w:rPr>
          <w:w w:val="100"/>
        </w:rPr>
        <w:t> </w:t>
      </w:r>
      <w:r>
        <w:rPr/>
        <w:t>公司控制的孙公司，下同）、</w:t>
      </w:r>
      <w:r>
        <w:rPr>
          <w:rFonts w:ascii="宋体" w:hAnsi="宋体" w:cs="宋体" w:eastAsia="宋体" w:hint="default"/>
        </w:rPr>
        <w:t>5</w:t>
      </w:r>
      <w:r>
        <w:rPr>
          <w:rFonts w:ascii="宋体" w:hAnsi="宋体" w:cs="宋体" w:eastAsia="宋体" w:hint="default"/>
          <w:spacing w:val="-55"/>
        </w:rPr>
        <w:t> </w:t>
      </w:r>
      <w:r>
        <w:rPr/>
        <w:t>家同一控制企业合并取得的子公司、</w:t>
      </w:r>
      <w:r>
        <w:rPr>
          <w:rFonts w:ascii="宋体" w:hAnsi="宋体" w:cs="宋体" w:eastAsia="宋体" w:hint="default"/>
        </w:rPr>
        <w:t>5</w:t>
      </w:r>
      <w:r>
        <w:rPr>
          <w:rFonts w:ascii="宋体" w:hAnsi="宋体" w:cs="宋体" w:eastAsia="宋体" w:hint="default"/>
          <w:spacing w:val="-55"/>
        </w:rPr>
        <w:t> </w:t>
      </w:r>
      <w:r>
        <w:rPr/>
        <w:t>家非同一控制下企业合并</w:t>
      </w:r>
      <w:r>
        <w:rPr>
          <w:w w:val="100"/>
        </w:rPr>
        <w:t> </w:t>
      </w:r>
      <w:r>
        <w:rPr>
          <w:spacing w:val="-5"/>
        </w:rPr>
        <w:t>取得的子公司。合并范围内子公司变动及其具体情况详见本附注六、合并范围的变动和本附注七、</w:t>
      </w:r>
      <w:r>
        <w:rPr>
          <w:spacing w:val="-33"/>
        </w:rPr>
        <w:t> </w:t>
      </w:r>
      <w:r>
        <w:rPr>
          <w:spacing w:val="-33"/>
        </w:rPr>
      </w:r>
      <w:r>
        <w:rPr/>
        <w:t>在其他主体中的权益。</w:t>
      </w:r>
    </w:p>
    <w:p>
      <w:pPr>
        <w:spacing w:line="240" w:lineRule="auto" w:before="11"/>
        <w:rPr>
          <w:rFonts w:ascii="宋体" w:hAnsi="宋体" w:cs="宋体" w:eastAsia="宋体" w:hint="default"/>
          <w:sz w:val="27"/>
          <w:szCs w:val="27"/>
        </w:rPr>
      </w:pPr>
    </w:p>
    <w:p>
      <w:pPr>
        <w:pStyle w:val="Heading5"/>
        <w:tabs>
          <w:tab w:pos="578" w:val="left" w:leader="none"/>
        </w:tabs>
        <w:spacing w:line="290" w:lineRule="auto"/>
        <w:ind w:left="152" w:right="6765"/>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tabs>
          <w:tab w:pos="578" w:val="left" w:leader="none"/>
        </w:tabs>
        <w:spacing w:line="604" w:lineRule="exact" w:before="48"/>
        <w:ind w:left="152" w:right="5306" w:firstLine="0"/>
        <w:jc w:val="left"/>
        <w:rPr>
          <w:rFonts w:ascii="宋体" w:hAnsi="宋体" w:cs="宋体" w:eastAsia="宋体" w:hint="default"/>
          <w:sz w:val="21"/>
          <w:szCs w:val="21"/>
        </w:rPr>
      </w:pPr>
      <w:r>
        <w:rPr>
          <w:rFonts w:ascii="宋体" w:hAnsi="宋体" w:cs="宋体" w:eastAsia="宋体" w:hint="default"/>
          <w:spacing w:val="-2"/>
          <w:sz w:val="21"/>
          <w:szCs w:val="21"/>
        </w:rPr>
        <w:t>本公司财务报表以持续经营为编制基础。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持续经营</w:t>
      </w:r>
      <w:r>
        <w:rPr>
          <w:rFonts w:ascii="宋体" w:hAnsi="宋体" w:cs="宋体" w:eastAsia="宋体" w:hint="default"/>
          <w:sz w:val="21"/>
          <w:szCs w:val="21"/>
        </w:rPr>
      </w:r>
    </w:p>
    <w:p>
      <w:pPr>
        <w:pStyle w:val="BodyText"/>
        <w:tabs>
          <w:tab w:pos="995" w:val="left" w:leader="none"/>
        </w:tabs>
        <w:spacing w:line="238" w:lineRule="exact"/>
        <w:ind w:left="152" w:right="296"/>
        <w:jc w:val="left"/>
      </w:pPr>
      <w:r>
        <w:rPr/>
        <w:t>√适用</w:t>
        <w:tab/>
        <w:t>□不适用</w:t>
      </w:r>
    </w:p>
    <w:p>
      <w:pPr>
        <w:pStyle w:val="BodyText"/>
        <w:spacing w:line="273" w:lineRule="exact"/>
        <w:ind w:left="152" w:right="296"/>
        <w:jc w:val="left"/>
      </w:pPr>
      <w:r>
        <w:rPr/>
        <w:t>公司自本报告期末起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个月内的持续经营能力不存在重大不确定性。</w:t>
      </w:r>
    </w:p>
    <w:p>
      <w:pPr>
        <w:spacing w:line="240" w:lineRule="auto" w:before="3"/>
        <w:rPr>
          <w:rFonts w:ascii="宋体" w:hAnsi="宋体" w:cs="宋体" w:eastAsia="宋体" w:hint="default"/>
          <w:sz w:val="25"/>
          <w:szCs w:val="25"/>
        </w:rPr>
      </w:pPr>
    </w:p>
    <w:p>
      <w:pPr>
        <w:spacing w:line="290" w:lineRule="auto" w:before="0"/>
        <w:ind w:left="152" w:right="5306"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7" w:lineRule="exact"/>
        <w:ind w:left="152" w:right="7399"/>
        <w:jc w:val="left"/>
      </w:pPr>
      <w:r>
        <w:rPr/>
        <w:t>√适用 □不适用</w:t>
      </w:r>
    </w:p>
    <w:p>
      <w:pPr>
        <w:spacing w:after="0" w:line="227" w:lineRule="exact"/>
        <w:jc w:val="left"/>
        <w:sectPr>
          <w:headerReference w:type="default" r:id="rId48"/>
          <w:footerReference w:type="default" r:id="rId49"/>
          <w:pgSz w:w="11910" w:h="16850"/>
          <w:pgMar w:header="762" w:footer="941" w:top="960" w:bottom="1140" w:left="980" w:right="1680"/>
          <w:pgNumType w:start="84"/>
        </w:sectPr>
      </w:pPr>
    </w:p>
    <w:p>
      <w:pPr>
        <w:pStyle w:val="BodyText"/>
        <w:spacing w:line="240" w:lineRule="auto" w:before="93"/>
        <w:ind w:left="152" w:right="296"/>
        <w:jc w:val="left"/>
      </w:pPr>
      <w:r>
        <w:rPr>
          <w:spacing w:val="-3"/>
        </w:rPr>
        <w:t>本公司根据自身生产经营特点，确定了应收款项坏账政策及收入确认政策，具体会计政策参见附</w:t>
      </w:r>
      <w:r>
        <w:rPr>
          <w:spacing w:val="-17"/>
        </w:rPr>
        <w:t> </w:t>
      </w:r>
      <w:r>
        <w:rPr>
          <w:spacing w:val="-17"/>
        </w:rPr>
      </w:r>
      <w:r>
        <w:rPr/>
        <w:t>注五、</w:t>
      </w:r>
      <w:r>
        <w:rPr>
          <w:rFonts w:ascii="宋体" w:hAnsi="宋体" w:cs="宋体" w:eastAsia="宋体" w:hint="default"/>
        </w:rPr>
        <w:t>11</w:t>
      </w:r>
      <w:r>
        <w:rPr>
          <w:rFonts w:ascii="宋体" w:hAnsi="宋体" w:cs="宋体" w:eastAsia="宋体" w:hint="default"/>
          <w:spacing w:val="-55"/>
        </w:rPr>
        <w:t> </w:t>
      </w:r>
      <w:r>
        <w:rPr/>
        <w:t>和附注五、</w:t>
      </w:r>
      <w:r>
        <w:rPr>
          <w:rFonts w:ascii="宋体" w:hAnsi="宋体" w:cs="宋体" w:eastAsia="宋体" w:hint="default"/>
        </w:rPr>
        <w:t>28</w:t>
      </w:r>
      <w:r>
        <w:rPr/>
        <w:t>。</w:t>
      </w:r>
    </w:p>
    <w:p>
      <w:pPr>
        <w:spacing w:line="240" w:lineRule="auto" w:before="3"/>
        <w:rPr>
          <w:rFonts w:ascii="宋体" w:hAnsi="宋体" w:cs="宋体" w:eastAsia="宋体" w:hint="default"/>
          <w:sz w:val="25"/>
          <w:szCs w:val="25"/>
        </w:rPr>
      </w:pPr>
    </w:p>
    <w:p>
      <w:pPr>
        <w:pStyle w:val="Heading5"/>
        <w:tabs>
          <w:tab w:pos="578" w:val="left" w:leader="none"/>
        </w:tabs>
        <w:spacing w:line="240" w:lineRule="auto"/>
        <w:ind w:left="152" w:right="296"/>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left="152" w:right="296"/>
        <w:jc w:val="left"/>
      </w:pPr>
      <w:r>
        <w:rPr>
          <w:spacing w:val="-3"/>
        </w:rPr>
        <w:t>本公司所编制的财务报表符合企业会计准则的要求，真实、完整地反映了公司的财务状况、经营</w:t>
      </w:r>
      <w:r>
        <w:rPr>
          <w:spacing w:val="-19"/>
        </w:rPr>
        <w:t> </w:t>
      </w:r>
      <w:r>
        <w:rPr>
          <w:spacing w:val="-19"/>
        </w:rPr>
      </w:r>
      <w:r>
        <w:rPr/>
        <w:t>成果、股东权益变动和现金流量等有关信息。</w:t>
      </w:r>
    </w:p>
    <w:p>
      <w:pPr>
        <w:spacing w:line="240" w:lineRule="auto" w:before="3"/>
        <w:rPr>
          <w:rFonts w:ascii="宋体" w:hAnsi="宋体" w:cs="宋体" w:eastAsia="宋体" w:hint="default"/>
          <w:sz w:val="25"/>
          <w:szCs w:val="25"/>
        </w:rPr>
      </w:pPr>
    </w:p>
    <w:p>
      <w:pPr>
        <w:pStyle w:val="Heading5"/>
        <w:tabs>
          <w:tab w:pos="578" w:val="left" w:leader="none"/>
        </w:tabs>
        <w:spacing w:line="240" w:lineRule="auto"/>
        <w:ind w:left="152" w:right="7399"/>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152" w:right="296"/>
        <w:jc w:val="left"/>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5"/>
        <w:tabs>
          <w:tab w:pos="578" w:val="left" w:leader="none"/>
        </w:tabs>
        <w:spacing w:line="240" w:lineRule="auto"/>
        <w:ind w:left="152" w:right="7399"/>
        <w:jc w:val="left"/>
        <w:rPr>
          <w:b w:val="0"/>
          <w:bCs w:val="0"/>
        </w:rPr>
      </w:pPr>
      <w:r>
        <w:rPr>
          <w:rFonts w:ascii="宋体" w:hAnsi="宋体" w:cs="宋体" w:eastAsia="宋体" w:hint="default"/>
          <w:w w:val="95"/>
        </w:rPr>
        <w:t>3.</w:t>
        <w:tab/>
      </w:r>
      <w:r>
        <w:rPr/>
        <w:t>营业周期</w:t>
      </w:r>
      <w:r>
        <w:rPr>
          <w:b w:val="0"/>
          <w:bCs w:val="0"/>
        </w:rPr>
      </w:r>
    </w:p>
    <w:p>
      <w:pPr>
        <w:pStyle w:val="BodyText"/>
        <w:tabs>
          <w:tab w:pos="995" w:val="left" w:leader="none"/>
        </w:tabs>
        <w:spacing w:line="272" w:lineRule="exact" w:before="87"/>
        <w:ind w:left="152" w:right="6254"/>
        <w:jc w:val="left"/>
      </w:pPr>
      <w:r>
        <w:rPr/>
        <w:t>√适用</w:t>
        <w:tab/>
        <w:t>□不适用</w:t>
      </w:r>
      <w:r>
        <w:rPr>
          <w:w w:val="100"/>
        </w:rPr>
        <w:t> </w:t>
      </w:r>
      <w:r>
        <w:rPr/>
        <w:t>本公司的营业周期为</w:t>
      </w:r>
      <w:r>
        <w:rPr>
          <w:spacing w:val="-53"/>
        </w:rPr>
        <w:t> </w:t>
      </w:r>
      <w:r>
        <w:rPr>
          <w:rFonts w:ascii="宋体" w:hAnsi="宋体" w:cs="宋体" w:eastAsia="宋体" w:hint="default"/>
        </w:rPr>
        <w:t>12</w:t>
      </w:r>
      <w:r>
        <w:rPr>
          <w:rFonts w:ascii="宋体" w:hAnsi="宋体" w:cs="宋体" w:eastAsia="宋体" w:hint="default"/>
          <w:spacing w:val="-55"/>
        </w:rPr>
        <w:t> </w:t>
      </w:r>
      <w:r>
        <w:rPr/>
        <w:t>个月。</w:t>
      </w:r>
    </w:p>
    <w:p>
      <w:pPr>
        <w:spacing w:line="240" w:lineRule="auto" w:before="4"/>
        <w:rPr>
          <w:rFonts w:ascii="宋体" w:hAnsi="宋体" w:cs="宋体" w:eastAsia="宋体" w:hint="default"/>
          <w:sz w:val="23"/>
          <w:szCs w:val="23"/>
        </w:rPr>
      </w:pPr>
    </w:p>
    <w:p>
      <w:pPr>
        <w:pStyle w:val="Heading5"/>
        <w:tabs>
          <w:tab w:pos="578" w:val="left" w:leader="none"/>
        </w:tabs>
        <w:spacing w:line="240" w:lineRule="auto"/>
        <w:ind w:left="152" w:right="7399"/>
        <w:jc w:val="left"/>
        <w:rPr>
          <w:b w:val="0"/>
          <w:bCs w:val="0"/>
        </w:rPr>
      </w:pPr>
      <w:r>
        <w:rPr>
          <w:rFonts w:ascii="宋体" w:hAnsi="宋体" w:cs="宋体" w:eastAsia="宋体" w:hint="default"/>
          <w:w w:val="95"/>
        </w:rPr>
        <w:t>4.</w:t>
        <w:tab/>
      </w:r>
      <w:r>
        <w:rPr/>
        <w:t>记账本位币</w:t>
      </w:r>
      <w:r>
        <w:rPr>
          <w:b w:val="0"/>
          <w:bCs w:val="0"/>
        </w:rPr>
      </w:r>
    </w:p>
    <w:p>
      <w:pPr>
        <w:pStyle w:val="BodyText"/>
        <w:spacing w:line="237" w:lineRule="auto" w:before="61"/>
        <w:ind w:left="152" w:right="296"/>
        <w:jc w:val="left"/>
      </w:pPr>
      <w:r>
        <w:rPr/>
        <w:t>本公司及境内子公司以人民币为记账本位币，本公司之境外子公司 </w:t>
      </w:r>
      <w:r>
        <w:rPr>
          <w:rFonts w:ascii="宋体" w:hAnsi="宋体" w:cs="宋体" w:eastAsia="宋体" w:hint="default"/>
        </w:rPr>
        <w:t>Great Change</w:t>
      </w:r>
      <w:r>
        <w:rPr>
          <w:rFonts w:ascii="宋体" w:hAnsi="宋体" w:cs="宋体" w:eastAsia="宋体" w:hint="default"/>
          <w:spacing w:val="-55"/>
        </w:rPr>
        <w:t> </w:t>
      </w:r>
      <w:r>
        <w:rPr>
          <w:rFonts w:ascii="宋体" w:hAnsi="宋体" w:cs="宋体" w:eastAsia="宋体" w:hint="default"/>
        </w:rPr>
        <w:t>Europe</w:t>
      </w:r>
      <w:r>
        <w:rPr>
          <w:rFonts w:ascii="宋体" w:hAnsi="宋体" w:cs="宋体" w:eastAsia="宋体" w:hint="default"/>
          <w:w w:val="100"/>
        </w:rPr>
        <w:t> </w:t>
      </w:r>
      <w:r>
        <w:rPr>
          <w:rFonts w:ascii="宋体" w:hAnsi="宋体" w:cs="宋体" w:eastAsia="宋体" w:hint="default"/>
        </w:rPr>
        <w:t>Investment</w:t>
      </w:r>
      <w:r>
        <w:rPr>
          <w:rFonts w:ascii="宋体" w:hAnsi="宋体" w:cs="宋体" w:eastAsia="宋体" w:hint="default"/>
          <w:spacing w:val="-50"/>
        </w:rPr>
        <w:t> </w:t>
      </w:r>
      <w:r>
        <w:rPr>
          <w:rFonts w:ascii="宋体" w:hAnsi="宋体" w:cs="宋体" w:eastAsia="宋体" w:hint="default"/>
        </w:rPr>
        <w:t>Holdings</w:t>
      </w:r>
      <w:r>
        <w:rPr>
          <w:rFonts w:ascii="宋体" w:hAnsi="宋体" w:cs="宋体" w:eastAsia="宋体" w:hint="default"/>
          <w:spacing w:val="-48"/>
        </w:rPr>
        <w:t> </w:t>
      </w:r>
      <w:r>
        <w:rPr>
          <w:rFonts w:ascii="宋体" w:hAnsi="宋体" w:cs="宋体" w:eastAsia="宋体" w:hint="default"/>
        </w:rPr>
        <w:t>Company</w:t>
      </w:r>
      <w:r>
        <w:rPr>
          <w:rFonts w:ascii="宋体" w:hAnsi="宋体" w:cs="宋体" w:eastAsia="宋体" w:hint="default"/>
          <w:spacing w:val="-48"/>
        </w:rPr>
        <w:t> </w:t>
      </w:r>
      <w:r>
        <w:rPr>
          <w:rFonts w:ascii="宋体" w:hAnsi="宋体" w:cs="宋体" w:eastAsia="宋体" w:hint="default"/>
        </w:rPr>
        <w:t>Limited</w:t>
      </w:r>
      <w:r>
        <w:rPr>
          <w:rFonts w:ascii="宋体" w:hAnsi="宋体" w:cs="宋体" w:eastAsia="宋体" w:hint="default"/>
          <w:spacing w:val="-47"/>
        </w:rPr>
        <w:t> </w:t>
      </w:r>
      <w:r>
        <w:rPr>
          <w:spacing w:val="-4"/>
        </w:rPr>
        <w:t>以欧元为记账本位币；本公司之境外子公司</w:t>
      </w:r>
      <w:r>
        <w:rPr>
          <w:spacing w:val="-48"/>
        </w:rPr>
        <w:t> </w:t>
      </w:r>
      <w:r>
        <w:rPr>
          <w:rFonts w:ascii="宋体" w:hAnsi="宋体" w:cs="宋体" w:eastAsia="宋体" w:hint="default"/>
        </w:rPr>
        <w:t>Great</w:t>
      </w:r>
      <w:r>
        <w:rPr>
          <w:rFonts w:ascii="宋体" w:hAnsi="宋体" w:cs="宋体" w:eastAsia="宋体" w:hint="default"/>
          <w:spacing w:val="-50"/>
        </w:rPr>
        <w:t> </w:t>
      </w:r>
      <w:r>
        <w:rPr>
          <w:rFonts w:ascii="宋体" w:hAnsi="宋体" w:cs="宋体" w:eastAsia="宋体" w:hint="default"/>
        </w:rPr>
        <w:t>Change</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1"/>
          <w:w w:val="100"/>
        </w:rPr>
        <w:t>American</w:t>
      </w:r>
      <w:r>
        <w:rPr>
          <w:rFonts w:ascii="宋体" w:hAnsi="宋体" w:cs="宋体" w:eastAsia="宋体" w:hint="default"/>
          <w:spacing w:val="-51"/>
          <w:w w:val="100"/>
        </w:rPr>
        <w:t> </w:t>
      </w:r>
      <w:r>
        <w:rPr>
          <w:rFonts w:ascii="宋体" w:hAnsi="宋体" w:cs="宋体" w:eastAsia="宋体" w:hint="default"/>
          <w:spacing w:val="-1"/>
          <w:w w:val="100"/>
        </w:rPr>
        <w:t>Corporation</w:t>
      </w:r>
      <w:r>
        <w:rPr>
          <w:rFonts w:ascii="宋体" w:hAnsi="宋体" w:cs="宋体" w:eastAsia="宋体" w:hint="default"/>
          <w:spacing w:val="-68"/>
          <w:w w:val="100"/>
        </w:rPr>
        <w:t> </w:t>
      </w:r>
      <w:r>
        <w:rPr>
          <w:spacing w:val="-7"/>
          <w:w w:val="100"/>
        </w:rPr>
        <w:t>以美元为记账本位币；本公司之境外子公司</w:t>
      </w:r>
      <w:r>
        <w:rPr>
          <w:spacing w:val="-68"/>
          <w:w w:val="100"/>
        </w:rPr>
        <w:t> </w:t>
      </w:r>
      <w:r>
        <w:rPr>
          <w:rFonts w:ascii="宋体" w:hAnsi="宋体" w:cs="宋体" w:eastAsia="宋体" w:hint="default"/>
          <w:spacing w:val="-1"/>
          <w:w w:val="100"/>
        </w:rPr>
        <w:t>Solarest</w:t>
      </w:r>
      <w:r>
        <w:rPr>
          <w:rFonts w:ascii="宋体" w:hAnsi="宋体" w:cs="宋体" w:eastAsia="宋体" w:hint="default"/>
          <w:spacing w:val="-51"/>
          <w:w w:val="100"/>
        </w:rPr>
        <w:t> </w:t>
      </w:r>
      <w:r>
        <w:rPr>
          <w:rFonts w:ascii="宋体" w:hAnsi="宋体" w:cs="宋体" w:eastAsia="宋体" w:hint="default"/>
          <w:spacing w:val="-1"/>
          <w:w w:val="100"/>
        </w:rPr>
        <w:t>Australasia</w:t>
      </w:r>
      <w:r>
        <w:rPr>
          <w:rFonts w:ascii="宋体" w:hAnsi="宋体" w:cs="宋体" w:eastAsia="宋体" w:hint="default"/>
          <w:spacing w:val="-54"/>
          <w:w w:val="100"/>
        </w:rPr>
        <w:t> </w:t>
      </w:r>
      <w:r>
        <w:rPr>
          <w:rFonts w:ascii="宋体" w:hAnsi="宋体" w:cs="宋体" w:eastAsia="宋体" w:hint="default"/>
          <w:w w:val="100"/>
        </w:rPr>
        <w:t>PTY</w:t>
      </w:r>
      <w:r>
        <w:rPr>
          <w:rFonts w:ascii="宋体" w:hAnsi="宋体" w:cs="宋体" w:eastAsia="宋体" w:hint="default"/>
          <w:spacing w:val="-51"/>
          <w:w w:val="100"/>
        </w:rPr>
        <w:t> </w:t>
      </w:r>
      <w:r>
        <w:rPr>
          <w:rFonts w:ascii="宋体" w:hAnsi="宋体" w:cs="宋体" w:eastAsia="宋体" w:hint="default"/>
          <w:spacing w:val="-1"/>
          <w:w w:val="100"/>
        </w:rPr>
        <w:t>LTD</w:t>
      </w:r>
      <w:r>
        <w:rPr>
          <w:rFonts w:ascii="宋体" w:hAnsi="宋体" w:cs="宋体" w:eastAsia="宋体" w:hint="default"/>
          <w:w w:val="100"/>
        </w:rPr>
        <w:t> </w:t>
      </w:r>
      <w:r>
        <w:rPr/>
        <w:t>以澳大利亚元为记账本位币；本公司之境外子公司</w:t>
      </w:r>
      <w:r>
        <w:rPr>
          <w:spacing w:val="-56"/>
        </w:rPr>
        <w:t> </w:t>
      </w:r>
      <w:r>
        <w:rPr>
          <w:rFonts w:ascii="宋体" w:hAnsi="宋体" w:cs="宋体" w:eastAsia="宋体" w:hint="default"/>
        </w:rPr>
        <w:t>Naturaquell</w:t>
      </w:r>
      <w:r>
        <w:rPr>
          <w:rFonts w:ascii="宋体" w:hAnsi="宋体" w:cs="宋体" w:eastAsia="宋体" w:hint="default"/>
          <w:spacing w:val="-1"/>
        </w:rPr>
        <w:t> </w:t>
      </w:r>
      <w:r>
        <w:rPr>
          <w:rFonts w:ascii="宋体" w:hAnsi="宋体" w:cs="宋体" w:eastAsia="宋体" w:hint="default"/>
        </w:rPr>
        <w:t>GmbH</w:t>
      </w:r>
      <w:r>
        <w:rPr>
          <w:rFonts w:ascii="宋体" w:hAnsi="宋体" w:cs="宋体" w:eastAsia="宋体" w:hint="default"/>
          <w:spacing w:val="-56"/>
        </w:rPr>
        <w:t> </w:t>
      </w:r>
      <w:r>
        <w:rPr/>
        <w:t>以欧元为记账本位币。</w:t>
      </w:r>
      <w:r>
        <w:rPr>
          <w:w w:val="100"/>
        </w:rPr>
        <w:t> </w:t>
      </w:r>
      <w:r>
        <w:rPr/>
        <w:t>本公司编制本财务报表时所采用的货币为人民币。</w:t>
      </w:r>
    </w:p>
    <w:p>
      <w:pPr>
        <w:spacing w:line="240" w:lineRule="auto" w:before="3"/>
        <w:rPr>
          <w:rFonts w:ascii="宋体" w:hAnsi="宋体" w:cs="宋体" w:eastAsia="宋体" w:hint="default"/>
          <w:sz w:val="25"/>
          <w:szCs w:val="25"/>
        </w:rPr>
      </w:pPr>
    </w:p>
    <w:p>
      <w:pPr>
        <w:pStyle w:val="Heading5"/>
        <w:tabs>
          <w:tab w:pos="578" w:val="left" w:leader="none"/>
        </w:tabs>
        <w:spacing w:line="240" w:lineRule="auto"/>
        <w:ind w:left="152" w:right="296"/>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95" w:val="left" w:leader="none"/>
        </w:tabs>
        <w:spacing w:line="273" w:lineRule="exact" w:before="56"/>
        <w:ind w:left="152" w:right="296"/>
        <w:jc w:val="left"/>
      </w:pPr>
      <w:r>
        <w:rPr/>
        <w:t>√适用</w:t>
        <w:tab/>
        <w:t>□不适用</w:t>
      </w:r>
    </w:p>
    <w:p>
      <w:pPr>
        <w:pStyle w:val="BodyText"/>
        <w:spacing w:line="237" w:lineRule="auto"/>
        <w:ind w:left="152" w:right="296"/>
        <w:jc w:val="left"/>
      </w:pPr>
      <w:r>
        <w:rPr/>
        <w:t>（</w:t>
      </w:r>
      <w:r>
        <w:rPr>
          <w:rFonts w:ascii="宋体" w:hAnsi="宋体" w:cs="宋体" w:eastAsia="宋体" w:hint="default"/>
        </w:rPr>
        <w:t>1</w:t>
      </w:r>
      <w:r>
        <w:rPr/>
        <w:t>）非同一控制下的企业合并</w:t>
      </w:r>
      <w:r>
        <w:rPr>
          <w:w w:val="100"/>
        </w:rPr>
        <w:t> </w:t>
      </w:r>
      <w:r>
        <w:rPr>
          <w:spacing w:val="-3"/>
        </w:rPr>
        <w:t>对于非同一控制下的企业合并，合并成本为购买日为取得对被购买方的控制权而付出的资产、发</w:t>
      </w:r>
      <w:r>
        <w:rPr>
          <w:spacing w:val="-17"/>
        </w:rPr>
        <w:t> </w:t>
      </w:r>
      <w:r>
        <w:rPr>
          <w:spacing w:val="-17"/>
        </w:rPr>
      </w:r>
      <w:r>
        <w:rPr>
          <w:spacing w:val="-3"/>
        </w:rPr>
        <w:t>生或承担的负债以及发行的权益性证券的公允价值。在购买日，取得的被购买方的资产、负债及</w:t>
      </w:r>
      <w:r>
        <w:rPr>
          <w:spacing w:val="-19"/>
        </w:rPr>
        <w:t> </w:t>
      </w:r>
      <w:r>
        <w:rPr>
          <w:spacing w:val="-19"/>
        </w:rPr>
      </w:r>
      <w:r>
        <w:rPr/>
        <w:t>或有负债按公允价值确认。</w:t>
      </w:r>
      <w:r>
        <w:rPr>
          <w:w w:val="100"/>
        </w:rPr>
        <w:t> </w:t>
      </w:r>
      <w:r>
        <w:rPr>
          <w:spacing w:val="-3"/>
        </w:rPr>
        <w:t>对合并成本大于合并中取得的被购买方可辨认净资产公允价值份额的差额，确认为商誉，按成本</w:t>
      </w:r>
      <w:r>
        <w:rPr>
          <w:spacing w:val="-17"/>
        </w:rPr>
        <w:t> </w:t>
      </w:r>
      <w:r>
        <w:rPr>
          <w:spacing w:val="-17"/>
        </w:rPr>
      </w:r>
      <w:r>
        <w:rPr>
          <w:spacing w:val="-3"/>
        </w:rPr>
        <w:t>扣除累计减值准备进行后续计量；对合并成本小于合并中取得的被购买方可辨认净资产公允价值</w:t>
      </w:r>
      <w:r>
        <w:rPr>
          <w:spacing w:val="-17"/>
        </w:rPr>
        <w:t> </w:t>
      </w:r>
      <w:r>
        <w:rPr>
          <w:spacing w:val="-17"/>
        </w:rPr>
      </w:r>
      <w:r>
        <w:rPr/>
        <w:t>份额的差额，经复核后计入当期损益。</w:t>
      </w:r>
    </w:p>
    <w:p>
      <w:pPr>
        <w:pStyle w:val="BodyText"/>
        <w:spacing w:line="237" w:lineRule="auto" w:before="1"/>
        <w:ind w:left="152" w:right="296"/>
        <w:jc w:val="left"/>
      </w:pPr>
      <w:r>
        <w:rPr/>
        <w:t>通过多次交易分步实现非同一控制下的企业合并</w:t>
      </w:r>
      <w:r>
        <w:rPr>
          <w:w w:val="100"/>
        </w:rPr>
        <w:t> </w:t>
      </w:r>
      <w:r>
        <w:rPr>
          <w:spacing w:val="-3"/>
        </w:rPr>
        <w:t>在个别财务报表中，以购买日之前所持被购买方的股权投资的账面价值与购买日新增投资成本之</w:t>
      </w:r>
      <w:r>
        <w:rPr>
          <w:spacing w:val="-18"/>
        </w:rPr>
        <w:t> </w:t>
      </w:r>
      <w:r>
        <w:rPr>
          <w:spacing w:val="-18"/>
        </w:rPr>
      </w:r>
      <w:r>
        <w:rPr>
          <w:spacing w:val="-3"/>
        </w:rPr>
        <w:t>和，作为该项投资的初始投资成本。购买日之前持有的股权投资因采用权益法核算而确认的其他</w:t>
      </w:r>
      <w:r>
        <w:rPr>
          <w:spacing w:val="-17"/>
        </w:rPr>
        <w:t> </w:t>
      </w:r>
      <w:r>
        <w:rPr>
          <w:spacing w:val="-17"/>
        </w:rPr>
      </w:r>
      <w:r>
        <w:rPr>
          <w:spacing w:val="-3"/>
        </w:rPr>
        <w:t>综合收益，购买日对这部分其他综合收益不作处理，在处置该项投资时采用与被投资单位直接处</w:t>
      </w:r>
      <w:r>
        <w:rPr>
          <w:spacing w:val="-17"/>
        </w:rPr>
        <w:t> </w:t>
      </w:r>
      <w:r>
        <w:rPr>
          <w:spacing w:val="-17"/>
        </w:rPr>
      </w:r>
      <w:r>
        <w:rPr>
          <w:spacing w:val="-3"/>
        </w:rPr>
        <w:t>置相关资产或负债相同的基础进行会计处理；因被投资方除净损益、其他综合收益和利润分配以</w:t>
      </w:r>
      <w:r>
        <w:rPr>
          <w:spacing w:val="-17"/>
        </w:rPr>
        <w:t> </w:t>
      </w:r>
      <w:r>
        <w:rPr>
          <w:spacing w:val="-17"/>
        </w:rPr>
      </w:r>
      <w:r>
        <w:rPr>
          <w:spacing w:val="-3"/>
        </w:rPr>
        <w:t>外的其他所有者权益变动而确认的所有者权益，在处置该项投资时转入处置期间的当期损益。购</w:t>
      </w:r>
      <w:r>
        <w:rPr>
          <w:spacing w:val="-16"/>
        </w:rPr>
        <w:t> </w:t>
      </w:r>
      <w:r>
        <w:rPr>
          <w:spacing w:val="-16"/>
        </w:rPr>
      </w:r>
      <w:r>
        <w:rPr>
          <w:spacing w:val="-3"/>
        </w:rPr>
        <w:t>买日之前持有的股权投资采用公允价值计量的，原计入其他综合收益的累计公允价值变动在改按</w:t>
      </w:r>
      <w:r>
        <w:rPr>
          <w:spacing w:val="-17"/>
        </w:rPr>
        <w:t> </w:t>
      </w:r>
      <w:r>
        <w:rPr>
          <w:spacing w:val="-17"/>
        </w:rPr>
      </w:r>
      <w:r>
        <w:rPr/>
        <w:t>成本法核算时转入当期损益。</w:t>
      </w:r>
      <w:r>
        <w:rPr>
          <w:w w:val="100"/>
        </w:rPr>
        <w:t> </w:t>
      </w:r>
      <w:r>
        <w:rPr>
          <w:spacing w:val="-3"/>
        </w:rPr>
        <w:t>在合并财务报表中，合并成本为购买日支付的对价与购买日之前已经持有的被购买方的股权在购</w:t>
      </w:r>
      <w:r>
        <w:rPr>
          <w:spacing w:val="-18"/>
        </w:rPr>
        <w:t> </w:t>
      </w:r>
      <w:r>
        <w:rPr>
          <w:spacing w:val="-18"/>
        </w:rPr>
      </w:r>
      <w:r>
        <w:rPr>
          <w:spacing w:val="-3"/>
        </w:rPr>
        <w:t>买日的公允价值之和。对于购买日之前已经持有的被购买方的股权，按照该股权在购买日的公允</w:t>
      </w:r>
      <w:r>
        <w:rPr>
          <w:spacing w:val="-17"/>
        </w:rPr>
        <w:t> </w:t>
      </w:r>
      <w:r>
        <w:rPr>
          <w:spacing w:val="-17"/>
        </w:rPr>
      </w:r>
      <w:r>
        <w:rPr>
          <w:spacing w:val="-3"/>
        </w:rPr>
        <w:t>价值进行重新计量，公允价值与其账面价值之间的差额计入当期收益；购买日之前已经持有的被</w:t>
      </w:r>
      <w:r>
        <w:rPr>
          <w:spacing w:val="-17"/>
        </w:rPr>
        <w:t> </w:t>
      </w:r>
      <w:r>
        <w:rPr>
          <w:spacing w:val="-17"/>
        </w:rPr>
      </w:r>
      <w:r>
        <w:rPr>
          <w:spacing w:val="-3"/>
        </w:rPr>
        <w:t>购买方的股权涉及其他综合收益、其他所有者权益变动转为购买日当期收益，由于被投资方重新</w:t>
      </w:r>
      <w:r>
        <w:rPr>
          <w:spacing w:val="-17"/>
        </w:rPr>
        <w:t> </w:t>
      </w:r>
      <w:r>
        <w:rPr>
          <w:spacing w:val="-17"/>
        </w:rPr>
      </w:r>
      <w:r>
        <w:rPr/>
        <w:t>计量设定收益计划净负债或净资产变动而产生的其他综合收益除外。</w:t>
      </w:r>
    </w:p>
    <w:p>
      <w:pPr>
        <w:pStyle w:val="BodyText"/>
        <w:spacing w:line="237" w:lineRule="auto"/>
        <w:ind w:left="152" w:right="296"/>
        <w:jc w:val="left"/>
      </w:pPr>
      <w:r>
        <w:rPr/>
        <w:t>（</w:t>
      </w:r>
      <w:r>
        <w:rPr>
          <w:rFonts w:ascii="宋体" w:hAnsi="宋体" w:cs="宋体" w:eastAsia="宋体" w:hint="default"/>
        </w:rPr>
        <w:t>2</w:t>
      </w:r>
      <w:r>
        <w:rPr/>
        <w:t>）企业合并中有关交易费用的处理</w:t>
      </w:r>
      <w:r>
        <w:rPr>
          <w:w w:val="100"/>
        </w:rPr>
        <w:t> </w:t>
      </w:r>
      <w:r>
        <w:rPr>
          <w:spacing w:val="-3"/>
        </w:rPr>
        <w:t>为进行企业合并发生的审计、法律服务、评估咨询等中介费用以及其他相关管理费用，于发生时</w:t>
      </w:r>
      <w:r>
        <w:rPr>
          <w:spacing w:val="-19"/>
        </w:rPr>
        <w:t> </w:t>
      </w:r>
      <w:r>
        <w:rPr>
          <w:spacing w:val="-19"/>
        </w:rPr>
      </w:r>
      <w:r>
        <w:rPr>
          <w:spacing w:val="-3"/>
        </w:rPr>
        <w:t>计入当期损益。作为合并对价发行的权益性证券或债务性证券的交易费用，计入权益性证券或债</w:t>
      </w:r>
      <w:r>
        <w:rPr>
          <w:spacing w:val="-17"/>
        </w:rPr>
        <w:t> </w:t>
      </w:r>
      <w:r>
        <w:rPr>
          <w:spacing w:val="-17"/>
        </w:rPr>
      </w:r>
      <w:r>
        <w:rPr/>
        <w:t>务性证券的初始确认金额。</w:t>
      </w:r>
    </w:p>
    <w:p>
      <w:pPr>
        <w:spacing w:line="240" w:lineRule="auto" w:before="3"/>
        <w:rPr>
          <w:rFonts w:ascii="宋体" w:hAnsi="宋体" w:cs="宋体" w:eastAsia="宋体" w:hint="default"/>
          <w:sz w:val="25"/>
          <w:szCs w:val="25"/>
        </w:rPr>
      </w:pPr>
    </w:p>
    <w:p>
      <w:pPr>
        <w:pStyle w:val="Heading5"/>
        <w:tabs>
          <w:tab w:pos="578" w:val="left" w:leader="none"/>
        </w:tabs>
        <w:spacing w:line="240" w:lineRule="auto"/>
        <w:ind w:left="152" w:right="296"/>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95" w:val="left" w:leader="none"/>
        </w:tabs>
        <w:spacing w:line="240" w:lineRule="auto" w:before="58"/>
        <w:ind w:left="152" w:right="296"/>
        <w:jc w:val="left"/>
      </w:pPr>
      <w:r>
        <w:rPr/>
        <w:t>√适用</w:t>
        <w:tab/>
        <w:t>□不适用</w:t>
      </w:r>
    </w:p>
    <w:p>
      <w:pPr>
        <w:spacing w:after="0" w:line="240" w:lineRule="auto"/>
        <w:jc w:val="left"/>
        <w:sectPr>
          <w:pgSz w:w="11910" w:h="16850"/>
          <w:pgMar w:header="762" w:footer="941" w:top="1000" w:bottom="1140" w:left="980" w:right="1680"/>
        </w:sectPr>
      </w:pPr>
    </w:p>
    <w:p>
      <w:pPr>
        <w:pStyle w:val="BodyText"/>
        <w:spacing w:line="237" w:lineRule="auto" w:before="95"/>
        <w:ind w:left="152" w:right="191"/>
        <w:jc w:val="left"/>
      </w:pPr>
      <w:r>
        <w:rPr/>
        <w:t>（</w:t>
      </w:r>
      <w:r>
        <w:rPr>
          <w:rFonts w:ascii="宋体" w:hAnsi="宋体" w:cs="宋体" w:eastAsia="宋体" w:hint="default"/>
        </w:rPr>
        <w:t>1</w:t>
      </w:r>
      <w:r>
        <w:rPr/>
        <w:t>）合并范围</w:t>
      </w:r>
      <w:r>
        <w:rPr>
          <w:w w:val="100"/>
        </w:rPr>
        <w:t> </w:t>
      </w:r>
      <w:r>
        <w:rPr/>
        <w:t>合并财务报表的合并范围以控制为基础予以确定。控制，是指本公司拥有对被投资单位的权力，</w:t>
      </w:r>
      <w:r>
        <w:rPr>
          <w:spacing w:val="-40"/>
        </w:rPr>
        <w:t> </w:t>
      </w:r>
      <w:r>
        <w:rPr>
          <w:spacing w:val="-40"/>
        </w:rPr>
      </w:r>
      <w:r>
        <w:rPr>
          <w:spacing w:val="-3"/>
        </w:rPr>
        <w:t>通过参与被投资单位的相关活动而享有可变回报，并且有能力运用对被投资单位的权力影响其回</w:t>
      </w:r>
      <w:r>
        <w:rPr>
          <w:spacing w:val="-17"/>
        </w:rPr>
        <w:t> </w:t>
      </w:r>
      <w:r>
        <w:rPr>
          <w:spacing w:val="-17"/>
        </w:rPr>
      </w:r>
      <w:r>
        <w:rPr/>
        <w:t>报金额。子公司，是指被本公司控制的企业。</w:t>
      </w:r>
    </w:p>
    <w:p>
      <w:pPr>
        <w:pStyle w:val="BodyText"/>
        <w:spacing w:line="237" w:lineRule="auto"/>
        <w:ind w:left="152" w:right="296"/>
        <w:jc w:val="left"/>
      </w:pPr>
      <w:r>
        <w:rPr/>
        <w:t>（</w:t>
      </w:r>
      <w:r>
        <w:rPr>
          <w:rFonts w:ascii="宋体" w:hAnsi="宋体" w:cs="宋体" w:eastAsia="宋体" w:hint="default"/>
        </w:rPr>
        <w:t>2</w:t>
      </w:r>
      <w:r>
        <w:rPr/>
        <w:t>）合并财务报表的编制方法</w:t>
      </w:r>
      <w:r>
        <w:rPr>
          <w:w w:val="100"/>
        </w:rPr>
        <w:t> </w:t>
      </w:r>
      <w:r>
        <w:rPr>
          <w:spacing w:val="-3"/>
        </w:rPr>
        <w:t>合并财务报表以本公司和子公司的财务报表为基础，根据其他有关资料，由本公司编制。在编制</w:t>
      </w:r>
      <w:r>
        <w:rPr>
          <w:spacing w:val="-19"/>
        </w:rPr>
        <w:t> </w:t>
      </w:r>
      <w:r>
        <w:rPr>
          <w:spacing w:val="-19"/>
        </w:rPr>
      </w:r>
      <w:r>
        <w:rPr>
          <w:spacing w:val="-3"/>
        </w:rPr>
        <w:t>合并财务报表时，本公司和子公司的会计政策和会计期间要求保持一致，公司间的重大交易和往</w:t>
      </w:r>
      <w:r>
        <w:rPr>
          <w:spacing w:val="-17"/>
        </w:rPr>
        <w:t> </w:t>
      </w:r>
      <w:r>
        <w:rPr>
          <w:spacing w:val="-17"/>
        </w:rPr>
      </w:r>
      <w:r>
        <w:rPr/>
        <w:t>来余额予以抵销。</w:t>
      </w:r>
      <w:r>
        <w:rPr>
          <w:w w:val="100"/>
        </w:rPr>
        <w:t> </w:t>
      </w:r>
      <w:r>
        <w:rPr>
          <w:spacing w:val="-3"/>
        </w:rPr>
        <w:t>在报告期内因非同一控制下企业合并增加的子公司以及业务，将该子公司以及业务自购买日至报</w:t>
      </w:r>
      <w:r>
        <w:rPr>
          <w:spacing w:val="-18"/>
        </w:rPr>
        <w:t> </w:t>
      </w:r>
      <w:r>
        <w:rPr>
          <w:spacing w:val="-18"/>
        </w:rPr>
      </w:r>
      <w:r>
        <w:rPr/>
        <w:t>告期末的收入、费用、利润纳入合并利润表，将其现金流量纳入合并现金流量表。</w:t>
      </w:r>
      <w:r>
        <w:rPr>
          <w:w w:val="100"/>
        </w:rPr>
        <w:t> </w:t>
      </w:r>
      <w:r>
        <w:rPr>
          <w:spacing w:val="-3"/>
        </w:rPr>
        <w:t>子公司的股东权益中不属于本公司所拥有的部分，作为少数股东权益在合并资产负债表中股东权</w:t>
      </w:r>
      <w:r>
        <w:rPr>
          <w:spacing w:val="-17"/>
        </w:rPr>
        <w:t> </w:t>
      </w:r>
      <w:r>
        <w:rPr>
          <w:spacing w:val="-17"/>
        </w:rPr>
      </w:r>
      <w:r>
        <w:rPr>
          <w:spacing w:val="-3"/>
        </w:rPr>
        <w:t>益项下单独列示；子公司当期净损益中属于少数股东权益的份额，在合并利润表中净利润项目下</w:t>
      </w:r>
      <w:r>
        <w:rPr>
          <w:spacing w:val="-17"/>
        </w:rPr>
        <w:t> </w:t>
      </w:r>
      <w:r>
        <w:rPr>
          <w:spacing w:val="-17"/>
        </w:rPr>
      </w:r>
      <w:r>
        <w:rPr>
          <w:spacing w:val="-3"/>
        </w:rPr>
        <w:t>以“少数股东损益”项目列示。少数股东分担的子公司的亏损超过了少数股东在该子公司期初所</w:t>
      </w:r>
      <w:r>
        <w:rPr>
          <w:spacing w:val="-19"/>
        </w:rPr>
        <w:t> </w:t>
      </w:r>
      <w:r>
        <w:rPr>
          <w:spacing w:val="-19"/>
        </w:rPr>
      </w:r>
      <w:r>
        <w:rPr/>
        <w:t>有者权益中所享有的份额，其余额仍冲减少数股东权益。</w:t>
      </w:r>
    </w:p>
    <w:p>
      <w:pPr>
        <w:spacing w:line="240" w:lineRule="auto" w:before="3"/>
        <w:rPr>
          <w:rFonts w:ascii="宋体" w:hAnsi="宋体" w:cs="宋体" w:eastAsia="宋体" w:hint="default"/>
          <w:sz w:val="25"/>
          <w:szCs w:val="25"/>
        </w:rPr>
      </w:pPr>
    </w:p>
    <w:p>
      <w:pPr>
        <w:pStyle w:val="Heading5"/>
        <w:tabs>
          <w:tab w:pos="578" w:val="left" w:leader="none"/>
        </w:tabs>
        <w:spacing w:line="240" w:lineRule="auto"/>
        <w:ind w:left="152" w:right="296"/>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95" w:val="left" w:leader="none"/>
        </w:tabs>
        <w:spacing w:line="240" w:lineRule="auto" w:before="56"/>
        <w:ind w:left="152" w:right="296"/>
        <w:jc w:val="left"/>
      </w:pPr>
      <w:r>
        <w:rPr/>
        <w:t>□适用</w:t>
        <w:tab/>
        <w:t>√不适用</w:t>
      </w:r>
    </w:p>
    <w:p>
      <w:pPr>
        <w:spacing w:line="240" w:lineRule="auto" w:before="3"/>
        <w:rPr>
          <w:rFonts w:ascii="宋体" w:hAnsi="宋体" w:cs="宋体" w:eastAsia="宋体" w:hint="default"/>
          <w:sz w:val="25"/>
          <w:szCs w:val="25"/>
        </w:rPr>
      </w:pPr>
    </w:p>
    <w:p>
      <w:pPr>
        <w:tabs>
          <w:tab w:pos="578" w:val="left" w:leader="none"/>
        </w:tabs>
        <w:spacing w:line="290" w:lineRule="auto" w:before="0"/>
        <w:ind w:left="152" w:right="4466"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现金是指库存现金以及可以随时用于支付的存款。</w:t>
      </w:r>
    </w:p>
    <w:p>
      <w:pPr>
        <w:pStyle w:val="BodyText"/>
        <w:spacing w:line="226" w:lineRule="exact"/>
        <w:ind w:left="152" w:right="296"/>
        <w:jc w:val="left"/>
      </w:pPr>
      <w:r>
        <w:rPr>
          <w:spacing w:val="-3"/>
        </w:rPr>
        <w:t>现金等价物是指企业持有的期限短（一般指从购买日起三个月内到期）、流动性强、易于转换为</w:t>
      </w:r>
    </w:p>
    <w:p>
      <w:pPr>
        <w:pStyle w:val="BodyText"/>
        <w:spacing w:line="274" w:lineRule="exact"/>
        <w:ind w:left="152" w:right="296"/>
        <w:jc w:val="left"/>
      </w:pPr>
      <w:r>
        <w:rPr/>
        <w:t>已知金额现金、价值变动风险很小的投资。</w:t>
      </w:r>
    </w:p>
    <w:p>
      <w:pPr>
        <w:spacing w:line="240" w:lineRule="auto" w:before="1"/>
        <w:rPr>
          <w:rFonts w:ascii="宋体" w:hAnsi="宋体" w:cs="宋体" w:eastAsia="宋体" w:hint="default"/>
          <w:sz w:val="25"/>
          <w:szCs w:val="25"/>
        </w:rPr>
      </w:pPr>
    </w:p>
    <w:p>
      <w:pPr>
        <w:pStyle w:val="Heading5"/>
        <w:tabs>
          <w:tab w:pos="578" w:val="left" w:leader="none"/>
        </w:tabs>
        <w:spacing w:line="240" w:lineRule="auto"/>
        <w:ind w:left="152" w:right="296"/>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95" w:val="left" w:leader="none"/>
        </w:tabs>
        <w:spacing w:line="273" w:lineRule="exact" w:before="58"/>
        <w:ind w:left="152" w:right="296"/>
        <w:jc w:val="left"/>
      </w:pPr>
      <w:r>
        <w:rPr/>
        <w:t>√适用</w:t>
        <w:tab/>
        <w:t>□不适用</w:t>
      </w:r>
    </w:p>
    <w:p>
      <w:pPr>
        <w:pStyle w:val="BodyText"/>
        <w:spacing w:line="272" w:lineRule="exact"/>
        <w:ind w:left="152" w:right="7399"/>
        <w:jc w:val="left"/>
      </w:pPr>
      <w:r>
        <w:rPr/>
        <w:t>（</w:t>
      </w:r>
      <w:r>
        <w:rPr>
          <w:rFonts w:ascii="宋体" w:hAnsi="宋体" w:cs="宋体" w:eastAsia="宋体" w:hint="default"/>
        </w:rPr>
        <w:t>1</w:t>
      </w:r>
      <w:r>
        <w:rPr/>
        <w:t>）外币业务</w:t>
      </w:r>
    </w:p>
    <w:p>
      <w:pPr>
        <w:pStyle w:val="BodyText"/>
        <w:spacing w:line="237" w:lineRule="auto" w:before="2"/>
        <w:ind w:left="152" w:right="191"/>
        <w:jc w:val="left"/>
      </w:pPr>
      <w:r>
        <w:rPr>
          <w:spacing w:val="-4"/>
        </w:rPr>
        <w:t>本公司发生外币业务，按业务发生当月</w:t>
      </w:r>
      <w:r>
        <w:rPr>
          <w:spacing w:val="-38"/>
        </w:rPr>
        <w:t> </w:t>
      </w:r>
      <w:r>
        <w:rPr>
          <w:rFonts w:ascii="宋体" w:hAnsi="宋体" w:cs="宋体" w:eastAsia="宋体" w:hint="default"/>
        </w:rPr>
        <w:t>1</w:t>
      </w:r>
      <w:r>
        <w:rPr>
          <w:rFonts w:ascii="宋体" w:hAnsi="宋体" w:cs="宋体" w:eastAsia="宋体" w:hint="default"/>
          <w:spacing w:val="-42"/>
        </w:rPr>
        <w:t> </w:t>
      </w:r>
      <w:r>
        <w:rPr/>
        <w:t>日中国人民银行授权中国外汇交易中心公布的人民币汇</w:t>
      </w:r>
      <w:r>
        <w:rPr>
          <w:spacing w:val="-100"/>
        </w:rPr>
        <w:t> </w:t>
      </w:r>
      <w:r>
        <w:rPr>
          <w:spacing w:val="-100"/>
        </w:rPr>
      </w:r>
      <w:r>
        <w:rPr/>
        <w:t>率中间价折合为人民币记账。</w:t>
      </w:r>
      <w:r>
        <w:rPr>
          <w:w w:val="100"/>
        </w:rPr>
        <w:t> </w:t>
      </w:r>
      <w:r>
        <w:rPr>
          <w:spacing w:val="-3"/>
        </w:rPr>
        <w:t>资产负债表日，对外币货币性项目，采用中国人民银行授权中国外汇交易中心公布的人民币汇率</w:t>
      </w:r>
      <w:r>
        <w:rPr>
          <w:spacing w:val="-17"/>
        </w:rPr>
        <w:t> </w:t>
      </w:r>
      <w:r>
        <w:rPr>
          <w:spacing w:val="-17"/>
        </w:rPr>
      </w:r>
      <w:r>
        <w:rPr>
          <w:spacing w:val="-3"/>
        </w:rPr>
        <w:t>中间价折算。由此产生的汇兑损益，除属于符合资本化条件的资产的购建的，应当予以资本化计</w:t>
      </w:r>
      <w:r>
        <w:rPr>
          <w:spacing w:val="-22"/>
        </w:rPr>
        <w:t> </w:t>
      </w:r>
      <w:r>
        <w:rPr>
          <w:spacing w:val="-22"/>
        </w:rPr>
      </w:r>
      <w:r>
        <w:rPr>
          <w:spacing w:val="-3"/>
        </w:rPr>
        <w:t>入相关资产成本外，其余计入当期损益。对以历史成本计量的外币非货币性项目，仍采用交易发</w:t>
      </w:r>
      <w:r>
        <w:rPr>
          <w:spacing w:val="-22"/>
        </w:rPr>
        <w:t> </w:t>
      </w:r>
      <w:r>
        <w:rPr>
          <w:spacing w:val="-22"/>
        </w:rPr>
      </w:r>
      <w:r>
        <w:rPr>
          <w:spacing w:val="-3"/>
        </w:rPr>
        <w:t>生日中国人民银行授权中国外汇交易中心公布的人民币汇率中间价折算，不改变其记账本位币金</w:t>
      </w:r>
      <w:r>
        <w:rPr>
          <w:spacing w:val="-17"/>
        </w:rPr>
        <w:t> </w:t>
      </w:r>
      <w:r>
        <w:rPr>
          <w:spacing w:val="-17"/>
        </w:rPr>
      </w:r>
      <w:r>
        <w:rPr/>
        <w:t>额。</w:t>
      </w:r>
    </w:p>
    <w:p>
      <w:pPr>
        <w:pStyle w:val="BodyText"/>
        <w:spacing w:line="237" w:lineRule="auto"/>
        <w:ind w:left="152" w:right="191"/>
        <w:jc w:val="left"/>
      </w:pPr>
      <w:r>
        <w:rPr/>
        <w:t>（</w:t>
      </w:r>
      <w:r>
        <w:rPr>
          <w:rFonts w:ascii="宋体" w:hAnsi="宋体" w:cs="宋体" w:eastAsia="宋体" w:hint="default"/>
        </w:rPr>
        <w:t>2</w:t>
      </w:r>
      <w:r>
        <w:rPr/>
        <w:t>）外币财务报表的折算</w:t>
      </w:r>
      <w:r>
        <w:rPr>
          <w:w w:val="100"/>
        </w:rPr>
        <w:t> </w:t>
      </w:r>
      <w:r>
        <w:rPr>
          <w:spacing w:val="-3"/>
        </w:rPr>
        <w:t>资产负债表日，对境外子公司外币财务报表进行折算时，资产负债表中的资产和负债项目，采用</w:t>
      </w:r>
      <w:r>
        <w:rPr>
          <w:spacing w:val="-22"/>
        </w:rPr>
        <w:t> </w:t>
      </w:r>
      <w:r>
        <w:rPr>
          <w:spacing w:val="-22"/>
        </w:rPr>
      </w:r>
      <w:r>
        <w:rPr>
          <w:spacing w:val="-3"/>
        </w:rPr>
        <w:t>资产负债表日中国人民银行授权中国外汇交易中心公布的中间价折算，股东权益项目除“未分配</w:t>
      </w:r>
      <w:r>
        <w:rPr>
          <w:spacing w:val="-17"/>
        </w:rPr>
        <w:t> </w:t>
      </w:r>
      <w:r>
        <w:rPr>
          <w:spacing w:val="-17"/>
        </w:rPr>
      </w:r>
      <w:r>
        <w:rPr/>
        <w:t>利润”外，其他项目采用中国人民银行授权中国外汇交易中心公布的中间价折算。</w:t>
      </w:r>
      <w:r>
        <w:rPr>
          <w:w w:val="100"/>
        </w:rPr>
        <w:t> </w:t>
      </w:r>
      <w:r>
        <w:rPr/>
        <w:t>利润表中的收入和费用项目，采用中国人民银行授权中国外汇交易中心公布的中间价折算折算。</w:t>
      </w:r>
      <w:r>
        <w:rPr>
          <w:spacing w:val="-40"/>
        </w:rPr>
        <w:t> </w:t>
      </w:r>
      <w:r>
        <w:rPr>
          <w:spacing w:val="-40"/>
        </w:rPr>
      </w:r>
      <w:r>
        <w:rPr>
          <w:spacing w:val="-3"/>
        </w:rPr>
        <w:t>现金流量表所有项目均按照中国人民银行授权中国外汇交易中心公布的中间价折算。汇率变动对</w:t>
      </w:r>
      <w:r>
        <w:rPr>
          <w:spacing w:val="-17"/>
        </w:rPr>
        <w:t> </w:t>
      </w:r>
      <w:r>
        <w:rPr>
          <w:spacing w:val="-17"/>
        </w:rPr>
      </w:r>
      <w:r>
        <w:rPr/>
        <w:t>现金的影响额作为调节项目，在现金流量表中单独列示“汇率变动对现金及现金等价物的影响”</w:t>
      </w:r>
      <w:r>
        <w:rPr>
          <w:spacing w:val="-43"/>
        </w:rPr>
        <w:t> </w:t>
      </w:r>
      <w:r>
        <w:rPr>
          <w:spacing w:val="-43"/>
        </w:rPr>
      </w:r>
      <w:r>
        <w:rPr/>
        <w:t>项目反映。</w:t>
      </w:r>
      <w:r>
        <w:rPr>
          <w:spacing w:val="-102"/>
        </w:rPr>
        <w:t> </w:t>
      </w:r>
      <w:r>
        <w:rPr>
          <w:spacing w:val="-102"/>
        </w:rPr>
      </w:r>
      <w:r>
        <w:rPr/>
        <w:t>由于财务报表折算而产生的差额，在资产负债表股东权益项目下的“其他综合收益”项目反映。</w:t>
      </w:r>
      <w:r>
        <w:rPr>
          <w:spacing w:val="-39"/>
        </w:rPr>
        <w:t> </w:t>
      </w:r>
      <w:r>
        <w:rPr>
          <w:spacing w:val="-39"/>
        </w:rPr>
      </w:r>
      <w:r>
        <w:rPr>
          <w:spacing w:val="-3"/>
        </w:rPr>
        <w:t>处置境外经营并丧失控制权时，将资产负债表中股东权益项目下列示的、与该境外经营相关的外</w:t>
      </w:r>
      <w:r>
        <w:rPr>
          <w:spacing w:val="-17"/>
        </w:rPr>
        <w:t> </w:t>
      </w:r>
      <w:r>
        <w:rPr>
          <w:spacing w:val="-17"/>
        </w:rPr>
      </w:r>
      <w:r>
        <w:rPr/>
        <w:t>币报表折算差额，全部或按处置该境外经营的比例转入处置当期损益。</w:t>
      </w:r>
    </w:p>
    <w:p>
      <w:pPr>
        <w:spacing w:line="240" w:lineRule="auto" w:before="4"/>
        <w:rPr>
          <w:rFonts w:ascii="宋体" w:hAnsi="宋体" w:cs="宋体" w:eastAsia="宋体" w:hint="default"/>
          <w:sz w:val="25"/>
          <w:szCs w:val="25"/>
        </w:rPr>
      </w:pPr>
    </w:p>
    <w:p>
      <w:pPr>
        <w:pStyle w:val="Heading5"/>
        <w:spacing w:line="240" w:lineRule="auto"/>
        <w:ind w:left="152" w:right="7399"/>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95" w:val="left" w:leader="none"/>
        </w:tabs>
        <w:spacing w:line="240" w:lineRule="auto" w:before="56"/>
        <w:ind w:left="152" w:right="894"/>
        <w:jc w:val="left"/>
      </w:pPr>
      <w:r>
        <w:rPr/>
        <w:t>√适用</w:t>
        <w:tab/>
        <w:t>□不适用</w:t>
      </w:r>
      <w:r>
        <w:rPr>
          <w:w w:val="100"/>
        </w:rPr>
        <w:t> </w:t>
      </w:r>
      <w:r>
        <w:rPr>
          <w:spacing w:val="-2"/>
        </w:rPr>
        <w:t>金融工具是指形成一个企业的金融资产，并形成其他单位的金融负债或权益工具的合同。</w:t>
      </w:r>
    </w:p>
    <w:p>
      <w:pPr>
        <w:pStyle w:val="BodyText"/>
        <w:spacing w:line="237" w:lineRule="auto"/>
        <w:ind w:left="152" w:right="296"/>
        <w:jc w:val="left"/>
      </w:pPr>
      <w:r>
        <w:rPr/>
        <w:t>（</w:t>
      </w:r>
      <w:r>
        <w:rPr>
          <w:rFonts w:ascii="宋体" w:hAnsi="宋体" w:cs="宋体" w:eastAsia="宋体" w:hint="default"/>
        </w:rPr>
        <w:t>1</w:t>
      </w:r>
      <w:r>
        <w:rPr/>
        <w:t>）金融工具的确认和终止确认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p>
    <w:p>
      <w:pPr>
        <w:spacing w:after="0" w:line="237" w:lineRule="auto"/>
        <w:jc w:val="left"/>
        <w:sectPr>
          <w:pgSz w:w="11910" w:h="16850"/>
          <w:pgMar w:header="762" w:footer="941" w:top="1000" w:bottom="1140" w:left="980" w:right="1680"/>
        </w:sectPr>
      </w:pPr>
    </w:p>
    <w:p>
      <w:pPr>
        <w:pStyle w:val="BodyText"/>
        <w:spacing w:line="274" w:lineRule="exact" w:before="93"/>
        <w:ind w:left="152" w:right="296"/>
        <w:jc w:val="left"/>
      </w:pPr>
      <w:r>
        <w:rPr/>
        <w:t>①</w:t>
      </w:r>
      <w:r>
        <w:rPr>
          <w:spacing w:val="-2"/>
        </w:rPr>
        <w:t> </w:t>
      </w:r>
      <w:r>
        <w:rPr/>
        <w:t>收取该金融资产现金流量的合同权利终止；</w:t>
      </w:r>
    </w:p>
    <w:p>
      <w:pPr>
        <w:pStyle w:val="BodyText"/>
        <w:spacing w:line="237" w:lineRule="auto" w:before="2"/>
        <w:ind w:left="152" w:right="296"/>
        <w:jc w:val="left"/>
      </w:pPr>
      <w:r>
        <w:rPr/>
        <w:t>② 该金融资产已转移，且符合下述金融资产转移的终止确认条件。</w:t>
      </w:r>
      <w:r>
        <w:rPr>
          <w:w w:val="100"/>
        </w:rPr>
        <w:t> </w:t>
      </w:r>
      <w:r>
        <w:rPr>
          <w:spacing w:val="-8"/>
          <w:w w:val="100"/>
        </w:rPr>
        <w:t>金融负债的现时义务全部或部分已经解除的，终止确认该金融负债或其一部分。本公司（债务人）</w:t>
      </w:r>
      <w:r>
        <w:rPr>
          <w:spacing w:val="-68"/>
          <w:w w:val="100"/>
        </w:rPr>
        <w:t> </w:t>
      </w:r>
      <w:r>
        <w:rPr>
          <w:spacing w:val="-68"/>
          <w:w w:val="100"/>
        </w:rPr>
      </w:r>
      <w:r>
        <w:rPr>
          <w:spacing w:val="-3"/>
        </w:rPr>
        <w:t>与债权人之间签订协议，以承担新金融负债方式替换现存金融负债，且新金融负债与现存金融负</w:t>
      </w:r>
      <w:r>
        <w:rPr>
          <w:spacing w:val="-17"/>
        </w:rPr>
        <w:t> </w:t>
      </w:r>
      <w:r>
        <w:rPr>
          <w:spacing w:val="-17"/>
        </w:rPr>
      </w:r>
      <w:r>
        <w:rPr/>
        <w:t>债的合同条款实质上不同的，终止确认现存金融负债，并同时确认新金融负债。</w:t>
      </w:r>
      <w:r>
        <w:rPr>
          <w:w w:val="100"/>
        </w:rPr>
        <w:t> </w:t>
      </w:r>
      <w:r>
        <w:rPr/>
        <w:t>以常规方式买卖金融资产，按交易日进行会计确认和终止确认。</w:t>
      </w:r>
    </w:p>
    <w:p>
      <w:pPr>
        <w:pStyle w:val="BodyText"/>
        <w:spacing w:line="237" w:lineRule="auto"/>
        <w:ind w:left="152" w:right="296"/>
        <w:jc w:val="left"/>
      </w:pPr>
      <w:r>
        <w:rPr/>
        <w:t>（</w:t>
      </w:r>
      <w:r>
        <w:rPr>
          <w:rFonts w:ascii="宋体" w:hAnsi="宋体" w:cs="宋体" w:eastAsia="宋体" w:hint="default"/>
        </w:rPr>
        <w:t>2</w:t>
      </w:r>
      <w:r>
        <w:rPr/>
        <w:t>）金融资产分类和计量</w:t>
      </w:r>
      <w:r>
        <w:rPr>
          <w:w w:val="100"/>
        </w:rPr>
        <w:t> </w:t>
      </w:r>
      <w:r>
        <w:rPr>
          <w:spacing w:val="-3"/>
        </w:rPr>
        <w:t>本公司的金融资产于初始确认时分为以下三类：以公允价值计量且其变动计入当期损益的金融资</w:t>
      </w:r>
      <w:r>
        <w:rPr>
          <w:spacing w:val="-17"/>
        </w:rPr>
        <w:t> </w:t>
      </w:r>
      <w:r>
        <w:rPr>
          <w:spacing w:val="-17"/>
        </w:rPr>
      </w:r>
      <w:r>
        <w:rPr>
          <w:spacing w:val="-3"/>
        </w:rPr>
        <w:t>产、贷款和应收款项、可供出售金融资产。金融资产在初始确认时以公允价值计量。对于以公允</w:t>
      </w:r>
      <w:r>
        <w:rPr>
          <w:spacing w:val="-21"/>
        </w:rPr>
        <w:t> </w:t>
      </w:r>
      <w:r>
        <w:rPr>
          <w:spacing w:val="-21"/>
        </w:rPr>
      </w:r>
      <w:r>
        <w:rPr>
          <w:spacing w:val="-3"/>
        </w:rPr>
        <w:t>价值计量且其变动计入当期损益的金融资产，相关交易费用直接计入当期损益，其他类别的金融</w:t>
      </w:r>
      <w:r>
        <w:rPr>
          <w:spacing w:val="-17"/>
        </w:rPr>
        <w:t> </w:t>
      </w:r>
      <w:r>
        <w:rPr>
          <w:spacing w:val="-17"/>
        </w:rPr>
      </w:r>
      <w:r>
        <w:rPr/>
        <w:t>资产相关交易费用计入其初始确认金额。</w:t>
      </w:r>
    </w:p>
    <w:p>
      <w:pPr>
        <w:pStyle w:val="BodyText"/>
        <w:spacing w:line="237" w:lineRule="auto" w:before="1"/>
        <w:ind w:left="152" w:right="191"/>
        <w:jc w:val="left"/>
      </w:pPr>
      <w:r>
        <w:rPr/>
        <w:t>以公允价值计量且其变动计入当期损益的金融资产</w:t>
      </w:r>
      <w:r>
        <w:rPr>
          <w:w w:val="100"/>
        </w:rPr>
        <w:t> </w:t>
      </w:r>
      <w:r>
        <w:rPr>
          <w:spacing w:val="-3"/>
        </w:rPr>
        <w:t>以公允价值计量且其变动计入当期损益的金融资产，包括交易性金融资产和初始确认时指定为以</w:t>
      </w:r>
      <w:r>
        <w:rPr>
          <w:spacing w:val="-18"/>
        </w:rPr>
        <w:t> </w:t>
      </w:r>
      <w:r>
        <w:rPr>
          <w:spacing w:val="-18"/>
        </w:rPr>
      </w:r>
      <w:r>
        <w:rPr>
          <w:spacing w:val="-3"/>
        </w:rPr>
        <w:t>公允价值计量且其变动计入当期损益的金融资产。对于此类金融资产，采用公允价值进行后续计</w:t>
      </w:r>
      <w:r>
        <w:rPr>
          <w:spacing w:val="-17"/>
        </w:rPr>
        <w:t> </w:t>
      </w:r>
      <w:r>
        <w:rPr>
          <w:spacing w:val="-17"/>
        </w:rPr>
      </w:r>
      <w:r>
        <w:rPr/>
        <w:t>量，公允价值变动形成的利得或损失以及与该等金融资产相关的股利和利息收入计入当期损益。</w:t>
      </w:r>
      <w:r>
        <w:rPr>
          <w:spacing w:val="-40"/>
        </w:rPr>
        <w:t> </w:t>
      </w:r>
      <w:r>
        <w:rPr>
          <w:spacing w:val="-40"/>
        </w:rPr>
      </w:r>
      <w:r>
        <w:rPr/>
        <w:t>应收款项</w:t>
      </w:r>
      <w:r>
        <w:rPr>
          <w:w w:val="100"/>
        </w:rPr>
        <w:t> </w:t>
      </w:r>
      <w:r>
        <w:rPr>
          <w:spacing w:val="-3"/>
        </w:rPr>
        <w:t>应收款项，是指在活跃市场中没有报价、回收金额固定或可确定的非衍生金融资产，包括应收账</w:t>
      </w:r>
      <w:r>
        <w:rPr>
          <w:spacing w:val="-22"/>
        </w:rPr>
        <w:t> </w:t>
      </w:r>
      <w:r>
        <w:rPr>
          <w:spacing w:val="-22"/>
        </w:rPr>
      </w:r>
      <w:r>
        <w:rPr>
          <w:spacing w:val="-3"/>
        </w:rPr>
        <w:t>款和其他应收款等（附注五、</w:t>
      </w:r>
      <w:r>
        <w:rPr>
          <w:rFonts w:ascii="宋体" w:hAnsi="宋体" w:cs="宋体" w:eastAsia="宋体" w:hint="default"/>
          <w:spacing w:val="-3"/>
        </w:rPr>
        <w:t>11</w:t>
      </w:r>
      <w:r>
        <w:rPr>
          <w:spacing w:val="-3"/>
        </w:rPr>
        <w:t>）。应收款项采用实际利率法，按摊余成本进行后续计量，在终</w:t>
      </w:r>
      <w:r>
        <w:rPr>
          <w:spacing w:val="-22"/>
        </w:rPr>
        <w:t> </w:t>
      </w:r>
      <w:r>
        <w:rPr>
          <w:spacing w:val="-22"/>
        </w:rPr>
      </w:r>
      <w:r>
        <w:rPr/>
        <w:t>止确认、发生减值或摊销时产生的利得或损失，计入当期损益。</w:t>
      </w:r>
    </w:p>
    <w:p>
      <w:pPr>
        <w:pStyle w:val="BodyText"/>
        <w:spacing w:line="237" w:lineRule="auto" w:before="1"/>
        <w:ind w:left="152" w:right="296"/>
        <w:jc w:val="left"/>
      </w:pPr>
      <w:r>
        <w:rPr/>
        <w:t>可供出售金融资产</w:t>
      </w:r>
      <w:r>
        <w:rPr>
          <w:w w:val="100"/>
        </w:rPr>
        <w:t> </w:t>
      </w:r>
      <w:r>
        <w:rPr>
          <w:spacing w:val="-3"/>
        </w:rPr>
        <w:t>可供出售金融资产，是指初始确认时即指定为可供出售的非衍生金融资产，以及除上述金融资产</w:t>
      </w:r>
      <w:r>
        <w:rPr>
          <w:spacing w:val="-17"/>
        </w:rPr>
        <w:t> </w:t>
      </w:r>
      <w:r>
        <w:rPr>
          <w:spacing w:val="-17"/>
        </w:rPr>
      </w:r>
      <w:r>
        <w:rPr>
          <w:spacing w:val="-3"/>
        </w:rPr>
        <w:t>类别以外的金融资产。可供出售金融资产采用公允价值进行后续计量，其折溢价采用实际利率法</w:t>
      </w:r>
      <w:r>
        <w:rPr>
          <w:spacing w:val="-17"/>
        </w:rPr>
        <w:t> </w:t>
      </w:r>
      <w:r>
        <w:rPr>
          <w:spacing w:val="-17"/>
        </w:rPr>
      </w:r>
      <w:r>
        <w:rPr>
          <w:spacing w:val="-3"/>
        </w:rPr>
        <w:t>摊销并确认为利息收入。除减值损失及外币货币性金融资产的汇兑差额确认为当期损益外，可供</w:t>
      </w:r>
      <w:r>
        <w:rPr>
          <w:spacing w:val="-17"/>
        </w:rPr>
        <w:t> </w:t>
      </w:r>
      <w:r>
        <w:rPr>
          <w:spacing w:val="-17"/>
        </w:rPr>
      </w:r>
      <w:r>
        <w:rPr>
          <w:spacing w:val="-3"/>
        </w:rPr>
        <w:t>出售金融资产的公允价值变动确认为其他综合收益，在该金融资产终止确认时转出，计入当期损</w:t>
      </w:r>
      <w:r>
        <w:rPr>
          <w:spacing w:val="-17"/>
        </w:rPr>
        <w:t> </w:t>
      </w:r>
      <w:r>
        <w:rPr>
          <w:spacing w:val="-17"/>
        </w:rPr>
      </w:r>
      <w:r>
        <w:rPr/>
        <w:t>益。与可供出售金融资产相关的股利或利息收入，计入当期损益。</w:t>
      </w:r>
      <w:r>
        <w:rPr>
          <w:w w:val="100"/>
        </w:rPr>
        <w:t> </w:t>
      </w:r>
      <w:r>
        <w:rPr>
          <w:spacing w:val="-3"/>
        </w:rPr>
        <w:t>对于在活跃市场中没有报价且其公允价值不能可靠计量的权益工具投资，以及与该权益工具挂钩</w:t>
      </w:r>
      <w:r>
        <w:rPr>
          <w:spacing w:val="-17"/>
        </w:rPr>
        <w:t> </w:t>
      </w:r>
      <w:r>
        <w:rPr>
          <w:spacing w:val="-17"/>
        </w:rPr>
      </w:r>
      <w:r>
        <w:rPr/>
        <w:t>并须通过交付该权益工具结算的衍生金融资产，按成本计量。</w:t>
      </w:r>
    </w:p>
    <w:p>
      <w:pPr>
        <w:pStyle w:val="BodyText"/>
        <w:spacing w:line="237" w:lineRule="auto"/>
        <w:ind w:left="152" w:right="5306"/>
        <w:jc w:val="left"/>
      </w:pPr>
      <w:r>
        <w:rPr/>
        <w:t>（</w:t>
      </w:r>
      <w:r>
        <w:rPr>
          <w:rFonts w:ascii="宋体" w:hAnsi="宋体" w:cs="宋体" w:eastAsia="宋体" w:hint="default"/>
        </w:rPr>
        <w:t>3</w:t>
      </w:r>
      <w:r>
        <w:rPr/>
        <w:t>）金融负债分类和计量</w:t>
      </w:r>
      <w:r>
        <w:rPr>
          <w:w w:val="100"/>
        </w:rPr>
        <w:t> </w:t>
      </w:r>
      <w:r>
        <w:rPr>
          <w:spacing w:val="-2"/>
        </w:rPr>
        <w:t>本公司的金融负债系其他金融负债。</w:t>
      </w:r>
      <w:r>
        <w:rPr>
          <w:spacing w:val="-72"/>
        </w:rPr>
        <w:t> </w:t>
      </w:r>
      <w:r>
        <w:rPr>
          <w:spacing w:val="-72"/>
        </w:rPr>
      </w:r>
      <w:r>
        <w:rPr/>
        <w:t>其他金融负债</w:t>
      </w:r>
    </w:p>
    <w:p>
      <w:pPr>
        <w:pStyle w:val="BodyText"/>
        <w:spacing w:line="237" w:lineRule="auto" w:before="1"/>
        <w:ind w:left="152" w:right="296"/>
        <w:jc w:val="both"/>
      </w:pPr>
      <w:r>
        <w:rPr>
          <w:spacing w:val="-3"/>
        </w:rPr>
        <w:t>与在活跃市场中没有报价、公允价值不能可靠计量的权益工具挂钩并须通过交付该权益工具结算</w:t>
      </w:r>
      <w:r>
        <w:rPr>
          <w:spacing w:val="-18"/>
        </w:rPr>
        <w:t> </w:t>
      </w:r>
      <w:r>
        <w:rPr>
          <w:spacing w:val="-18"/>
        </w:rPr>
      </w:r>
      <w:r>
        <w:rPr>
          <w:spacing w:val="-3"/>
        </w:rPr>
        <w:t>的衍生金融负债，按照成本进行后续计量。其他金融负债采用实际利率法，按摊余成本进行后续</w:t>
      </w:r>
      <w:r>
        <w:rPr>
          <w:spacing w:val="-22"/>
        </w:rPr>
        <w:t> </w:t>
      </w:r>
      <w:r>
        <w:rPr>
          <w:spacing w:val="-22"/>
        </w:rPr>
      </w:r>
      <w:r>
        <w:rPr/>
        <w:t>计量，终止确认或摊销产生的利得或损失计入当期损益。</w:t>
      </w:r>
    </w:p>
    <w:p>
      <w:pPr>
        <w:pStyle w:val="BodyText"/>
        <w:spacing w:line="274" w:lineRule="exact" w:before="22"/>
        <w:ind w:left="152" w:right="3834"/>
        <w:jc w:val="left"/>
      </w:pPr>
      <w:r>
        <w:rPr/>
        <w:t>（</w:t>
      </w:r>
      <w:r>
        <w:rPr>
          <w:rFonts w:ascii="宋体" w:hAnsi="宋体" w:cs="宋体" w:eastAsia="宋体" w:hint="default"/>
        </w:rPr>
        <w:t>4</w:t>
      </w:r>
      <w:r>
        <w:rPr/>
        <w:t>）金融工具的公允价值</w:t>
      </w:r>
      <w:r>
        <w:rPr>
          <w:w w:val="100"/>
        </w:rPr>
        <w:t> </w:t>
      </w:r>
      <w:r>
        <w:rPr>
          <w:spacing w:val="-2"/>
        </w:rPr>
        <w:t>金融资产和金融负债的公允价值确定方法见附注五、</w:t>
      </w:r>
      <w:r>
        <w:rPr>
          <w:rFonts w:ascii="宋体" w:hAnsi="宋体" w:cs="宋体" w:eastAsia="宋体" w:hint="default"/>
          <w:spacing w:val="-2"/>
        </w:rPr>
        <w:t>10</w:t>
      </w:r>
      <w:r>
        <w:rPr>
          <w:spacing w:val="-2"/>
        </w:rPr>
        <w:t>。</w:t>
      </w:r>
    </w:p>
    <w:p>
      <w:pPr>
        <w:pStyle w:val="BodyText"/>
        <w:spacing w:line="246" w:lineRule="exact"/>
        <w:ind w:left="152" w:right="296"/>
        <w:jc w:val="left"/>
      </w:pPr>
      <w:r>
        <w:rPr/>
        <w:t>（</w:t>
      </w:r>
      <w:r>
        <w:rPr>
          <w:rFonts w:ascii="宋体" w:hAnsi="宋体" w:cs="宋体" w:eastAsia="宋体" w:hint="default"/>
        </w:rPr>
        <w:t>5</w:t>
      </w:r>
      <w:r>
        <w:rPr/>
        <w:t>）金融资产减值</w:t>
      </w:r>
    </w:p>
    <w:p>
      <w:pPr>
        <w:pStyle w:val="BodyText"/>
        <w:spacing w:line="237" w:lineRule="auto" w:before="2"/>
        <w:ind w:left="152" w:right="296"/>
        <w:jc w:val="left"/>
      </w:pPr>
      <w:r>
        <w:rPr>
          <w:spacing w:val="-3"/>
        </w:rPr>
        <w:t>除了以公允价值计量且其变动计入当期损益的金融资产外，本公司于资产负债表日对其他金融资</w:t>
      </w:r>
      <w:r>
        <w:rPr>
          <w:spacing w:val="-17"/>
        </w:rPr>
        <w:t> </w:t>
      </w:r>
      <w:r>
        <w:rPr>
          <w:spacing w:val="-17"/>
        </w:rPr>
      </w:r>
      <w:r>
        <w:rPr>
          <w:spacing w:val="-3"/>
        </w:rPr>
        <w:t>产的账面价值进行检查，有客观证据表明该金融资产发生减值的，计提减值准备。表明金融资产</w:t>
      </w:r>
      <w:r>
        <w:rPr>
          <w:spacing w:val="-22"/>
        </w:rPr>
        <w:t> </w:t>
      </w:r>
      <w:r>
        <w:rPr>
          <w:spacing w:val="-22"/>
        </w:rPr>
      </w:r>
      <w:r>
        <w:rPr>
          <w:spacing w:val="-3"/>
        </w:rPr>
        <w:t>发生减值的客观证据，是指金融资产初始确认后实际发生的、对该金融资产的预计未来现金流量</w:t>
      </w:r>
      <w:r>
        <w:rPr>
          <w:spacing w:val="-17"/>
        </w:rPr>
        <w:t> </w:t>
      </w:r>
      <w:r>
        <w:rPr>
          <w:spacing w:val="-17"/>
        </w:rPr>
      </w:r>
      <w:r>
        <w:rPr/>
        <w:t>有影响，且企业能够对该影响进行可靠计量的事项。</w:t>
      </w:r>
      <w:r>
        <w:rPr>
          <w:w w:val="100"/>
        </w:rPr>
        <w:t> </w:t>
      </w:r>
      <w:r>
        <w:rPr/>
        <w:t>金融资产发生减值的客观证据，包括下列可观察到的情形：</w:t>
      </w:r>
    </w:p>
    <w:p>
      <w:pPr>
        <w:pStyle w:val="BodyText"/>
        <w:spacing w:line="271" w:lineRule="exact"/>
        <w:ind w:left="152" w:right="296"/>
        <w:jc w:val="left"/>
      </w:pPr>
      <w:r>
        <w:rPr/>
        <w:t>①发行方或债务人发生严重财务困难；</w:t>
      </w:r>
    </w:p>
    <w:p>
      <w:pPr>
        <w:pStyle w:val="BodyText"/>
        <w:spacing w:line="272" w:lineRule="exact"/>
        <w:ind w:left="152" w:right="296"/>
        <w:jc w:val="left"/>
      </w:pPr>
      <w:r>
        <w:rPr/>
        <w:t>②债务人违反了合同条款，如偿付利息或本金发生违约或逾期等；</w:t>
      </w:r>
    </w:p>
    <w:p>
      <w:pPr>
        <w:pStyle w:val="BodyText"/>
        <w:spacing w:line="271" w:lineRule="exact"/>
        <w:ind w:left="152" w:right="296"/>
        <w:jc w:val="left"/>
      </w:pPr>
      <w:r>
        <w:rPr/>
        <w:t>③本公司出于经济或法律等方面因素的考虑，对发生财务困难的债务人作出让步；</w:t>
      </w:r>
    </w:p>
    <w:p>
      <w:pPr>
        <w:pStyle w:val="BodyText"/>
        <w:spacing w:line="272" w:lineRule="exact"/>
        <w:ind w:left="152" w:right="296"/>
        <w:jc w:val="left"/>
      </w:pPr>
      <w:r>
        <w:rPr/>
        <w:t>④债务人很可能倒闭或者进行其他财务重组；</w:t>
      </w:r>
    </w:p>
    <w:p>
      <w:pPr>
        <w:pStyle w:val="BodyText"/>
        <w:spacing w:line="272" w:lineRule="exact"/>
        <w:ind w:left="152" w:right="296"/>
        <w:jc w:val="left"/>
      </w:pPr>
      <w:r>
        <w:rPr/>
        <w:t>⑤因发行方发生重大财务困难，导致金融资产无法在活跃市场继续交易；</w:t>
      </w:r>
    </w:p>
    <w:p>
      <w:pPr>
        <w:pStyle w:val="BodyText"/>
        <w:spacing w:line="240" w:lineRule="auto"/>
        <w:ind w:left="152" w:right="296"/>
        <w:jc w:val="left"/>
      </w:pPr>
      <w:r>
        <w:rPr>
          <w:spacing w:val="-3"/>
        </w:rPr>
        <w:t>⑥无法辨认一组金融资产中的某项资产的现金流量是否已经减少，但根据公开的数据对其进行总</w:t>
      </w:r>
      <w:r>
        <w:rPr>
          <w:spacing w:val="-18"/>
        </w:rPr>
        <w:t> </w:t>
      </w:r>
      <w:r>
        <w:rPr>
          <w:spacing w:val="-18"/>
        </w:rPr>
      </w:r>
      <w:r>
        <w:rPr/>
        <w:t>体评价后发现，该组金融资产自初始确认以来的预计未来现金流量确已减少且可计量，包括：</w:t>
      </w:r>
    </w:p>
    <w:p>
      <w:pPr>
        <w:pStyle w:val="BodyText"/>
        <w:spacing w:line="271" w:lineRule="exact"/>
        <w:ind w:left="573" w:right="296"/>
        <w:jc w:val="left"/>
      </w:pPr>
      <w:r>
        <w:rPr>
          <w:rFonts w:ascii="宋体" w:hAnsi="宋体" w:cs="宋体" w:eastAsia="宋体" w:hint="default"/>
        </w:rPr>
        <w:t>-</w:t>
      </w:r>
      <w:r>
        <w:rPr>
          <w:rFonts w:ascii="宋体" w:hAnsi="宋体" w:cs="宋体" w:eastAsia="宋体" w:hint="default"/>
          <w:spacing w:val="-1"/>
        </w:rPr>
        <w:t> </w:t>
      </w:r>
      <w:r>
        <w:rPr/>
        <w:t>该组金融资产的债务人支付能力逐步恶化；</w:t>
      </w:r>
    </w:p>
    <w:p>
      <w:pPr>
        <w:pStyle w:val="BodyText"/>
        <w:spacing w:line="272" w:lineRule="exact"/>
        <w:ind w:left="573" w:right="296"/>
        <w:jc w:val="left"/>
      </w:pPr>
      <w:r>
        <w:rPr>
          <w:rFonts w:ascii="宋体" w:hAnsi="宋体" w:cs="宋体" w:eastAsia="宋体" w:hint="default"/>
        </w:rPr>
        <w:t>-</w:t>
      </w:r>
      <w:r>
        <w:rPr>
          <w:rFonts w:ascii="宋体" w:hAnsi="宋体" w:cs="宋体" w:eastAsia="宋体" w:hint="default"/>
          <w:spacing w:val="-5"/>
        </w:rPr>
        <w:t> </w:t>
      </w:r>
      <w:r>
        <w:rPr/>
        <w:t>债务人所在国家或地区经济出现了可能导致该组金融资产无法支付的状况；</w:t>
      </w:r>
    </w:p>
    <w:p>
      <w:pPr>
        <w:pStyle w:val="BodyText"/>
        <w:spacing w:line="240" w:lineRule="auto"/>
        <w:ind w:left="152" w:right="296"/>
        <w:jc w:val="left"/>
      </w:pPr>
      <w:r>
        <w:rPr>
          <w:spacing w:val="-3"/>
        </w:rPr>
        <w:t>⑦债务人经营所处的技术、市场、经济或法律环境等发生重大不利变化，使权益工具投资人可能</w:t>
      </w:r>
      <w:r>
        <w:rPr>
          <w:spacing w:val="-19"/>
        </w:rPr>
        <w:t> </w:t>
      </w:r>
      <w:r>
        <w:rPr>
          <w:spacing w:val="-19"/>
        </w:rPr>
      </w:r>
      <w:r>
        <w:rPr/>
        <w:t>无法收回投资成本；</w:t>
      </w:r>
    </w:p>
    <w:p>
      <w:pPr>
        <w:pStyle w:val="BodyText"/>
        <w:spacing w:line="271" w:lineRule="exact"/>
        <w:ind w:left="152" w:right="296"/>
        <w:jc w:val="left"/>
      </w:pPr>
      <w:r>
        <w:rPr/>
        <w:t>⑧其他表明金融资产发生减值的客观证据。</w:t>
      </w:r>
    </w:p>
    <w:p>
      <w:pPr>
        <w:spacing w:after="0" w:line="271" w:lineRule="exact"/>
        <w:jc w:val="left"/>
        <w:sectPr>
          <w:pgSz w:w="11910" w:h="16850"/>
          <w:pgMar w:header="762" w:footer="941" w:top="1000" w:bottom="1140" w:left="980" w:right="1680"/>
        </w:sectPr>
      </w:pPr>
    </w:p>
    <w:p>
      <w:pPr>
        <w:pStyle w:val="BodyText"/>
        <w:spacing w:line="240" w:lineRule="auto" w:before="93"/>
        <w:ind w:left="152" w:right="20"/>
        <w:jc w:val="left"/>
      </w:pPr>
      <w:r>
        <w:rPr/>
        <w:t>以摊余成本计量的金融资产</w:t>
      </w:r>
      <w:r>
        <w:rPr>
          <w:w w:val="100"/>
        </w:rPr>
        <w:t> </w:t>
      </w:r>
      <w:r>
        <w:rPr>
          <w:spacing w:val="-3"/>
        </w:rPr>
        <w:t>如果有客观证据表明该金融资产发生减值，则将该金融资产的账面价值减记至预计未来现金流量</w:t>
      </w:r>
    </w:p>
    <w:p>
      <w:pPr>
        <w:pStyle w:val="BodyText"/>
        <w:spacing w:line="237" w:lineRule="auto"/>
        <w:ind w:left="152" w:right="20"/>
        <w:jc w:val="left"/>
      </w:pPr>
      <w:r>
        <w:rPr>
          <w:spacing w:val="-3"/>
        </w:rPr>
        <w:t>（不包括尚未发生的未来信用损失）现值，减记金额计入当期损益。预计未来现金流量现值，按</w:t>
      </w:r>
      <w:r>
        <w:rPr>
          <w:spacing w:val="-22"/>
        </w:rPr>
        <w:t> </w:t>
      </w:r>
      <w:r>
        <w:rPr>
          <w:spacing w:val="-22"/>
        </w:rPr>
      </w:r>
      <w:r>
        <w:rPr/>
        <w:t>照该金融资产原实际利率折现确定，并考虑相关担保物的价值。</w:t>
      </w:r>
      <w:r>
        <w:rPr>
          <w:w w:val="100"/>
        </w:rPr>
        <w:t> </w:t>
      </w:r>
      <w:r>
        <w:rPr>
          <w:spacing w:val="-5"/>
        </w:rPr>
        <w:t>对单项金额重大的金融资产单独进行减值测试，如有客观证据表明其已发生减值，确认减值损失，</w:t>
      </w:r>
      <w:r>
        <w:rPr>
          <w:spacing w:val="-32"/>
        </w:rPr>
        <w:t> </w:t>
      </w:r>
      <w:r>
        <w:rPr>
          <w:spacing w:val="-32"/>
        </w:rPr>
      </w:r>
      <w:r>
        <w:rPr>
          <w:spacing w:val="-3"/>
        </w:rPr>
        <w:t>计入当期损益。对单项金额不重大的金融资产，单独进行减值测试或包括在具有类似信用风险特</w:t>
      </w:r>
      <w:r>
        <w:rPr>
          <w:spacing w:val="-17"/>
        </w:rPr>
        <w:t> </w:t>
      </w:r>
      <w:r>
        <w:rPr>
          <w:spacing w:val="-17"/>
        </w:rPr>
      </w:r>
      <w:r>
        <w:rPr>
          <w:spacing w:val="-3"/>
        </w:rPr>
        <w:t>征的金融资产组合中进行减值测试。单独测试未发生减值的金融资产（包括单项金额重大和不重</w:t>
      </w:r>
      <w:r>
        <w:rPr>
          <w:spacing w:val="-17"/>
        </w:rPr>
        <w:t> </w:t>
      </w:r>
      <w:r>
        <w:rPr>
          <w:spacing w:val="-17"/>
        </w:rPr>
      </w:r>
      <w:r>
        <w:rPr>
          <w:spacing w:val="-3"/>
        </w:rPr>
        <w:t>大的金融资产），包括在具有类似信用风险特征的金融资产组合中再进行减值测试。已单项确认</w:t>
      </w:r>
      <w:r>
        <w:rPr>
          <w:spacing w:val="-19"/>
        </w:rPr>
        <w:t> </w:t>
      </w:r>
      <w:r>
        <w:rPr>
          <w:spacing w:val="-19"/>
        </w:rPr>
      </w:r>
      <w:r>
        <w:rPr/>
        <w:t>减值损失的金融资产，不包括在具有类似信用风险特征的金融资产组合中进行减值测试。</w:t>
      </w:r>
      <w:r>
        <w:rPr>
          <w:w w:val="100"/>
        </w:rPr>
        <w:t> </w:t>
      </w:r>
      <w:r>
        <w:rPr>
          <w:spacing w:val="-3"/>
        </w:rPr>
        <w:t>本公司对以摊余成本计量的金融资产确认减值损失后，如有客观证据表明该金融资产价值已恢复，</w:t>
      </w:r>
      <w:r>
        <w:rPr>
          <w:spacing w:val="-16"/>
        </w:rPr>
        <w:t> </w:t>
      </w:r>
      <w:r>
        <w:rPr>
          <w:spacing w:val="-16"/>
        </w:rPr>
      </w:r>
      <w:r>
        <w:rPr/>
        <w:t>且客观上与确认该损失后发生的事项有关，原确认的减值损失予以转回，计入当期损益。但是，</w:t>
      </w:r>
      <w:r>
        <w:rPr>
          <w:spacing w:val="-40"/>
        </w:rPr>
        <w:t> </w:t>
      </w:r>
      <w:r>
        <w:rPr>
          <w:spacing w:val="-40"/>
        </w:rPr>
      </w:r>
      <w:r>
        <w:rPr/>
        <w:t>该转回后的账面价值不超过假定不计提减值准备情况下该金融资产在转回日的摊余成本。</w:t>
      </w:r>
      <w:r>
        <w:rPr>
          <w:w w:val="100"/>
        </w:rPr>
        <w:t> </w:t>
      </w:r>
      <w:r>
        <w:rPr/>
        <w:t>可供出售金融资产</w:t>
      </w:r>
      <w:r>
        <w:rPr>
          <w:w w:val="100"/>
        </w:rPr>
        <w:t> </w:t>
      </w:r>
      <w:r>
        <w:rPr>
          <w:spacing w:val="-3"/>
        </w:rPr>
        <w:t>如果有客观证据表明该金融资产发生减值，原直接计入其他综合收益的因公允价值下降形成的累</w:t>
      </w:r>
      <w:r>
        <w:rPr>
          <w:spacing w:val="-17"/>
        </w:rPr>
        <w:t> </w:t>
      </w:r>
      <w:r>
        <w:rPr>
          <w:spacing w:val="-17"/>
        </w:rPr>
      </w:r>
      <w:r>
        <w:rPr>
          <w:spacing w:val="-3"/>
        </w:rPr>
        <w:t>计损失，予以转出，计入当期损益。该转出的累计损失，为可供出售金融资产的初始取得成本扣</w:t>
      </w:r>
      <w:r>
        <w:rPr>
          <w:spacing w:val="-22"/>
        </w:rPr>
        <w:t> </w:t>
      </w:r>
      <w:r>
        <w:rPr>
          <w:spacing w:val="-22"/>
        </w:rPr>
      </w:r>
      <w:r>
        <w:rPr/>
        <w:t>除已收回本金和已摊销金额、当前公允价值和原已计入损益的减值损失后的余额。</w:t>
      </w:r>
      <w:r>
        <w:rPr>
          <w:w w:val="100"/>
        </w:rPr>
        <w:t> </w:t>
      </w:r>
      <w:r>
        <w:rPr>
          <w:spacing w:val="-3"/>
        </w:rPr>
        <w:t>对于已确认减值损失的可供出售债务工具，在随后的会计期间公允价值已上升且客观上与确认原</w:t>
      </w:r>
      <w:r>
        <w:rPr>
          <w:spacing w:val="-17"/>
        </w:rPr>
        <w:t> </w:t>
      </w:r>
      <w:r>
        <w:rPr>
          <w:spacing w:val="-17"/>
        </w:rPr>
      </w:r>
      <w:r>
        <w:rPr>
          <w:spacing w:val="-3"/>
        </w:rPr>
        <w:t>减值损失确认后发生的事项有关的，原确认的减值损失予以转回，计入当期损益。可供出售权益</w:t>
      </w:r>
      <w:r>
        <w:rPr>
          <w:spacing w:val="-22"/>
        </w:rPr>
        <w:t> </w:t>
      </w:r>
      <w:r>
        <w:rPr>
          <w:spacing w:val="-22"/>
        </w:rPr>
      </w:r>
      <w:r>
        <w:rPr/>
        <w:t>工具投资发生的减值损失，不通过损益转回。</w:t>
      </w:r>
    </w:p>
    <w:p>
      <w:pPr>
        <w:pStyle w:val="BodyText"/>
        <w:spacing w:line="237" w:lineRule="auto" w:before="1"/>
        <w:ind w:left="152" w:right="20"/>
        <w:jc w:val="left"/>
      </w:pPr>
      <w:r>
        <w:rPr/>
        <w:t>以成本计量的金融资产</w:t>
      </w:r>
      <w:r>
        <w:rPr>
          <w:w w:val="100"/>
        </w:rPr>
        <w:t> </w:t>
      </w:r>
      <w:r>
        <w:rPr>
          <w:spacing w:val="-3"/>
        </w:rPr>
        <w:t>在活跃市场中没有报价且其公允价值不能可靠计量的权益工具投资，或与该权益工具挂钩并须通</w:t>
      </w:r>
      <w:r>
        <w:rPr>
          <w:spacing w:val="-17"/>
        </w:rPr>
        <w:t> </w:t>
      </w:r>
      <w:r>
        <w:rPr>
          <w:spacing w:val="-17"/>
        </w:rPr>
      </w:r>
      <w:r>
        <w:rPr>
          <w:spacing w:val="-3"/>
        </w:rPr>
        <w:t>过交付该权益工具结算的衍生金融资产发生减值时，将该金融资产的账面价值，与按照类似金融</w:t>
      </w:r>
      <w:r>
        <w:rPr>
          <w:spacing w:val="-16"/>
        </w:rPr>
        <w:t> </w:t>
      </w:r>
      <w:r>
        <w:rPr>
          <w:spacing w:val="-16"/>
        </w:rPr>
      </w:r>
      <w:r>
        <w:rPr>
          <w:spacing w:val="-3"/>
        </w:rPr>
        <w:t>资产当时市场收益率对未来现金流量折现确定的现值之间的差额，确认为减值损失，计入当期损</w:t>
      </w:r>
      <w:r>
        <w:rPr>
          <w:spacing w:val="-17"/>
        </w:rPr>
        <w:t> </w:t>
      </w:r>
      <w:r>
        <w:rPr>
          <w:spacing w:val="-17"/>
        </w:rPr>
      </w:r>
      <w:r>
        <w:rPr/>
        <w:t>益。发生的减值损失一经确认，不得转回。</w:t>
      </w:r>
    </w:p>
    <w:p>
      <w:pPr>
        <w:pStyle w:val="BodyText"/>
        <w:spacing w:line="237" w:lineRule="auto" w:before="2"/>
        <w:ind w:left="152" w:right="20"/>
        <w:jc w:val="left"/>
      </w:pPr>
      <w:r>
        <w:rPr/>
        <w:t>（</w:t>
      </w:r>
      <w:r>
        <w:rPr>
          <w:rFonts w:ascii="宋体" w:hAnsi="宋体" w:cs="宋体" w:eastAsia="宋体" w:hint="default"/>
        </w:rPr>
        <w:t>6</w:t>
      </w:r>
      <w:r>
        <w:rPr/>
        <w:t>）金融资产转移</w:t>
      </w:r>
      <w:r>
        <w:rPr>
          <w:w w:val="100"/>
        </w:rPr>
        <w:t> </w:t>
      </w:r>
      <w:r>
        <w:rPr/>
        <w:t>金融资产转移，是指将金融资产让与或交付给该金融资产发行方以外的另一方（转入方）。</w:t>
      </w:r>
      <w:r>
        <w:rPr>
          <w:w w:val="100"/>
        </w:rPr>
        <w:t> </w:t>
      </w:r>
      <w:r>
        <w:rPr>
          <w:spacing w:val="-3"/>
        </w:rPr>
        <w:t>本公司已将金融资产所有权上几乎所有的风险和报酬转移给转入方的，终止确认该金融资产；保</w:t>
      </w:r>
      <w:r>
        <w:rPr>
          <w:spacing w:val="-17"/>
        </w:rPr>
        <w:t> </w:t>
      </w:r>
      <w:r>
        <w:rPr>
          <w:spacing w:val="-17"/>
        </w:rPr>
      </w:r>
      <w:r>
        <w:rPr/>
        <w:t>留了金融资产所有权上几乎所有的风险和报酬的，不终止确认该金融资产。</w:t>
      </w:r>
      <w:r>
        <w:rPr>
          <w:w w:val="100"/>
        </w:rPr>
        <w:t> </w:t>
      </w:r>
      <w:r>
        <w:rPr/>
        <w:t>本公司既没有转移也没有保留金融资产所有权上几乎所有的风险和报酬的，分别下列情况处理：</w:t>
      </w:r>
      <w:r>
        <w:rPr>
          <w:spacing w:val="-40"/>
        </w:rPr>
        <w:t> </w:t>
      </w:r>
      <w:r>
        <w:rPr>
          <w:spacing w:val="-40"/>
        </w:rPr>
      </w:r>
      <w:r>
        <w:rPr>
          <w:spacing w:val="-3"/>
        </w:rPr>
        <w:t>放弃了对该金融资产控制的，终止确认该金融资产并确认产生的资产和负债；未放弃对该金融资</w:t>
      </w:r>
      <w:r>
        <w:rPr>
          <w:spacing w:val="-17"/>
        </w:rPr>
        <w:t> </w:t>
      </w:r>
      <w:r>
        <w:rPr>
          <w:spacing w:val="-17"/>
        </w:rPr>
      </w:r>
      <w:r>
        <w:rPr/>
        <w:t>产控制的，按照其继续涉入所转移金融资产的程度确认有关金融资产，并相应确认有关负债。</w:t>
      </w:r>
    </w:p>
    <w:p>
      <w:pPr>
        <w:pStyle w:val="BodyText"/>
        <w:spacing w:line="237" w:lineRule="auto"/>
        <w:ind w:left="152" w:right="20"/>
        <w:jc w:val="left"/>
      </w:pPr>
      <w:r>
        <w:rPr/>
        <w:t>（</w:t>
      </w:r>
      <w:r>
        <w:rPr>
          <w:rFonts w:ascii="宋体" w:hAnsi="宋体" w:cs="宋体" w:eastAsia="宋体" w:hint="default"/>
        </w:rPr>
        <w:t>7</w:t>
      </w:r>
      <w:r>
        <w:rPr/>
        <w:t>）金融资产和金融负债的抵销</w:t>
      </w:r>
      <w:r>
        <w:rPr>
          <w:w w:val="100"/>
        </w:rPr>
        <w:t> </w:t>
      </w:r>
      <w:r>
        <w:rPr>
          <w:spacing w:val="-3"/>
        </w:rPr>
        <w:t>当本公司具有抵销已确认金融资产和金融负债的法定权利，且目前可执行该种法定权利，同时本</w:t>
      </w:r>
      <w:r>
        <w:rPr>
          <w:spacing w:val="-17"/>
        </w:rPr>
        <w:t> </w:t>
      </w:r>
      <w:r>
        <w:rPr>
          <w:spacing w:val="-17"/>
        </w:rPr>
      </w:r>
      <w:r>
        <w:rPr>
          <w:spacing w:val="-3"/>
        </w:rPr>
        <w:t>公司计划以净额结算或同时变现该金融资产和清偿该金融负债时，金融资产和金融负债以相互抵</w:t>
      </w:r>
      <w:r>
        <w:rPr>
          <w:spacing w:val="-18"/>
        </w:rPr>
        <w:t> </w:t>
      </w:r>
      <w:r>
        <w:rPr>
          <w:spacing w:val="-18"/>
        </w:rPr>
      </w:r>
      <w:r>
        <w:rPr>
          <w:spacing w:val="-3"/>
        </w:rPr>
        <w:t>销后的金额在资产负债表内列示。除此以外，金融资产和金融负债在资产负债表内分别列示，不</w:t>
      </w:r>
      <w:r>
        <w:rPr>
          <w:spacing w:val="-19"/>
        </w:rPr>
        <w:t> </w:t>
      </w:r>
      <w:r>
        <w:rPr>
          <w:spacing w:val="-19"/>
        </w:rPr>
      </w:r>
      <w:r>
        <w:rPr/>
        <w:t>予相互抵销。</w:t>
      </w:r>
    </w:p>
    <w:p>
      <w:pPr>
        <w:pStyle w:val="BodyText"/>
        <w:spacing w:line="237" w:lineRule="auto" w:before="1"/>
        <w:ind w:left="152" w:right="20"/>
        <w:jc w:val="left"/>
      </w:pPr>
      <w:r>
        <w:rPr>
          <w:rFonts w:ascii="宋体" w:hAnsi="宋体" w:cs="宋体" w:eastAsia="宋体" w:hint="default"/>
        </w:rPr>
        <w:t>10</w:t>
      </w:r>
      <w:r>
        <w:rPr/>
        <w:t>、公允价值计量</w:t>
      </w:r>
      <w:r>
        <w:rPr>
          <w:w w:val="100"/>
        </w:rPr>
        <w:t> </w:t>
      </w:r>
      <w:r>
        <w:rPr>
          <w:spacing w:val="-3"/>
        </w:rPr>
        <w:t>公允价值是指市场参与者在计量日发生的有序交易中，出售一项资产所能收到或者转移一项负债</w:t>
      </w:r>
      <w:r>
        <w:rPr>
          <w:spacing w:val="-17"/>
        </w:rPr>
        <w:t> </w:t>
      </w:r>
      <w:r>
        <w:rPr>
          <w:spacing w:val="-17"/>
        </w:rPr>
      </w:r>
      <w:r>
        <w:rPr/>
        <w:t>所需支付的价格。</w:t>
      </w:r>
      <w:r>
        <w:rPr>
          <w:w w:val="100"/>
        </w:rPr>
        <w:t> </w:t>
      </w:r>
      <w:r>
        <w:rPr>
          <w:spacing w:val="-3"/>
        </w:rPr>
        <w:t>本公司以公允价值计量相关资产或负债，假定出售资产或者转移负债的有序交易在相关资产或负</w:t>
      </w:r>
      <w:r>
        <w:rPr>
          <w:spacing w:val="-18"/>
        </w:rPr>
        <w:t> </w:t>
      </w:r>
      <w:r>
        <w:rPr>
          <w:spacing w:val="-18"/>
        </w:rPr>
      </w:r>
      <w:r>
        <w:rPr>
          <w:spacing w:val="-5"/>
        </w:rPr>
        <w:t>债的主要市场进行；不存在主要市场的，本公司假定该交易在相关资产或负债的最有利市场进行。</w:t>
      </w:r>
      <w:r>
        <w:rPr>
          <w:spacing w:val="-33"/>
        </w:rPr>
        <w:t> </w:t>
      </w:r>
      <w:r>
        <w:rPr>
          <w:spacing w:val="-33"/>
        </w:rPr>
      </w:r>
      <w:r>
        <w:rPr>
          <w:spacing w:val="-3"/>
        </w:rPr>
        <w:t>主要市场（或最有利市场）是本公司在计量日能够进入的交易市场。本公司采用市场参与者在对</w:t>
      </w:r>
      <w:r>
        <w:rPr>
          <w:spacing w:val="-22"/>
        </w:rPr>
        <w:t> </w:t>
      </w:r>
      <w:r>
        <w:rPr>
          <w:spacing w:val="-22"/>
        </w:rPr>
      </w:r>
      <w:r>
        <w:rPr/>
        <w:t>该资产或负债定价时为实现其经济利益最大化所使用的假设。</w:t>
      </w:r>
      <w:r>
        <w:rPr>
          <w:w w:val="100"/>
        </w:rPr>
        <w:t> </w:t>
      </w:r>
      <w:r>
        <w:rPr>
          <w:spacing w:val="-3"/>
        </w:rPr>
        <w:t>存在活跃市场的金融资产或金融负债，本公司采用活跃市场中的报价确定其公允价值。金融工具</w:t>
      </w:r>
      <w:r>
        <w:rPr>
          <w:spacing w:val="-17"/>
        </w:rPr>
        <w:t> </w:t>
      </w:r>
      <w:r>
        <w:rPr>
          <w:spacing w:val="-17"/>
        </w:rPr>
      </w:r>
      <w:r>
        <w:rPr/>
        <w:t>不存在活跃市场的，本公司采用估值技术确定其公允价值。</w:t>
      </w:r>
      <w:r>
        <w:rPr>
          <w:w w:val="100"/>
        </w:rPr>
        <w:t> </w:t>
      </w:r>
      <w:r>
        <w:rPr>
          <w:spacing w:val="-3"/>
        </w:rPr>
        <w:t>以公允价值计量非金融资产的，考虑市场参与者将该资产用于最佳用途产生经济利益的能力，或</w:t>
      </w:r>
      <w:r>
        <w:rPr>
          <w:spacing w:val="-17"/>
        </w:rPr>
        <w:t> </w:t>
      </w:r>
      <w:r>
        <w:rPr>
          <w:spacing w:val="-17"/>
        </w:rPr>
      </w:r>
      <w:r>
        <w:rPr/>
        <w:t>者将该资产出售给能够用于最佳用途的其他市场参与者产生经济利益的能力。</w:t>
      </w:r>
      <w:r>
        <w:rPr>
          <w:w w:val="100"/>
        </w:rPr>
        <w:t> </w:t>
      </w:r>
      <w:r>
        <w:rPr>
          <w:spacing w:val="-3"/>
        </w:rPr>
        <w:t>本公司采用在当前情况下适用并且有足够可利用数据和其他信息支持的估值技术，优先使用相关</w:t>
      </w:r>
      <w:r>
        <w:rPr>
          <w:spacing w:val="-18"/>
        </w:rPr>
        <w:t> </w:t>
      </w:r>
      <w:r>
        <w:rPr>
          <w:spacing w:val="-18"/>
        </w:rPr>
      </w:r>
      <w:r>
        <w:rPr>
          <w:spacing w:val="-3"/>
        </w:rPr>
        <w:t>可观察输入值，只有在可观察输入值无法取得或取得不切实可行的情况下，才使用不可观察输入</w:t>
      </w:r>
      <w:r>
        <w:rPr>
          <w:spacing w:val="-17"/>
        </w:rPr>
        <w:t> </w:t>
      </w:r>
      <w:r>
        <w:rPr>
          <w:spacing w:val="-17"/>
        </w:rPr>
      </w:r>
      <w:r>
        <w:rPr/>
        <w:t>值。</w:t>
      </w:r>
      <w:r>
        <w:rPr>
          <w:spacing w:val="-103"/>
        </w:rPr>
        <w:t> </w:t>
      </w:r>
      <w:r>
        <w:rPr>
          <w:spacing w:val="-3"/>
        </w:rPr>
        <w:t>在财务报表中以公允价值计量或披露的资产和负债，根据对公允价值计量整体而言具有重要意义</w:t>
      </w:r>
      <w:r>
        <w:rPr>
          <w:spacing w:val="-18"/>
        </w:rPr>
        <w:t> </w:t>
      </w:r>
      <w:r>
        <w:rPr>
          <w:spacing w:val="-18"/>
        </w:rPr>
      </w:r>
      <w:r>
        <w:rPr>
          <w:spacing w:val="-3"/>
        </w:rPr>
        <w:t>的最低层次输入值，确定所属的公允价值层次：第一层次输入值，是在计量日能够取得的相同资</w:t>
      </w:r>
    </w:p>
    <w:p>
      <w:pPr>
        <w:spacing w:after="0" w:line="237" w:lineRule="auto"/>
        <w:jc w:val="left"/>
        <w:sectPr>
          <w:pgSz w:w="11910" w:h="16850"/>
          <w:pgMar w:header="762" w:footer="941" w:top="1000" w:bottom="1140" w:left="980" w:right="1660"/>
        </w:sectPr>
      </w:pPr>
    </w:p>
    <w:p>
      <w:pPr>
        <w:pStyle w:val="BodyText"/>
        <w:spacing w:line="237" w:lineRule="auto" w:before="95"/>
        <w:ind w:right="25"/>
        <w:jc w:val="left"/>
      </w:pPr>
      <w:r>
        <w:rPr>
          <w:spacing w:val="-3"/>
        </w:rPr>
        <w:t>产或负债在活跃市场上未经调整的报价；第二层次输入值，是除第一层次输入值外相关资产或负</w:t>
      </w:r>
      <w:r>
        <w:rPr>
          <w:spacing w:val="-17"/>
        </w:rPr>
        <w:t> </w:t>
      </w:r>
      <w:r>
        <w:rPr>
          <w:spacing w:val="-17"/>
        </w:rPr>
      </w:r>
      <w:r>
        <w:rPr/>
        <w:t>债直接或间接可观察的输入值；第三层次输入值，是相关资产或负债的不可观察输入值。</w:t>
      </w:r>
      <w:r>
        <w:rPr>
          <w:w w:val="100"/>
        </w:rPr>
        <w:t> </w:t>
      </w:r>
      <w:r>
        <w:rPr>
          <w:spacing w:val="-3"/>
        </w:rPr>
        <w:t>每个资产负债表日，本公司对在财务报表中确认的持续以公允价值计量的资产和负债进行重新评</w:t>
      </w:r>
      <w:r>
        <w:rPr>
          <w:spacing w:val="-18"/>
        </w:rPr>
        <w:t> </w:t>
      </w:r>
      <w:r>
        <w:rPr>
          <w:spacing w:val="-18"/>
        </w:rPr>
      </w:r>
      <w:r>
        <w:rPr/>
        <w:t>估，以确定是否在公允价值计量层次之间发生转换。</w:t>
      </w:r>
    </w:p>
    <w:p>
      <w:pPr>
        <w:spacing w:line="240" w:lineRule="auto" w:before="3"/>
        <w:rPr>
          <w:rFonts w:ascii="宋体" w:hAnsi="宋体" w:cs="宋体" w:eastAsia="宋体" w:hint="default"/>
          <w:sz w:val="25"/>
          <w:szCs w:val="25"/>
        </w:rPr>
      </w:pPr>
    </w:p>
    <w:p>
      <w:pPr>
        <w:pStyle w:val="Heading5"/>
        <w:spacing w:line="290" w:lineRule="auto"/>
        <w:ind w:left="212" w:right="4434"/>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right="25"/>
        <w:jc w:val="left"/>
      </w:pPr>
      <w:r>
        <w:rPr/>
        <w:t>√适用 □不适用</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61"/>
        <w:gridCol w:w="4446"/>
      </w:tblGrid>
      <w:tr>
        <w:trPr>
          <w:trHeight w:val="554" w:hRule="exact"/>
        </w:trPr>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2"/>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万元（含</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万元）以上的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应收款项为单项金额重大的应收款项。</w:t>
            </w:r>
          </w:p>
        </w:tc>
      </w:tr>
      <w:tr>
        <w:trPr>
          <w:trHeight w:val="1647" w:hRule="exact"/>
        </w:trPr>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w:t>
            </w:r>
          </w:p>
          <w:p>
            <w:pPr>
              <w:pStyle w:val="TableParagraph"/>
              <w:spacing w:line="237"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试，有客观证据表明发生了减值，根据其未来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现金流量现值低于其账面价值的差额计提坏账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准备。</w:t>
            </w:r>
            <w:r>
              <w:rPr>
                <w:rFonts w:ascii="宋体" w:hAnsi="宋体" w:cs="宋体" w:eastAsia="宋体" w:hint="default"/>
                <w:spacing w:val="-102"/>
                <w:sz w:val="21"/>
                <w:szCs w:val="21"/>
              </w:rPr>
              <w:t> </w:t>
            </w:r>
            <w:r>
              <w:rPr>
                <w:rFonts w:ascii="宋体" w:hAnsi="宋体" w:cs="宋体" w:eastAsia="宋体" w:hint="default"/>
                <w:spacing w:val="-2"/>
                <w:sz w:val="21"/>
                <w:szCs w:val="21"/>
              </w:rPr>
              <w:t>单项金额重大经单独测试未发生减值的应收款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项，再按组合计提坏账准备。</w:t>
            </w:r>
          </w:p>
        </w:tc>
      </w:tr>
    </w:tbl>
    <w:p>
      <w:pPr>
        <w:spacing w:line="240" w:lineRule="auto" w:before="12"/>
        <w:rPr>
          <w:rFonts w:ascii="宋体" w:hAnsi="宋体" w:cs="宋体" w:eastAsia="宋体" w:hint="default"/>
          <w:sz w:val="19"/>
          <w:szCs w:val="19"/>
        </w:rPr>
      </w:pPr>
    </w:p>
    <w:p>
      <w:pPr>
        <w:pStyle w:val="Heading5"/>
        <w:spacing w:line="240" w:lineRule="auto" w:before="36"/>
        <w:ind w:left="212" w:right="2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right="25"/>
        <w:jc w:val="left"/>
      </w:pPr>
      <w:r>
        <w:rPr/>
        <w:t>√适用 □不适用</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61"/>
        <w:gridCol w:w="4446"/>
      </w:tblGrid>
      <w:tr>
        <w:trPr>
          <w:trHeight w:val="283" w:hRule="exact"/>
        </w:trPr>
        <w:tc>
          <w:tcPr>
            <w:tcW w:w="9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宋体" w:hAnsi="宋体" w:cs="宋体" w:eastAsia="宋体" w:hint="default"/>
                <w:sz w:val="21"/>
                <w:szCs w:val="21"/>
              </w:rPr>
              <w:t>1</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合并范围内应收款项，不计提坏帐准备。</w:t>
            </w:r>
          </w:p>
        </w:tc>
      </w:tr>
      <w:tr>
        <w:trPr>
          <w:trHeight w:val="557" w:hRule="exact"/>
        </w:trPr>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宋体" w:hAnsi="宋体" w:cs="宋体" w:eastAsia="宋体" w:hint="default"/>
                <w:sz w:val="21"/>
                <w:szCs w:val="21"/>
              </w:rPr>
              <w:t>2</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非合并报表范围单位应收款项采用账龄分析法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5"/>
        <w:jc w:val="left"/>
      </w:pPr>
      <w:r>
        <w:rPr/>
        <w:t>组合中，采用账龄分析法计提坏账准备的</w:t>
      </w:r>
    </w:p>
    <w:p>
      <w:pPr>
        <w:pStyle w:val="BodyText"/>
        <w:spacing w:line="273" w:lineRule="exact"/>
        <w:ind w:right="25"/>
        <w:jc w:val="left"/>
      </w:pPr>
      <w:r>
        <w:rPr/>
        <w:t>√适用 □不适用</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07"/>
        <w:gridCol w:w="2950"/>
        <w:gridCol w:w="2950"/>
      </w:tblGrid>
      <w:tr>
        <w:trPr>
          <w:trHeight w:val="281" w:hRule="exact"/>
        </w:trPr>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right="25"/>
        <w:jc w:val="left"/>
      </w:pPr>
      <w:r>
        <w:rPr/>
        <w:t>组合中，采用余额百分比法计提坏账准备的</w:t>
      </w:r>
    </w:p>
    <w:p>
      <w:pPr>
        <w:pStyle w:val="BodyText"/>
        <w:spacing w:line="240" w:lineRule="auto"/>
        <w:ind w:right="4013"/>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290" w:lineRule="auto" w:before="0"/>
        <w:ind w:left="212" w:right="40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pStyle w:val="BodyText"/>
        <w:spacing w:line="240" w:lineRule="auto" w:before="12"/>
        <w:ind w:right="25"/>
        <w:jc w:val="left"/>
      </w:pPr>
      <w:r>
        <w:rPr/>
        <w:t>√适用 □不适用</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19"/>
        <w:gridCol w:w="4688"/>
      </w:tblGrid>
      <w:tr>
        <w:trPr>
          <w:trHeight w:val="28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557"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13"/>
        <w:rPr>
          <w:rFonts w:ascii="宋体" w:hAnsi="宋体" w:cs="宋体" w:eastAsia="宋体" w:hint="default"/>
          <w:sz w:val="19"/>
          <w:szCs w:val="19"/>
        </w:rPr>
      </w:pPr>
    </w:p>
    <w:p>
      <w:pPr>
        <w:pStyle w:val="Heading5"/>
        <w:spacing w:line="240" w:lineRule="auto" w:before="36"/>
        <w:ind w:left="212" w:right="2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5" w:val="left" w:leader="none"/>
        </w:tabs>
        <w:spacing w:line="273" w:lineRule="exact" w:before="58"/>
        <w:ind w:right="25"/>
        <w:jc w:val="left"/>
      </w:pPr>
      <w:r>
        <w:rPr/>
        <w:t>√适用</w:t>
        <w:tab/>
        <w:t>□不适用</w:t>
      </w:r>
    </w:p>
    <w:p>
      <w:pPr>
        <w:pStyle w:val="BodyText"/>
        <w:spacing w:line="240" w:lineRule="auto"/>
        <w:ind w:right="25"/>
        <w:jc w:val="left"/>
      </w:pPr>
      <w:r>
        <w:rPr/>
        <w:t>（</w:t>
      </w:r>
      <w:r>
        <w:rPr>
          <w:rFonts w:ascii="宋体" w:hAnsi="宋体" w:cs="宋体" w:eastAsia="宋体" w:hint="default"/>
        </w:rPr>
        <w:t>1</w:t>
      </w:r>
      <w:r>
        <w:rPr/>
        <w:t>）存货的分类</w:t>
      </w:r>
      <w:r>
        <w:rPr>
          <w:w w:val="100"/>
        </w:rPr>
        <w:t> </w:t>
      </w:r>
      <w:r>
        <w:rPr>
          <w:spacing w:val="-2"/>
        </w:rPr>
        <w:t>本公司存货分为原材料、在产品、库存商品、发出商品、周转材料、委托加工物资等。</w:t>
      </w:r>
    </w:p>
    <w:p>
      <w:pPr>
        <w:pStyle w:val="BodyText"/>
        <w:spacing w:line="271" w:lineRule="exact"/>
        <w:ind w:right="25"/>
        <w:jc w:val="left"/>
      </w:pPr>
      <w:r>
        <w:rPr/>
        <w:t>（</w:t>
      </w:r>
      <w:r>
        <w:rPr>
          <w:rFonts w:ascii="宋体" w:hAnsi="宋体" w:cs="宋体" w:eastAsia="宋体" w:hint="default"/>
        </w:rPr>
        <w:t>2</w:t>
      </w:r>
      <w:r>
        <w:rPr/>
        <w:t>）发出存货的计价方法</w:t>
      </w:r>
    </w:p>
    <w:p>
      <w:pPr>
        <w:spacing w:after="0" w:line="271" w:lineRule="exact"/>
        <w:jc w:val="left"/>
        <w:sectPr>
          <w:pgSz w:w="11910" w:h="16850"/>
          <w:pgMar w:header="762" w:footer="941" w:top="1000" w:bottom="1140" w:left="920" w:right="1680"/>
        </w:sectPr>
      </w:pPr>
    </w:p>
    <w:p>
      <w:pPr>
        <w:pStyle w:val="BodyText"/>
        <w:spacing w:line="240" w:lineRule="auto" w:before="93"/>
        <w:ind w:left="152" w:right="20"/>
        <w:jc w:val="left"/>
      </w:pPr>
      <w:r>
        <w:rPr>
          <w:spacing w:val="-3"/>
        </w:rPr>
        <w:t>本公司存货取得时按实际成本计价。原材料、在产品、库存商品、发出商品等发出时采用加权平</w:t>
      </w:r>
      <w:r>
        <w:rPr>
          <w:spacing w:val="-18"/>
        </w:rPr>
        <w:t> </w:t>
      </w:r>
      <w:r>
        <w:rPr>
          <w:spacing w:val="-18"/>
        </w:rPr>
      </w:r>
      <w:r>
        <w:rPr/>
        <w:t>均法计价。</w:t>
      </w:r>
    </w:p>
    <w:p>
      <w:pPr>
        <w:pStyle w:val="BodyText"/>
        <w:spacing w:line="237" w:lineRule="auto"/>
        <w:ind w:left="152" w:right="20"/>
        <w:jc w:val="left"/>
      </w:pPr>
      <w:r>
        <w:rPr/>
        <w:t>（</w:t>
      </w:r>
      <w:r>
        <w:rPr>
          <w:rFonts w:ascii="宋体" w:hAnsi="宋体" w:cs="宋体" w:eastAsia="宋体" w:hint="default"/>
        </w:rPr>
        <w:t>3</w:t>
      </w:r>
      <w:r>
        <w:rPr/>
        <w:t>）存货可变现净值的确定依据及存货跌价准备的计提方法</w:t>
      </w:r>
      <w:r>
        <w:rPr>
          <w:w w:val="100"/>
        </w:rPr>
        <w:t> </w:t>
      </w:r>
      <w:r>
        <w:rPr>
          <w:spacing w:val="-3"/>
        </w:rPr>
        <w:t>存货可变现净值是按存货的估计售价减去至完工时估计将要发生的成本、估计的销售费用以及相</w:t>
      </w:r>
      <w:r>
        <w:rPr>
          <w:spacing w:val="-17"/>
        </w:rPr>
        <w:t> </w:t>
      </w:r>
      <w:r>
        <w:rPr>
          <w:spacing w:val="-17"/>
        </w:rPr>
      </w:r>
      <w:r>
        <w:rPr>
          <w:spacing w:val="-3"/>
        </w:rPr>
        <w:t>关税费后的金额。在确定存货的可变现净值时，以取得的确凿证据为基础，同时考虑持有存货的</w:t>
      </w:r>
      <w:r>
        <w:rPr>
          <w:spacing w:val="-22"/>
        </w:rPr>
        <w:t> </w:t>
      </w:r>
      <w:r>
        <w:rPr>
          <w:spacing w:val="-22"/>
        </w:rPr>
      </w:r>
      <w:r>
        <w:rPr/>
        <w:t>目的以及资产负债表日后事项的影响。</w:t>
      </w:r>
      <w:r>
        <w:rPr>
          <w:w w:val="100"/>
        </w:rPr>
        <w:t> </w:t>
      </w:r>
      <w:r>
        <w:rPr>
          <w:spacing w:val="-3"/>
        </w:rPr>
        <w:t>资产负债表日，存货成本高于其可变现净值的，计提存货跌价准备。本公司通常按照单个存货项</w:t>
      </w:r>
      <w:r>
        <w:rPr>
          <w:spacing w:val="-22"/>
        </w:rPr>
        <w:t> </w:t>
      </w:r>
      <w:r>
        <w:rPr>
          <w:spacing w:val="-22"/>
        </w:rPr>
      </w:r>
      <w:r>
        <w:rPr>
          <w:spacing w:val="-3"/>
        </w:rPr>
        <w:t>目计提存货跌价准备，资产负债表日，以前减记存货价值的影响因素已经消失的，存货跌价准备</w:t>
      </w:r>
      <w:r>
        <w:rPr>
          <w:spacing w:val="-22"/>
        </w:rPr>
        <w:t> </w:t>
      </w:r>
      <w:r>
        <w:rPr>
          <w:spacing w:val="-22"/>
        </w:rPr>
      </w:r>
      <w:r>
        <w:rPr/>
        <w:t>在原已计提的金额内转回。</w:t>
      </w:r>
    </w:p>
    <w:p>
      <w:pPr>
        <w:pStyle w:val="BodyText"/>
        <w:spacing w:line="272" w:lineRule="exact" w:before="26"/>
        <w:ind w:left="152" w:right="3603"/>
        <w:jc w:val="left"/>
      </w:pPr>
      <w:r>
        <w:rPr/>
        <w:t>（</w:t>
      </w:r>
      <w:r>
        <w:rPr>
          <w:rFonts w:ascii="宋体" w:hAnsi="宋体" w:cs="宋体" w:eastAsia="宋体" w:hint="default"/>
        </w:rPr>
        <w:t>4</w:t>
      </w:r>
      <w:r>
        <w:rPr/>
        <w:t>）存货的盘存制度</w:t>
      </w:r>
      <w:r>
        <w:rPr>
          <w:w w:val="100"/>
        </w:rPr>
        <w:t> </w:t>
      </w:r>
      <w:r>
        <w:rPr>
          <w:spacing w:val="-2"/>
        </w:rPr>
        <w:t>本公司存货盘存制度采用永续盘存制。</w:t>
      </w:r>
    </w:p>
    <w:p>
      <w:pPr>
        <w:pStyle w:val="BodyText"/>
        <w:spacing w:line="272" w:lineRule="exact" w:before="1"/>
        <w:ind w:left="152" w:right="20"/>
        <w:jc w:val="left"/>
      </w:pPr>
      <w:r>
        <w:rPr/>
        <w:t>（</w:t>
      </w:r>
      <w:r>
        <w:rPr>
          <w:rFonts w:ascii="宋体" w:hAnsi="宋体" w:cs="宋体" w:eastAsia="宋体" w:hint="default"/>
        </w:rPr>
        <w:t>5</w:t>
      </w:r>
      <w:r>
        <w:rPr/>
        <w:t>）低值易耗品和包装物的摊销方法</w:t>
      </w:r>
      <w:r>
        <w:rPr>
          <w:w w:val="100"/>
        </w:rPr>
        <w:t> </w:t>
      </w:r>
      <w:r>
        <w:rPr>
          <w:spacing w:val="-2"/>
        </w:rPr>
        <w:t>本公司低值易耗品及周转用包装物领用时采用一次转销法摊销。</w:t>
      </w:r>
    </w:p>
    <w:p>
      <w:pPr>
        <w:spacing w:line="240" w:lineRule="auto" w:before="5"/>
        <w:rPr>
          <w:rFonts w:ascii="宋体" w:hAnsi="宋体" w:cs="宋体" w:eastAsia="宋体" w:hint="default"/>
          <w:sz w:val="23"/>
          <w:szCs w:val="23"/>
        </w:rPr>
      </w:pPr>
    </w:p>
    <w:p>
      <w:pPr>
        <w:pStyle w:val="Heading5"/>
        <w:spacing w:line="240" w:lineRule="auto"/>
        <w:ind w:left="152" w:right="20"/>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995" w:val="left" w:leader="none"/>
        </w:tabs>
        <w:spacing w:line="240" w:lineRule="auto" w:before="58"/>
        <w:ind w:left="152" w:right="2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152" w:right="2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95" w:val="left" w:leader="none"/>
        </w:tabs>
        <w:spacing w:line="237" w:lineRule="auto" w:before="59"/>
        <w:ind w:left="152" w:right="316"/>
        <w:jc w:val="left"/>
      </w:pPr>
      <w:r>
        <w:rPr/>
        <w:t>√适用</w:t>
        <w:tab/>
        <w:t>□不适用</w:t>
      </w:r>
      <w:r>
        <w:rPr>
          <w:w w:val="100"/>
        </w:rPr>
        <w:t> </w:t>
      </w:r>
      <w:r>
        <w:rPr>
          <w:spacing w:val="-3"/>
        </w:rPr>
        <w:t>长期股权投资包括对被投资单位实施控制、重大影响的权益性投资。本公司能够对被投资单位施</w:t>
      </w:r>
      <w:r>
        <w:rPr>
          <w:spacing w:val="-17"/>
        </w:rPr>
        <w:t> </w:t>
      </w:r>
      <w:r>
        <w:rPr>
          <w:spacing w:val="-17"/>
        </w:rPr>
      </w:r>
      <w:r>
        <w:rPr/>
        <w:t>加重大影响的，为本公司的联营企业。</w:t>
      </w:r>
    </w:p>
    <w:p>
      <w:pPr>
        <w:pStyle w:val="BodyText"/>
        <w:spacing w:line="237" w:lineRule="auto" w:before="1"/>
        <w:ind w:left="152" w:right="20"/>
        <w:jc w:val="left"/>
      </w:pPr>
      <w:r>
        <w:rPr/>
        <w:t>（</w:t>
      </w:r>
      <w:r>
        <w:rPr>
          <w:rFonts w:ascii="宋体" w:hAnsi="宋体" w:cs="宋体" w:eastAsia="宋体" w:hint="default"/>
        </w:rPr>
        <w:t>1</w:t>
      </w:r>
      <w:r>
        <w:rPr/>
        <w:t>）初始投资成本确定</w:t>
      </w:r>
      <w:r>
        <w:rPr>
          <w:w w:val="100"/>
        </w:rPr>
        <w:t> </w:t>
      </w:r>
      <w:r>
        <w:rPr>
          <w:spacing w:val="-3"/>
        </w:rPr>
        <w:t>形成企业合并的长期股权投资：同一控制下企业合并取得的长期股权投资，在合并日按照取得被</w:t>
      </w:r>
      <w:r>
        <w:rPr>
          <w:spacing w:val="-17"/>
        </w:rPr>
        <w:t> </w:t>
      </w:r>
      <w:r>
        <w:rPr>
          <w:spacing w:val="-17"/>
        </w:rPr>
      </w:r>
      <w:r>
        <w:rPr>
          <w:spacing w:val="-3"/>
        </w:rPr>
        <w:t>合并方所有者权益在最终控制方合并财务报表中的账面价值份额作为投资成本；非同一控制下企</w:t>
      </w:r>
      <w:r>
        <w:rPr>
          <w:spacing w:val="-17"/>
        </w:rPr>
        <w:t> </w:t>
      </w:r>
      <w:r>
        <w:rPr>
          <w:spacing w:val="-17"/>
        </w:rPr>
      </w:r>
      <w:r>
        <w:rPr/>
        <w:t>业合并取得的长期股权投资，按照合并成本作为长期股权投资的投资成本。</w:t>
      </w:r>
      <w:r>
        <w:rPr>
          <w:w w:val="100"/>
        </w:rPr>
        <w:t> </w:t>
      </w:r>
      <w:r>
        <w:rPr>
          <w:spacing w:val="-3"/>
        </w:rPr>
        <w:t>对于其他方式取得的长期股权投资：支付现金取得的长期股权投资，按照实际支付的购买价款作</w:t>
      </w:r>
      <w:r>
        <w:rPr>
          <w:spacing w:val="-17"/>
        </w:rPr>
        <w:t> </w:t>
      </w:r>
      <w:r>
        <w:rPr>
          <w:spacing w:val="-17"/>
        </w:rPr>
      </w:r>
      <w:r>
        <w:rPr/>
        <w:t>为初始投资成本。</w:t>
      </w:r>
    </w:p>
    <w:p>
      <w:pPr>
        <w:pStyle w:val="BodyText"/>
        <w:spacing w:line="237" w:lineRule="auto"/>
        <w:ind w:left="152" w:right="20"/>
        <w:jc w:val="left"/>
      </w:pPr>
      <w:r>
        <w:rPr/>
        <w:t>（</w:t>
      </w:r>
      <w:r>
        <w:rPr>
          <w:rFonts w:ascii="宋体" w:hAnsi="宋体" w:cs="宋体" w:eastAsia="宋体" w:hint="default"/>
        </w:rPr>
        <w:t>2</w:t>
      </w:r>
      <w:r>
        <w:rPr/>
        <w:t>）后续计量及损益确认方法</w:t>
      </w:r>
      <w:r>
        <w:rPr>
          <w:w w:val="100"/>
        </w:rPr>
        <w:t> </w:t>
      </w:r>
      <w:r>
        <w:rPr>
          <w:spacing w:val="-3"/>
        </w:rPr>
        <w:t>对子公司的投资，采用成本法核算，除非投资符合持有待售的条件；对联营企业的投资，采用权</w:t>
      </w:r>
      <w:r>
        <w:rPr>
          <w:spacing w:val="-24"/>
        </w:rPr>
        <w:t> </w:t>
      </w:r>
      <w:r>
        <w:rPr>
          <w:spacing w:val="-24"/>
        </w:rPr>
      </w:r>
      <w:r>
        <w:rPr/>
        <w:t>益法核算。</w:t>
      </w:r>
      <w:r>
        <w:rPr>
          <w:spacing w:val="-102"/>
        </w:rPr>
        <w:t> </w:t>
      </w:r>
      <w:r>
        <w:rPr>
          <w:spacing w:val="-102"/>
        </w:rPr>
      </w:r>
      <w:r>
        <w:rPr>
          <w:spacing w:val="-3"/>
        </w:rPr>
        <w:t>采用成本法核算的长期股权投资，除取得投资时实际支付的价款或对价中包含的已宣告但尚未发</w:t>
      </w:r>
      <w:r>
        <w:rPr>
          <w:spacing w:val="-17"/>
        </w:rPr>
        <w:t> </w:t>
      </w:r>
      <w:r>
        <w:rPr>
          <w:spacing w:val="-17"/>
        </w:rPr>
      </w:r>
      <w:r>
        <w:rPr>
          <w:spacing w:val="-5"/>
        </w:rPr>
        <w:t>放的现金股利或利润外，被投资单位宣告分派的现金股利或利润，确认为投资收益计入当期损益。</w:t>
      </w:r>
      <w:r>
        <w:rPr>
          <w:spacing w:val="-36"/>
        </w:rPr>
        <w:t> </w:t>
      </w:r>
      <w:r>
        <w:rPr>
          <w:spacing w:val="-36"/>
        </w:rPr>
      </w:r>
      <w:r>
        <w:rPr>
          <w:spacing w:val="-3"/>
        </w:rPr>
        <w:t>采用权益法核算的长期股权投资，初始投资成本大于投资时应享有被投资单位可辨认净资产公允</w:t>
      </w:r>
      <w:r>
        <w:rPr>
          <w:spacing w:val="-17"/>
        </w:rPr>
        <w:t> </w:t>
      </w:r>
      <w:r>
        <w:rPr>
          <w:spacing w:val="-17"/>
        </w:rPr>
      </w:r>
      <w:r>
        <w:rPr>
          <w:spacing w:val="-3"/>
        </w:rPr>
        <w:t>价值份额的，不调整长期股权投资的投资成本；初始投资成本小于投资时应享有被投资单位可辨</w:t>
      </w:r>
      <w:r>
        <w:rPr>
          <w:spacing w:val="-17"/>
        </w:rPr>
        <w:t> </w:t>
      </w:r>
      <w:r>
        <w:rPr>
          <w:spacing w:val="-17"/>
        </w:rPr>
      </w:r>
      <w:r>
        <w:rPr/>
        <w:t>认净资产公允价值份额的，对长期股权投资的账面价值进行调整，差额计入投资当期的损益。</w:t>
      </w:r>
      <w:r>
        <w:rPr>
          <w:w w:val="100"/>
        </w:rPr>
        <w:t> </w:t>
      </w:r>
      <w:r>
        <w:rPr>
          <w:spacing w:val="-3"/>
        </w:rPr>
        <w:t>采用权益法核算时，按照应享有或应分担的被投资单位实现的净损益和其他综合收益的份额，分</w:t>
      </w:r>
      <w:r>
        <w:rPr>
          <w:spacing w:val="-17"/>
        </w:rPr>
        <w:t> </w:t>
      </w:r>
      <w:r>
        <w:rPr>
          <w:spacing w:val="-17"/>
        </w:rPr>
      </w:r>
      <w:r>
        <w:rPr>
          <w:spacing w:val="-3"/>
        </w:rPr>
        <w:t>别确认投资收益和其他综合收益，同时调整长期股权投资的账面价值；按照被投资单位宣告分派</w:t>
      </w:r>
      <w:r>
        <w:rPr>
          <w:spacing w:val="-17"/>
        </w:rPr>
        <w:t> </w:t>
      </w:r>
      <w:r>
        <w:rPr>
          <w:spacing w:val="-17"/>
        </w:rPr>
      </w:r>
      <w:r>
        <w:rPr>
          <w:spacing w:val="-5"/>
        </w:rPr>
        <w:t>的利润或现金股利计算应享有的部分，相应减少长期股权投资的账面价值；被投资单位除净损益、</w:t>
      </w:r>
      <w:r>
        <w:rPr>
          <w:spacing w:val="-32"/>
        </w:rPr>
        <w:t> </w:t>
      </w:r>
      <w:r>
        <w:rPr>
          <w:spacing w:val="-32"/>
        </w:rPr>
      </w:r>
      <w:r>
        <w:rPr>
          <w:spacing w:val="-3"/>
        </w:rPr>
        <w:t>其他综合收益和利润分配以外所有者权益的其他变动，调整长期股权投资的账面价值并计入所有</w:t>
      </w:r>
      <w:r>
        <w:rPr>
          <w:spacing w:val="-17"/>
        </w:rPr>
        <w:t> </w:t>
      </w:r>
      <w:r>
        <w:rPr>
          <w:spacing w:val="-17"/>
        </w:rPr>
      </w:r>
      <w:r>
        <w:rPr>
          <w:spacing w:val="-3"/>
        </w:rPr>
        <w:t>者权益。在确认应享有被投资单位净损益的份额时，以取得投资时被投资单位各项可辨认资产等</w:t>
      </w:r>
      <w:r>
        <w:rPr>
          <w:spacing w:val="-17"/>
        </w:rPr>
        <w:t> </w:t>
      </w:r>
      <w:r>
        <w:rPr>
          <w:spacing w:val="-17"/>
        </w:rPr>
      </w:r>
      <w:r>
        <w:rPr>
          <w:spacing w:val="-3"/>
        </w:rPr>
        <w:t>的公允价值为基础，并按照本公司的会计政策及会计期间，对被投资单位的净利润进行调整后确</w:t>
      </w:r>
      <w:r>
        <w:rPr>
          <w:spacing w:val="-17"/>
        </w:rPr>
        <w:t> </w:t>
      </w:r>
      <w:r>
        <w:rPr>
          <w:spacing w:val="-17"/>
        </w:rPr>
      </w:r>
      <w:r>
        <w:rPr/>
        <w:t>认。</w:t>
      </w:r>
    </w:p>
    <w:p>
      <w:pPr>
        <w:spacing w:line="240" w:lineRule="auto" w:before="11"/>
        <w:rPr>
          <w:rFonts w:ascii="宋体" w:hAnsi="宋体" w:cs="宋体" w:eastAsia="宋体" w:hint="default"/>
          <w:sz w:val="20"/>
          <w:szCs w:val="20"/>
        </w:rPr>
      </w:pPr>
    </w:p>
    <w:p>
      <w:pPr>
        <w:pStyle w:val="BodyText"/>
        <w:spacing w:line="237" w:lineRule="auto"/>
        <w:ind w:left="152" w:right="316"/>
        <w:jc w:val="both"/>
      </w:pPr>
      <w:r>
        <w:rPr>
          <w:spacing w:val="-3"/>
        </w:rPr>
        <w:t>本公司与联营企业之间发生的未实现内部交易损益按照持股比例计算归属于本公司的部分，在抵</w:t>
      </w:r>
      <w:r>
        <w:rPr>
          <w:spacing w:val="-18"/>
        </w:rPr>
        <w:t> </w:t>
      </w:r>
      <w:r>
        <w:rPr>
          <w:spacing w:val="-18"/>
        </w:rPr>
      </w:r>
      <w:r>
        <w:rPr>
          <w:spacing w:val="-3"/>
        </w:rPr>
        <w:t>销基础上确认投资损益。但本公司与被投资单位发生的未实现内部交易损失，属于所转让资产减</w:t>
      </w:r>
      <w:r>
        <w:rPr>
          <w:spacing w:val="-17"/>
        </w:rPr>
        <w:t> </w:t>
      </w:r>
      <w:r>
        <w:rPr>
          <w:spacing w:val="-17"/>
        </w:rPr>
      </w:r>
      <w:r>
        <w:rPr/>
        <w:t>值损失的，不予以抵销。</w:t>
      </w:r>
    </w:p>
    <w:p>
      <w:pPr>
        <w:pStyle w:val="BodyText"/>
        <w:spacing w:line="237" w:lineRule="auto"/>
        <w:ind w:left="152" w:right="20"/>
        <w:jc w:val="left"/>
      </w:pPr>
      <w:r>
        <w:rPr/>
        <w:t>（</w:t>
      </w:r>
      <w:r>
        <w:rPr>
          <w:rFonts w:ascii="宋体" w:hAnsi="宋体" w:cs="宋体" w:eastAsia="宋体" w:hint="default"/>
        </w:rPr>
        <w:t>3</w:t>
      </w:r>
      <w:r>
        <w:rPr/>
        <w:t>）确定对被投资单位具有重大影响的依据</w:t>
      </w:r>
      <w:r>
        <w:rPr>
          <w:w w:val="100"/>
        </w:rPr>
        <w:t> </w:t>
      </w:r>
      <w:r>
        <w:rPr>
          <w:spacing w:val="-3"/>
        </w:rPr>
        <w:t>重大影响，是指投资方对被投资单位的财务和经营政策有参与决策的权力，但并不能够控制或者</w:t>
      </w:r>
      <w:r>
        <w:rPr>
          <w:spacing w:val="-17"/>
        </w:rPr>
        <w:t> </w:t>
      </w:r>
      <w:r>
        <w:rPr>
          <w:spacing w:val="-17"/>
        </w:rPr>
      </w:r>
      <w:r>
        <w:rPr>
          <w:spacing w:val="-3"/>
        </w:rPr>
        <w:t>与其他方一起共同控制这些政策的制定。在确定能否对被投资单位施加重大影响时，考虑投资方</w:t>
      </w:r>
      <w:r>
        <w:rPr>
          <w:spacing w:val="-17"/>
        </w:rPr>
        <w:t> </w:t>
      </w:r>
      <w:r>
        <w:rPr>
          <w:spacing w:val="-17"/>
        </w:rPr>
      </w:r>
      <w:r>
        <w:rPr/>
        <w:t>直接或间接持有被投资单位的表决权股份以及投资方及其他方持有的当期可执行潜在表决权在</w:t>
      </w:r>
      <w:r>
        <w:rPr>
          <w:w w:val="100"/>
        </w:rPr>
        <w:t> </w:t>
      </w:r>
      <w:r>
        <w:rPr>
          <w:spacing w:val="-3"/>
        </w:rPr>
        <w:t>假定转换为对被投资方单位的股权后产生的影响，包括被投资单位发行的当期可转换的认股权证、</w:t>
      </w:r>
      <w:r>
        <w:rPr>
          <w:spacing w:val="-16"/>
        </w:rPr>
        <w:t> </w:t>
      </w:r>
      <w:r>
        <w:rPr>
          <w:spacing w:val="-16"/>
        </w:rPr>
      </w:r>
      <w:r>
        <w:rPr/>
        <w:t>股份期权及可转换公司债券等的影响。</w:t>
      </w:r>
    </w:p>
    <w:p>
      <w:pPr>
        <w:spacing w:after="0" w:line="237" w:lineRule="auto"/>
        <w:jc w:val="left"/>
        <w:sectPr>
          <w:footerReference w:type="default" r:id="rId50"/>
          <w:pgSz w:w="11910" w:h="16850"/>
          <w:pgMar w:footer="941" w:header="762" w:top="1000" w:bottom="1140" w:left="980" w:right="1660"/>
        </w:sectPr>
      </w:pPr>
    </w:p>
    <w:p>
      <w:pPr>
        <w:pStyle w:val="BodyText"/>
        <w:spacing w:line="237" w:lineRule="auto" w:before="95"/>
        <w:ind w:left="152" w:right="215"/>
        <w:jc w:val="left"/>
      </w:pPr>
      <w:r>
        <w:rPr/>
        <w:t>当本公司直接或通过子公司间接拥有被投资单位</w:t>
      </w:r>
      <w:r>
        <w:rPr>
          <w:spacing w:val="-49"/>
        </w:rPr>
        <w:t> </w:t>
      </w:r>
      <w:r>
        <w:rPr>
          <w:rFonts w:ascii="宋体" w:hAnsi="宋体" w:cs="宋体" w:eastAsia="宋体" w:hint="default"/>
        </w:rPr>
        <w:t>20%</w:t>
      </w:r>
      <w:r>
        <w:rPr/>
        <w:t>（含</w:t>
      </w:r>
      <w:r>
        <w:rPr>
          <w:spacing w:val="-52"/>
        </w:rPr>
        <w:t> </w:t>
      </w:r>
      <w:r>
        <w:rPr>
          <w:rFonts w:ascii="宋体" w:hAnsi="宋体" w:cs="宋体" w:eastAsia="宋体" w:hint="default"/>
        </w:rPr>
        <w:t>20%</w:t>
      </w:r>
      <w:r>
        <w:rPr/>
        <w:t>）以上但低于</w:t>
      </w:r>
      <w:r>
        <w:rPr>
          <w:spacing w:val="-50"/>
        </w:rPr>
        <w:t> </w:t>
      </w:r>
      <w:r>
        <w:rPr>
          <w:rFonts w:ascii="宋体" w:hAnsi="宋体" w:cs="宋体" w:eastAsia="宋体" w:hint="default"/>
        </w:rPr>
        <w:t>50%</w:t>
      </w:r>
      <w:r>
        <w:rPr/>
        <w:t>的表决权股份时，</w:t>
      </w:r>
      <w:r>
        <w:rPr>
          <w:w w:val="100"/>
        </w:rPr>
        <w:t> </w:t>
      </w:r>
      <w:r>
        <w:rPr>
          <w:spacing w:val="-3"/>
        </w:rPr>
        <w:t>除非有明确证据表明该种情况下不能参与被投资单位的生产经营决策，不形成重大影响外，均确</w:t>
      </w:r>
      <w:r>
        <w:rPr>
          <w:spacing w:val="-17"/>
        </w:rPr>
        <w:t> </w:t>
      </w:r>
      <w:r>
        <w:rPr>
          <w:spacing w:val="-17"/>
        </w:rPr>
      </w:r>
      <w:r>
        <w:rPr/>
        <w:t>定对被投资单位具有重大影响；本公司拥有被投资单位</w:t>
      </w:r>
      <w:r>
        <w:rPr>
          <w:spacing w:val="-54"/>
        </w:rPr>
        <w:t> </w:t>
      </w:r>
      <w:r>
        <w:rPr>
          <w:rFonts w:ascii="宋体" w:hAnsi="宋体" w:cs="宋体" w:eastAsia="宋体" w:hint="default"/>
        </w:rPr>
        <w:t>20%</w:t>
      </w:r>
      <w:r>
        <w:rPr/>
        <w:t>（不含）以下的表决权股份，一般不</w:t>
      </w:r>
      <w:r>
        <w:rPr>
          <w:w w:val="100"/>
        </w:rPr>
        <w:t> </w:t>
      </w:r>
      <w:r>
        <w:rPr>
          <w:spacing w:val="-3"/>
        </w:rPr>
        <w:t>认为对被投资单位具有重大影响，除非有明确证据表明该种情况下能够参与被投资单位的生产经</w:t>
      </w:r>
      <w:r>
        <w:rPr>
          <w:spacing w:val="-17"/>
        </w:rPr>
        <w:t> </w:t>
      </w:r>
      <w:r>
        <w:rPr>
          <w:spacing w:val="-17"/>
        </w:rPr>
      </w:r>
      <w:r>
        <w:rPr/>
        <w:t>营决策，形成重大影响。</w:t>
      </w:r>
    </w:p>
    <w:p>
      <w:pPr>
        <w:pStyle w:val="BodyText"/>
        <w:spacing w:line="272" w:lineRule="exact" w:before="26"/>
        <w:ind w:left="152" w:right="20"/>
        <w:jc w:val="left"/>
      </w:pPr>
      <w:r>
        <w:rPr/>
        <w:t>（</w:t>
      </w:r>
      <w:r>
        <w:rPr>
          <w:rFonts w:ascii="宋体" w:hAnsi="宋体" w:cs="宋体" w:eastAsia="宋体" w:hint="default"/>
        </w:rPr>
        <w:t>4</w:t>
      </w:r>
      <w:r>
        <w:rPr/>
        <w:t>）减值测试方法及减值准备计提方法</w:t>
      </w:r>
      <w:r>
        <w:rPr>
          <w:w w:val="100"/>
        </w:rPr>
        <w:t> </w:t>
      </w:r>
      <w:r>
        <w:rPr>
          <w:spacing w:val="-2"/>
        </w:rPr>
        <w:t>对子公司及联营企业的投资，计提资产减值的方法见附注五、</w:t>
      </w:r>
      <w:r>
        <w:rPr>
          <w:rFonts w:ascii="宋体" w:hAnsi="宋体" w:cs="宋体" w:eastAsia="宋体" w:hint="default"/>
          <w:spacing w:val="-2"/>
        </w:rPr>
        <w:t>22</w:t>
      </w:r>
      <w:r>
        <w:rPr>
          <w:spacing w:val="-2"/>
        </w:rPr>
        <w:t>。</w:t>
      </w:r>
    </w:p>
    <w:p>
      <w:pPr>
        <w:spacing w:line="240" w:lineRule="auto" w:before="4"/>
        <w:rPr>
          <w:rFonts w:ascii="宋体" w:hAnsi="宋体" w:cs="宋体" w:eastAsia="宋体" w:hint="default"/>
          <w:sz w:val="23"/>
          <w:szCs w:val="23"/>
        </w:rPr>
      </w:pPr>
    </w:p>
    <w:p>
      <w:pPr>
        <w:pStyle w:val="Heading5"/>
        <w:spacing w:line="290" w:lineRule="auto"/>
        <w:ind w:left="152" w:right="6141"/>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8" w:lineRule="exact"/>
        <w:ind w:left="152" w:right="20"/>
        <w:jc w:val="left"/>
      </w:pPr>
      <w:r>
        <w:rPr>
          <w:spacing w:val="-3"/>
        </w:rPr>
        <w:t>长期股权投资包括对被投资单位实施控制、重大影响的权益性投资。本公司能够对被投资单位施</w:t>
      </w:r>
    </w:p>
    <w:p>
      <w:pPr>
        <w:pStyle w:val="BodyText"/>
        <w:spacing w:line="273" w:lineRule="exact"/>
        <w:ind w:left="152" w:right="20"/>
        <w:jc w:val="left"/>
      </w:pPr>
      <w:r>
        <w:rPr/>
        <w:t>加重大影响的，为本公司的联营企业。</w:t>
      </w:r>
    </w:p>
    <w:p>
      <w:pPr>
        <w:pStyle w:val="BodyText"/>
        <w:spacing w:line="237" w:lineRule="auto" w:before="2"/>
        <w:ind w:left="152" w:right="20"/>
        <w:jc w:val="left"/>
      </w:pPr>
      <w:r>
        <w:rPr/>
        <w:t>（</w:t>
      </w:r>
      <w:r>
        <w:rPr>
          <w:rFonts w:ascii="宋体" w:hAnsi="宋体" w:cs="宋体" w:eastAsia="宋体" w:hint="default"/>
        </w:rPr>
        <w:t>1</w:t>
      </w:r>
      <w:r>
        <w:rPr/>
        <w:t>）初始投资成本确定</w:t>
      </w:r>
      <w:r>
        <w:rPr>
          <w:w w:val="100"/>
        </w:rPr>
        <w:t> </w:t>
      </w:r>
      <w:r>
        <w:rPr>
          <w:spacing w:val="-3"/>
        </w:rPr>
        <w:t>形成企业合并的长期股权投资：同一控制下企业合并取得的长期股权投资，在合并日按照取得被</w:t>
      </w:r>
      <w:r>
        <w:rPr>
          <w:spacing w:val="-17"/>
        </w:rPr>
        <w:t> </w:t>
      </w:r>
      <w:r>
        <w:rPr>
          <w:spacing w:val="-17"/>
        </w:rPr>
      </w:r>
      <w:r>
        <w:rPr>
          <w:spacing w:val="-3"/>
        </w:rPr>
        <w:t>合并方所有者权益在最终控制方合并财务报表中的账面价值份额作为投资成本；非同一控制下企</w:t>
      </w:r>
      <w:r>
        <w:rPr>
          <w:spacing w:val="-17"/>
        </w:rPr>
        <w:t> </w:t>
      </w:r>
      <w:r>
        <w:rPr>
          <w:spacing w:val="-17"/>
        </w:rPr>
      </w:r>
      <w:r>
        <w:rPr/>
        <w:t>业合并取得的长期股权投资，按照合并成本作为长期股权投资的投资成本。</w:t>
      </w:r>
      <w:r>
        <w:rPr>
          <w:w w:val="100"/>
        </w:rPr>
        <w:t> </w:t>
      </w:r>
      <w:r>
        <w:rPr>
          <w:spacing w:val="-3"/>
        </w:rPr>
        <w:t>对于其他方式取得的长期股权投资：支付现金取得的长期股权投资，按照实际支付的购买价款作</w:t>
      </w:r>
      <w:r>
        <w:rPr>
          <w:spacing w:val="-17"/>
        </w:rPr>
        <w:t> </w:t>
      </w:r>
      <w:r>
        <w:rPr>
          <w:spacing w:val="-17"/>
        </w:rPr>
      </w:r>
      <w:r>
        <w:rPr/>
        <w:t>为初始投资成本。</w:t>
      </w:r>
    </w:p>
    <w:p>
      <w:pPr>
        <w:pStyle w:val="BodyText"/>
        <w:spacing w:line="237" w:lineRule="auto" w:before="1"/>
        <w:ind w:left="152" w:right="20"/>
        <w:jc w:val="left"/>
      </w:pPr>
      <w:r>
        <w:rPr/>
        <w:t>（</w:t>
      </w:r>
      <w:r>
        <w:rPr>
          <w:rFonts w:ascii="宋体" w:hAnsi="宋体" w:cs="宋体" w:eastAsia="宋体" w:hint="default"/>
        </w:rPr>
        <w:t>2</w:t>
      </w:r>
      <w:r>
        <w:rPr/>
        <w:t>）后续计量及损益确认方法</w:t>
      </w:r>
      <w:r>
        <w:rPr>
          <w:w w:val="100"/>
        </w:rPr>
        <w:t> </w:t>
      </w:r>
      <w:r>
        <w:rPr>
          <w:spacing w:val="-3"/>
        </w:rPr>
        <w:t>对子公司的投资，采用成本法核算，除非投资符合持有待售的条件；对联营企业的投资，采用权</w:t>
      </w:r>
      <w:r>
        <w:rPr>
          <w:spacing w:val="-24"/>
        </w:rPr>
        <w:t> </w:t>
      </w:r>
      <w:r>
        <w:rPr>
          <w:spacing w:val="-24"/>
        </w:rPr>
      </w:r>
      <w:r>
        <w:rPr/>
        <w:t>益法核算。</w:t>
      </w:r>
      <w:r>
        <w:rPr>
          <w:spacing w:val="-102"/>
        </w:rPr>
        <w:t> </w:t>
      </w:r>
      <w:r>
        <w:rPr>
          <w:spacing w:val="-102"/>
        </w:rPr>
      </w:r>
      <w:r>
        <w:rPr>
          <w:spacing w:val="-3"/>
        </w:rPr>
        <w:t>采用成本法核算的长期股权投资，除取得投资时实际支付的价款或对价中包含的已宣告但尚未发</w:t>
      </w:r>
      <w:r>
        <w:rPr>
          <w:spacing w:val="-17"/>
        </w:rPr>
        <w:t> </w:t>
      </w:r>
      <w:r>
        <w:rPr>
          <w:spacing w:val="-17"/>
        </w:rPr>
      </w:r>
      <w:r>
        <w:rPr>
          <w:spacing w:val="-5"/>
        </w:rPr>
        <w:t>放的现金股利或利润外，被投资单位宣告分派的现金股利或利润，确认为投资收益计入当期损益。</w:t>
      </w:r>
      <w:r>
        <w:rPr>
          <w:spacing w:val="-36"/>
        </w:rPr>
        <w:t> </w:t>
      </w:r>
      <w:r>
        <w:rPr>
          <w:spacing w:val="-36"/>
        </w:rPr>
      </w:r>
      <w:r>
        <w:rPr>
          <w:spacing w:val="-3"/>
        </w:rPr>
        <w:t>采用权益法核算的长期股权投资，初始投资成本大于投资时应享有被投资单位可辨认净资产公允</w:t>
      </w:r>
      <w:r>
        <w:rPr>
          <w:spacing w:val="-17"/>
        </w:rPr>
        <w:t> </w:t>
      </w:r>
      <w:r>
        <w:rPr>
          <w:spacing w:val="-17"/>
        </w:rPr>
      </w:r>
      <w:r>
        <w:rPr>
          <w:spacing w:val="-3"/>
        </w:rPr>
        <w:t>价值份额的，不调整长期股权投资的投资成本；初始投资成本小于投资时应享有被投资单位可辨</w:t>
      </w:r>
      <w:r>
        <w:rPr>
          <w:spacing w:val="-16"/>
        </w:rPr>
        <w:t> </w:t>
      </w:r>
      <w:r>
        <w:rPr>
          <w:spacing w:val="-16"/>
        </w:rPr>
      </w:r>
      <w:r>
        <w:rPr/>
        <w:t>认净资产公允价值份额的，对长期股权投资的账面价值进行调整，差额计入投资当期的损益。</w:t>
      </w:r>
      <w:r>
        <w:rPr>
          <w:w w:val="100"/>
        </w:rPr>
        <w:t> </w:t>
      </w:r>
      <w:r>
        <w:rPr>
          <w:spacing w:val="-3"/>
        </w:rPr>
        <w:t>采用权益法核算时，按照应享有或应分担的被投资单位实现的净损益和其他综合收益的份额，分</w:t>
      </w:r>
      <w:r>
        <w:rPr>
          <w:spacing w:val="-17"/>
        </w:rPr>
        <w:t> </w:t>
      </w:r>
      <w:r>
        <w:rPr>
          <w:spacing w:val="-17"/>
        </w:rPr>
      </w:r>
      <w:r>
        <w:rPr>
          <w:spacing w:val="-3"/>
        </w:rPr>
        <w:t>别确认投资收益和其他综合收益，同时调整长期股权投资的账面价值；按照被投资单位宣告分派</w:t>
      </w:r>
      <w:r>
        <w:rPr>
          <w:spacing w:val="-17"/>
        </w:rPr>
        <w:t> </w:t>
      </w:r>
      <w:r>
        <w:rPr>
          <w:spacing w:val="-17"/>
        </w:rPr>
      </w:r>
      <w:r>
        <w:rPr>
          <w:spacing w:val="-5"/>
        </w:rPr>
        <w:t>的利润或现金股利计算应享有的部分，相应减少长期股权投资的账面价值；被投资单位除净损益、</w:t>
      </w:r>
      <w:r>
        <w:rPr>
          <w:spacing w:val="-32"/>
        </w:rPr>
        <w:t> </w:t>
      </w:r>
      <w:r>
        <w:rPr>
          <w:spacing w:val="-32"/>
        </w:rPr>
      </w:r>
      <w:r>
        <w:rPr>
          <w:spacing w:val="-3"/>
        </w:rPr>
        <w:t>其他综合收益和利润分配以外所有者权益的其他变动，调整长期股权投资的账面价值并计入所有</w:t>
      </w:r>
      <w:r>
        <w:rPr>
          <w:spacing w:val="-17"/>
        </w:rPr>
        <w:t> </w:t>
      </w:r>
      <w:r>
        <w:rPr>
          <w:spacing w:val="-17"/>
        </w:rPr>
      </w:r>
      <w:r>
        <w:rPr>
          <w:spacing w:val="-3"/>
        </w:rPr>
        <w:t>者权益。在确认应享有被投资单位净损益的份额时，以取得投资时被投资单位各项可辨认资产等</w:t>
      </w:r>
      <w:r>
        <w:rPr>
          <w:spacing w:val="-17"/>
        </w:rPr>
        <w:t> </w:t>
      </w:r>
      <w:r>
        <w:rPr>
          <w:spacing w:val="-17"/>
        </w:rPr>
      </w:r>
      <w:r>
        <w:rPr>
          <w:spacing w:val="-3"/>
        </w:rPr>
        <w:t>的公允价值为基础，并按照本公司的会计政策及会计期间，对被投资单位的净利润进行调整后确</w:t>
      </w:r>
      <w:r>
        <w:rPr>
          <w:spacing w:val="-17"/>
        </w:rPr>
        <w:t> </w:t>
      </w:r>
      <w:r>
        <w:rPr>
          <w:spacing w:val="-17"/>
        </w:rPr>
      </w:r>
      <w:r>
        <w:rPr/>
        <w:t>认。</w:t>
      </w:r>
    </w:p>
    <w:p>
      <w:pPr>
        <w:spacing w:line="240" w:lineRule="auto" w:before="12"/>
        <w:rPr>
          <w:rFonts w:ascii="宋体" w:hAnsi="宋体" w:cs="宋体" w:eastAsia="宋体" w:hint="default"/>
          <w:sz w:val="20"/>
          <w:szCs w:val="20"/>
        </w:rPr>
      </w:pPr>
    </w:p>
    <w:p>
      <w:pPr>
        <w:pStyle w:val="BodyText"/>
        <w:spacing w:line="237" w:lineRule="auto"/>
        <w:ind w:left="152" w:right="316"/>
        <w:jc w:val="both"/>
      </w:pPr>
      <w:r>
        <w:rPr>
          <w:spacing w:val="-3"/>
        </w:rPr>
        <w:t>本公司与联营企业之间发生的未实现内部交易损益按照持股比例计算归属于本公司的部分，在抵</w:t>
      </w:r>
      <w:r>
        <w:rPr>
          <w:spacing w:val="-18"/>
        </w:rPr>
        <w:t> </w:t>
      </w:r>
      <w:r>
        <w:rPr>
          <w:spacing w:val="-18"/>
        </w:rPr>
      </w:r>
      <w:r>
        <w:rPr>
          <w:spacing w:val="-3"/>
        </w:rPr>
        <w:t>销基础上确认投资损益。但本公司与被投资单位发生的未实现内部交易损失，属于所转让资产减</w:t>
      </w:r>
      <w:r>
        <w:rPr>
          <w:spacing w:val="-17"/>
        </w:rPr>
        <w:t> </w:t>
      </w:r>
      <w:r>
        <w:rPr>
          <w:spacing w:val="-17"/>
        </w:rPr>
      </w:r>
      <w:r>
        <w:rPr/>
        <w:t>值损失的，不予以抵销。</w:t>
      </w:r>
    </w:p>
    <w:p>
      <w:pPr>
        <w:pStyle w:val="BodyText"/>
        <w:spacing w:line="237" w:lineRule="auto" w:before="1"/>
        <w:ind w:left="152" w:right="20"/>
        <w:jc w:val="left"/>
      </w:pPr>
      <w:r>
        <w:rPr/>
        <w:t>（</w:t>
      </w:r>
      <w:r>
        <w:rPr>
          <w:rFonts w:ascii="宋体" w:hAnsi="宋体" w:cs="宋体" w:eastAsia="宋体" w:hint="default"/>
        </w:rPr>
        <w:t>3</w:t>
      </w:r>
      <w:r>
        <w:rPr/>
        <w:t>）确定对被投资单位具有重大影响的依据</w:t>
      </w:r>
      <w:r>
        <w:rPr>
          <w:w w:val="100"/>
        </w:rPr>
        <w:t> </w:t>
      </w:r>
      <w:r>
        <w:rPr>
          <w:spacing w:val="-3"/>
        </w:rPr>
        <w:t>重大影响，是指投资方对被投资单位的财务和经营政策有参与决策的权力，但并不能够控制或者</w:t>
      </w:r>
      <w:r>
        <w:rPr>
          <w:spacing w:val="-17"/>
        </w:rPr>
        <w:t> </w:t>
      </w:r>
      <w:r>
        <w:rPr>
          <w:spacing w:val="-17"/>
        </w:rPr>
      </w:r>
      <w:r>
        <w:rPr>
          <w:spacing w:val="-3"/>
        </w:rPr>
        <w:t>与其他方一起共同控制这些政策的制定。在确定能否对被投资单位施加重大影响时，考虑投资方</w:t>
      </w:r>
      <w:r>
        <w:rPr>
          <w:spacing w:val="-17"/>
        </w:rPr>
        <w:t> </w:t>
      </w:r>
      <w:r>
        <w:rPr>
          <w:spacing w:val="-17"/>
        </w:rPr>
      </w:r>
      <w:r>
        <w:rPr/>
        <w:t>直接或间接持有被投资单位的表决权股份以及投资方及其他方持有的当期可执行潜在表决权在</w:t>
      </w:r>
      <w:r>
        <w:rPr>
          <w:w w:val="100"/>
        </w:rPr>
        <w:t> </w:t>
      </w:r>
      <w:r>
        <w:rPr>
          <w:spacing w:val="-3"/>
        </w:rPr>
        <w:t>假定转换为对被投资方单位的股权后产生的影响，包括被投资单位发行的当期可转换的认股权证、</w:t>
      </w:r>
      <w:r>
        <w:rPr>
          <w:spacing w:val="-16"/>
        </w:rPr>
        <w:t> </w:t>
      </w:r>
      <w:r>
        <w:rPr>
          <w:spacing w:val="-16"/>
        </w:rPr>
      </w:r>
      <w:r>
        <w:rPr/>
        <w:t>股份期权及可转换公司债券等的影响。</w:t>
      </w:r>
    </w:p>
    <w:p>
      <w:pPr>
        <w:pStyle w:val="BodyText"/>
        <w:spacing w:line="237" w:lineRule="auto"/>
        <w:ind w:left="152" w:right="215"/>
        <w:jc w:val="left"/>
      </w:pPr>
      <w:r>
        <w:rPr/>
        <w:t>当本公司直接或通过子公司间接拥有被投资单位</w:t>
      </w:r>
      <w:r>
        <w:rPr>
          <w:spacing w:val="-49"/>
        </w:rPr>
        <w:t> </w:t>
      </w:r>
      <w:r>
        <w:rPr>
          <w:rFonts w:ascii="宋体" w:hAnsi="宋体" w:cs="宋体" w:eastAsia="宋体" w:hint="default"/>
        </w:rPr>
        <w:t>20%</w:t>
      </w:r>
      <w:r>
        <w:rPr/>
        <w:t>（含</w:t>
      </w:r>
      <w:r>
        <w:rPr>
          <w:spacing w:val="-52"/>
        </w:rPr>
        <w:t> </w:t>
      </w:r>
      <w:r>
        <w:rPr>
          <w:rFonts w:ascii="宋体" w:hAnsi="宋体" w:cs="宋体" w:eastAsia="宋体" w:hint="default"/>
        </w:rPr>
        <w:t>20%</w:t>
      </w:r>
      <w:r>
        <w:rPr/>
        <w:t>）以上但低于</w:t>
      </w:r>
      <w:r>
        <w:rPr>
          <w:spacing w:val="-50"/>
        </w:rPr>
        <w:t> </w:t>
      </w:r>
      <w:r>
        <w:rPr>
          <w:rFonts w:ascii="宋体" w:hAnsi="宋体" w:cs="宋体" w:eastAsia="宋体" w:hint="default"/>
        </w:rPr>
        <w:t>50%</w:t>
      </w:r>
      <w:r>
        <w:rPr/>
        <w:t>的表决权股份时，</w:t>
      </w:r>
      <w:r>
        <w:rPr>
          <w:w w:val="100"/>
        </w:rPr>
        <w:t> </w:t>
      </w:r>
      <w:r>
        <w:rPr>
          <w:spacing w:val="-3"/>
        </w:rPr>
        <w:t>除非有明确证据表明该种情况下不能参与被投资单位的生产经营决策，不形成重大影响外，均确</w:t>
      </w:r>
      <w:r>
        <w:rPr>
          <w:spacing w:val="-17"/>
        </w:rPr>
        <w:t> </w:t>
      </w:r>
      <w:r>
        <w:rPr>
          <w:spacing w:val="-17"/>
        </w:rPr>
      </w:r>
      <w:r>
        <w:rPr/>
        <w:t>定对被投资单位具有重大影响；本公司拥有被投资单位</w:t>
      </w:r>
      <w:r>
        <w:rPr>
          <w:spacing w:val="-54"/>
        </w:rPr>
        <w:t> </w:t>
      </w:r>
      <w:r>
        <w:rPr>
          <w:rFonts w:ascii="宋体" w:hAnsi="宋体" w:cs="宋体" w:eastAsia="宋体" w:hint="default"/>
        </w:rPr>
        <w:t>20%</w:t>
      </w:r>
      <w:r>
        <w:rPr/>
        <w:t>（不含）以下的表决权股份，一般不</w:t>
      </w:r>
      <w:r>
        <w:rPr>
          <w:w w:val="100"/>
        </w:rPr>
        <w:t> </w:t>
      </w:r>
      <w:r>
        <w:rPr>
          <w:spacing w:val="-3"/>
        </w:rPr>
        <w:t>认为对被投资单位具有重大影响，除非有明确证据表明该种情况下能够参与被投资单位的生产经</w:t>
      </w:r>
      <w:r>
        <w:rPr>
          <w:spacing w:val="-17"/>
        </w:rPr>
        <w:t> </w:t>
      </w:r>
      <w:r>
        <w:rPr>
          <w:spacing w:val="-17"/>
        </w:rPr>
      </w:r>
      <w:r>
        <w:rPr/>
        <w:t>营决策，形成重大影响。</w:t>
      </w:r>
    </w:p>
    <w:p>
      <w:pPr>
        <w:pStyle w:val="BodyText"/>
        <w:spacing w:line="272" w:lineRule="exact" w:before="26"/>
        <w:ind w:left="152" w:right="20"/>
        <w:jc w:val="left"/>
      </w:pPr>
      <w:r>
        <w:rPr/>
        <w:t>（</w:t>
      </w:r>
      <w:r>
        <w:rPr>
          <w:rFonts w:ascii="宋体" w:hAnsi="宋体" w:cs="宋体" w:eastAsia="宋体" w:hint="default"/>
        </w:rPr>
        <w:t>4</w:t>
      </w:r>
      <w:r>
        <w:rPr/>
        <w:t>）减值测试方法及减值准备计提方法</w:t>
      </w:r>
      <w:r>
        <w:rPr>
          <w:w w:val="100"/>
        </w:rPr>
        <w:t> </w:t>
      </w:r>
      <w:r>
        <w:rPr>
          <w:spacing w:val="-2"/>
        </w:rPr>
        <w:t>对子公司及联营企业的投资，计提资产减值的方法见附注五、</w:t>
      </w:r>
      <w:r>
        <w:rPr>
          <w:rFonts w:ascii="宋体" w:hAnsi="宋体" w:cs="宋体" w:eastAsia="宋体" w:hint="default"/>
          <w:spacing w:val="-2"/>
        </w:rPr>
        <w:t>22</w:t>
      </w:r>
      <w:r>
        <w:rPr>
          <w:spacing w:val="-2"/>
        </w:rPr>
        <w:t>。</w:t>
      </w:r>
    </w:p>
    <w:p>
      <w:pPr>
        <w:spacing w:after="0" w:line="272" w:lineRule="exact"/>
        <w:jc w:val="left"/>
        <w:sectPr>
          <w:footerReference w:type="default" r:id="rId51"/>
          <w:pgSz w:w="11910" w:h="16850"/>
          <w:pgMar w:footer="941" w:header="762" w:top="1000" w:bottom="1140" w:left="980" w:right="1660"/>
          <w:pgNumType w:start="91"/>
        </w:sectPr>
      </w:pPr>
    </w:p>
    <w:p>
      <w:pPr>
        <w:spacing w:line="240" w:lineRule="auto" w:before="11"/>
        <w:rPr>
          <w:rFonts w:ascii="宋体" w:hAnsi="宋体" w:cs="宋体" w:eastAsia="宋体" w:hint="default"/>
          <w:sz w:val="29"/>
          <w:szCs w:val="29"/>
        </w:rPr>
      </w:pPr>
    </w:p>
    <w:p>
      <w:pPr>
        <w:pStyle w:val="Heading5"/>
        <w:spacing w:line="290" w:lineRule="auto" w:before="36"/>
        <w:ind w:left="212" w:right="7805"/>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3" w:lineRule="exact" w:before="14"/>
        <w:ind w:right="25"/>
        <w:jc w:val="left"/>
      </w:pPr>
      <w:r>
        <w:rPr/>
        <w:t>√适用 □不适用</w:t>
      </w:r>
    </w:p>
    <w:p>
      <w:pPr>
        <w:pStyle w:val="BodyText"/>
        <w:spacing w:line="237" w:lineRule="auto"/>
        <w:ind w:right="25"/>
        <w:jc w:val="left"/>
      </w:pPr>
      <w:r>
        <w:rPr/>
        <w:t>（</w:t>
      </w:r>
      <w:r>
        <w:rPr>
          <w:rFonts w:ascii="宋体" w:hAnsi="宋体" w:cs="宋体" w:eastAsia="宋体" w:hint="default"/>
        </w:rPr>
        <w:t>1</w:t>
      </w:r>
      <w:r>
        <w:rPr/>
        <w:t>）固定资产确认条件</w:t>
      </w:r>
      <w:r>
        <w:rPr>
          <w:w w:val="100"/>
        </w:rPr>
        <w:t> </w:t>
      </w:r>
      <w:r>
        <w:rPr>
          <w:spacing w:val="-3"/>
        </w:rPr>
        <w:t>本公司固定资产是指为生产商品、提供劳务、出租或经营管理而持有的，使用寿命超过一个会计</w:t>
      </w:r>
      <w:r>
        <w:rPr>
          <w:spacing w:val="-19"/>
        </w:rPr>
        <w:t> </w:t>
      </w:r>
      <w:r>
        <w:rPr>
          <w:spacing w:val="-19"/>
        </w:rPr>
      </w:r>
      <w:r>
        <w:rPr/>
        <w:t>年度的有形资产。</w:t>
      </w:r>
      <w:r>
        <w:rPr>
          <w:w w:val="100"/>
        </w:rPr>
        <w:t> </w:t>
      </w:r>
      <w:r>
        <w:rPr>
          <w:spacing w:val="-3"/>
        </w:rPr>
        <w:t>与该固定资产有关的经济利益很可能流入企业，并且该固定资产的成本能够可靠地计量时，固定</w:t>
      </w:r>
      <w:r>
        <w:rPr>
          <w:spacing w:val="-17"/>
        </w:rPr>
        <w:t> </w:t>
      </w:r>
      <w:r>
        <w:rPr>
          <w:spacing w:val="-17"/>
        </w:rPr>
      </w:r>
      <w:r>
        <w:rPr/>
        <w:t>资产才能予以确认。</w:t>
      </w:r>
    </w:p>
    <w:p>
      <w:pPr>
        <w:pStyle w:val="BodyText"/>
        <w:spacing w:line="272" w:lineRule="exact"/>
        <w:ind w:right="25"/>
        <w:jc w:val="left"/>
      </w:pPr>
      <w:r>
        <w:rPr/>
        <w:t>本公司固定资产按照取得时的实际成本进行初始计量。</w:t>
      </w:r>
    </w:p>
    <w:p>
      <w:pPr>
        <w:pStyle w:val="BodyText"/>
        <w:spacing w:line="237" w:lineRule="auto"/>
        <w:ind w:right="25"/>
        <w:jc w:val="left"/>
      </w:pPr>
      <w:r>
        <w:rPr/>
        <w:t>（</w:t>
      </w:r>
      <w:r>
        <w:rPr>
          <w:rFonts w:ascii="宋体" w:hAnsi="宋体" w:cs="宋体" w:eastAsia="宋体" w:hint="default"/>
        </w:rPr>
        <w:t>2</w:t>
      </w:r>
      <w:r>
        <w:rPr/>
        <w:t>）各类固定资产的折旧方法</w:t>
      </w:r>
      <w:r>
        <w:rPr>
          <w:w w:val="100"/>
        </w:rPr>
        <w:t> </w:t>
      </w:r>
      <w:r>
        <w:rPr>
          <w:spacing w:val="-3"/>
        </w:rPr>
        <w:t>本公司采用年限平均法计提折旧。固定资产自达到预定可使用状态时开始计提折旧，终止确认时</w:t>
      </w:r>
      <w:r>
        <w:rPr>
          <w:spacing w:val="-17"/>
        </w:rPr>
        <w:t> </w:t>
      </w:r>
      <w:r>
        <w:rPr>
          <w:spacing w:val="-17"/>
        </w:rPr>
      </w:r>
      <w:r>
        <w:rPr/>
        <w:t>或划分为持有待售非流动资产时停止计提折旧。在不考虑减值准备的情况下，按固定资产类别、</w:t>
      </w:r>
      <w:r>
        <w:rPr>
          <w:spacing w:val="-40"/>
        </w:rPr>
        <w:t> </w:t>
      </w:r>
      <w:r>
        <w:rPr>
          <w:spacing w:val="-40"/>
        </w:rPr>
      </w:r>
      <w:r>
        <w:rPr/>
        <w:t>预计使用寿命和预计残值，本公司确定各类固定资产的年折旧率如下：</w:t>
      </w: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78"/>
        <w:gridCol w:w="2489"/>
        <w:gridCol w:w="1563"/>
        <w:gridCol w:w="2875"/>
      </w:tblGrid>
      <w:tr>
        <w:trPr>
          <w:trHeight w:val="413" w:hRule="exact"/>
        </w:trPr>
        <w:tc>
          <w:tcPr>
            <w:tcW w:w="2078" w:type="dxa"/>
            <w:tcBorders>
              <w:top w:val="single" w:sz="8" w:space="0" w:color="000000"/>
              <w:left w:val="nil" w:sz="6" w:space="0" w:color="auto"/>
              <w:bottom w:val="single" w:sz="4" w:space="0" w:color="000000"/>
              <w:right w:val="nil" w:sz="6" w:space="0" w:color="auto"/>
            </w:tcBorders>
          </w:tcPr>
          <w:p>
            <w:pPr>
              <w:pStyle w:val="TableParagraph"/>
              <w:tabs>
                <w:tab w:pos="533" w:val="left" w:leader="none"/>
              </w:tabs>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48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704" w:right="0"/>
              <w:jc w:val="left"/>
              <w:rPr>
                <w:rFonts w:ascii="宋体" w:hAnsi="宋体" w:cs="宋体" w:eastAsia="宋体" w:hint="default"/>
                <w:sz w:val="21"/>
                <w:szCs w:val="21"/>
              </w:rPr>
            </w:pPr>
            <w:r>
              <w:rPr>
                <w:rFonts w:ascii="宋体" w:hAnsi="宋体" w:cs="宋体" w:eastAsia="宋体" w:hint="default"/>
                <w:sz w:val="21"/>
                <w:szCs w:val="21"/>
              </w:rPr>
              <w:t>使用年限（年）</w:t>
            </w:r>
          </w:p>
        </w:tc>
        <w:tc>
          <w:tcPr>
            <w:tcW w:w="156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310"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87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618"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0" w:hRule="exact"/>
        </w:trPr>
        <w:tc>
          <w:tcPr>
            <w:tcW w:w="207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8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704"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20</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10" w:right="0"/>
              <w:jc w:val="left"/>
              <w:rPr>
                <w:rFonts w:ascii="宋体" w:hAnsi="宋体" w:cs="宋体" w:eastAsia="宋体" w:hint="default"/>
                <w:sz w:val="21"/>
                <w:szCs w:val="21"/>
              </w:rPr>
            </w:pPr>
            <w:r>
              <w:rPr>
                <w:rFonts w:ascii="宋体"/>
                <w:sz w:val="21"/>
              </w:rPr>
              <w:t>5%</w:t>
            </w:r>
          </w:p>
        </w:tc>
        <w:tc>
          <w:tcPr>
            <w:tcW w:w="287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618" w:right="0"/>
              <w:jc w:val="left"/>
              <w:rPr>
                <w:rFonts w:ascii="宋体" w:hAnsi="宋体" w:cs="宋体" w:eastAsia="宋体" w:hint="default"/>
                <w:sz w:val="21"/>
                <w:szCs w:val="21"/>
              </w:rPr>
            </w:pPr>
            <w:r>
              <w:rPr>
                <w:rFonts w:ascii="宋体" w:hAnsi="宋体" w:cs="宋体" w:eastAsia="宋体" w:hint="default"/>
                <w:sz w:val="21"/>
                <w:szCs w:val="21"/>
              </w:rPr>
              <w:t>4.75%</w:t>
            </w:r>
            <w:r>
              <w:rPr>
                <w:rFonts w:ascii="宋体" w:hAnsi="宋体" w:cs="宋体" w:eastAsia="宋体" w:hint="default"/>
                <w:sz w:val="21"/>
                <w:szCs w:val="21"/>
              </w:rPr>
              <w:t>—</w:t>
            </w:r>
            <w:r>
              <w:rPr>
                <w:rFonts w:ascii="宋体" w:hAnsi="宋体" w:cs="宋体" w:eastAsia="宋体" w:hint="default"/>
                <w:sz w:val="21"/>
                <w:szCs w:val="21"/>
              </w:rPr>
              <w:t>9.50%</w:t>
            </w:r>
          </w:p>
        </w:tc>
      </w:tr>
      <w:tr>
        <w:trPr>
          <w:trHeight w:val="397"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0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0" w:right="0"/>
              <w:jc w:val="left"/>
              <w:rPr>
                <w:rFonts w:ascii="宋体" w:hAnsi="宋体" w:cs="宋体" w:eastAsia="宋体" w:hint="default"/>
                <w:sz w:val="21"/>
                <w:szCs w:val="21"/>
              </w:rPr>
            </w:pPr>
            <w:r>
              <w:rPr>
                <w:rFonts w:ascii="宋体"/>
                <w:sz w:val="21"/>
              </w:rPr>
              <w:t>5%</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18" w:right="0"/>
              <w:jc w:val="left"/>
              <w:rPr>
                <w:rFonts w:ascii="宋体" w:hAnsi="宋体" w:cs="宋体" w:eastAsia="宋体" w:hint="default"/>
                <w:sz w:val="21"/>
                <w:szCs w:val="21"/>
              </w:rPr>
            </w:pPr>
            <w:r>
              <w:rPr>
                <w:rFonts w:ascii="宋体" w:hAnsi="宋体" w:cs="宋体" w:eastAsia="宋体" w:hint="default"/>
                <w:sz w:val="21"/>
                <w:szCs w:val="21"/>
              </w:rPr>
              <w:t>9.50%</w:t>
            </w:r>
            <w:r>
              <w:rPr>
                <w:rFonts w:ascii="宋体" w:hAnsi="宋体" w:cs="宋体" w:eastAsia="宋体" w:hint="default"/>
                <w:sz w:val="21"/>
                <w:szCs w:val="21"/>
              </w:rPr>
              <w:t>—</w:t>
            </w:r>
            <w:r>
              <w:rPr>
                <w:rFonts w:ascii="宋体" w:hAnsi="宋体" w:cs="宋体" w:eastAsia="宋体" w:hint="default"/>
                <w:sz w:val="21"/>
                <w:szCs w:val="21"/>
              </w:rPr>
              <w:t>19.00%</w:t>
            </w:r>
          </w:p>
        </w:tc>
      </w:tr>
      <w:tr>
        <w:trPr>
          <w:trHeight w:val="397"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0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10" w:right="0"/>
              <w:jc w:val="left"/>
              <w:rPr>
                <w:rFonts w:ascii="宋体" w:hAnsi="宋体" w:cs="宋体" w:eastAsia="宋体" w:hint="default"/>
                <w:sz w:val="21"/>
                <w:szCs w:val="21"/>
              </w:rPr>
            </w:pPr>
            <w:r>
              <w:rPr>
                <w:rFonts w:ascii="宋体"/>
                <w:sz w:val="21"/>
              </w:rPr>
              <w:t>5%</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18" w:right="0"/>
              <w:jc w:val="left"/>
              <w:rPr>
                <w:rFonts w:ascii="宋体" w:hAnsi="宋体" w:cs="宋体" w:eastAsia="宋体" w:hint="default"/>
                <w:sz w:val="21"/>
                <w:szCs w:val="21"/>
              </w:rPr>
            </w:pPr>
            <w:r>
              <w:rPr>
                <w:rFonts w:ascii="宋体" w:hAnsi="宋体" w:cs="宋体" w:eastAsia="宋体" w:hint="default"/>
                <w:sz w:val="21"/>
                <w:szCs w:val="21"/>
              </w:rPr>
              <w:t>9.50%</w:t>
            </w:r>
            <w:r>
              <w:rPr>
                <w:rFonts w:ascii="宋体" w:hAnsi="宋体" w:cs="宋体" w:eastAsia="宋体" w:hint="default"/>
                <w:sz w:val="21"/>
                <w:szCs w:val="21"/>
              </w:rPr>
              <w:t>—</w:t>
            </w:r>
            <w:r>
              <w:rPr>
                <w:rFonts w:ascii="宋体" w:hAnsi="宋体" w:cs="宋体" w:eastAsia="宋体" w:hint="default"/>
                <w:sz w:val="21"/>
                <w:szCs w:val="21"/>
              </w:rPr>
              <w:t>19.00%</w:t>
            </w:r>
          </w:p>
        </w:tc>
      </w:tr>
      <w:tr>
        <w:trPr>
          <w:trHeight w:val="408" w:hRule="exact"/>
        </w:trPr>
        <w:tc>
          <w:tcPr>
            <w:tcW w:w="207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8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70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w:t>
            </w:r>
          </w:p>
        </w:tc>
        <w:tc>
          <w:tcPr>
            <w:tcW w:w="156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310" w:right="0"/>
              <w:jc w:val="left"/>
              <w:rPr>
                <w:rFonts w:ascii="宋体" w:hAnsi="宋体" w:cs="宋体" w:eastAsia="宋体" w:hint="default"/>
                <w:sz w:val="21"/>
                <w:szCs w:val="21"/>
              </w:rPr>
            </w:pPr>
            <w:r>
              <w:rPr>
                <w:rFonts w:ascii="宋体"/>
                <w:sz w:val="21"/>
              </w:rPr>
              <w:t>5%</w:t>
            </w:r>
          </w:p>
        </w:tc>
        <w:tc>
          <w:tcPr>
            <w:tcW w:w="287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618" w:right="0"/>
              <w:jc w:val="left"/>
              <w:rPr>
                <w:rFonts w:ascii="宋体" w:hAnsi="宋体" w:cs="宋体" w:eastAsia="宋体" w:hint="default"/>
                <w:sz w:val="21"/>
                <w:szCs w:val="21"/>
              </w:rPr>
            </w:pPr>
            <w:r>
              <w:rPr>
                <w:rFonts w:ascii="宋体" w:hAnsi="宋体" w:cs="宋体" w:eastAsia="宋体" w:hint="default"/>
                <w:sz w:val="21"/>
                <w:szCs w:val="21"/>
              </w:rPr>
              <w:t>9.50%</w:t>
            </w:r>
            <w:r>
              <w:rPr>
                <w:rFonts w:ascii="宋体" w:hAnsi="宋体" w:cs="宋体" w:eastAsia="宋体" w:hint="default"/>
                <w:sz w:val="21"/>
                <w:szCs w:val="21"/>
              </w:rPr>
              <w:t>—</w:t>
            </w:r>
            <w:r>
              <w:rPr>
                <w:rFonts w:ascii="宋体" w:hAnsi="宋体" w:cs="宋体" w:eastAsia="宋体" w:hint="default"/>
                <w:sz w:val="21"/>
                <w:szCs w:val="21"/>
              </w:rPr>
              <w:t>19.00%</w:t>
            </w:r>
          </w:p>
        </w:tc>
      </w:tr>
    </w:tbl>
    <w:p>
      <w:pPr>
        <w:pStyle w:val="BodyText"/>
        <w:spacing w:line="240" w:lineRule="exact"/>
        <w:ind w:right="25"/>
        <w:jc w:val="left"/>
      </w:pPr>
      <w:r>
        <w:rPr>
          <w:spacing w:val="-3"/>
        </w:rPr>
        <w:t>其中，已计提减值准备的固定资产，还应扣除已计提的固定资产减值准备累计金额计算确定折旧</w:t>
      </w:r>
    </w:p>
    <w:p>
      <w:pPr>
        <w:pStyle w:val="BodyText"/>
        <w:spacing w:line="273" w:lineRule="exact"/>
        <w:ind w:right="25"/>
        <w:jc w:val="left"/>
      </w:pPr>
      <w:r>
        <w:rPr/>
        <w:t>率。</w:t>
      </w:r>
    </w:p>
    <w:p>
      <w:pPr>
        <w:pStyle w:val="BodyText"/>
        <w:spacing w:line="273" w:lineRule="exact"/>
        <w:ind w:right="25"/>
        <w:jc w:val="left"/>
      </w:pPr>
      <w:r>
        <w:rPr/>
        <w:t>（</w:t>
      </w:r>
      <w:r>
        <w:rPr>
          <w:rFonts w:ascii="宋体" w:hAnsi="宋体" w:cs="宋体" w:eastAsia="宋体" w:hint="default"/>
        </w:rPr>
        <w:t>3</w:t>
      </w:r>
      <w:r>
        <w:rPr/>
        <w:t>）固定资产的减值测试方法、减值准备计提方法见附注五、</w:t>
      </w:r>
      <w:r>
        <w:rPr>
          <w:rFonts w:ascii="宋体" w:hAnsi="宋体" w:cs="宋体" w:eastAsia="宋体" w:hint="default"/>
        </w:rPr>
        <w:t>22</w:t>
      </w:r>
      <w:r>
        <w:rPr/>
        <w:t>。</w:t>
      </w:r>
    </w:p>
    <w:p>
      <w:pPr>
        <w:pStyle w:val="BodyText"/>
        <w:spacing w:line="272" w:lineRule="exact" w:before="27"/>
        <w:ind w:right="25"/>
        <w:jc w:val="left"/>
      </w:pPr>
      <w:r>
        <w:rPr/>
        <w:t>（</w:t>
      </w:r>
      <w:r>
        <w:rPr>
          <w:rFonts w:ascii="宋体" w:hAnsi="宋体" w:cs="宋体" w:eastAsia="宋体" w:hint="default"/>
        </w:rPr>
        <w:t>4</w:t>
      </w:r>
      <w:r>
        <w:rPr/>
        <w:t>）每年年度终了，本公司对固定资产的使用寿命、预计净残值和折旧方法进行复核。</w:t>
      </w:r>
      <w:r>
        <w:rPr>
          <w:w w:val="100"/>
        </w:rPr>
        <w:t> </w:t>
      </w:r>
      <w:r>
        <w:rPr>
          <w:spacing w:val="-3"/>
        </w:rPr>
        <w:t>使用寿命预计数与原先估计数有差异的，调整固定资产使用寿命；预计净残值预计数与原先估计</w:t>
      </w:r>
      <w:r>
        <w:rPr>
          <w:spacing w:val="-17"/>
        </w:rPr>
        <w:t> </w:t>
      </w:r>
      <w:r>
        <w:rPr>
          <w:spacing w:val="-17"/>
        </w:rPr>
      </w:r>
      <w:r>
        <w:rPr/>
        <w:t>数有差异的，调整预计净残值。</w:t>
      </w:r>
    </w:p>
    <w:p>
      <w:pPr>
        <w:pStyle w:val="BodyText"/>
        <w:spacing w:line="272" w:lineRule="exact" w:before="1"/>
        <w:ind w:right="25"/>
        <w:jc w:val="left"/>
      </w:pPr>
      <w:r>
        <w:rPr/>
        <w:t>（</w:t>
      </w:r>
      <w:r>
        <w:rPr>
          <w:rFonts w:ascii="宋体" w:hAnsi="宋体" w:cs="宋体" w:eastAsia="宋体" w:hint="default"/>
        </w:rPr>
        <w:t>5</w:t>
      </w:r>
      <w:r>
        <w:rPr/>
        <w:t>）大修理费用</w:t>
      </w:r>
      <w:r>
        <w:rPr>
          <w:w w:val="100"/>
        </w:rPr>
        <w:t> </w:t>
      </w:r>
      <w:r>
        <w:rPr>
          <w:spacing w:val="-3"/>
        </w:rPr>
        <w:t>本公司对固定资产进行定期检查发生的大修理费用，有确凿证据表明符合固定资产确认条件的部</w:t>
      </w:r>
    </w:p>
    <w:p>
      <w:pPr>
        <w:pStyle w:val="BodyText"/>
        <w:spacing w:line="272" w:lineRule="exact" w:before="1"/>
        <w:ind w:right="25"/>
        <w:jc w:val="left"/>
      </w:pPr>
      <w:r>
        <w:rPr>
          <w:spacing w:val="-3"/>
        </w:rPr>
        <w:t>分，计入固定资产成本，不符合固定资产确认条件的计入当期损益。固定资产在定期大修理间隔</w:t>
      </w:r>
      <w:r>
        <w:rPr>
          <w:spacing w:val="-19"/>
        </w:rPr>
        <w:t> </w:t>
      </w:r>
      <w:r>
        <w:rPr>
          <w:spacing w:val="-19"/>
        </w:rPr>
      </w:r>
      <w:r>
        <w:rPr/>
        <w:t>期间，照提折旧。</w:t>
      </w:r>
    </w:p>
    <w:p>
      <w:pPr>
        <w:spacing w:line="240" w:lineRule="auto" w:before="4"/>
        <w:rPr>
          <w:rFonts w:ascii="宋体" w:hAnsi="宋体" w:cs="宋体" w:eastAsia="宋体" w:hint="default"/>
          <w:sz w:val="23"/>
          <w:szCs w:val="23"/>
        </w:rPr>
      </w:pPr>
    </w:p>
    <w:p>
      <w:pPr>
        <w:pStyle w:val="Heading5"/>
        <w:spacing w:line="240" w:lineRule="auto"/>
        <w:ind w:left="212" w:right="2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right="25"/>
        <w:jc w:val="left"/>
      </w:pPr>
      <w:r>
        <w:rPr/>
        <w:t>√适用 □不适用</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2"/>
        <w:gridCol w:w="1822"/>
        <w:gridCol w:w="1824"/>
        <w:gridCol w:w="1824"/>
        <w:gridCol w:w="1825"/>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10-20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4.75%-9.50%</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9.50%-19.00%</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9.50%-19.00%</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9.50%-19.00%</w:t>
            </w:r>
          </w:p>
        </w:tc>
      </w:tr>
    </w:tbl>
    <w:p>
      <w:pPr>
        <w:spacing w:line="240" w:lineRule="auto" w:before="12"/>
        <w:rPr>
          <w:rFonts w:ascii="宋体" w:hAnsi="宋体" w:cs="宋体" w:eastAsia="宋体" w:hint="default"/>
          <w:sz w:val="19"/>
          <w:szCs w:val="19"/>
        </w:rPr>
      </w:pPr>
    </w:p>
    <w:p>
      <w:pPr>
        <w:pStyle w:val="Heading5"/>
        <w:spacing w:line="240" w:lineRule="auto" w:before="36"/>
        <w:ind w:left="212" w:right="2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5" w:val="left" w:leader="none"/>
        </w:tabs>
        <w:spacing w:line="240" w:lineRule="auto" w:before="58"/>
        <w:ind w:right="25"/>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55" w:val="left" w:leader="none"/>
        </w:tabs>
        <w:spacing w:line="237" w:lineRule="auto" w:before="59"/>
        <w:ind w:right="319"/>
        <w:jc w:val="left"/>
      </w:pPr>
      <w:r>
        <w:rPr/>
        <w:t>√适用</w:t>
        <w:tab/>
        <w:t>□不适用</w:t>
      </w:r>
      <w:r>
        <w:rPr>
          <w:w w:val="100"/>
        </w:rPr>
        <w:t> </w:t>
      </w:r>
      <w:r>
        <w:rPr>
          <w:spacing w:val="-3"/>
        </w:rPr>
        <w:t>本公司在建工程成本按实际工程支出确定，包括在建期间发生的各项必要工程支出、工程达到预</w:t>
      </w:r>
      <w:r>
        <w:rPr>
          <w:spacing w:val="-17"/>
        </w:rPr>
        <w:t> </w:t>
      </w:r>
      <w:r>
        <w:rPr>
          <w:spacing w:val="-17"/>
        </w:rPr>
      </w:r>
      <w:r>
        <w:rPr/>
        <w:t>定可使用状态前的应予资本化的借款费用以及其他相关费用等。</w:t>
      </w:r>
      <w:r>
        <w:rPr>
          <w:w w:val="100"/>
        </w:rPr>
        <w:t> </w:t>
      </w:r>
      <w:r>
        <w:rPr/>
        <w:t>在建工程在达到预定可使用状态时转入固定资产。</w:t>
      </w:r>
    </w:p>
    <w:p>
      <w:pPr>
        <w:pStyle w:val="BodyText"/>
        <w:spacing w:line="274" w:lineRule="exact"/>
        <w:ind w:right="25"/>
        <w:jc w:val="left"/>
      </w:pPr>
      <w:r>
        <w:rPr/>
        <w:t>在建工程计提资产减值方法见附注五、</w:t>
      </w:r>
      <w:r>
        <w:rPr>
          <w:rFonts w:ascii="宋体" w:hAnsi="宋体" w:cs="宋体" w:eastAsia="宋体" w:hint="default"/>
        </w:rPr>
        <w:t>22</w:t>
      </w:r>
      <w:r>
        <w:rPr/>
        <w:t>。</w:t>
      </w:r>
    </w:p>
    <w:p>
      <w:pPr>
        <w:spacing w:after="0" w:line="274" w:lineRule="exact"/>
        <w:jc w:val="left"/>
        <w:sectPr>
          <w:pgSz w:w="11910" w:h="16850"/>
          <w:pgMar w:header="762" w:footer="941" w:top="1000" w:bottom="1140" w:left="920" w:right="1680"/>
        </w:sectPr>
      </w:pPr>
    </w:p>
    <w:p>
      <w:pPr>
        <w:pStyle w:val="Heading5"/>
        <w:spacing w:line="240" w:lineRule="auto" w:before="93"/>
        <w:ind w:left="232"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75" w:val="left" w:leader="none"/>
        </w:tabs>
        <w:spacing w:line="240" w:lineRule="auto" w:before="59"/>
        <w:ind w:left="232" w:right="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32" w:right="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1075" w:val="left" w:leader="none"/>
        </w:tabs>
        <w:spacing w:line="240" w:lineRule="auto" w:before="56"/>
        <w:ind w:left="232" w:right="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32" w:right="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1075" w:val="left" w:leader="none"/>
        </w:tabs>
        <w:spacing w:line="240" w:lineRule="auto" w:before="58"/>
        <w:ind w:left="232" w:right="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32" w:right="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5"/>
        <w:spacing w:line="240" w:lineRule="auto" w:before="56"/>
        <w:ind w:left="232" w:right="0"/>
        <w:jc w:val="left"/>
        <w:rPr>
          <w:b w:val="0"/>
          <w:bCs w:val="0"/>
        </w:rPr>
      </w:pPr>
      <w:r>
        <w:rPr>
          <w:rFonts w:ascii="宋体" w:hAnsi="宋体" w:cs="宋体" w:eastAsia="宋体" w:hint="default"/>
        </w:rPr>
        <w:t>(1).</w:t>
      </w:r>
      <w:r>
        <w:rPr>
          <w:rFonts w:ascii="宋体" w:hAnsi="宋体" w:cs="宋体" w:eastAsia="宋体" w:hint="default"/>
          <w:spacing w:val="-81"/>
        </w:rPr>
        <w:t> </w:t>
      </w:r>
      <w:r>
        <w:rPr/>
        <w:t>计价方法、使用寿命、减值测试</w:t>
      </w:r>
      <w:r>
        <w:rPr>
          <w:b w:val="0"/>
          <w:bCs w:val="0"/>
        </w:rPr>
      </w:r>
    </w:p>
    <w:p>
      <w:pPr>
        <w:pStyle w:val="BodyText"/>
        <w:spacing w:line="237" w:lineRule="auto" w:before="62"/>
        <w:ind w:left="232" w:right="191"/>
        <w:jc w:val="left"/>
      </w:pPr>
      <w:r>
        <w:rPr/>
        <w:t>√适用</w:t>
      </w:r>
      <w:r>
        <w:rPr>
          <w:spacing w:val="-2"/>
        </w:rPr>
        <w:t> </w:t>
      </w:r>
      <w:r>
        <w:rPr/>
        <w:t>□不适用</w:t>
      </w:r>
      <w:r>
        <w:rPr>
          <w:spacing w:val="-103"/>
        </w:rPr>
        <w:t> </w:t>
      </w:r>
      <w:r>
        <w:rPr>
          <w:spacing w:val="-103"/>
        </w:rPr>
      </w:r>
      <w:r>
        <w:rPr/>
        <w:t>本公司无形资产包括土地使用权、计算机软件、非专利技术、专利权及商标等。</w:t>
      </w:r>
      <w:r>
        <w:rPr>
          <w:w w:val="100"/>
        </w:rPr>
        <w:t> </w:t>
      </w:r>
      <w:r>
        <w:rPr>
          <w:spacing w:val="-5"/>
        </w:rPr>
        <w:t>无形资产按照成本进行初始计量，并于取得无形资产时分析判断其使用寿命。使用寿命为有限的，</w:t>
      </w:r>
      <w:r>
        <w:rPr>
          <w:spacing w:val="-33"/>
        </w:rPr>
        <w:t> </w:t>
      </w:r>
      <w:r>
        <w:rPr>
          <w:spacing w:val="-33"/>
        </w:rPr>
      </w:r>
      <w:r>
        <w:rPr>
          <w:spacing w:val="-3"/>
        </w:rPr>
        <w:t>自无形资产可供使用时起，采用能反映与该资产有关的经济利益的预期实现方式的摊销方法，在</w:t>
      </w:r>
      <w:r>
        <w:rPr>
          <w:spacing w:val="-17"/>
        </w:rPr>
        <w:t> </w:t>
      </w:r>
      <w:r>
        <w:rPr>
          <w:spacing w:val="-17"/>
        </w:rPr>
      </w:r>
      <w:r>
        <w:rPr>
          <w:spacing w:val="-3"/>
        </w:rPr>
        <w:t>预计使用年限内摊销；无法可靠确定预期实现方式的，采用直线法摊销；使用寿命不确定的无形</w:t>
      </w:r>
      <w:r>
        <w:rPr>
          <w:spacing w:val="-19"/>
        </w:rPr>
        <w:t> </w:t>
      </w:r>
      <w:r>
        <w:rPr>
          <w:spacing w:val="-19"/>
        </w:rPr>
      </w:r>
      <w:r>
        <w:rPr/>
        <w:t>资产，不作摊销。</w:t>
      </w:r>
    </w:p>
    <w:p>
      <w:pPr>
        <w:pStyle w:val="BodyText"/>
        <w:spacing w:line="274" w:lineRule="exact"/>
        <w:ind w:left="232" w:right="0"/>
        <w:jc w:val="left"/>
      </w:pPr>
      <w:r>
        <w:rPr/>
        <w:t>使用寿命有限的无形资产摊销方法如下：</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126"/>
        <w:gridCol w:w="2349"/>
        <w:gridCol w:w="2125"/>
        <w:gridCol w:w="2421"/>
      </w:tblGrid>
      <w:tr>
        <w:trPr>
          <w:trHeight w:val="355" w:hRule="exact"/>
        </w:trPr>
        <w:tc>
          <w:tcPr>
            <w:tcW w:w="2126"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349"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949" w:right="0"/>
              <w:jc w:val="left"/>
              <w:rPr>
                <w:rFonts w:ascii="宋体" w:hAnsi="宋体" w:cs="宋体" w:eastAsia="宋体" w:hint="default"/>
                <w:sz w:val="21"/>
                <w:szCs w:val="21"/>
              </w:rPr>
            </w:pPr>
            <w:r>
              <w:rPr>
                <w:rFonts w:ascii="宋体" w:hAnsi="宋体" w:cs="宋体" w:eastAsia="宋体" w:hint="default"/>
                <w:sz w:val="21"/>
                <w:szCs w:val="21"/>
              </w:rPr>
              <w:t>使用寿命</w:t>
            </w:r>
          </w:p>
        </w:tc>
        <w:tc>
          <w:tcPr>
            <w:tcW w:w="2125"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556" w:right="0"/>
              <w:jc w:val="left"/>
              <w:rPr>
                <w:rFonts w:ascii="宋体" w:hAnsi="宋体" w:cs="宋体" w:eastAsia="宋体" w:hint="default"/>
                <w:sz w:val="21"/>
                <w:szCs w:val="21"/>
              </w:rPr>
            </w:pPr>
            <w:r>
              <w:rPr>
                <w:rFonts w:ascii="宋体" w:hAnsi="宋体" w:cs="宋体" w:eastAsia="宋体" w:hint="default"/>
                <w:sz w:val="21"/>
                <w:szCs w:val="21"/>
              </w:rPr>
              <w:t>摊销方法</w:t>
            </w:r>
          </w:p>
        </w:tc>
        <w:tc>
          <w:tcPr>
            <w:tcW w:w="2421"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726"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126" w:type="dxa"/>
            <w:tcBorders>
              <w:top w:val="single" w:sz="6" w:space="0" w:color="000000"/>
              <w:left w:val="nil" w:sz="6" w:space="0" w:color="auto"/>
              <w:bottom w:val="nil" w:sz="6" w:space="0" w:color="auto"/>
              <w:right w:val="nil" w:sz="6" w:space="0" w:color="auto"/>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349" w:type="dxa"/>
            <w:tcBorders>
              <w:top w:val="single" w:sz="6" w:space="0" w:color="000000"/>
              <w:left w:val="nil" w:sz="6" w:space="0" w:color="auto"/>
              <w:bottom w:val="nil" w:sz="6" w:space="0" w:color="auto"/>
              <w:right w:val="nil" w:sz="6" w:space="0" w:color="auto"/>
            </w:tcBorders>
          </w:tcPr>
          <w:p>
            <w:pPr>
              <w:pStyle w:val="TableParagraph"/>
              <w:spacing w:line="274" w:lineRule="exact"/>
              <w:ind w:left="949"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125" w:type="dxa"/>
            <w:tcBorders>
              <w:top w:val="single" w:sz="6" w:space="0" w:color="000000"/>
              <w:left w:val="nil" w:sz="6" w:space="0" w:color="auto"/>
              <w:bottom w:val="nil" w:sz="6" w:space="0" w:color="auto"/>
              <w:right w:val="nil" w:sz="6" w:space="0" w:color="auto"/>
            </w:tcBorders>
          </w:tcPr>
          <w:p>
            <w:pPr>
              <w:pStyle w:val="TableParagraph"/>
              <w:spacing w:line="274" w:lineRule="exact"/>
              <w:ind w:left="556"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421" w:type="dxa"/>
            <w:tcBorders>
              <w:top w:val="single" w:sz="6" w:space="0" w:color="000000"/>
              <w:left w:val="nil" w:sz="6" w:space="0" w:color="auto"/>
              <w:bottom w:val="nil" w:sz="6" w:space="0" w:color="auto"/>
              <w:right w:val="nil" w:sz="6" w:space="0" w:color="auto"/>
            </w:tcBorders>
          </w:tcPr>
          <w:p>
            <w:pPr/>
          </w:p>
        </w:tc>
      </w:tr>
      <w:tr>
        <w:trPr>
          <w:trHeight w:val="341"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94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56"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421" w:type="dxa"/>
            <w:tcBorders>
              <w:top w:val="nil" w:sz="6" w:space="0" w:color="auto"/>
              <w:left w:val="nil" w:sz="6" w:space="0" w:color="auto"/>
              <w:bottom w:val="nil" w:sz="6" w:space="0" w:color="auto"/>
              <w:right w:val="nil" w:sz="6" w:space="0" w:color="auto"/>
            </w:tcBorders>
          </w:tcPr>
          <w:p>
            <w:pPr/>
          </w:p>
        </w:tc>
      </w:tr>
      <w:tr>
        <w:trPr>
          <w:trHeight w:val="34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949"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56"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421" w:type="dxa"/>
            <w:tcBorders>
              <w:top w:val="nil" w:sz="6" w:space="0" w:color="auto"/>
              <w:left w:val="nil" w:sz="6" w:space="0" w:color="auto"/>
              <w:bottom w:val="nil" w:sz="6" w:space="0" w:color="auto"/>
              <w:right w:val="nil" w:sz="6" w:space="0" w:color="auto"/>
            </w:tcBorders>
          </w:tcPr>
          <w:p>
            <w:pPr/>
          </w:p>
        </w:tc>
      </w:tr>
      <w:tr>
        <w:trPr>
          <w:trHeight w:val="348" w:hRule="exact"/>
        </w:trPr>
        <w:tc>
          <w:tcPr>
            <w:tcW w:w="2126" w:type="dxa"/>
            <w:tcBorders>
              <w:top w:val="nil" w:sz="6" w:space="0" w:color="auto"/>
              <w:left w:val="nil" w:sz="6" w:space="0" w:color="auto"/>
              <w:bottom w:val="single" w:sz="6" w:space="0" w:color="000000"/>
              <w:right w:val="nil" w:sz="6" w:space="0" w:color="auto"/>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349" w:type="dxa"/>
            <w:tcBorders>
              <w:top w:val="nil" w:sz="6" w:space="0" w:color="auto"/>
              <w:left w:val="nil" w:sz="6" w:space="0" w:color="auto"/>
              <w:bottom w:val="single" w:sz="6" w:space="0" w:color="000000"/>
              <w:right w:val="nil" w:sz="6" w:space="0" w:color="auto"/>
            </w:tcBorders>
          </w:tcPr>
          <w:p>
            <w:pPr>
              <w:pStyle w:val="TableParagraph"/>
              <w:spacing w:line="240" w:lineRule="auto"/>
              <w:ind w:left="949"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125" w:type="dxa"/>
            <w:tcBorders>
              <w:top w:val="nil" w:sz="6" w:space="0" w:color="auto"/>
              <w:left w:val="nil" w:sz="6" w:space="0" w:color="auto"/>
              <w:bottom w:val="single" w:sz="6" w:space="0" w:color="000000"/>
              <w:right w:val="nil" w:sz="6" w:space="0" w:color="auto"/>
            </w:tcBorders>
          </w:tcPr>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2421" w:type="dxa"/>
            <w:tcBorders>
              <w:top w:val="nil" w:sz="6" w:space="0" w:color="auto"/>
              <w:left w:val="nil" w:sz="6" w:space="0" w:color="auto"/>
              <w:bottom w:val="single" w:sz="6" w:space="0" w:color="000000"/>
              <w:right w:val="nil" w:sz="6" w:space="0" w:color="auto"/>
            </w:tcBorders>
          </w:tcPr>
          <w:p>
            <w:pPr/>
          </w:p>
        </w:tc>
      </w:tr>
    </w:tbl>
    <w:p>
      <w:pPr>
        <w:pStyle w:val="BodyText"/>
        <w:spacing w:line="240" w:lineRule="exact"/>
        <w:ind w:left="232" w:right="0"/>
        <w:jc w:val="left"/>
      </w:pPr>
      <w:r>
        <w:rPr>
          <w:spacing w:val="-3"/>
        </w:rPr>
        <w:t>本公司于每年年度终了，对使用寿命有限的无形资产的使用寿命及摊销方法进行复核，与以前估</w:t>
      </w:r>
    </w:p>
    <w:p>
      <w:pPr>
        <w:pStyle w:val="BodyText"/>
        <w:spacing w:line="237" w:lineRule="auto" w:before="2"/>
        <w:ind w:left="232" w:right="0"/>
        <w:jc w:val="left"/>
      </w:pPr>
      <w:r>
        <w:rPr/>
        <w:t>计不同的，调整原先估计数，并按会计估计变更处理。</w:t>
      </w:r>
      <w:r>
        <w:rPr>
          <w:w w:val="100"/>
        </w:rPr>
        <w:t> </w:t>
      </w:r>
      <w:r>
        <w:rPr>
          <w:spacing w:val="-3"/>
        </w:rPr>
        <w:t>资产负债表日预计某项无形资产已经不能给企业带来未来经济利益的，将该项无形资产的账面价</w:t>
      </w:r>
      <w:r>
        <w:rPr>
          <w:spacing w:val="-18"/>
        </w:rPr>
        <w:t> </w:t>
      </w:r>
      <w:r>
        <w:rPr>
          <w:spacing w:val="-18"/>
        </w:rPr>
      </w:r>
      <w:r>
        <w:rPr/>
        <w:t>值全部转入当期损益。</w:t>
      </w:r>
    </w:p>
    <w:p>
      <w:pPr>
        <w:pStyle w:val="BodyText"/>
        <w:spacing w:line="237" w:lineRule="auto"/>
        <w:ind w:left="232" w:right="0"/>
        <w:jc w:val="left"/>
      </w:pPr>
      <w:r>
        <w:rPr/>
        <w:t>无形资产计提资产减值方法见附注五、</w:t>
      </w:r>
      <w:r>
        <w:rPr>
          <w:rFonts w:ascii="宋体" w:hAnsi="宋体" w:cs="宋体" w:eastAsia="宋体" w:hint="default"/>
        </w:rPr>
        <w:t>22</w:t>
      </w:r>
      <w:r>
        <w:rPr/>
        <w:t>。</w:t>
      </w:r>
      <w:r>
        <w:rPr>
          <w:w w:val="100"/>
        </w:rPr>
        <w:t> </w:t>
      </w:r>
      <w:r>
        <w:rPr/>
        <w:t>本公司使用寿命不确定的无形资产是指收购浙江帅康电气股份有限公司过程中评估增值的商标</w:t>
      </w:r>
      <w:r>
        <w:rPr>
          <w:w w:val="100"/>
        </w:rPr>
        <w:t> </w:t>
      </w:r>
      <w:r>
        <w:rPr>
          <w:spacing w:val="-3"/>
        </w:rPr>
        <w:t>权，因商标权保护期届满时以较低的手续费申请延期不存在实质性障碍，而且，根据产品生命周</w:t>
      </w:r>
      <w:r>
        <w:rPr>
          <w:spacing w:val="-22"/>
        </w:rPr>
        <w:t> </w:t>
      </w:r>
      <w:r>
        <w:rPr>
          <w:spacing w:val="-22"/>
        </w:rPr>
      </w:r>
      <w:r>
        <w:rPr>
          <w:spacing w:val="-3"/>
        </w:rPr>
        <w:t>期、市场状况等综合判断，无法预见其为公司带来未来经济利益的期限，故将其确定为使用寿命</w:t>
      </w:r>
      <w:r>
        <w:rPr>
          <w:spacing w:val="-22"/>
        </w:rPr>
        <w:t> </w:t>
      </w:r>
      <w:r>
        <w:rPr>
          <w:spacing w:val="-22"/>
        </w:rPr>
      </w:r>
      <w:r>
        <w:rPr/>
        <w:t>不确定的无形资产。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5"/>
        <w:spacing w:line="240" w:lineRule="auto"/>
        <w:ind w:left="232" w:right="0"/>
        <w:jc w:val="left"/>
        <w:rPr>
          <w:b w:val="0"/>
          <w:bCs w:val="0"/>
        </w:rPr>
      </w:pPr>
      <w:r>
        <w:rPr>
          <w:rFonts w:ascii="宋体" w:hAnsi="宋体" w:cs="宋体" w:eastAsia="宋体" w:hint="default"/>
        </w:rPr>
        <w:t>(2).</w:t>
      </w:r>
      <w:r>
        <w:rPr>
          <w:rFonts w:ascii="宋体" w:hAnsi="宋体" w:cs="宋体" w:eastAsia="宋体" w:hint="default"/>
          <w:spacing w:val="-82"/>
        </w:rPr>
        <w:t> </w:t>
      </w:r>
      <w:r>
        <w:rPr/>
        <w:t>内部研究开发支出会计政策</w:t>
      </w:r>
      <w:r>
        <w:rPr>
          <w:b w:val="0"/>
          <w:bCs w:val="0"/>
        </w:rPr>
      </w:r>
    </w:p>
    <w:p>
      <w:pPr>
        <w:pStyle w:val="BodyText"/>
        <w:spacing w:line="237" w:lineRule="auto" w:before="61"/>
        <w:ind w:left="232" w:right="677"/>
        <w:jc w:val="left"/>
      </w:pPr>
      <w:r>
        <w:rPr/>
        <w:t>√适用</w:t>
      </w:r>
      <w:r>
        <w:rPr>
          <w:spacing w:val="-2"/>
        </w:rPr>
        <w:t> </w:t>
      </w:r>
      <w:r>
        <w:rPr/>
        <w:t>□不适用</w:t>
      </w:r>
      <w:r>
        <w:rPr>
          <w:spacing w:val="-103"/>
        </w:rPr>
        <w:t> </w:t>
      </w:r>
      <w:r>
        <w:rPr>
          <w:spacing w:val="-103"/>
        </w:rPr>
      </w:r>
      <w:r>
        <w:rPr>
          <w:spacing w:val="-2"/>
        </w:rPr>
        <w:t>本公司将内部研究开发项目的支出，区分为研究阶段支出和开发阶段支出。</w:t>
      </w:r>
      <w:r>
        <w:rPr>
          <w:spacing w:val="-42"/>
        </w:rPr>
        <w:t> </w:t>
      </w:r>
      <w:r>
        <w:rPr>
          <w:spacing w:val="-42"/>
        </w:rPr>
      </w:r>
      <w:r>
        <w:rPr/>
        <w:t>研究阶段的支出，于发生时计入当期损益。</w:t>
      </w:r>
    </w:p>
    <w:p>
      <w:pPr>
        <w:pStyle w:val="BodyText"/>
        <w:spacing w:line="237" w:lineRule="auto"/>
        <w:ind w:left="232" w:right="296"/>
        <w:jc w:val="both"/>
      </w:pPr>
      <w:r>
        <w:rPr>
          <w:spacing w:val="-3"/>
        </w:rPr>
        <w:t>开发阶段的支出，同时满足下列条件的，才能予以资本化，即：完成该无形资产以使其能够使用</w:t>
      </w:r>
      <w:r>
        <w:rPr>
          <w:spacing w:val="-22"/>
        </w:rPr>
        <w:t> </w:t>
      </w:r>
      <w:r>
        <w:rPr>
          <w:spacing w:val="-22"/>
        </w:rPr>
      </w:r>
      <w:r>
        <w:rPr>
          <w:spacing w:val="-3"/>
        </w:rPr>
        <w:t>或出售在技术上具有可行性；具有完成该无形资产并使用或出售的意图；无形资产产生经济利益</w:t>
      </w:r>
      <w:r>
        <w:rPr>
          <w:spacing w:val="-17"/>
        </w:rPr>
        <w:t> </w:t>
      </w:r>
      <w:r>
        <w:rPr>
          <w:spacing w:val="-17"/>
        </w:rPr>
      </w:r>
      <w:r>
        <w:rPr>
          <w:spacing w:val="-3"/>
        </w:rPr>
        <w:t>的方式，包括能够证明运用该无形资产生产的产品存在市场或无形资产自身存在市场，无形资产</w:t>
      </w:r>
      <w:r>
        <w:rPr>
          <w:spacing w:val="-17"/>
        </w:rPr>
        <w:t> </w:t>
      </w:r>
      <w:r>
        <w:rPr>
          <w:spacing w:val="-17"/>
        </w:rPr>
      </w:r>
      <w:r>
        <w:rPr>
          <w:spacing w:val="-3"/>
        </w:rPr>
        <w:t>将在内部使用的，能够证明其有用性；有足够的技术、财务资源和其他资源支持，以完成该无形</w:t>
      </w:r>
      <w:r>
        <w:rPr>
          <w:spacing w:val="-24"/>
        </w:rPr>
        <w:t> </w:t>
      </w:r>
      <w:r>
        <w:rPr>
          <w:spacing w:val="-24"/>
        </w:rPr>
      </w:r>
      <w:r>
        <w:rPr>
          <w:spacing w:val="-3"/>
        </w:rPr>
        <w:t>资产的开发，并有能力使用或出售该无形资产；归属于该无形资产开发阶段的支出能够可靠地计</w:t>
      </w:r>
      <w:r>
        <w:rPr>
          <w:spacing w:val="-17"/>
        </w:rPr>
        <w:t> </w:t>
      </w:r>
      <w:r>
        <w:rPr>
          <w:spacing w:val="-17"/>
        </w:rPr>
      </w:r>
      <w:r>
        <w:rPr/>
        <w:t>量。不满足上述条件的开发支出计入当期损益。</w:t>
      </w:r>
    </w:p>
    <w:p>
      <w:pPr>
        <w:spacing w:line="240" w:lineRule="auto" w:before="3"/>
        <w:rPr>
          <w:rFonts w:ascii="宋体" w:hAnsi="宋体" w:cs="宋体" w:eastAsia="宋体" w:hint="default"/>
          <w:sz w:val="25"/>
          <w:szCs w:val="25"/>
        </w:rPr>
      </w:pPr>
    </w:p>
    <w:p>
      <w:pPr>
        <w:pStyle w:val="Heading5"/>
        <w:spacing w:line="240" w:lineRule="auto"/>
        <w:ind w:left="232"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1075" w:val="left" w:leader="none"/>
        </w:tabs>
        <w:spacing w:line="237" w:lineRule="auto" w:before="59"/>
        <w:ind w:left="232" w:right="299"/>
        <w:jc w:val="left"/>
      </w:pPr>
      <w:r>
        <w:rPr/>
        <w:t>√适用</w:t>
        <w:tab/>
        <w:t>□不适用</w:t>
      </w:r>
      <w:r>
        <w:rPr>
          <w:w w:val="100"/>
        </w:rPr>
        <w:t> </w:t>
      </w:r>
      <w:r>
        <w:rPr>
          <w:spacing w:val="-3"/>
        </w:rPr>
        <w:t>对子公司和联营企业的长期股权投资、固定资产、在建工程、无形资产、商誉等（存货、递延所</w:t>
      </w:r>
      <w:r>
        <w:rPr>
          <w:spacing w:val="-22"/>
        </w:rPr>
        <w:t> </w:t>
      </w:r>
      <w:r>
        <w:rPr>
          <w:spacing w:val="-22"/>
        </w:rPr>
      </w:r>
      <w:r>
        <w:rPr/>
        <w:t>得税资产、金融资产除外）的资产减值，按以下方法确定：</w:t>
      </w:r>
    </w:p>
    <w:p>
      <w:pPr>
        <w:spacing w:after="0" w:line="237" w:lineRule="auto"/>
        <w:jc w:val="left"/>
        <w:sectPr>
          <w:pgSz w:w="11910" w:h="16850"/>
          <w:pgMar w:header="762" w:footer="941" w:top="1000" w:bottom="1140" w:left="900" w:right="1680"/>
        </w:sectPr>
      </w:pPr>
    </w:p>
    <w:p>
      <w:pPr>
        <w:pStyle w:val="BodyText"/>
        <w:spacing w:line="237" w:lineRule="auto" w:before="95"/>
        <w:ind w:left="152" w:right="296"/>
        <w:jc w:val="left"/>
      </w:pPr>
      <w:r>
        <w:rPr>
          <w:spacing w:val="-3"/>
        </w:rPr>
        <w:t>于资产负债表日判断资产是否存在可能发生减值的迹象，存在减值迹象的，本公司将估计其可收</w:t>
      </w:r>
      <w:r>
        <w:rPr>
          <w:spacing w:val="-17"/>
        </w:rPr>
        <w:t> </w:t>
      </w:r>
      <w:r>
        <w:rPr>
          <w:spacing w:val="-17"/>
        </w:rPr>
      </w:r>
      <w:r>
        <w:rPr>
          <w:spacing w:val="-3"/>
        </w:rPr>
        <w:t>回金额，进行减值测试。对因企业合并所形成的商誉、使用寿命不确定的无形资产和尚未达到可</w:t>
      </w:r>
      <w:r>
        <w:rPr>
          <w:spacing w:val="-18"/>
        </w:rPr>
        <w:t> </w:t>
      </w:r>
      <w:r>
        <w:rPr>
          <w:spacing w:val="-18"/>
        </w:rPr>
      </w:r>
      <w:r>
        <w:rPr/>
        <w:t>使用状态的无形资产无论是否存在减值迹象，每年都进行减值测试。</w:t>
      </w:r>
      <w:r>
        <w:rPr>
          <w:w w:val="100"/>
        </w:rPr>
        <w:t> </w:t>
      </w:r>
      <w:r>
        <w:rPr/>
        <w:t>可收回金额根据资产的公允价值减去处置费用后的净额与资产预计未来现金流量的现值两者之</w:t>
      </w:r>
      <w:r>
        <w:rPr>
          <w:w w:val="100"/>
        </w:rPr>
        <w:t> </w:t>
      </w:r>
      <w:r>
        <w:rPr>
          <w:spacing w:val="-3"/>
        </w:rPr>
        <w:t>间较高者确定。本公司以单项资产为基础估计其可收回金额；难以对单项资产的可收回金额进行</w:t>
      </w:r>
      <w:r>
        <w:rPr>
          <w:spacing w:val="-17"/>
        </w:rPr>
        <w:t> </w:t>
      </w:r>
      <w:r>
        <w:rPr>
          <w:spacing w:val="-17"/>
        </w:rPr>
      </w:r>
      <w:r>
        <w:rPr>
          <w:spacing w:val="-3"/>
        </w:rPr>
        <w:t>估计的，以该资产所属的资产组为基础确定资产组的可收回金额。资产组的认定，以资产组产生</w:t>
      </w:r>
      <w:r>
        <w:rPr>
          <w:spacing w:val="-22"/>
        </w:rPr>
        <w:t> </w:t>
      </w:r>
      <w:r>
        <w:rPr>
          <w:spacing w:val="-22"/>
        </w:rPr>
      </w:r>
      <w:r>
        <w:rPr/>
        <w:t>的主要现金流入是否独立于其他资产或者资产组的现金流入为依据。</w:t>
      </w:r>
      <w:r>
        <w:rPr>
          <w:w w:val="100"/>
        </w:rPr>
        <w:t> </w:t>
      </w:r>
      <w:r>
        <w:rPr>
          <w:spacing w:val="-3"/>
        </w:rPr>
        <w:t>当资产或资产组的可收回金额低于其账面价值时，本公司将其账面价值减记至可收回金额，减记</w:t>
      </w:r>
      <w:r>
        <w:rPr>
          <w:spacing w:val="-17"/>
        </w:rPr>
        <w:t> </w:t>
      </w:r>
      <w:r>
        <w:rPr>
          <w:spacing w:val="-17"/>
        </w:rPr>
      </w:r>
      <w:r>
        <w:rPr/>
        <w:t>的金额计入当期损益，同时计提相应的资产减值准备。</w:t>
      </w:r>
      <w:r>
        <w:rPr>
          <w:w w:val="100"/>
        </w:rPr>
        <w:t> </w:t>
      </w:r>
      <w:r>
        <w:rPr>
          <w:spacing w:val="-3"/>
        </w:rPr>
        <w:t>就商誉的减值测试而言，对于因企业合并形成的商誉的账面价值，自购买日起按照合理的方法分</w:t>
      </w:r>
      <w:r>
        <w:rPr>
          <w:spacing w:val="-17"/>
        </w:rPr>
        <w:t> </w:t>
      </w:r>
      <w:r>
        <w:rPr>
          <w:spacing w:val="-17"/>
        </w:rPr>
      </w:r>
      <w:r>
        <w:rPr>
          <w:spacing w:val="-3"/>
        </w:rPr>
        <w:t>摊至相关的资产组；难以分摊至相关的资产组的，将其分摊至相关的资产组组合。相关的资产组</w:t>
      </w:r>
      <w:r>
        <w:rPr>
          <w:spacing w:val="-22"/>
        </w:rPr>
        <w:t> </w:t>
      </w:r>
      <w:r>
        <w:rPr>
          <w:spacing w:val="-22"/>
        </w:rPr>
      </w:r>
      <w:r>
        <w:rPr>
          <w:spacing w:val="-3"/>
        </w:rPr>
        <w:t>或资产组组合，是能够从企业合并的协同效应中受益的资产组或者资产组组合，且不大于本公司</w:t>
      </w:r>
      <w:r>
        <w:rPr>
          <w:spacing w:val="-17"/>
        </w:rPr>
        <w:t> </w:t>
      </w:r>
      <w:r>
        <w:rPr>
          <w:spacing w:val="-17"/>
        </w:rPr>
      </w:r>
      <w:r>
        <w:rPr/>
        <w:t>确定的报告分部。</w:t>
      </w:r>
      <w:r>
        <w:rPr>
          <w:w w:val="100"/>
        </w:rPr>
        <w:t> </w:t>
      </w:r>
      <w:r>
        <w:rPr>
          <w:spacing w:val="-3"/>
        </w:rPr>
        <w:t>减值测试时，如与商誉相关的资产组或者资产组组合存在减值迹象的，首先对不包含商誉的资产</w:t>
      </w:r>
      <w:r>
        <w:rPr>
          <w:spacing w:val="-17"/>
        </w:rPr>
        <w:t> </w:t>
      </w:r>
      <w:r>
        <w:rPr>
          <w:spacing w:val="-17"/>
        </w:rPr>
      </w:r>
      <w:r>
        <w:rPr>
          <w:spacing w:val="-3"/>
        </w:rPr>
        <w:t>组或者资产组组合进行减值测试，计算可收回金额，确认相应的减值损失。然后对包含商誉的资</w:t>
      </w:r>
      <w:r>
        <w:rPr>
          <w:spacing w:val="-19"/>
        </w:rPr>
        <w:t> </w:t>
      </w:r>
      <w:r>
        <w:rPr>
          <w:spacing w:val="-19"/>
        </w:rPr>
      </w:r>
      <w:r>
        <w:rPr>
          <w:spacing w:val="-3"/>
        </w:rPr>
        <w:t>产组或者资产组组合进行减值测试，比较其账面价值与可收回金额，如可收回金额低于账面价值</w:t>
      </w:r>
      <w:r>
        <w:rPr>
          <w:spacing w:val="-17"/>
        </w:rPr>
        <w:t> </w:t>
      </w:r>
      <w:r>
        <w:rPr>
          <w:spacing w:val="-17"/>
        </w:rPr>
      </w:r>
      <w:r>
        <w:rPr/>
        <w:t>的，确认商誉的减值损失。</w:t>
      </w:r>
    </w:p>
    <w:p>
      <w:pPr>
        <w:pStyle w:val="BodyText"/>
        <w:spacing w:line="274" w:lineRule="exact"/>
        <w:ind w:left="152" w:right="296"/>
        <w:jc w:val="left"/>
      </w:pPr>
      <w:r>
        <w:rPr/>
        <w:t>资产减值损失一经确认，在以后会计期间不再转回。</w:t>
      </w:r>
    </w:p>
    <w:p>
      <w:pPr>
        <w:spacing w:line="240" w:lineRule="auto" w:before="3"/>
        <w:rPr>
          <w:rFonts w:ascii="宋体" w:hAnsi="宋体" w:cs="宋体" w:eastAsia="宋体" w:hint="default"/>
          <w:sz w:val="25"/>
          <w:szCs w:val="25"/>
        </w:rPr>
      </w:pPr>
    </w:p>
    <w:p>
      <w:pPr>
        <w:pStyle w:val="Heading5"/>
        <w:spacing w:line="240" w:lineRule="auto"/>
        <w:ind w:left="152" w:right="296"/>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95" w:val="left" w:leader="none"/>
        </w:tabs>
        <w:spacing w:line="237" w:lineRule="auto" w:before="59"/>
        <w:ind w:left="152" w:right="296"/>
        <w:jc w:val="left"/>
      </w:pPr>
      <w:r>
        <w:rPr/>
        <w:t>√适用</w:t>
        <w:tab/>
        <w:t>□不适用</w:t>
      </w:r>
      <w:r>
        <w:rPr>
          <w:w w:val="100"/>
        </w:rPr>
        <w:t> </w:t>
      </w:r>
      <w:r>
        <w:rPr>
          <w:spacing w:val="-3"/>
        </w:rPr>
        <w:t>本公司发生的长期待摊费用按实际成本计价，并按预计受益期限平均摊销。对不能使以后会计期</w:t>
      </w:r>
      <w:r>
        <w:rPr>
          <w:spacing w:val="-17"/>
        </w:rPr>
        <w:t> </w:t>
      </w:r>
      <w:r>
        <w:rPr>
          <w:spacing w:val="-17"/>
        </w:rPr>
      </w:r>
      <w:r>
        <w:rPr/>
        <w:t>间受益的长期待摊费用项目，其摊余价值全部计入当期损益。</w:t>
      </w:r>
    </w:p>
    <w:p>
      <w:pPr>
        <w:spacing w:line="240" w:lineRule="auto" w:before="4"/>
        <w:rPr>
          <w:rFonts w:ascii="宋体" w:hAnsi="宋体" w:cs="宋体" w:eastAsia="宋体" w:hint="default"/>
          <w:sz w:val="25"/>
          <w:szCs w:val="25"/>
        </w:rPr>
      </w:pPr>
    </w:p>
    <w:p>
      <w:pPr>
        <w:pStyle w:val="Heading5"/>
        <w:spacing w:line="290" w:lineRule="auto"/>
        <w:ind w:left="152" w:right="622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95" w:val="left" w:leader="none"/>
        </w:tabs>
        <w:spacing w:line="273" w:lineRule="exact" w:before="14"/>
        <w:ind w:left="152" w:right="296"/>
        <w:jc w:val="left"/>
      </w:pPr>
      <w:r>
        <w:rPr/>
        <w:t>√适用</w:t>
        <w:tab/>
        <w:t>□不适用</w:t>
      </w:r>
    </w:p>
    <w:p>
      <w:pPr>
        <w:pStyle w:val="BodyText"/>
        <w:spacing w:line="237" w:lineRule="auto"/>
        <w:ind w:left="152" w:right="296"/>
        <w:jc w:val="left"/>
      </w:pPr>
      <w:r>
        <w:rPr/>
        <w:t>（</w:t>
      </w:r>
      <w:r>
        <w:rPr>
          <w:rFonts w:ascii="宋体" w:hAnsi="宋体" w:cs="宋体" w:eastAsia="宋体" w:hint="default"/>
        </w:rPr>
        <w:t>1</w:t>
      </w:r>
      <w:r>
        <w:rPr/>
        <w:t>）职工薪酬的范围</w:t>
      </w:r>
      <w:r>
        <w:rPr>
          <w:w w:val="100"/>
        </w:rPr>
        <w:t> </w:t>
      </w:r>
      <w:r>
        <w:rPr>
          <w:spacing w:val="-3"/>
        </w:rPr>
        <w:t>职工薪酬，是指企业为获得职工提供的服务或解除劳动关系而给予的各种形式的报酬或补偿。职</w:t>
      </w:r>
      <w:r>
        <w:rPr>
          <w:spacing w:val="-17"/>
        </w:rPr>
        <w:t> </w:t>
      </w:r>
      <w:r>
        <w:rPr>
          <w:spacing w:val="-17"/>
        </w:rPr>
      </w:r>
      <w:r>
        <w:rPr/>
        <w:t>工薪酬包括短期薪酬、离职后福利、辞退福利。</w:t>
      </w:r>
    </w:p>
    <w:p>
      <w:pPr>
        <w:pStyle w:val="BodyText"/>
        <w:spacing w:line="237" w:lineRule="auto" w:before="1"/>
        <w:ind w:left="152" w:right="296"/>
        <w:jc w:val="left"/>
      </w:pPr>
      <w:r>
        <w:rPr/>
        <w:t>（</w:t>
      </w:r>
      <w:r>
        <w:rPr>
          <w:rFonts w:ascii="宋体" w:hAnsi="宋体" w:cs="宋体" w:eastAsia="宋体" w:hint="default"/>
        </w:rPr>
        <w:t>2</w:t>
      </w:r>
      <w:r>
        <w:rPr/>
        <w:t>）短期薪酬</w:t>
      </w:r>
      <w:r>
        <w:rPr>
          <w:w w:val="100"/>
        </w:rPr>
        <w:t> </w:t>
      </w:r>
      <w:r>
        <w:rPr>
          <w:spacing w:val="-3"/>
        </w:rPr>
        <w:t>本公司在职工提供服务的会计期间，将实际发生的职工工资、奖金、按规定的基准和比例为职工</w:t>
      </w:r>
      <w:r>
        <w:rPr>
          <w:spacing w:val="-19"/>
        </w:rPr>
        <w:t> </w:t>
      </w:r>
      <w:r>
        <w:rPr>
          <w:spacing w:val="-19"/>
        </w:rPr>
      </w:r>
      <w:r>
        <w:rPr>
          <w:spacing w:val="-3"/>
        </w:rPr>
        <w:t>缴纳的医疗保险费、工伤保险费和生育保险费等社会保险费和住房公积金，确认为负债，并计入</w:t>
      </w:r>
      <w:r>
        <w:rPr>
          <w:spacing w:val="-22"/>
        </w:rPr>
        <w:t> </w:t>
      </w:r>
      <w:r>
        <w:rPr>
          <w:spacing w:val="-22"/>
        </w:rPr>
      </w:r>
      <w:r>
        <w:rPr/>
        <w:t>当期损益或相关资产成本。</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5"/>
        <w:spacing w:line="240" w:lineRule="auto"/>
        <w:ind w:left="152" w:right="296"/>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95" w:val="left" w:leader="none"/>
        </w:tabs>
        <w:spacing w:line="237" w:lineRule="auto" w:before="59"/>
        <w:ind w:left="152" w:right="296"/>
        <w:jc w:val="left"/>
      </w:pPr>
      <w:r>
        <w:rPr/>
        <w:t>√适用</w:t>
        <w:tab/>
        <w:t>□不适用</w:t>
      </w:r>
      <w:r>
        <w:rPr>
          <w:w w:val="100"/>
        </w:rPr>
        <w:t> </w:t>
      </w:r>
      <w:r>
        <w:rPr>
          <w:spacing w:val="-3"/>
        </w:rPr>
        <w:t>离职后福利计划均为设定提存计划，包括基本养老保险、失业保险等，在职工提供服务的会计期</w:t>
      </w:r>
      <w:r>
        <w:rPr>
          <w:spacing w:val="-19"/>
        </w:rPr>
        <w:t> </w:t>
      </w:r>
      <w:r>
        <w:rPr>
          <w:spacing w:val="-19"/>
        </w:rPr>
      </w:r>
      <w:r>
        <w:rPr/>
        <w:t>间，根据设定提存计划计算的应缴存金额确认为负债，并计入当期损益或相关资产成本。</w:t>
      </w:r>
    </w:p>
    <w:p>
      <w:pPr>
        <w:spacing w:line="240" w:lineRule="auto" w:before="3"/>
        <w:rPr>
          <w:rFonts w:ascii="宋体" w:hAnsi="宋体" w:cs="宋体" w:eastAsia="宋体" w:hint="default"/>
          <w:sz w:val="25"/>
          <w:szCs w:val="25"/>
        </w:rPr>
      </w:pPr>
    </w:p>
    <w:p>
      <w:pPr>
        <w:pStyle w:val="Heading5"/>
        <w:spacing w:line="240" w:lineRule="auto"/>
        <w:ind w:left="152" w:right="296"/>
        <w:jc w:val="left"/>
        <w:rPr>
          <w:b w:val="0"/>
          <w:bCs w:val="0"/>
        </w:rPr>
      </w:pPr>
      <w:r>
        <w:rPr>
          <w:rFonts w:ascii="宋体" w:hAnsi="宋体" w:cs="宋体" w:eastAsia="宋体" w:hint="default"/>
        </w:rPr>
        <w:t>(3)</w:t>
      </w:r>
      <w:r>
        <w:rPr/>
        <w:t>、辞退福利的会计处理方法</w:t>
      </w:r>
      <w:r>
        <w:rPr>
          <w:b w:val="0"/>
          <w:bCs w:val="0"/>
        </w:rPr>
      </w:r>
    </w:p>
    <w:p>
      <w:pPr>
        <w:pStyle w:val="BodyText"/>
        <w:tabs>
          <w:tab w:pos="995" w:val="left" w:leader="none"/>
        </w:tabs>
        <w:spacing w:line="272" w:lineRule="exact" w:before="86"/>
        <w:ind w:left="152" w:right="296"/>
        <w:jc w:val="left"/>
      </w:pPr>
      <w:r>
        <w:rPr/>
        <w:t>√适用</w:t>
        <w:tab/>
        <w:t>□不适用</w:t>
      </w:r>
      <w:r>
        <w:rPr>
          <w:w w:val="100"/>
        </w:rPr>
        <w:t> </w:t>
      </w:r>
      <w:r>
        <w:rPr>
          <w:spacing w:val="-3"/>
        </w:rPr>
        <w:t>本公司的辞退福利主要系对解除劳动合同的员工的一次性补偿金，在与员工正式解除劳动关系后</w:t>
      </w:r>
      <w:r>
        <w:rPr>
          <w:spacing w:val="-18"/>
        </w:rPr>
        <w:t> </w:t>
      </w:r>
      <w:r>
        <w:rPr>
          <w:spacing w:val="-18"/>
        </w:rPr>
      </w:r>
      <w:r>
        <w:rPr/>
        <w:t>支付给员工。</w:t>
      </w:r>
    </w:p>
    <w:p>
      <w:pPr>
        <w:spacing w:line="240" w:lineRule="auto" w:before="5"/>
        <w:rPr>
          <w:rFonts w:ascii="宋体" w:hAnsi="宋体" w:cs="宋体" w:eastAsia="宋体" w:hint="default"/>
          <w:sz w:val="23"/>
          <w:szCs w:val="23"/>
        </w:rPr>
      </w:pPr>
    </w:p>
    <w:p>
      <w:pPr>
        <w:pStyle w:val="Heading5"/>
        <w:spacing w:line="240" w:lineRule="auto"/>
        <w:ind w:left="152" w:right="296"/>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95" w:val="left" w:leader="none"/>
        </w:tabs>
        <w:spacing w:line="240" w:lineRule="auto" w:before="58"/>
        <w:ind w:left="152" w:right="296"/>
        <w:jc w:val="left"/>
      </w:pPr>
      <w:r>
        <w:rPr/>
        <w:t>□适用</w:t>
        <w:tab/>
        <w:t>√不适用</w:t>
      </w:r>
    </w:p>
    <w:p>
      <w:pPr>
        <w:spacing w:after="0" w:line="240" w:lineRule="auto"/>
        <w:jc w:val="left"/>
        <w:sectPr>
          <w:pgSz w:w="11910" w:h="16850"/>
          <w:pgMar w:header="762" w:footer="941" w:top="1000" w:bottom="1140" w:left="980" w:right="1680"/>
        </w:sectPr>
      </w:pPr>
    </w:p>
    <w:p>
      <w:pPr>
        <w:pStyle w:val="Heading5"/>
        <w:spacing w:line="240" w:lineRule="auto" w:before="93"/>
        <w:ind w:left="152" w:right="7399"/>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95" w:val="left" w:leader="none"/>
        </w:tabs>
        <w:spacing w:line="273" w:lineRule="exact" w:before="59"/>
        <w:ind w:left="152" w:right="296"/>
        <w:jc w:val="left"/>
      </w:pPr>
      <w:r>
        <w:rPr/>
        <w:t>√适用</w:t>
        <w:tab/>
        <w:t>□不适用</w:t>
      </w:r>
    </w:p>
    <w:p>
      <w:pPr>
        <w:pStyle w:val="BodyText"/>
        <w:spacing w:line="237" w:lineRule="auto"/>
        <w:ind w:left="152" w:right="298"/>
        <w:jc w:val="both"/>
      </w:pPr>
      <w:r>
        <w:rPr>
          <w:spacing w:val="-3"/>
        </w:rPr>
        <w:t>本公司对太阳能热水器、净水机以及空气能产品按照销售收入的 </w:t>
      </w:r>
      <w:r>
        <w:rPr>
          <w:rFonts w:ascii="宋体" w:hAnsi="宋体" w:cs="宋体" w:eastAsia="宋体" w:hint="default"/>
          <w:spacing w:val="-4"/>
        </w:rPr>
        <w:t>0.3%</w:t>
      </w:r>
      <w:r>
        <w:rPr>
          <w:spacing w:val="-4"/>
        </w:rPr>
        <w:t>计提质量保证金，对厨卫产</w:t>
      </w:r>
      <w:r>
        <w:rPr>
          <w:spacing w:val="-99"/>
        </w:rPr>
        <w:t> </w:t>
      </w:r>
      <w:r>
        <w:rPr>
          <w:spacing w:val="-99"/>
        </w:rPr>
      </w:r>
      <w:r>
        <w:rPr/>
        <w:t>品按照销售收入</w:t>
      </w:r>
      <w:r>
        <w:rPr>
          <w:spacing w:val="-16"/>
        </w:rPr>
        <w:t> </w:t>
      </w:r>
      <w:r>
        <w:rPr>
          <w:rFonts w:ascii="宋体" w:hAnsi="宋体" w:cs="宋体" w:eastAsia="宋体" w:hint="default"/>
          <w:spacing w:val="-4"/>
        </w:rPr>
        <w:t>0.6%</w:t>
      </w:r>
      <w:r>
        <w:rPr>
          <w:spacing w:val="-4"/>
        </w:rPr>
        <w:t>计提质量保证金，同时该或有事项相关的义务同时符合以下条件，本公司将</w:t>
      </w:r>
      <w:r>
        <w:rPr>
          <w:spacing w:val="-89"/>
        </w:rPr>
        <w:t> </w:t>
      </w:r>
      <w:r>
        <w:rPr>
          <w:spacing w:val="-89"/>
        </w:rPr>
      </w:r>
      <w:r>
        <w:rPr/>
        <w:t>其确认为预计负债：</w:t>
      </w:r>
    </w:p>
    <w:p>
      <w:pPr>
        <w:pStyle w:val="BodyText"/>
        <w:spacing w:line="272" w:lineRule="exact"/>
        <w:ind w:left="152" w:right="296"/>
        <w:jc w:val="left"/>
      </w:pPr>
      <w:r>
        <w:rPr/>
        <w:t>（</w:t>
      </w:r>
      <w:r>
        <w:rPr>
          <w:rFonts w:ascii="宋体" w:hAnsi="宋体" w:cs="宋体" w:eastAsia="宋体" w:hint="default"/>
        </w:rPr>
        <w:t>1</w:t>
      </w:r>
      <w:r>
        <w:rPr/>
        <w:t>）该义务是本公司承担的现时义务；</w:t>
      </w:r>
    </w:p>
    <w:p>
      <w:pPr>
        <w:pStyle w:val="BodyText"/>
        <w:spacing w:line="272" w:lineRule="exact"/>
        <w:ind w:left="152" w:right="296"/>
        <w:jc w:val="left"/>
      </w:pPr>
      <w:r>
        <w:rPr/>
        <w:t>（</w:t>
      </w:r>
      <w:r>
        <w:rPr>
          <w:rFonts w:ascii="宋体" w:hAnsi="宋体" w:cs="宋体" w:eastAsia="宋体" w:hint="default"/>
        </w:rPr>
        <w:t>2</w:t>
      </w:r>
      <w:r>
        <w:rPr/>
        <w:t>）该义务的履行很可能导致经济利益流出本公司；</w:t>
      </w:r>
    </w:p>
    <w:p>
      <w:pPr>
        <w:pStyle w:val="BodyText"/>
        <w:spacing w:line="237" w:lineRule="auto" w:before="2"/>
        <w:ind w:left="152" w:right="296"/>
        <w:jc w:val="left"/>
      </w:pPr>
      <w:r>
        <w:rPr/>
        <w:t>（</w:t>
      </w:r>
      <w:r>
        <w:rPr>
          <w:rFonts w:ascii="宋体" w:hAnsi="宋体" w:cs="宋体" w:eastAsia="宋体" w:hint="default"/>
        </w:rPr>
        <w:t>3</w:t>
      </w:r>
      <w:r>
        <w:rPr/>
        <w:t>）该义务的金额能够可靠地计量。</w:t>
      </w:r>
      <w:r>
        <w:rPr>
          <w:w w:val="100"/>
        </w:rPr>
        <w:t> </w:t>
      </w:r>
      <w:r>
        <w:rPr>
          <w:spacing w:val="-3"/>
        </w:rPr>
        <w:t>本公司于资产负债表日对预计负债的账面价值进行复核，并对账面价值进行调整以反映当前最佳</w:t>
      </w:r>
      <w:r>
        <w:rPr>
          <w:spacing w:val="-18"/>
        </w:rPr>
        <w:t> </w:t>
      </w:r>
      <w:r>
        <w:rPr>
          <w:spacing w:val="-18"/>
        </w:rPr>
      </w:r>
      <w:r>
        <w:rPr/>
        <w:t>估计数。</w:t>
      </w:r>
    </w:p>
    <w:p>
      <w:pPr>
        <w:spacing w:line="240" w:lineRule="auto" w:before="3"/>
        <w:rPr>
          <w:rFonts w:ascii="宋体" w:hAnsi="宋体" w:cs="宋体" w:eastAsia="宋体" w:hint="default"/>
          <w:sz w:val="25"/>
          <w:szCs w:val="25"/>
        </w:rPr>
      </w:pPr>
    </w:p>
    <w:p>
      <w:pPr>
        <w:pStyle w:val="Heading5"/>
        <w:spacing w:line="240" w:lineRule="auto"/>
        <w:ind w:left="152" w:right="7399"/>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95" w:val="left" w:leader="none"/>
        </w:tabs>
        <w:spacing w:line="240" w:lineRule="auto" w:before="57"/>
        <w:ind w:left="152" w:right="683"/>
        <w:jc w:val="left"/>
      </w:pPr>
      <w:r>
        <w:rPr/>
        <w:t>√适用</w:t>
        <w:tab/>
        <w:t>□不适用</w:t>
      </w:r>
      <w:r>
        <w:rPr>
          <w:w w:val="100"/>
        </w:rPr>
        <w:t> </w:t>
      </w:r>
      <w:r>
        <w:rPr>
          <w:spacing w:val="-2"/>
        </w:rPr>
        <w:t>本公司股份支付系以子公司的权益工具结算，按照授予日子公司权益工具的公允价值计量。</w:t>
      </w:r>
    </w:p>
    <w:p>
      <w:pPr>
        <w:spacing w:line="240" w:lineRule="auto" w:before="3"/>
        <w:rPr>
          <w:rFonts w:ascii="宋体" w:hAnsi="宋体" w:cs="宋体" w:eastAsia="宋体" w:hint="default"/>
          <w:sz w:val="25"/>
          <w:szCs w:val="25"/>
        </w:rPr>
      </w:pPr>
    </w:p>
    <w:p>
      <w:pPr>
        <w:pStyle w:val="Heading5"/>
        <w:spacing w:line="240" w:lineRule="auto"/>
        <w:ind w:left="152" w:right="296"/>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95" w:val="left" w:leader="none"/>
        </w:tabs>
        <w:spacing w:line="240" w:lineRule="auto" w:before="56"/>
        <w:ind w:left="152" w:right="296"/>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152" w:right="7399"/>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95" w:val="left" w:leader="none"/>
        </w:tabs>
        <w:spacing w:line="273" w:lineRule="exact" w:before="58"/>
        <w:ind w:left="152" w:right="296"/>
        <w:jc w:val="left"/>
      </w:pPr>
      <w:r>
        <w:rPr/>
        <w:t>√适用</w:t>
        <w:tab/>
        <w:t>□不适用</w:t>
      </w:r>
    </w:p>
    <w:p>
      <w:pPr>
        <w:pStyle w:val="BodyText"/>
        <w:spacing w:line="272" w:lineRule="exact"/>
        <w:ind w:left="152" w:right="7399"/>
        <w:jc w:val="left"/>
      </w:pPr>
      <w:r>
        <w:rPr/>
        <w:t>（</w:t>
      </w:r>
      <w:r>
        <w:rPr>
          <w:rFonts w:ascii="宋体" w:hAnsi="宋体" w:cs="宋体" w:eastAsia="宋体" w:hint="default"/>
        </w:rPr>
        <w:t>1</w:t>
      </w:r>
      <w:r>
        <w:rPr/>
        <w:t>）一般原则</w:t>
      </w:r>
    </w:p>
    <w:p>
      <w:pPr>
        <w:pStyle w:val="BodyText"/>
        <w:spacing w:line="237" w:lineRule="auto" w:before="2"/>
        <w:ind w:left="152" w:right="296"/>
        <w:jc w:val="left"/>
      </w:pPr>
      <w:r>
        <w:rPr/>
        <w:t>①销售商品</w:t>
      </w:r>
      <w:r>
        <w:rPr>
          <w:spacing w:val="-102"/>
        </w:rPr>
        <w:t> </w:t>
      </w:r>
      <w:r>
        <w:rPr>
          <w:spacing w:val="-102"/>
        </w:rPr>
      </w:r>
      <w:r>
        <w:rPr>
          <w:spacing w:val="-3"/>
        </w:rPr>
        <w:t>在已将商品所有权上的主要风险和报酬转移给购货方，既没有保留通常与所有权相联系的继续管</w:t>
      </w:r>
      <w:r>
        <w:rPr>
          <w:spacing w:val="-17"/>
        </w:rPr>
        <w:t> </w:t>
      </w:r>
      <w:r>
        <w:rPr>
          <w:spacing w:val="-17"/>
        </w:rPr>
      </w:r>
      <w:r>
        <w:rPr>
          <w:spacing w:val="-3"/>
        </w:rPr>
        <w:t>理权，也没有对已售商品实施有效控制，收入的金额能够可靠地计量，相关的经济利益很可能流</w:t>
      </w:r>
      <w:r>
        <w:rPr>
          <w:spacing w:val="-22"/>
        </w:rPr>
        <w:t> </w:t>
      </w:r>
      <w:r>
        <w:rPr>
          <w:spacing w:val="-22"/>
        </w:rPr>
      </w:r>
      <w:r>
        <w:rPr/>
        <w:t>入企业，相关的已发生或将发生的成本能够可靠地计量时，确认商品销售收入的实现。</w:t>
      </w:r>
    </w:p>
    <w:p>
      <w:pPr>
        <w:pStyle w:val="BodyText"/>
        <w:spacing w:line="274" w:lineRule="exact" w:before="22"/>
        <w:ind w:left="152" w:right="191"/>
        <w:jc w:val="left"/>
      </w:pPr>
      <w:r>
        <w:rPr/>
        <w:t>②让渡资产使用权</w:t>
      </w:r>
      <w:r>
        <w:rPr>
          <w:w w:val="100"/>
        </w:rPr>
        <w:t> </w:t>
      </w:r>
      <w:r>
        <w:rPr/>
        <w:t>与资产使用权让渡相关的经济利益能够流入及收入的金额能够可靠地计量时，本公司确认收入。</w:t>
      </w:r>
    </w:p>
    <w:p>
      <w:pPr>
        <w:pStyle w:val="BodyText"/>
        <w:spacing w:line="245" w:lineRule="exact"/>
        <w:ind w:left="152" w:right="296"/>
        <w:jc w:val="left"/>
      </w:pPr>
      <w:r>
        <w:rPr/>
        <w:t>（</w:t>
      </w:r>
      <w:r>
        <w:rPr>
          <w:rFonts w:ascii="宋体" w:hAnsi="宋体" w:cs="宋体" w:eastAsia="宋体" w:hint="default"/>
        </w:rPr>
        <w:t>2</w:t>
      </w:r>
      <w:r>
        <w:rPr/>
        <w:t>）收入确认的具体方法</w:t>
      </w:r>
    </w:p>
    <w:p>
      <w:pPr>
        <w:pStyle w:val="BodyText"/>
        <w:spacing w:line="237" w:lineRule="auto" w:before="2"/>
        <w:ind w:left="152" w:right="296"/>
        <w:jc w:val="left"/>
      </w:pPr>
      <w:r>
        <w:rPr/>
        <w:t>本公司销售商品收入确认的具体方法如下：</w:t>
      </w:r>
      <w:r>
        <w:rPr>
          <w:w w:val="100"/>
        </w:rPr>
        <w:t> </w:t>
      </w:r>
      <w:r>
        <w:rPr>
          <w:spacing w:val="-3"/>
        </w:rPr>
        <w:t>经销模式：买断式的产品，于发货或者经销商签收时确认收入；非买断式的产品，于收到经销商</w:t>
      </w:r>
      <w:r>
        <w:rPr>
          <w:spacing w:val="-26"/>
        </w:rPr>
        <w:t> </w:t>
      </w:r>
      <w:r>
        <w:rPr>
          <w:spacing w:val="-26"/>
        </w:rPr>
      </w:r>
      <w:r>
        <w:rPr/>
        <w:t>代销清单时确认收入；</w:t>
      </w:r>
    </w:p>
    <w:p>
      <w:pPr>
        <w:pStyle w:val="BodyText"/>
        <w:spacing w:line="237" w:lineRule="auto"/>
        <w:ind w:left="152" w:right="296"/>
        <w:jc w:val="left"/>
      </w:pPr>
      <w:r>
        <w:rPr/>
        <w:t>直营模式：产品于客户签收时确认收入；</w:t>
      </w:r>
      <w:r>
        <w:rPr>
          <w:w w:val="100"/>
        </w:rPr>
        <w:t> </w:t>
      </w:r>
      <w:r>
        <w:rPr/>
        <w:t>工程模式：需要安装的；于产品验收后确认收入；不需要安装的产品，于发货后确认收入；</w:t>
      </w:r>
      <w:r>
        <w:rPr>
          <w:w w:val="100"/>
        </w:rPr>
        <w:t> </w:t>
      </w:r>
      <w:r>
        <w:rPr>
          <w:spacing w:val="-3"/>
        </w:rPr>
        <w:t>电子商务：产品由公司发货并收取货款的，于订单完成时点确认收入；由平台负责发货并收取货</w:t>
      </w:r>
      <w:r>
        <w:rPr>
          <w:spacing w:val="-22"/>
        </w:rPr>
        <w:t> </w:t>
      </w:r>
      <w:r>
        <w:rPr>
          <w:spacing w:val="-22"/>
        </w:rPr>
      </w:r>
      <w:r>
        <w:rPr/>
        <w:t>款的，于取得平台提供的销售结算清单确认收入；</w:t>
      </w:r>
      <w:r>
        <w:rPr>
          <w:w w:val="100"/>
        </w:rPr>
        <w:t> </w:t>
      </w:r>
      <w:r>
        <w:rPr/>
        <w:t>外销：在完成报关手续后确认销售商品收入。</w:t>
      </w:r>
    </w:p>
    <w:p>
      <w:pPr>
        <w:spacing w:line="240" w:lineRule="auto" w:before="3"/>
        <w:rPr>
          <w:rFonts w:ascii="宋体" w:hAnsi="宋体" w:cs="宋体" w:eastAsia="宋体" w:hint="default"/>
          <w:sz w:val="25"/>
          <w:szCs w:val="25"/>
        </w:rPr>
      </w:pPr>
    </w:p>
    <w:p>
      <w:pPr>
        <w:pStyle w:val="Heading5"/>
        <w:spacing w:line="290" w:lineRule="auto"/>
        <w:ind w:left="152" w:right="3834"/>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95" w:val="left" w:leader="none"/>
        </w:tabs>
        <w:spacing w:line="237" w:lineRule="auto" w:before="14"/>
        <w:ind w:left="152" w:right="3834"/>
        <w:jc w:val="left"/>
      </w:pPr>
      <w:r>
        <w:rPr/>
        <w:t>√适用</w:t>
        <w:tab/>
        <w:t>□不适用</w:t>
      </w:r>
      <w:r>
        <w:rPr>
          <w:w w:val="100"/>
        </w:rPr>
        <w:t> </w:t>
      </w:r>
      <w:r>
        <w:rPr/>
        <w:t>政府补助在满足政府补助所附条件并能够收到时确认。</w:t>
      </w:r>
      <w:r>
        <w:rPr>
          <w:w w:val="100"/>
        </w:rPr>
        <w:t> </w:t>
      </w:r>
      <w:r>
        <w:rPr>
          <w:spacing w:val="-2"/>
        </w:rPr>
        <w:t>本公司的政府补助均为货币补助，按照收到的金额计量。</w:t>
      </w:r>
    </w:p>
    <w:p>
      <w:pPr>
        <w:pStyle w:val="BodyText"/>
        <w:spacing w:line="237" w:lineRule="auto" w:before="1"/>
        <w:ind w:left="152" w:right="191"/>
        <w:jc w:val="left"/>
      </w:pPr>
      <w:r>
        <w:rPr/>
        <w:t>与资产相关的政府补助，是指本公司取得的、用于购建或以其他方式形成长期资产的政府补助；</w:t>
      </w:r>
      <w:r>
        <w:rPr>
          <w:spacing w:val="-40"/>
        </w:rPr>
        <w:t> </w:t>
      </w:r>
      <w:r>
        <w:rPr>
          <w:spacing w:val="-40"/>
        </w:rPr>
      </w:r>
      <w:r>
        <w:rPr/>
        <w:t>除此之外，作为与收益相关的政府补助。</w:t>
      </w:r>
      <w:r>
        <w:rPr>
          <w:w w:val="100"/>
        </w:rPr>
        <w:t> </w:t>
      </w:r>
      <w:r>
        <w:rPr>
          <w:spacing w:val="-3"/>
        </w:rPr>
        <w:t>对于政府文件未明确规定补助对象的，能够形成长期资产的，与资产价值相对应的政府补助部分</w:t>
      </w:r>
      <w:r>
        <w:rPr>
          <w:spacing w:val="-17"/>
        </w:rPr>
        <w:t> </w:t>
      </w:r>
      <w:r>
        <w:rPr>
          <w:spacing w:val="-17"/>
        </w:rPr>
      </w:r>
      <w:r>
        <w:rPr>
          <w:spacing w:val="-3"/>
        </w:rPr>
        <w:t>作为与资产相关的政府补助，其余部分作为与收益相关的政府补助；难以区分的，将政府补助整</w:t>
      </w:r>
      <w:r>
        <w:rPr>
          <w:spacing w:val="-22"/>
        </w:rPr>
        <w:t> </w:t>
      </w:r>
      <w:r>
        <w:rPr>
          <w:spacing w:val="-22"/>
        </w:rPr>
      </w:r>
      <w:r>
        <w:rPr/>
        <w:t>体作为与收益相关的政府补助。</w:t>
      </w:r>
      <w:r>
        <w:rPr>
          <w:w w:val="100"/>
        </w:rPr>
        <w:t> </w:t>
      </w:r>
      <w:r>
        <w:rPr/>
        <w:t>与资产相关的政府补助，确认为递延收益，并在相关资产使用期限内平均分配，计入当期损益。</w:t>
      </w:r>
      <w:r>
        <w:rPr>
          <w:spacing w:val="-40"/>
        </w:rPr>
        <w:t> </w:t>
      </w:r>
      <w:r>
        <w:rPr>
          <w:spacing w:val="-40"/>
        </w:rPr>
      </w:r>
      <w:r>
        <w:rPr/>
        <w:t>与收益相关的政府补助，均用于补偿已发生的相关费用或损失，收到时计入当期损益。</w:t>
      </w:r>
      <w:r>
        <w:rPr>
          <w:w w:val="100"/>
        </w:rPr>
        <w:t> </w:t>
      </w:r>
      <w:r>
        <w:rPr/>
        <w:t>与日常活动相关的政府补助，按照经济业务实质，计入其他收益。与日常活动无关的政府补助，</w:t>
      </w:r>
      <w:r>
        <w:rPr>
          <w:spacing w:val="-40"/>
        </w:rPr>
        <w:t> </w:t>
      </w:r>
      <w:r>
        <w:rPr>
          <w:spacing w:val="-40"/>
        </w:rPr>
      </w:r>
      <w:r>
        <w:rPr/>
        <w:t>计入营业外收支。</w:t>
      </w:r>
    </w:p>
    <w:p>
      <w:pPr>
        <w:spacing w:after="0" w:line="237" w:lineRule="auto"/>
        <w:jc w:val="left"/>
        <w:sectPr>
          <w:pgSz w:w="11910" w:h="16850"/>
          <w:pgMar w:header="762" w:footer="941" w:top="1000" w:bottom="1140" w:left="980" w:right="1680"/>
        </w:sectPr>
      </w:pPr>
    </w:p>
    <w:p>
      <w:pPr>
        <w:pStyle w:val="BodyText"/>
        <w:spacing w:line="237" w:lineRule="auto" w:before="95"/>
        <w:ind w:left="152" w:right="191"/>
        <w:jc w:val="left"/>
      </w:pPr>
      <w:r>
        <w:rPr>
          <w:spacing w:val="-3"/>
        </w:rPr>
        <w:t>已确认的政府补助需要返还时，初始确认时冲减相关资产账面价值的，调整资产账面价值；存在</w:t>
      </w:r>
      <w:r>
        <w:rPr>
          <w:spacing w:val="-21"/>
        </w:rPr>
        <w:t> </w:t>
      </w:r>
      <w:r>
        <w:rPr>
          <w:spacing w:val="-21"/>
        </w:rPr>
      </w:r>
      <w:r>
        <w:rPr/>
        <w:t>相关递延收益余额的，冲减相关递延收益账面余额，超出部分计入当期损益；属于其他情况的，</w:t>
      </w:r>
      <w:r>
        <w:rPr>
          <w:spacing w:val="-40"/>
        </w:rPr>
        <w:t> </w:t>
      </w:r>
      <w:r>
        <w:rPr>
          <w:spacing w:val="-40"/>
        </w:rPr>
      </w:r>
      <w:r>
        <w:rPr/>
        <w:t>直接计入当期损益。</w:t>
      </w:r>
    </w:p>
    <w:p>
      <w:pPr>
        <w:spacing w:line="240" w:lineRule="auto" w:before="3"/>
        <w:rPr>
          <w:rFonts w:ascii="宋体" w:hAnsi="宋体" w:cs="宋体" w:eastAsia="宋体" w:hint="default"/>
          <w:sz w:val="25"/>
          <w:szCs w:val="25"/>
        </w:rPr>
      </w:pPr>
    </w:p>
    <w:p>
      <w:pPr>
        <w:pStyle w:val="Heading5"/>
        <w:spacing w:line="240" w:lineRule="auto"/>
        <w:ind w:left="152" w:right="296"/>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95" w:val="left" w:leader="none"/>
        </w:tabs>
        <w:spacing w:line="237" w:lineRule="auto" w:before="61"/>
        <w:ind w:left="152" w:right="201"/>
        <w:jc w:val="left"/>
      </w:pPr>
      <w:r>
        <w:rPr/>
        <w:t>√适用</w:t>
        <w:tab/>
        <w:t>□不适用</w:t>
      </w:r>
      <w:r>
        <w:rPr>
          <w:w w:val="100"/>
        </w:rPr>
        <w:t> </w:t>
      </w:r>
      <w:r>
        <w:rPr/>
        <w:t>与收益相关的政府补助，均用于补偿已发生的相关费用或损失，收到时计入当期损益。</w:t>
      </w:r>
      <w:r>
        <w:rPr>
          <w:w w:val="100"/>
        </w:rPr>
        <w:t> </w:t>
      </w:r>
      <w:r>
        <w:rPr/>
        <w:t>与日常活动相关的政府补助，按照经济业务实质，计入其他收益。与日常活动无关的政府补助，</w:t>
      </w:r>
      <w:r>
        <w:rPr>
          <w:spacing w:val="-40"/>
        </w:rPr>
        <w:t> </w:t>
      </w:r>
      <w:r>
        <w:rPr>
          <w:spacing w:val="-40"/>
        </w:rPr>
      </w:r>
      <w:r>
        <w:rPr/>
        <w:t>计入营业外收支。</w:t>
      </w:r>
      <w:r>
        <w:rPr>
          <w:w w:val="100"/>
        </w:rPr>
        <w:t> </w:t>
      </w:r>
      <w:r>
        <w:rPr>
          <w:spacing w:val="-3"/>
        </w:rPr>
        <w:t>已确认的政府补助需要返还时，初始确认时冲减相关资产账面价值的，调整资产账面价值；存在</w:t>
      </w:r>
      <w:r>
        <w:rPr>
          <w:spacing w:val="-22"/>
        </w:rPr>
        <w:t> </w:t>
      </w:r>
      <w:r>
        <w:rPr>
          <w:spacing w:val="-22"/>
        </w:rPr>
      </w:r>
      <w:r>
        <w:rPr/>
        <w:t>相关递延收益余额的，冲减相关递延收益账面余额，超出部分计入当期损益；属于其他情况的，</w:t>
      </w:r>
      <w:r>
        <w:rPr>
          <w:spacing w:val="-40"/>
        </w:rPr>
        <w:t> </w:t>
      </w:r>
      <w:r>
        <w:rPr>
          <w:spacing w:val="-40"/>
        </w:rPr>
      </w:r>
      <w:r>
        <w:rPr/>
        <w:t>直接计入当期损益。</w:t>
      </w:r>
    </w:p>
    <w:p>
      <w:pPr>
        <w:spacing w:line="240" w:lineRule="auto" w:before="4"/>
        <w:rPr>
          <w:rFonts w:ascii="宋体" w:hAnsi="宋体" w:cs="宋体" w:eastAsia="宋体" w:hint="default"/>
          <w:sz w:val="25"/>
          <w:szCs w:val="25"/>
        </w:rPr>
      </w:pPr>
    </w:p>
    <w:p>
      <w:pPr>
        <w:pStyle w:val="Heading5"/>
        <w:spacing w:line="240" w:lineRule="auto"/>
        <w:ind w:left="152" w:right="296"/>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95" w:val="left" w:leader="none"/>
        </w:tabs>
        <w:spacing w:line="237" w:lineRule="auto" w:before="32"/>
        <w:ind w:left="152" w:right="296"/>
        <w:jc w:val="left"/>
      </w:pPr>
      <w:r>
        <w:rPr/>
        <w:t>√适用</w:t>
        <w:tab/>
        <w:t>□不适用</w:t>
      </w:r>
      <w:r>
        <w:rPr>
          <w:w w:val="100"/>
        </w:rPr>
        <w:t> </w:t>
      </w:r>
      <w:r>
        <w:rPr>
          <w:spacing w:val="-3"/>
        </w:rPr>
        <w:t>所得税包括当期所得税和递延所得税。除由于企业合并产生的调整商誉，或与直接计入所有者权</w:t>
      </w:r>
      <w:r>
        <w:rPr>
          <w:spacing w:val="-17"/>
        </w:rPr>
        <w:t> </w:t>
      </w:r>
      <w:r>
        <w:rPr>
          <w:spacing w:val="-17"/>
        </w:rPr>
      </w:r>
      <w:r>
        <w:rPr/>
        <w:t>益的交易或者事项相关的递延所得税计入所有者权益外，均作为所得税费用计入当期损益。</w:t>
      </w:r>
      <w:r>
        <w:rPr>
          <w:w w:val="100"/>
        </w:rPr>
        <w:t> </w:t>
      </w:r>
      <w:r>
        <w:rPr>
          <w:spacing w:val="-3"/>
        </w:rPr>
        <w:t>本公司根据资产、负债于资产负债表日的账面价值与计税基础之间的暂时性差异，采用资产负债</w:t>
      </w:r>
      <w:r>
        <w:rPr>
          <w:spacing w:val="-17"/>
        </w:rPr>
        <w:t> </w:t>
      </w:r>
      <w:r>
        <w:rPr>
          <w:spacing w:val="-17"/>
        </w:rPr>
      </w:r>
      <w:r>
        <w:rPr/>
        <w:t>表债务法确认递延所得税。</w:t>
      </w:r>
      <w:r>
        <w:rPr>
          <w:w w:val="100"/>
        </w:rPr>
        <w:t> </w:t>
      </w:r>
      <w:r>
        <w:rPr>
          <w:spacing w:val="-3"/>
        </w:rPr>
        <w:t>各项应纳税暂时性差异均确认相关的递延所得税负债，除非该应纳税暂时性差异是在以下交易中</w:t>
      </w:r>
      <w:r>
        <w:rPr>
          <w:spacing w:val="-17"/>
        </w:rPr>
        <w:t> </w:t>
      </w:r>
      <w:r>
        <w:rPr>
          <w:spacing w:val="-17"/>
        </w:rPr>
      </w:r>
      <w:r>
        <w:rPr/>
        <w:t>产生的：</w:t>
      </w:r>
    </w:p>
    <w:p>
      <w:pPr>
        <w:pStyle w:val="BodyText"/>
        <w:spacing w:line="272" w:lineRule="exact" w:before="26"/>
        <w:ind w:left="152" w:right="296"/>
        <w:jc w:val="left"/>
      </w:pPr>
      <w:r>
        <w:rPr>
          <w:spacing w:val="-2"/>
        </w:rPr>
        <w:t>（</w:t>
      </w:r>
      <w:r>
        <w:rPr>
          <w:rFonts w:ascii="宋体" w:hAnsi="宋体" w:cs="宋体" w:eastAsia="宋体" w:hint="default"/>
          <w:spacing w:val="-2"/>
        </w:rPr>
        <w:t>1</w:t>
      </w:r>
      <w:r>
        <w:rPr>
          <w:spacing w:val="-2"/>
        </w:rPr>
        <w:t>）商誉的初始确认，或者具有以下特征的交易中产生的资产或负债的初始确认：该交易不是</w:t>
      </w:r>
      <w:r>
        <w:rPr>
          <w:spacing w:val="-28"/>
        </w:rPr>
        <w:t> </w:t>
      </w:r>
      <w:r>
        <w:rPr>
          <w:spacing w:val="-28"/>
        </w:rPr>
      </w:r>
      <w:r>
        <w:rPr/>
        <w:t>企业合并，并且交易发生时既不影响会计利润也不影响应纳税所得额；</w:t>
      </w:r>
    </w:p>
    <w:p>
      <w:pPr>
        <w:pStyle w:val="BodyText"/>
        <w:spacing w:line="246" w:lineRule="exact"/>
        <w:ind w:left="152" w:right="296"/>
        <w:jc w:val="left"/>
      </w:pPr>
      <w:r>
        <w:rPr/>
        <w:t>（</w:t>
      </w:r>
      <w:r>
        <w:rPr>
          <w:rFonts w:ascii="宋体" w:hAnsi="宋体" w:cs="宋体" w:eastAsia="宋体" w:hint="default"/>
        </w:rPr>
        <w:t>2</w:t>
      </w:r>
      <w:r>
        <w:rPr/>
        <w:t>）对于与子公司及联营企业投资相关的应纳税暂时性差异，该暂时性差异转回的时间能够控</w:t>
      </w:r>
    </w:p>
    <w:p>
      <w:pPr>
        <w:pStyle w:val="BodyText"/>
        <w:spacing w:line="237" w:lineRule="auto" w:before="2"/>
        <w:ind w:left="152" w:right="296"/>
        <w:jc w:val="left"/>
      </w:pPr>
      <w:r>
        <w:rPr/>
        <w:t>制并且该暂时性差异在可预见的未来很可能不会转回。</w:t>
      </w:r>
      <w:r>
        <w:rPr>
          <w:w w:val="100"/>
        </w:rPr>
        <w:t> </w:t>
      </w:r>
      <w:r>
        <w:rPr>
          <w:spacing w:val="-3"/>
        </w:rPr>
        <w:t>对于可抵扣暂时性差异、能够结转以后年度的可抵扣亏损和税款抵减，本公司以很可能取得用来</w:t>
      </w:r>
      <w:r>
        <w:rPr>
          <w:spacing w:val="-17"/>
        </w:rPr>
        <w:t> </w:t>
      </w:r>
      <w:r>
        <w:rPr>
          <w:spacing w:val="-17"/>
        </w:rPr>
      </w:r>
      <w:r>
        <w:rPr>
          <w:spacing w:val="-3"/>
        </w:rPr>
        <w:t>抵扣可抵扣暂时性差异、可抵扣亏损和税款抵减的未来应纳税所得额为限，确认由此产生的递延</w:t>
      </w:r>
      <w:r>
        <w:rPr>
          <w:spacing w:val="-17"/>
        </w:rPr>
        <w:t> </w:t>
      </w:r>
      <w:r>
        <w:rPr>
          <w:spacing w:val="-17"/>
        </w:rPr>
      </w:r>
      <w:r>
        <w:rPr/>
        <w:t>所得税资产，除非该可抵扣暂时性差异是在以下交易中产生的：</w:t>
      </w:r>
    </w:p>
    <w:p>
      <w:pPr>
        <w:pStyle w:val="BodyText"/>
        <w:spacing w:line="272" w:lineRule="exact"/>
        <w:ind w:left="152" w:right="296"/>
        <w:jc w:val="left"/>
      </w:pPr>
      <w:r>
        <w:rPr/>
        <w:t>（</w:t>
      </w:r>
      <w:r>
        <w:rPr>
          <w:rFonts w:ascii="宋体" w:hAnsi="宋体" w:cs="宋体" w:eastAsia="宋体" w:hint="default"/>
        </w:rPr>
        <w:t>1</w:t>
      </w:r>
      <w:r>
        <w:rPr/>
        <w:t>）该交易不是企业合并，并且交易发生时既不影响会计利润也不影响应纳税所得额；</w:t>
      </w:r>
    </w:p>
    <w:p>
      <w:pPr>
        <w:pStyle w:val="BodyText"/>
        <w:spacing w:line="237" w:lineRule="auto"/>
        <w:ind w:left="152" w:right="296"/>
        <w:jc w:val="left"/>
      </w:pPr>
      <w:r>
        <w:rPr/>
        <w:t>（</w:t>
      </w:r>
      <w:r>
        <w:rPr>
          <w:rFonts w:ascii="宋体" w:hAnsi="宋体" w:cs="宋体" w:eastAsia="宋体" w:hint="default"/>
        </w:rPr>
        <w:t>2</w:t>
      </w:r>
      <w:r>
        <w:rPr/>
        <w:t>）对于与子公司及联营企业投资相关的可抵扣暂时性差异，同时满足下列条件的，确认相应</w:t>
      </w:r>
      <w:r>
        <w:rPr>
          <w:w w:val="100"/>
        </w:rPr>
        <w:t> </w:t>
      </w:r>
      <w:r>
        <w:rPr>
          <w:spacing w:val="-3"/>
        </w:rPr>
        <w:t>的递延所得税资产：暂时性差异在可预见的未来很可能转回，且未来很可能获得用来抵扣可抵扣</w:t>
      </w:r>
      <w:r>
        <w:rPr>
          <w:spacing w:val="-17"/>
        </w:rPr>
        <w:t> </w:t>
      </w:r>
      <w:r>
        <w:rPr>
          <w:spacing w:val="-17"/>
        </w:rPr>
      </w:r>
      <w:r>
        <w:rPr/>
        <w:t>暂时性差异的应纳税所得额。</w:t>
      </w:r>
      <w:r>
        <w:rPr>
          <w:w w:val="100"/>
        </w:rPr>
        <w:t> </w:t>
      </w:r>
      <w:r>
        <w:rPr>
          <w:spacing w:val="-3"/>
        </w:rPr>
        <w:t>于资产负债表日，本公司对递延所得税资产和递延所得税负债，按照预期收回该资产或清偿该负</w:t>
      </w:r>
      <w:r>
        <w:rPr>
          <w:spacing w:val="-17"/>
        </w:rPr>
        <w:t> </w:t>
      </w:r>
      <w:r>
        <w:rPr>
          <w:spacing w:val="-17"/>
        </w:rPr>
      </w:r>
      <w:r>
        <w:rPr/>
        <w:t>债期间的适用税率计量，并反映资产负债表日预期收回资产或清偿负债方式的所得税影响。</w:t>
      </w:r>
      <w:r>
        <w:rPr>
          <w:w w:val="100"/>
        </w:rPr>
        <w:t> </w:t>
      </w:r>
      <w:r>
        <w:rPr>
          <w:spacing w:val="-3"/>
        </w:rPr>
        <w:t>于资产负债表日，本公司对递延所得税资产的账面价值进行复核。如果未来期间很可能无法获得</w:t>
      </w:r>
      <w:r>
        <w:rPr>
          <w:spacing w:val="-17"/>
        </w:rPr>
        <w:t> </w:t>
      </w:r>
      <w:r>
        <w:rPr>
          <w:spacing w:val="-17"/>
        </w:rPr>
      </w:r>
      <w:r>
        <w:rPr>
          <w:spacing w:val="-3"/>
        </w:rPr>
        <w:t>足够的应纳税所得额用以抵扣递延所得税资产的利益，减记递延所得税资产的账面价值。在很可</w:t>
      </w:r>
      <w:r>
        <w:rPr>
          <w:spacing w:val="-17"/>
        </w:rPr>
        <w:t> </w:t>
      </w:r>
      <w:r>
        <w:rPr>
          <w:spacing w:val="-17"/>
        </w:rPr>
      </w:r>
      <w:r>
        <w:rPr/>
        <w:t>能获得足够的应纳税所得额时，减记的金额予以转回。</w:t>
      </w:r>
    </w:p>
    <w:p>
      <w:pPr>
        <w:spacing w:line="240" w:lineRule="auto" w:before="3"/>
        <w:rPr>
          <w:rFonts w:ascii="宋体" w:hAnsi="宋体" w:cs="宋体" w:eastAsia="宋体" w:hint="default"/>
          <w:sz w:val="25"/>
          <w:szCs w:val="25"/>
        </w:rPr>
      </w:pPr>
    </w:p>
    <w:p>
      <w:pPr>
        <w:pStyle w:val="Heading5"/>
        <w:spacing w:line="290" w:lineRule="auto"/>
        <w:ind w:left="152" w:right="622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95" w:val="left" w:leader="none"/>
        </w:tabs>
        <w:spacing w:line="273" w:lineRule="exact" w:before="14"/>
        <w:ind w:left="152" w:right="296"/>
        <w:jc w:val="left"/>
      </w:pPr>
      <w:r>
        <w:rPr/>
        <w:t>√适用</w:t>
        <w:tab/>
        <w:t>□不适用</w:t>
      </w:r>
    </w:p>
    <w:p>
      <w:pPr>
        <w:pStyle w:val="BodyText"/>
        <w:spacing w:line="237" w:lineRule="auto"/>
        <w:ind w:left="152" w:right="191"/>
        <w:jc w:val="left"/>
      </w:pPr>
      <w:r>
        <w:rPr/>
        <w:t>（</w:t>
      </w:r>
      <w:r>
        <w:rPr>
          <w:rFonts w:ascii="宋体" w:hAnsi="宋体" w:cs="宋体" w:eastAsia="宋体" w:hint="default"/>
        </w:rPr>
        <w:t>1</w:t>
      </w:r>
      <w:r>
        <w:rPr/>
        <w:t>）本公司作为出租人</w:t>
      </w:r>
      <w:r>
        <w:rPr>
          <w:w w:val="100"/>
        </w:rPr>
        <w:t> </w:t>
      </w:r>
      <w:r>
        <w:rPr>
          <w:spacing w:val="-5"/>
        </w:rPr>
        <w:t>经营租赁中的租金，本公司在租赁期内各个期间按照直线法确认当期损益。发生的初始直接费用，</w:t>
      </w:r>
      <w:r>
        <w:rPr>
          <w:spacing w:val="-32"/>
        </w:rPr>
        <w:t> </w:t>
      </w:r>
      <w:r>
        <w:rPr>
          <w:spacing w:val="-32"/>
        </w:rPr>
      </w:r>
      <w:r>
        <w:rPr/>
        <w:t>计入当期损益。</w:t>
      </w:r>
    </w:p>
    <w:p>
      <w:pPr>
        <w:pStyle w:val="BodyText"/>
        <w:spacing w:line="237" w:lineRule="auto"/>
        <w:ind w:left="152" w:right="296"/>
        <w:jc w:val="left"/>
      </w:pPr>
      <w:r>
        <w:rPr/>
        <w:t>（</w:t>
      </w:r>
      <w:r>
        <w:rPr>
          <w:rFonts w:ascii="宋体" w:hAnsi="宋体" w:cs="宋体" w:eastAsia="宋体" w:hint="default"/>
        </w:rPr>
        <w:t>2</w:t>
      </w:r>
      <w:r>
        <w:rPr/>
        <w:t>）本公司作为承租人</w:t>
      </w:r>
      <w:r>
        <w:rPr>
          <w:w w:val="100"/>
        </w:rPr>
        <w:t> </w:t>
      </w:r>
      <w:r>
        <w:rPr>
          <w:spacing w:val="-3"/>
        </w:rPr>
        <w:t>经营租赁中的租金，本公司在租赁期内各个期间按照直线法计入相关资产成本或当期损益；发生</w:t>
      </w:r>
      <w:r>
        <w:rPr>
          <w:spacing w:val="-17"/>
        </w:rPr>
        <w:t> </w:t>
      </w:r>
      <w:r>
        <w:rPr>
          <w:spacing w:val="-17"/>
        </w:rPr>
      </w:r>
      <w:r>
        <w:rPr/>
        <w:t>的初始直接费用，计入当期损益。</w:t>
      </w:r>
    </w:p>
    <w:p>
      <w:pPr>
        <w:spacing w:line="240" w:lineRule="auto" w:before="3"/>
        <w:rPr>
          <w:rFonts w:ascii="宋体" w:hAnsi="宋体" w:cs="宋体" w:eastAsia="宋体" w:hint="default"/>
          <w:sz w:val="25"/>
          <w:szCs w:val="25"/>
        </w:rPr>
      </w:pPr>
    </w:p>
    <w:p>
      <w:pPr>
        <w:pStyle w:val="Heading5"/>
        <w:spacing w:line="240" w:lineRule="auto"/>
        <w:ind w:left="152" w:right="296"/>
        <w:jc w:val="left"/>
        <w:rPr>
          <w:b w:val="0"/>
          <w:bCs w:val="0"/>
        </w:rPr>
      </w:pPr>
      <w:r>
        <w:rPr>
          <w:rFonts w:ascii="宋体" w:hAnsi="宋体" w:cs="宋体" w:eastAsia="宋体" w:hint="default"/>
        </w:rPr>
        <w:t>(2)</w:t>
      </w:r>
      <w:r>
        <w:rPr/>
        <w:t>、融资租赁的会计处理方法</w:t>
      </w:r>
      <w:r>
        <w:rPr>
          <w:b w:val="0"/>
          <w:bCs w:val="0"/>
        </w:rPr>
      </w:r>
    </w:p>
    <w:p>
      <w:pPr>
        <w:pStyle w:val="BodyText"/>
        <w:tabs>
          <w:tab w:pos="995" w:val="left" w:leader="none"/>
        </w:tabs>
        <w:spacing w:line="240" w:lineRule="auto" w:before="58"/>
        <w:ind w:left="152" w:right="296"/>
        <w:jc w:val="left"/>
      </w:pPr>
      <w:r>
        <w:rPr/>
        <w:t>□适用</w:t>
        <w:tab/>
        <w:t>√不适用</w:t>
      </w:r>
    </w:p>
    <w:p>
      <w:pPr>
        <w:spacing w:after="0" w:line="240" w:lineRule="auto"/>
        <w:jc w:val="left"/>
        <w:sectPr>
          <w:pgSz w:w="11910" w:h="16850"/>
          <w:pgMar w:header="762" w:footer="941" w:top="1000" w:bottom="1140" w:left="980" w:right="1680"/>
        </w:sectPr>
      </w:pPr>
    </w:p>
    <w:p>
      <w:pPr>
        <w:pStyle w:val="Heading5"/>
        <w:spacing w:line="240" w:lineRule="auto" w:before="93"/>
        <w:ind w:left="212" w:right="25"/>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055" w:val="left" w:leader="none"/>
        </w:tabs>
        <w:spacing w:line="237" w:lineRule="auto" w:before="61"/>
        <w:ind w:right="319"/>
        <w:jc w:val="left"/>
      </w:pPr>
      <w:r>
        <w:rPr/>
        <w:t>√适用</w:t>
        <w:tab/>
        <w:t>□不适用</w:t>
      </w:r>
      <w:r>
        <w:rPr>
          <w:w w:val="100"/>
        </w:rPr>
        <w:t> </w:t>
      </w:r>
      <w:r>
        <w:rPr>
          <w:spacing w:val="-3"/>
        </w:rPr>
        <w:t>本公司根据历史经验和其它因素，包括对未来事项的合理预期，对所采用的重要会计估计和关键</w:t>
      </w:r>
      <w:r>
        <w:rPr>
          <w:spacing w:val="-17"/>
        </w:rPr>
        <w:t> </w:t>
      </w:r>
      <w:r>
        <w:rPr>
          <w:spacing w:val="-17"/>
        </w:rPr>
      </w:r>
      <w:r>
        <w:rPr/>
        <w:t>假设进行持续的评价。</w:t>
      </w:r>
      <w:r>
        <w:rPr>
          <w:w w:val="100"/>
        </w:rPr>
        <w:t> </w:t>
      </w:r>
      <w:r>
        <w:rPr/>
        <w:t>很可能导致下一会计年度资产和负债的账面价值出现重大调整风险的重要会计估计和关键假设</w:t>
      </w:r>
      <w:r>
        <w:rPr>
          <w:w w:val="100"/>
        </w:rPr>
        <w:t> </w:t>
      </w:r>
      <w:r>
        <w:rPr/>
        <w:t>列示如下：</w:t>
      </w:r>
    </w:p>
    <w:p>
      <w:pPr>
        <w:pStyle w:val="BodyText"/>
        <w:spacing w:line="237" w:lineRule="auto"/>
        <w:ind w:right="25"/>
        <w:jc w:val="left"/>
      </w:pPr>
      <w:r>
        <w:rPr/>
        <w:t>商誉减值</w:t>
      </w:r>
      <w:r>
        <w:rPr>
          <w:w w:val="100"/>
        </w:rPr>
        <w:t> </w:t>
      </w:r>
      <w:r>
        <w:rPr>
          <w:spacing w:val="-3"/>
        </w:rPr>
        <w:t>本公司至少每年评估商誉是否发生减值。这要求对分配了商誉的资产组的使用价值进行估计。估</w:t>
      </w:r>
      <w:r>
        <w:rPr>
          <w:spacing w:val="-17"/>
        </w:rPr>
        <w:t> </w:t>
      </w:r>
      <w:r>
        <w:rPr>
          <w:spacing w:val="-17"/>
        </w:rPr>
      </w:r>
      <w:r>
        <w:rPr>
          <w:spacing w:val="-3"/>
        </w:rPr>
        <w:t>计使用价值时，本公司需要估计未来来自资产组的现金流量，同时选择恰当的折现率计算未来现</w:t>
      </w:r>
      <w:r>
        <w:rPr>
          <w:spacing w:val="-17"/>
        </w:rPr>
        <w:t> </w:t>
      </w:r>
      <w:r>
        <w:rPr>
          <w:spacing w:val="-17"/>
        </w:rPr>
      </w:r>
      <w:r>
        <w:rPr/>
        <w:t>金流量的现值。</w:t>
      </w:r>
    </w:p>
    <w:p>
      <w:pPr>
        <w:pStyle w:val="BodyText"/>
        <w:spacing w:line="237" w:lineRule="auto"/>
        <w:ind w:right="25"/>
        <w:jc w:val="left"/>
      </w:pPr>
      <w:r>
        <w:rPr/>
        <w:t>递延所得税资产</w:t>
      </w:r>
      <w:r>
        <w:rPr>
          <w:spacing w:val="-103"/>
        </w:rPr>
        <w:t> </w:t>
      </w:r>
      <w:r>
        <w:rPr>
          <w:spacing w:val="-103"/>
        </w:rPr>
      </w:r>
      <w:r>
        <w:rPr>
          <w:spacing w:val="-3"/>
        </w:rPr>
        <w:t>在很有可能有足够的应纳税利润来抵扣亏损的限度内，应就所有未利用的税务亏损确认递延所得</w:t>
      </w:r>
      <w:r>
        <w:rPr>
          <w:spacing w:val="-17"/>
        </w:rPr>
        <w:t> </w:t>
      </w:r>
      <w:r>
        <w:rPr>
          <w:spacing w:val="-17"/>
        </w:rPr>
      </w:r>
      <w:r>
        <w:rPr>
          <w:spacing w:val="-3"/>
        </w:rPr>
        <w:t>税资产。这需要管理层运用大量的判断来估计未来应纳税利润发生的时间和金额，结合纳税筹划</w:t>
      </w:r>
      <w:r>
        <w:rPr>
          <w:spacing w:val="-17"/>
        </w:rPr>
        <w:t> </w:t>
      </w:r>
      <w:r>
        <w:rPr>
          <w:spacing w:val="-17"/>
        </w:rPr>
      </w:r>
      <w:r>
        <w:rPr/>
        <w:t>策略，以决定应确认的递延所得税资产的金额。</w:t>
      </w:r>
    </w:p>
    <w:p>
      <w:pPr>
        <w:spacing w:line="240" w:lineRule="auto" w:before="3"/>
        <w:rPr>
          <w:rFonts w:ascii="宋体" w:hAnsi="宋体" w:cs="宋体" w:eastAsia="宋体" w:hint="default"/>
          <w:sz w:val="25"/>
          <w:szCs w:val="25"/>
        </w:rPr>
      </w:pPr>
    </w:p>
    <w:p>
      <w:pPr>
        <w:pStyle w:val="Heading5"/>
        <w:spacing w:line="290" w:lineRule="auto"/>
        <w:ind w:left="212" w:right="5700"/>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right="25"/>
        <w:jc w:val="left"/>
      </w:pPr>
      <w:r>
        <w:rPr/>
        <w:t>√适用 □不适用</w:t>
      </w:r>
    </w:p>
    <w:p>
      <w:pPr>
        <w:spacing w:line="240" w:lineRule="auto" w:before="3"/>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2941"/>
        <w:gridCol w:w="3039"/>
        <w:gridCol w:w="3027"/>
      </w:tblGrid>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4367"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号</w:t>
            </w:r>
          </w:p>
          <w:p>
            <w:pPr>
              <w:pStyle w:val="TableParagraph"/>
              <w:spacing w:line="237" w:lineRule="auto"/>
              <w:ind w:left="103" w:right="97"/>
              <w:jc w:val="lef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pacing w:val="-2"/>
                <w:sz w:val="21"/>
                <w:szCs w:val="21"/>
              </w:rPr>
              <w:t>2017</w:t>
            </w:r>
            <w:r>
              <w:rPr>
                <w:rFonts w:ascii="宋体" w:hAnsi="宋体" w:cs="宋体" w:eastAsia="宋体" w:hint="default"/>
                <w:spacing w:val="-2"/>
                <w:sz w:val="21"/>
                <w:szCs w:val="21"/>
              </w:rPr>
              <w:t>），政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府补助的会计处理方法从总</w:t>
            </w:r>
            <w:r>
              <w:rPr>
                <w:rFonts w:ascii="宋体" w:hAnsi="宋体" w:cs="宋体" w:eastAsia="宋体" w:hint="default"/>
                <w:w w:val="100"/>
                <w:sz w:val="21"/>
                <w:szCs w:val="21"/>
              </w:rPr>
              <w:t> </w:t>
            </w:r>
            <w:r>
              <w:rPr>
                <w:rFonts w:ascii="宋体" w:hAnsi="宋体" w:cs="宋体" w:eastAsia="宋体" w:hint="default"/>
                <w:spacing w:val="-2"/>
                <w:sz w:val="21"/>
                <w:szCs w:val="21"/>
              </w:rPr>
              <w:t>额法改为允许采用净额法，将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与资产相关的政府补助相关</w:t>
            </w:r>
            <w:r>
              <w:rPr>
                <w:rFonts w:ascii="宋体" w:hAnsi="宋体" w:cs="宋体" w:eastAsia="宋体" w:hint="default"/>
                <w:w w:val="100"/>
                <w:sz w:val="21"/>
                <w:szCs w:val="21"/>
              </w:rPr>
              <w:t> </w:t>
            </w:r>
            <w:r>
              <w:rPr>
                <w:rFonts w:ascii="宋体" w:hAnsi="宋体" w:cs="宋体" w:eastAsia="宋体" w:hint="default"/>
                <w:sz w:val="21"/>
                <w:szCs w:val="21"/>
              </w:rPr>
              <w:t>递延收益的摊销方式从在相</w:t>
            </w:r>
            <w:r>
              <w:rPr>
                <w:rFonts w:ascii="宋体" w:hAnsi="宋体" w:cs="宋体" w:eastAsia="宋体" w:hint="default"/>
                <w:w w:val="100"/>
                <w:sz w:val="21"/>
                <w:szCs w:val="21"/>
              </w:rPr>
              <w:t> </w:t>
            </w:r>
            <w:r>
              <w:rPr>
                <w:rFonts w:ascii="宋体" w:hAnsi="宋体" w:cs="宋体" w:eastAsia="宋体" w:hint="default"/>
                <w:sz w:val="21"/>
                <w:szCs w:val="21"/>
              </w:rPr>
              <w:t>关资产使用寿命内平均分配</w:t>
            </w:r>
            <w:r>
              <w:rPr>
                <w:rFonts w:ascii="宋体" w:hAnsi="宋体" w:cs="宋体" w:eastAsia="宋体" w:hint="default"/>
                <w:w w:val="100"/>
                <w:sz w:val="21"/>
                <w:szCs w:val="21"/>
              </w:rPr>
              <w:t> </w:t>
            </w:r>
            <w:r>
              <w:rPr>
                <w:rFonts w:ascii="宋体" w:hAnsi="宋体" w:cs="宋体" w:eastAsia="宋体" w:hint="default"/>
                <w:spacing w:val="-2"/>
                <w:sz w:val="21"/>
                <w:szCs w:val="21"/>
              </w:rPr>
              <w:t>改为按照合理、系统的方法分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配，并修改了政府补助的列报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9"/>
                <w:sz w:val="21"/>
                <w:szCs w:val="21"/>
              </w:rPr>
              <w:t>项目。</w:t>
            </w:r>
            <w:r>
              <w:rPr>
                <w:rFonts w:ascii="宋体" w:hAnsi="宋体" w:cs="宋体" w:eastAsia="宋体" w:hint="default"/>
                <w:spacing w:val="-9"/>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日尚未摊</w:t>
            </w:r>
          </w:p>
          <w:p>
            <w:pPr>
              <w:pStyle w:val="TableParagraph"/>
              <w:spacing w:line="237" w:lineRule="auto" w:before="1"/>
              <w:ind w:left="103" w:right="99"/>
              <w:jc w:val="left"/>
              <w:rPr>
                <w:rFonts w:ascii="宋体" w:hAnsi="宋体" w:cs="宋体" w:eastAsia="宋体" w:hint="default"/>
                <w:sz w:val="21"/>
                <w:szCs w:val="21"/>
              </w:rPr>
            </w:pPr>
            <w:r>
              <w:rPr>
                <w:rFonts w:ascii="宋体" w:hAnsi="宋体" w:cs="宋体" w:eastAsia="宋体" w:hint="default"/>
                <w:sz w:val="21"/>
                <w:szCs w:val="21"/>
              </w:rPr>
              <w:t>销完毕的政府补助和</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取得的政府补助适用修订后</w:t>
            </w:r>
            <w:r>
              <w:rPr>
                <w:rFonts w:ascii="宋体" w:hAnsi="宋体" w:cs="宋体" w:eastAsia="宋体" w:hint="default"/>
                <w:w w:val="100"/>
                <w:sz w:val="21"/>
                <w:szCs w:val="21"/>
              </w:rPr>
              <w:t> </w:t>
            </w:r>
            <w:r>
              <w:rPr>
                <w:rFonts w:ascii="宋体" w:hAnsi="宋体" w:cs="宋体" w:eastAsia="宋体" w:hint="default"/>
                <w:spacing w:val="-2"/>
                <w:sz w:val="21"/>
                <w:szCs w:val="21"/>
              </w:rPr>
              <w:t>的准则。对新的披露要求不需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提供比较信息，不对比较报表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中其他收益的列报进行相应</w:t>
            </w:r>
            <w:r>
              <w:rPr>
                <w:rFonts w:ascii="宋体" w:hAnsi="宋体" w:cs="宋体" w:eastAsia="宋体" w:hint="default"/>
                <w:w w:val="100"/>
                <w:sz w:val="21"/>
                <w:szCs w:val="21"/>
              </w:rPr>
              <w:t> </w:t>
            </w:r>
            <w:r>
              <w:rPr>
                <w:rFonts w:ascii="宋体" w:hAnsi="宋体" w:cs="宋体" w:eastAsia="宋体" w:hint="default"/>
                <w:sz w:val="21"/>
                <w:szCs w:val="21"/>
              </w:rPr>
              <w:t>调整。</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董事会审议批准</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影响本期利润表中其他收益</w:t>
            </w:r>
          </w:p>
          <w:p>
            <w:pPr>
              <w:pStyle w:val="TableParagraph"/>
              <w:tabs>
                <w:tab w:pos="1156" w:val="left" w:leader="none"/>
              </w:tabs>
              <w:spacing w:line="240" w:lineRule="auto"/>
              <w:ind w:left="105" w:right="96"/>
              <w:jc w:val="left"/>
              <w:rPr>
                <w:rFonts w:ascii="宋体" w:hAnsi="宋体" w:cs="宋体" w:eastAsia="宋体" w:hint="default"/>
                <w:sz w:val="21"/>
                <w:szCs w:val="21"/>
              </w:rPr>
            </w:pPr>
            <w:r>
              <w:rPr>
                <w:rFonts w:ascii="宋体" w:hAnsi="宋体" w:cs="宋体" w:eastAsia="宋体" w:hint="default"/>
                <w:spacing w:val="-2"/>
                <w:sz w:val="21"/>
                <w:szCs w:val="21"/>
              </w:rPr>
              <w:t>+20,770,806.10</w:t>
            </w:r>
            <w:r>
              <w:rPr>
                <w:rFonts w:ascii="宋体" w:hAnsi="宋体" w:cs="宋体" w:eastAsia="宋体" w:hint="default"/>
                <w:spacing w:val="-2"/>
                <w:sz w:val="21"/>
                <w:szCs w:val="21"/>
              </w:rPr>
              <w:t>；营业外收入</w:t>
            </w:r>
            <w:r>
              <w:rPr>
                <w:rFonts w:ascii="宋体" w:hAnsi="宋体" w:cs="宋体" w:eastAsia="宋体" w:hint="default"/>
                <w:spacing w:val="-2"/>
                <w:sz w:val="21"/>
                <w:szCs w:val="21"/>
              </w:rPr>
              <w:t>-</w:t>
            </w:r>
            <w:r>
              <w:rPr>
                <w:rFonts w:ascii="宋体" w:hAnsi="宋体" w:cs="宋体" w:eastAsia="宋体" w:hint="default"/>
                <w:spacing w:val="-89"/>
                <w:sz w:val="21"/>
                <w:szCs w:val="21"/>
              </w:rPr>
              <w:t> </w:t>
            </w:r>
            <w:r>
              <w:rPr>
                <w:rFonts w:ascii="宋体" w:hAnsi="宋体" w:cs="宋体" w:eastAsia="宋体" w:hint="default"/>
                <w:spacing w:val="-1"/>
                <w:sz w:val="21"/>
                <w:szCs w:val="21"/>
              </w:rPr>
              <w:t>政府补助</w:t>
              <w:tab/>
            </w:r>
            <w:r>
              <w:rPr>
                <w:rFonts w:ascii="宋体" w:hAnsi="宋体" w:cs="宋体" w:eastAsia="宋体" w:hint="default"/>
                <w:spacing w:val="-1"/>
                <w:sz w:val="21"/>
                <w:szCs w:val="21"/>
              </w:rPr>
              <w:t>-20,770,806.10</w:t>
            </w:r>
            <w:r>
              <w:rPr>
                <w:rFonts w:ascii="宋体" w:hAnsi="宋体" w:cs="宋体" w:eastAsia="宋体" w:hint="default"/>
                <w:spacing w:val="-1"/>
                <w:sz w:val="21"/>
                <w:szCs w:val="21"/>
              </w:rPr>
              <w:t>；</w:t>
            </w:r>
          </w:p>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不影响本期净利润。</w:t>
            </w:r>
          </w:p>
        </w:tc>
      </w:tr>
      <w:tr>
        <w:trPr>
          <w:trHeight w:val="4097"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根据《关于修订印发一般企业</w:t>
            </w:r>
          </w:p>
          <w:p>
            <w:pPr>
              <w:pStyle w:val="TableParagraph"/>
              <w:spacing w:line="237"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财务报表格式的通知》（财会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[2017]30</w:t>
            </w:r>
            <w:r>
              <w:rPr>
                <w:rFonts w:ascii="宋体" w:hAnsi="宋体" w:cs="宋体" w:eastAsia="宋体" w:hint="default"/>
                <w:spacing w:val="-45"/>
                <w:sz w:val="21"/>
                <w:szCs w:val="21"/>
              </w:rPr>
              <w:t> </w:t>
            </w:r>
            <w:r>
              <w:rPr>
                <w:rFonts w:ascii="宋体" w:hAnsi="宋体" w:cs="宋体" w:eastAsia="宋体" w:hint="default"/>
                <w:spacing w:val="-8"/>
                <w:sz w:val="21"/>
                <w:szCs w:val="21"/>
              </w:rPr>
              <w:t>号），在利润表中新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增“资产处置收益”行项目，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反映企业出售划分为持有待</w:t>
            </w:r>
            <w:r>
              <w:rPr>
                <w:rFonts w:ascii="宋体" w:hAnsi="宋体" w:cs="宋体" w:eastAsia="宋体" w:hint="default"/>
                <w:w w:val="100"/>
                <w:sz w:val="21"/>
                <w:szCs w:val="21"/>
              </w:rPr>
              <w:t> </w:t>
            </w:r>
            <w:r>
              <w:rPr>
                <w:rFonts w:ascii="宋体" w:hAnsi="宋体" w:cs="宋体" w:eastAsia="宋体" w:hint="default"/>
                <w:spacing w:val="-2"/>
                <w:sz w:val="21"/>
                <w:szCs w:val="21"/>
              </w:rPr>
              <w:t>售的非流动资产（金融工具、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长期股权投资和投资性房地</w:t>
            </w:r>
            <w:r>
              <w:rPr>
                <w:rFonts w:ascii="宋体" w:hAnsi="宋体" w:cs="宋体" w:eastAsia="宋体" w:hint="default"/>
                <w:w w:val="100"/>
                <w:sz w:val="21"/>
                <w:szCs w:val="21"/>
              </w:rPr>
              <w:t> </w:t>
            </w:r>
            <w:r>
              <w:rPr>
                <w:rFonts w:ascii="宋体" w:hAnsi="宋体" w:cs="宋体" w:eastAsia="宋体" w:hint="default"/>
                <w:spacing w:val="-2"/>
                <w:sz w:val="21"/>
                <w:szCs w:val="21"/>
              </w:rPr>
              <w:t>产除外）或处置组时确认的处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置利得或损失，处置未划分为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持有待售的固定资产、在建工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程、生产性生物资产及无形资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产而产生的处置利得或损失，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以及债务重组中因处置非流</w:t>
            </w:r>
            <w:r>
              <w:rPr>
                <w:rFonts w:ascii="宋体" w:hAnsi="宋体" w:cs="宋体" w:eastAsia="宋体" w:hint="default"/>
                <w:w w:val="100"/>
                <w:sz w:val="21"/>
                <w:szCs w:val="21"/>
              </w:rPr>
              <w:t> </w:t>
            </w:r>
            <w:r>
              <w:rPr>
                <w:rFonts w:ascii="宋体" w:hAnsi="宋体" w:cs="宋体" w:eastAsia="宋体" w:hint="default"/>
                <w:sz w:val="21"/>
                <w:szCs w:val="21"/>
              </w:rPr>
              <w:t>动资产产生的利得或损失和</w:t>
            </w:r>
            <w:r>
              <w:rPr>
                <w:rFonts w:ascii="宋体" w:hAnsi="宋体" w:cs="宋体" w:eastAsia="宋体" w:hint="default"/>
                <w:w w:val="100"/>
                <w:sz w:val="21"/>
                <w:szCs w:val="21"/>
              </w:rPr>
              <w:t> </w:t>
            </w:r>
            <w:r>
              <w:rPr>
                <w:rFonts w:ascii="宋体" w:hAnsi="宋体" w:cs="宋体" w:eastAsia="宋体" w:hint="default"/>
                <w:sz w:val="21"/>
                <w:szCs w:val="21"/>
              </w:rPr>
              <w:t>非货币性资产交换产生的利</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董事会审议批准</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影响本期利润表中资产处置收</w:t>
            </w:r>
          </w:p>
          <w:p>
            <w:pPr>
              <w:pStyle w:val="TableParagraph"/>
              <w:tabs>
                <w:tab w:pos="736" w:val="left" w:leader="none"/>
              </w:tabs>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益</w:t>
              <w:tab/>
            </w:r>
            <w:r>
              <w:rPr>
                <w:rFonts w:ascii="宋体" w:hAnsi="宋体" w:cs="宋体" w:eastAsia="宋体" w:hint="default"/>
                <w:sz w:val="21"/>
                <w:szCs w:val="21"/>
              </w:rPr>
              <w:t>-16203.23</w:t>
            </w:r>
            <w:r>
              <w:rPr>
                <w:rFonts w:ascii="宋体" w:hAnsi="宋体" w:cs="宋体" w:eastAsia="宋体" w:hint="default"/>
                <w:sz w:val="21"/>
                <w:szCs w:val="21"/>
              </w:rPr>
              <w:t>；</w:t>
            </w:r>
          </w:p>
          <w:p>
            <w:pPr>
              <w:pStyle w:val="TableParagraph"/>
              <w:tabs>
                <w:tab w:pos="1867" w:val="left" w:leader="none"/>
              </w:tabs>
              <w:spacing w:line="272"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；营业外收入</w:t>
              <w:tab/>
            </w:r>
            <w:r>
              <w:rPr>
                <w:rFonts w:ascii="宋体" w:hAnsi="宋体" w:cs="宋体" w:eastAsia="宋体" w:hint="default"/>
                <w:sz w:val="21"/>
                <w:szCs w:val="21"/>
              </w:rPr>
              <w:t>-146327.22</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；营业外支</w:t>
            </w:r>
          </w:p>
          <w:p>
            <w:pPr>
              <w:pStyle w:val="TableParagraph"/>
              <w:tabs>
                <w:tab w:pos="842" w:val="left" w:leader="none"/>
              </w:tabs>
              <w:spacing w:line="272" w:lineRule="exact" w:before="27"/>
              <w:ind w:left="105" w:right="175"/>
              <w:jc w:val="left"/>
              <w:rPr>
                <w:rFonts w:ascii="宋体" w:hAnsi="宋体" w:cs="宋体" w:eastAsia="宋体" w:hint="default"/>
                <w:sz w:val="21"/>
                <w:szCs w:val="21"/>
              </w:rPr>
            </w:pPr>
            <w:r>
              <w:rPr>
                <w:rFonts w:ascii="宋体" w:hAnsi="宋体" w:cs="宋体" w:eastAsia="宋体" w:hint="default"/>
                <w:sz w:val="21"/>
                <w:szCs w:val="21"/>
              </w:rPr>
              <w:t>出</w:t>
              <w:tab/>
            </w:r>
            <w:r>
              <w:rPr>
                <w:rFonts w:ascii="宋体" w:hAnsi="宋体" w:cs="宋体" w:eastAsia="宋体" w:hint="default"/>
                <w:sz w:val="21"/>
                <w:szCs w:val="21"/>
              </w:rPr>
              <w:t>-162530.45</w:t>
            </w:r>
            <w:r>
              <w:rPr>
                <w:rFonts w:ascii="宋体" w:hAnsi="宋体" w:cs="宋体" w:eastAsia="宋体" w:hint="default"/>
                <w:spacing w:val="-1"/>
                <w:sz w:val="21"/>
                <w:szCs w:val="21"/>
              </w:rPr>
              <w:t> </w:t>
            </w:r>
            <w:r>
              <w:rPr>
                <w:rFonts w:ascii="宋体" w:hAnsi="宋体" w:cs="宋体" w:eastAsia="宋体" w:hint="default"/>
                <w:sz w:val="21"/>
                <w:szCs w:val="21"/>
              </w:rPr>
              <w:t>；不影响</w:t>
            </w:r>
            <w:r>
              <w:rPr>
                <w:rFonts w:ascii="宋体" w:hAnsi="宋体" w:cs="宋体" w:eastAsia="宋体" w:hint="default"/>
                <w:w w:val="100"/>
                <w:sz w:val="21"/>
                <w:szCs w:val="21"/>
              </w:rPr>
              <w:t> </w:t>
            </w:r>
            <w:r>
              <w:rPr>
                <w:rFonts w:ascii="宋体" w:hAnsi="宋体" w:cs="宋体" w:eastAsia="宋体" w:hint="default"/>
                <w:sz w:val="21"/>
                <w:szCs w:val="21"/>
              </w:rPr>
              <w:t>本期净利润。</w:t>
            </w:r>
          </w:p>
          <w:p>
            <w:pPr>
              <w:pStyle w:val="TableParagraph"/>
              <w:spacing w:line="240" w:lineRule="auto" w:before="11"/>
              <w:ind w:right="0"/>
              <w:jc w:val="left"/>
              <w:rPr>
                <w:rFonts w:ascii="宋体" w:hAnsi="宋体" w:cs="宋体" w:eastAsia="宋体" w:hint="default"/>
                <w:sz w:val="20"/>
                <w:szCs w:val="20"/>
              </w:rPr>
            </w:pPr>
          </w:p>
          <w:p>
            <w:pPr>
              <w:pStyle w:val="TableParagraph"/>
              <w:tabs>
                <w:tab w:pos="736" w:val="left" w:leader="none"/>
              </w:tabs>
              <w:spacing w:line="272" w:lineRule="exact"/>
              <w:ind w:left="105" w:right="176"/>
              <w:jc w:val="left"/>
              <w:rPr>
                <w:rFonts w:ascii="宋体" w:hAnsi="宋体" w:cs="宋体" w:eastAsia="宋体" w:hint="default"/>
                <w:sz w:val="21"/>
                <w:szCs w:val="21"/>
              </w:rPr>
            </w:pPr>
            <w:r>
              <w:rPr>
                <w:rFonts w:ascii="宋体" w:hAnsi="宋体" w:cs="宋体" w:eastAsia="宋体" w:hint="default"/>
                <w:spacing w:val="-2"/>
                <w:sz w:val="21"/>
                <w:szCs w:val="21"/>
              </w:rPr>
              <w:t>影响上期利润表中资产处置收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w:t>
              <w:tab/>
            </w:r>
            <w:r>
              <w:rPr>
                <w:rFonts w:ascii="宋体" w:hAnsi="宋体" w:cs="宋体" w:eastAsia="宋体" w:hint="default"/>
                <w:sz w:val="21"/>
                <w:szCs w:val="21"/>
              </w:rPr>
              <w:t>-2948961.39</w:t>
            </w:r>
            <w:r>
              <w:rPr>
                <w:rFonts w:ascii="宋体" w:hAnsi="宋体" w:cs="宋体" w:eastAsia="宋体" w:hint="default"/>
                <w:sz w:val="21"/>
                <w:szCs w:val="21"/>
              </w:rPr>
              <w:t>；</w:t>
            </w:r>
          </w:p>
          <w:p>
            <w:pPr>
              <w:pStyle w:val="TableParagraph"/>
              <w:tabs>
                <w:tab w:pos="1894" w:val="left" w:leader="none"/>
              </w:tabs>
              <w:spacing w:line="247" w:lineRule="exact"/>
              <w:ind w:left="105" w:right="0"/>
              <w:jc w:val="left"/>
              <w:rPr>
                <w:rFonts w:ascii="宋体" w:hAnsi="宋体" w:cs="宋体" w:eastAsia="宋体" w:hint="default"/>
                <w:sz w:val="21"/>
                <w:szCs w:val="21"/>
              </w:rPr>
            </w:pPr>
            <w:r>
              <w:rPr>
                <w:rFonts w:ascii="宋体" w:hAnsi="宋体" w:cs="宋体" w:eastAsia="宋体" w:hint="default"/>
                <w:spacing w:val="-1"/>
                <w:sz w:val="21"/>
                <w:szCs w:val="21"/>
              </w:rPr>
              <w:t>；营业外收入</w:t>
              <w:tab/>
            </w:r>
            <w:r>
              <w:rPr>
                <w:rFonts w:ascii="宋体" w:hAnsi="宋体" w:cs="宋体" w:eastAsia="宋体" w:hint="default"/>
                <w:spacing w:val="-1"/>
                <w:sz w:val="21"/>
                <w:szCs w:val="21"/>
              </w:rPr>
              <w:t>-52209.06</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；营业外支</w:t>
            </w:r>
          </w:p>
          <w:p>
            <w:pPr>
              <w:pStyle w:val="TableParagraph"/>
              <w:tabs>
                <w:tab w:pos="842" w:val="left" w:leader="none"/>
              </w:tabs>
              <w:spacing w:line="272" w:lineRule="exact" w:before="27"/>
              <w:ind w:left="105" w:right="98"/>
              <w:jc w:val="left"/>
              <w:rPr>
                <w:rFonts w:ascii="宋体" w:hAnsi="宋体" w:cs="宋体" w:eastAsia="宋体" w:hint="default"/>
                <w:sz w:val="21"/>
                <w:szCs w:val="21"/>
              </w:rPr>
            </w:pPr>
            <w:r>
              <w:rPr>
                <w:rFonts w:ascii="宋体" w:hAnsi="宋体" w:cs="宋体" w:eastAsia="宋体" w:hint="default"/>
                <w:sz w:val="21"/>
                <w:szCs w:val="21"/>
              </w:rPr>
              <w:t>出</w:t>
              <w:tab/>
            </w:r>
            <w:r>
              <w:rPr>
                <w:rFonts w:ascii="宋体" w:hAnsi="宋体" w:cs="宋体" w:eastAsia="宋体" w:hint="default"/>
                <w:sz w:val="21"/>
                <w:szCs w:val="21"/>
              </w:rPr>
              <w:t>-3001170.45</w:t>
            </w:r>
            <w:r>
              <w:rPr>
                <w:rFonts w:ascii="宋体" w:hAnsi="宋体" w:cs="宋体" w:eastAsia="宋体" w:hint="default"/>
                <w:spacing w:val="3"/>
                <w:sz w:val="21"/>
                <w:szCs w:val="21"/>
              </w:rPr>
              <w:t> </w:t>
            </w:r>
            <w:r>
              <w:rPr>
                <w:rFonts w:ascii="宋体" w:hAnsi="宋体" w:cs="宋体" w:eastAsia="宋体" w:hint="default"/>
                <w:spacing w:val="-8"/>
                <w:sz w:val="21"/>
                <w:szCs w:val="21"/>
              </w:rPr>
              <w:t>；不影响</w:t>
            </w:r>
            <w:r>
              <w:rPr>
                <w:rFonts w:ascii="宋体" w:hAnsi="宋体" w:cs="宋体" w:eastAsia="宋体" w:hint="default"/>
                <w:w w:val="100"/>
                <w:sz w:val="21"/>
                <w:szCs w:val="21"/>
              </w:rPr>
              <w:t> </w:t>
            </w:r>
            <w:r>
              <w:rPr>
                <w:rFonts w:ascii="宋体" w:hAnsi="宋体" w:cs="宋体" w:eastAsia="宋体" w:hint="default"/>
                <w:sz w:val="21"/>
                <w:szCs w:val="21"/>
              </w:rPr>
              <w:t>本期净利润。</w:t>
            </w:r>
          </w:p>
        </w:tc>
      </w:tr>
    </w:tbl>
    <w:p>
      <w:pPr>
        <w:spacing w:after="0" w:line="272" w:lineRule="exact"/>
        <w:jc w:val="left"/>
        <w:rPr>
          <w:rFonts w:ascii="宋体" w:hAnsi="宋体" w:cs="宋体" w:eastAsia="宋体" w:hint="default"/>
          <w:sz w:val="21"/>
          <w:szCs w:val="21"/>
        </w:rPr>
        <w:sectPr>
          <w:pgSz w:w="11910" w:h="16850"/>
          <w:pgMar w:header="762" w:footer="941" w:top="1000" w:bottom="114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941"/>
        <w:gridCol w:w="3039"/>
        <w:gridCol w:w="3027"/>
      </w:tblGrid>
      <w:tr>
        <w:trPr>
          <w:trHeight w:val="278" w:hRule="exact"/>
        </w:trPr>
        <w:tc>
          <w:tcPr>
            <w:tcW w:w="2941"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得或损失。相应的删除“营业</w:t>
            </w:r>
          </w:p>
        </w:tc>
        <w:tc>
          <w:tcPr>
            <w:tcW w:w="3039" w:type="dxa"/>
            <w:vMerge w:val="restart"/>
            <w:tcBorders>
              <w:top w:val="single" w:sz="4" w:space="0" w:color="000000"/>
              <w:left w:val="single" w:sz="4" w:space="0" w:color="000000"/>
              <w:right w:val="single" w:sz="4" w:space="0" w:color="000000"/>
            </w:tcBorders>
          </w:tcPr>
          <w:p>
            <w:pPr/>
          </w:p>
        </w:tc>
        <w:tc>
          <w:tcPr>
            <w:tcW w:w="3027" w:type="dxa"/>
            <w:vMerge w:val="restart"/>
            <w:tcBorders>
              <w:top w:val="single" w:sz="4" w:space="0" w:color="000000"/>
              <w:left w:val="single" w:sz="4" w:space="0" w:color="000000"/>
              <w:right w:val="single" w:sz="4" w:space="0" w:color="000000"/>
            </w:tcBorders>
          </w:tcPr>
          <w:p>
            <w:pPr/>
          </w:p>
        </w:tc>
      </w:tr>
      <w:tr>
        <w:trPr>
          <w:trHeight w:val="273"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外收入”和“营业外支出”</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项下的“其中：非流动资产处</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置利得”和“其中：非流动资</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产处置损失”项目，反映企业</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发生的营业利润以外的收益，</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主要包括债务重组利得或损</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1"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失、与企业日常活动无关的政</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府补助、公益性捐赠支出、非</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常损失、盘盈利得或损失、捐</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赠利得、流动资产毁损报废损</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2" w:hRule="exact"/>
        </w:trPr>
        <w:tc>
          <w:tcPr>
            <w:tcW w:w="294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失等。对比较报表的列报进行</w:t>
            </w:r>
          </w:p>
        </w:tc>
        <w:tc>
          <w:tcPr>
            <w:tcW w:w="3039" w:type="dxa"/>
            <w:vMerge/>
            <w:tcBorders>
              <w:left w:val="single" w:sz="4" w:space="0" w:color="000000"/>
              <w:right w:val="single" w:sz="4" w:space="0" w:color="000000"/>
            </w:tcBorders>
          </w:tcPr>
          <w:p>
            <w:pPr/>
          </w:p>
        </w:tc>
        <w:tc>
          <w:tcPr>
            <w:tcW w:w="3027" w:type="dxa"/>
            <w:vMerge/>
            <w:tcBorders>
              <w:left w:val="single" w:sz="4" w:space="0" w:color="000000"/>
              <w:right w:val="single" w:sz="4" w:space="0" w:color="000000"/>
            </w:tcBorders>
          </w:tcPr>
          <w:p>
            <w:pPr/>
          </w:p>
        </w:tc>
      </w:tr>
      <w:tr>
        <w:trPr>
          <w:trHeight w:val="279" w:hRule="exact"/>
        </w:trPr>
        <w:tc>
          <w:tcPr>
            <w:tcW w:w="29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了相应调整。</w:t>
            </w:r>
          </w:p>
        </w:tc>
        <w:tc>
          <w:tcPr>
            <w:tcW w:w="3039" w:type="dxa"/>
            <w:vMerge/>
            <w:tcBorders>
              <w:left w:val="single" w:sz="4" w:space="0" w:color="000000"/>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5"/>
        <w:spacing w:line="240" w:lineRule="auto" w:before="36"/>
        <w:ind w:left="212" w:right="2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right="25"/>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55" w:val="left" w:leader="none"/>
        </w:tabs>
        <w:spacing w:line="240" w:lineRule="auto" w:before="59"/>
        <w:ind w:right="25"/>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t>六、税项</w:t>
      </w:r>
      <w:r>
        <w:rPr>
          <w:b w:val="0"/>
          <w:bCs w:val="0"/>
        </w:rPr>
      </w:r>
    </w:p>
    <w:p>
      <w:pPr>
        <w:tabs>
          <w:tab w:pos="638" w:val="left" w:leader="none"/>
        </w:tabs>
        <w:spacing w:line="290" w:lineRule="auto" w:before="56"/>
        <w:ind w:left="212" w:right="7187"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right="25"/>
        <w:jc w:val="left"/>
      </w:pPr>
      <w:r>
        <w:rPr/>
        <w:t>√适用 □不适用</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68"/>
        <w:gridCol w:w="3133"/>
        <w:gridCol w:w="3106"/>
      </w:tblGrid>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房产原值的</w:t>
            </w:r>
            <w:r>
              <w:rPr>
                <w:rFonts w:ascii="宋体" w:hAnsi="宋体" w:cs="宋体" w:eastAsia="宋体" w:hint="default"/>
                <w:spacing w:val="-55"/>
                <w:sz w:val="21"/>
                <w:szCs w:val="21"/>
              </w:rPr>
              <w:t> </w:t>
            </w:r>
            <w:r>
              <w:rPr>
                <w:rFonts w:ascii="宋体" w:hAnsi="宋体" w:cs="宋体" w:eastAsia="宋体" w:hint="default"/>
                <w:sz w:val="21"/>
                <w:szCs w:val="21"/>
              </w:rPr>
              <w:t>70%</w:t>
            </w:r>
            <w:r>
              <w:rPr>
                <w:rFonts w:ascii="宋体" w:hAnsi="宋体" w:cs="宋体" w:eastAsia="宋体" w:hint="default"/>
                <w:sz w:val="21"/>
                <w:szCs w:val="21"/>
              </w:rPr>
              <w:t>或租金收入</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1"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土地面积</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平方米</w:t>
            </w:r>
          </w:p>
        </w:tc>
      </w:tr>
    </w:tbl>
    <w:p>
      <w:pPr>
        <w:spacing w:line="240" w:lineRule="auto" w:before="7"/>
        <w:rPr>
          <w:rFonts w:ascii="宋体" w:hAnsi="宋体" w:cs="宋体" w:eastAsia="宋体" w:hint="default"/>
          <w:sz w:val="15"/>
          <w:szCs w:val="15"/>
        </w:rPr>
      </w:pPr>
    </w:p>
    <w:p>
      <w:pPr>
        <w:pStyle w:val="BodyText"/>
        <w:spacing w:line="273" w:lineRule="exact" w:before="36"/>
        <w:ind w:right="25"/>
        <w:jc w:val="left"/>
      </w:pPr>
      <w:r>
        <w:rPr/>
        <w:t>存在不同企业所得税税率纳税主体的，披露情况说明</w:t>
      </w:r>
    </w:p>
    <w:p>
      <w:pPr>
        <w:pStyle w:val="BodyText"/>
        <w:spacing w:line="273" w:lineRule="exact"/>
        <w:ind w:right="25"/>
        <w:jc w:val="left"/>
      </w:pPr>
      <w:r>
        <w:rPr/>
        <w:t>√适用 □不适用</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80"/>
        <w:gridCol w:w="4427"/>
      </w:tblGrid>
      <w:tr>
        <w:trPr>
          <w:trHeight w:val="283" w:hRule="exact"/>
        </w:trPr>
        <w:tc>
          <w:tcPr>
            <w:tcW w:w="458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2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18"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北京四季沐歌太阳能技术集团有限公司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四季沐歌（洛阳）太阳能有限公司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6"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广东日出东方空气能有限公司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西藏好景投资有限公司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6"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西藏四季沐歌环境科技有限公司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西藏太阳雨环境科技有限公司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创蓝国际投资控股集团有限公司</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16.50</w:t>
            </w:r>
          </w:p>
        </w:tc>
      </w:tr>
      <w:tr>
        <w:trPr>
          <w:trHeight w:val="286" w:hRule="exact"/>
        </w:trPr>
        <w:tc>
          <w:tcPr>
            <w:tcW w:w="458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Great Change Europe Investment</w:t>
            </w:r>
            <w:r>
              <w:rPr>
                <w:rFonts w:ascii="宋体"/>
                <w:spacing w:val="-4"/>
                <w:sz w:val="21"/>
              </w:rPr>
              <w:t> </w:t>
            </w:r>
            <w:r>
              <w:rPr>
                <w:rFonts w:ascii="宋体"/>
                <w:sz w:val="21"/>
              </w:rPr>
              <w:t>Holdings</w:t>
            </w:r>
          </w:p>
        </w:tc>
        <w:tc>
          <w:tcPr>
            <w:tcW w:w="442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bl>
    <w:p>
      <w:pPr>
        <w:spacing w:after="0" w:line="241" w:lineRule="exact"/>
        <w:jc w:val="right"/>
        <w:rPr>
          <w:rFonts w:ascii="宋体" w:hAnsi="宋体" w:cs="宋体" w:eastAsia="宋体" w:hint="default"/>
          <w:sz w:val="21"/>
          <w:szCs w:val="21"/>
        </w:rPr>
        <w:sectPr>
          <w:pgSz w:w="11910" w:h="16850"/>
          <w:pgMar w:header="762" w:footer="941" w:top="1000" w:bottom="114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580"/>
        <w:gridCol w:w="4427"/>
      </w:tblGrid>
      <w:tr>
        <w:trPr>
          <w:trHeight w:val="286" w:hRule="exact"/>
        </w:trPr>
        <w:tc>
          <w:tcPr>
            <w:tcW w:w="4580"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Company</w:t>
            </w:r>
            <w:r>
              <w:rPr>
                <w:rFonts w:ascii="宋体"/>
                <w:spacing w:val="-1"/>
                <w:sz w:val="21"/>
              </w:rPr>
              <w:t> </w:t>
            </w:r>
            <w:r>
              <w:rPr>
                <w:rFonts w:ascii="宋体"/>
                <w:sz w:val="21"/>
              </w:rPr>
              <w:t>Limited</w:t>
            </w:r>
          </w:p>
        </w:tc>
        <w:tc>
          <w:tcPr>
            <w:tcW w:w="4427" w:type="dxa"/>
            <w:tcBorders>
              <w:top w:val="single" w:sz="4" w:space="0" w:color="000000"/>
              <w:left w:val="single" w:sz="6" w:space="0" w:color="000000"/>
              <w:bottom w:val="single" w:sz="6" w:space="0" w:color="000000"/>
              <w:right w:val="single" w:sz="4" w:space="0" w:color="000000"/>
            </w:tcBorders>
          </w:tcPr>
          <w:p>
            <w:pP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Great Change American</w:t>
            </w:r>
            <w:r>
              <w:rPr>
                <w:rFonts w:ascii="宋体"/>
                <w:spacing w:val="-1"/>
                <w:sz w:val="21"/>
              </w:rPr>
              <w:t> </w:t>
            </w:r>
            <w:r>
              <w:rPr>
                <w:rFonts w:ascii="宋体"/>
                <w:sz w:val="21"/>
              </w:rPr>
              <w:t>Corporation</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r>
        <w:trPr>
          <w:trHeight w:val="288" w:hRule="exact"/>
        </w:trPr>
        <w:tc>
          <w:tcPr>
            <w:tcW w:w="45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Solareast Australasia PTY</w:t>
            </w:r>
            <w:r>
              <w:rPr>
                <w:rFonts w:ascii="宋体"/>
                <w:spacing w:val="-1"/>
                <w:sz w:val="21"/>
              </w:rPr>
              <w:t> </w:t>
            </w:r>
            <w:r>
              <w:rPr>
                <w:rFonts w:ascii="宋体"/>
                <w:sz w:val="21"/>
              </w:rPr>
              <w:t>LTD</w:t>
            </w:r>
          </w:p>
        </w:tc>
        <w:tc>
          <w:tcPr>
            <w:tcW w:w="442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r>
        <w:trPr>
          <w:trHeight w:val="283" w:hRule="exact"/>
        </w:trPr>
        <w:tc>
          <w:tcPr>
            <w:tcW w:w="458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Naturaquell GmbH</w:t>
            </w:r>
          </w:p>
        </w:tc>
        <w:tc>
          <w:tcPr>
            <w:tcW w:w="442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638" w:val="left" w:leader="none"/>
        </w:tabs>
        <w:spacing w:line="240" w:lineRule="auto" w:before="36"/>
        <w:ind w:left="212" w:right="25"/>
        <w:jc w:val="left"/>
        <w:rPr>
          <w:b w:val="0"/>
          <w:bCs w:val="0"/>
        </w:rPr>
      </w:pPr>
      <w:r>
        <w:rPr>
          <w:rFonts w:ascii="宋体" w:hAnsi="宋体" w:cs="宋体" w:eastAsia="宋体" w:hint="default"/>
          <w:w w:val="95"/>
        </w:rPr>
        <w:t>2.</w:t>
        <w:tab/>
      </w:r>
      <w:r>
        <w:rPr/>
        <w:t>税收优惠</w:t>
      </w:r>
      <w:r>
        <w:rPr>
          <w:b w:val="0"/>
          <w:bCs w:val="0"/>
        </w:rPr>
      </w:r>
    </w:p>
    <w:p>
      <w:pPr>
        <w:pStyle w:val="BodyText"/>
        <w:tabs>
          <w:tab w:pos="1055" w:val="left" w:leader="none"/>
        </w:tabs>
        <w:spacing w:line="273" w:lineRule="exact" w:before="58"/>
        <w:ind w:right="25"/>
        <w:jc w:val="left"/>
      </w:pPr>
      <w:r>
        <w:rPr/>
        <w:t>√适用</w:t>
        <w:tab/>
        <w:t>□不适用</w:t>
      </w:r>
    </w:p>
    <w:p>
      <w:pPr>
        <w:pStyle w:val="BodyText"/>
        <w:spacing w:line="272" w:lineRule="exact"/>
        <w:ind w:right="25"/>
        <w:jc w:val="left"/>
        <w:rPr>
          <w:rFonts w:ascii="宋体" w:hAnsi="宋体" w:cs="宋体" w:eastAsia="宋体" w:hint="default"/>
        </w:rPr>
      </w:pPr>
      <w:r>
        <w:rPr>
          <w:spacing w:val="-8"/>
        </w:rPr>
        <w:t>（</w:t>
      </w:r>
      <w:r>
        <w:rPr>
          <w:rFonts w:ascii="宋体" w:hAnsi="宋体" w:cs="宋体" w:eastAsia="宋体" w:hint="default"/>
          <w:spacing w:val="-8"/>
        </w:rPr>
        <w:t>1</w:t>
      </w:r>
      <w:r>
        <w:rPr>
          <w:spacing w:val="-8"/>
        </w:rPr>
        <w:t>）本公司于</w:t>
      </w:r>
      <w:r>
        <w:rPr>
          <w:spacing w:val="-48"/>
        </w:rPr>
        <w:t> </w:t>
      </w:r>
      <w:r>
        <w:rPr>
          <w:rFonts w:ascii="宋体" w:hAnsi="宋体" w:cs="宋体" w:eastAsia="宋体" w:hint="default"/>
        </w:rPr>
        <w:t>2008</w:t>
      </w:r>
      <w:r>
        <w:rPr>
          <w:rFonts w:ascii="宋体" w:hAnsi="宋体" w:cs="宋体" w:eastAsia="宋体" w:hint="default"/>
          <w:spacing w:val="-50"/>
        </w:rPr>
        <w:t> </w:t>
      </w:r>
      <w:r>
        <w:rPr/>
        <w:t>年</w:t>
      </w:r>
      <w:r>
        <w:rPr>
          <w:spacing w:val="-48"/>
        </w:rPr>
        <w:t> </w:t>
      </w:r>
      <w:r>
        <w:rPr>
          <w:rFonts w:ascii="宋体" w:hAnsi="宋体" w:cs="宋体" w:eastAsia="宋体" w:hint="default"/>
        </w:rPr>
        <w:t>10</w:t>
      </w:r>
      <w:r>
        <w:rPr>
          <w:rFonts w:ascii="宋体" w:hAnsi="宋体" w:cs="宋体" w:eastAsia="宋体" w:hint="default"/>
          <w:spacing w:val="-50"/>
        </w:rPr>
        <w:t> </w:t>
      </w:r>
      <w:r>
        <w:rPr/>
        <w:t>月</w:t>
      </w:r>
      <w:r>
        <w:rPr>
          <w:spacing w:val="-48"/>
        </w:rPr>
        <w:t> </w:t>
      </w:r>
      <w:r>
        <w:rPr>
          <w:rFonts w:ascii="宋体" w:hAnsi="宋体" w:cs="宋体" w:eastAsia="宋体" w:hint="default"/>
        </w:rPr>
        <w:t>21</w:t>
      </w:r>
      <w:r>
        <w:rPr>
          <w:rFonts w:ascii="宋体" w:hAnsi="宋体" w:cs="宋体" w:eastAsia="宋体" w:hint="default"/>
          <w:spacing w:val="-49"/>
        </w:rPr>
        <w:t> </w:t>
      </w:r>
      <w:r>
        <w:rPr>
          <w:spacing w:val="-6"/>
        </w:rPr>
        <w:t>日被认定为高新技术企业，有效期三年。</w:t>
      </w:r>
      <w:r>
        <w:rPr>
          <w:rFonts w:ascii="宋体" w:hAnsi="宋体" w:cs="宋体" w:eastAsia="宋体" w:hint="default"/>
          <w:spacing w:val="-6"/>
        </w:rPr>
        <w:t>2011</w:t>
      </w:r>
      <w:r>
        <w:rPr>
          <w:rFonts w:ascii="宋体" w:hAnsi="宋体" w:cs="宋体" w:eastAsia="宋体" w:hint="default"/>
          <w:spacing w:val="-50"/>
        </w:rPr>
        <w:t> </w:t>
      </w:r>
      <w:r>
        <w:rPr/>
        <w:t>年</w:t>
      </w:r>
      <w:r>
        <w:rPr>
          <w:spacing w:val="-48"/>
        </w:rPr>
        <w:t> </w:t>
      </w:r>
      <w:r>
        <w:rPr>
          <w:rFonts w:ascii="宋体" w:hAnsi="宋体" w:cs="宋体" w:eastAsia="宋体" w:hint="default"/>
        </w:rPr>
        <w:t>9</w:t>
      </w:r>
      <w:r>
        <w:rPr>
          <w:rFonts w:ascii="宋体" w:hAnsi="宋体" w:cs="宋体" w:eastAsia="宋体" w:hint="default"/>
          <w:spacing w:val="-50"/>
        </w:rPr>
        <w:t> </w:t>
      </w:r>
      <w:r>
        <w:rPr/>
        <w:t>月</w:t>
      </w:r>
      <w:r>
        <w:rPr>
          <w:spacing w:val="-48"/>
        </w:rPr>
        <w:t> </w:t>
      </w:r>
      <w:r>
        <w:rPr>
          <w:rFonts w:ascii="宋体" w:hAnsi="宋体" w:cs="宋体" w:eastAsia="宋体" w:hint="default"/>
        </w:rPr>
        <w:t>30</w:t>
      </w:r>
      <w:r>
        <w:rPr>
          <w:rFonts w:ascii="宋体" w:hAnsi="宋体" w:cs="宋体" w:eastAsia="宋体" w:hint="default"/>
          <w:spacing w:val="-49"/>
        </w:rPr>
        <w:t> </w:t>
      </w:r>
      <w:r>
        <w:rPr>
          <w:spacing w:val="-9"/>
        </w:rPr>
        <w:t>日、</w:t>
      </w:r>
      <w:r>
        <w:rPr>
          <w:rFonts w:ascii="宋体" w:hAnsi="宋体" w:cs="宋体" w:eastAsia="宋体" w:hint="default"/>
          <w:spacing w:val="-9"/>
        </w:rPr>
        <w:t>2014</w:t>
      </w:r>
    </w:p>
    <w:p>
      <w:pPr>
        <w:pStyle w:val="BodyText"/>
        <w:spacing w:line="272" w:lineRule="exact" w:before="27"/>
        <w:ind w:right="319"/>
        <w:jc w:val="left"/>
      </w:pP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4"/>
        </w:rPr>
        <w:t> </w:t>
      </w:r>
      <w:r>
        <w:rPr/>
        <w:t>日先后通过复审重新被认定为高新技术企业，有效期三年。本年</w:t>
      </w:r>
      <w:r>
        <w:rPr>
          <w:w w:val="100"/>
        </w:rPr>
        <w:t> </w:t>
      </w:r>
      <w:r>
        <w:rPr/>
        <w:t>度减按</w:t>
      </w:r>
      <w:r>
        <w:rPr>
          <w:spacing w:val="-52"/>
        </w:rPr>
        <w:t> </w:t>
      </w:r>
      <w:r>
        <w:rPr>
          <w:rFonts w:ascii="宋体" w:hAnsi="宋体" w:cs="宋体" w:eastAsia="宋体" w:hint="default"/>
        </w:rPr>
        <w:t>15%</w:t>
      </w:r>
      <w:r>
        <w:rPr/>
        <w:t>的税率缴纳企业所得税。</w:t>
      </w:r>
    </w:p>
    <w:p>
      <w:pPr>
        <w:pStyle w:val="BodyText"/>
        <w:spacing w:line="247" w:lineRule="exact"/>
        <w:ind w:right="25"/>
        <w:jc w:val="left"/>
      </w:pPr>
      <w:r>
        <w:rPr>
          <w:w w:val="100"/>
        </w:rPr>
        <w:t>（</w:t>
      </w:r>
      <w:r>
        <w:rPr>
          <w:rFonts w:ascii="宋体" w:hAnsi="宋体" w:cs="宋体" w:eastAsia="宋体" w:hint="default"/>
          <w:w w:val="100"/>
        </w:rPr>
        <w:t>2</w:t>
      </w:r>
      <w:r>
        <w:rPr>
          <w:spacing w:val="-106"/>
          <w:w w:val="100"/>
        </w:rPr>
        <w:t>）</w:t>
      </w:r>
      <w:r>
        <w:rPr>
          <w:spacing w:val="-3"/>
          <w:w w:val="100"/>
        </w:rPr>
        <w:t>子</w:t>
      </w:r>
      <w:r>
        <w:rPr>
          <w:w w:val="100"/>
        </w:rPr>
        <w:t>公</w:t>
      </w:r>
      <w:r>
        <w:rPr>
          <w:spacing w:val="-3"/>
          <w:w w:val="100"/>
        </w:rPr>
        <w:t>司</w:t>
      </w:r>
      <w:r>
        <w:rPr>
          <w:w w:val="100"/>
        </w:rPr>
        <w:t>北</w:t>
      </w:r>
      <w:r>
        <w:rPr>
          <w:spacing w:val="-3"/>
          <w:w w:val="100"/>
        </w:rPr>
        <w:t>京</w:t>
      </w:r>
      <w:r>
        <w:rPr>
          <w:w w:val="100"/>
        </w:rPr>
        <w:t>四</w:t>
      </w:r>
      <w:r>
        <w:rPr>
          <w:spacing w:val="-3"/>
          <w:w w:val="100"/>
        </w:rPr>
        <w:t>季</w:t>
      </w:r>
      <w:r>
        <w:rPr>
          <w:w w:val="100"/>
        </w:rPr>
        <w:t>沐</w:t>
      </w:r>
      <w:r>
        <w:rPr>
          <w:spacing w:val="-3"/>
          <w:w w:val="100"/>
        </w:rPr>
        <w:t>歌</w:t>
      </w:r>
      <w:r>
        <w:rPr>
          <w:w w:val="100"/>
        </w:rPr>
        <w:t>太阳</w:t>
      </w:r>
      <w:r>
        <w:rPr>
          <w:spacing w:val="-3"/>
          <w:w w:val="100"/>
        </w:rPr>
        <w:t>能</w:t>
      </w:r>
      <w:r>
        <w:rPr>
          <w:w w:val="100"/>
        </w:rPr>
        <w:t>技</w:t>
      </w:r>
      <w:r>
        <w:rPr>
          <w:spacing w:val="-3"/>
          <w:w w:val="100"/>
        </w:rPr>
        <w:t>术</w:t>
      </w:r>
      <w:r>
        <w:rPr>
          <w:w w:val="100"/>
        </w:rPr>
        <w:t>集</w:t>
      </w:r>
      <w:r>
        <w:rPr>
          <w:spacing w:val="-3"/>
          <w:w w:val="100"/>
        </w:rPr>
        <w:t>团</w:t>
      </w:r>
      <w:r>
        <w:rPr>
          <w:w w:val="100"/>
        </w:rPr>
        <w:t>有</w:t>
      </w:r>
      <w:r>
        <w:rPr>
          <w:spacing w:val="-3"/>
          <w:w w:val="100"/>
        </w:rPr>
        <w:t>限</w:t>
      </w:r>
      <w:r>
        <w:rPr>
          <w:w w:val="100"/>
        </w:rPr>
        <w:t>公</w:t>
      </w:r>
      <w:r>
        <w:rPr>
          <w:spacing w:val="-3"/>
          <w:w w:val="100"/>
        </w:rPr>
        <w:t>司</w:t>
      </w:r>
      <w:r>
        <w:rPr>
          <w:w w:val="100"/>
        </w:rPr>
        <w:t>于</w:t>
      </w:r>
      <w:r>
        <w:rPr>
          <w:spacing w:val="-77"/>
        </w:rPr>
        <w:t> </w:t>
      </w:r>
      <w:r>
        <w:rPr>
          <w:rFonts w:ascii="宋体" w:hAnsi="宋体" w:cs="宋体" w:eastAsia="宋体" w:hint="default"/>
          <w:w w:val="100"/>
        </w:rPr>
        <w:t>2008</w:t>
      </w:r>
      <w:r>
        <w:rPr>
          <w:rFonts w:ascii="宋体" w:hAnsi="宋体" w:cs="宋体" w:eastAsia="宋体" w:hint="default"/>
          <w:spacing w:val="-76"/>
        </w:rPr>
        <w:t> </w:t>
      </w:r>
      <w:r>
        <w:rPr>
          <w:w w:val="100"/>
        </w:rPr>
        <w:t>年</w:t>
      </w:r>
      <w:r>
        <w:rPr>
          <w:spacing w:val="-77"/>
        </w:rPr>
        <w:t> </w:t>
      </w:r>
      <w:r>
        <w:rPr>
          <w:rFonts w:ascii="宋体" w:hAnsi="宋体" w:cs="宋体" w:eastAsia="宋体" w:hint="default"/>
          <w:w w:val="100"/>
        </w:rPr>
        <w:t>12</w:t>
      </w:r>
      <w:r>
        <w:rPr>
          <w:rFonts w:ascii="宋体" w:hAnsi="宋体" w:cs="宋体" w:eastAsia="宋体" w:hint="default"/>
          <w:spacing w:val="-77"/>
        </w:rPr>
        <w:t> </w:t>
      </w:r>
      <w:r>
        <w:rPr>
          <w:w w:val="100"/>
        </w:rPr>
        <w:t>月</w:t>
      </w:r>
      <w:r>
        <w:rPr>
          <w:spacing w:val="-77"/>
        </w:rPr>
        <w:t> </w:t>
      </w:r>
      <w:r>
        <w:rPr>
          <w:rFonts w:ascii="宋体" w:hAnsi="宋体" w:cs="宋体" w:eastAsia="宋体" w:hint="default"/>
          <w:w w:val="100"/>
        </w:rPr>
        <w:t>18</w:t>
      </w:r>
      <w:r>
        <w:rPr>
          <w:rFonts w:ascii="宋体" w:hAnsi="宋体" w:cs="宋体" w:eastAsia="宋体" w:hint="default"/>
          <w:spacing w:val="-79"/>
        </w:rPr>
        <w:t> </w:t>
      </w:r>
      <w:r>
        <w:rPr>
          <w:w w:val="100"/>
        </w:rPr>
        <w:t>日</w:t>
      </w:r>
      <w:r>
        <w:rPr>
          <w:spacing w:val="-3"/>
          <w:w w:val="100"/>
        </w:rPr>
        <w:t>被认</w:t>
      </w:r>
      <w:r>
        <w:rPr>
          <w:w w:val="100"/>
        </w:rPr>
        <w:t>定为</w:t>
      </w:r>
      <w:r>
        <w:rPr>
          <w:spacing w:val="-3"/>
          <w:w w:val="100"/>
        </w:rPr>
        <w:t>高</w:t>
      </w:r>
      <w:r>
        <w:rPr>
          <w:w w:val="100"/>
        </w:rPr>
        <w:t>新</w:t>
      </w:r>
      <w:r>
        <w:rPr>
          <w:spacing w:val="-3"/>
          <w:w w:val="100"/>
        </w:rPr>
        <w:t>技</w:t>
      </w:r>
      <w:r>
        <w:rPr>
          <w:w w:val="100"/>
        </w:rPr>
        <w:t>术</w:t>
      </w:r>
      <w:r>
        <w:rPr>
          <w:spacing w:val="-3"/>
          <w:w w:val="100"/>
        </w:rPr>
        <w:t>企</w:t>
      </w:r>
      <w:r>
        <w:rPr>
          <w:w w:val="100"/>
        </w:rPr>
        <w:t>业，</w:t>
      </w:r>
    </w:p>
    <w:p>
      <w:pPr>
        <w:pStyle w:val="BodyText"/>
        <w:spacing w:line="240" w:lineRule="auto"/>
        <w:ind w:right="25"/>
        <w:jc w:val="left"/>
      </w:pPr>
      <w:r>
        <w:rPr/>
        <w:t>有效期三年。</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14</w:t>
      </w:r>
      <w:r>
        <w:rPr>
          <w:rFonts w:ascii="宋体" w:hAnsi="宋体" w:cs="宋体" w:eastAsia="宋体" w:hint="default"/>
          <w:spacing w:val="-52"/>
        </w:rPr>
        <w:t> </w:t>
      </w:r>
      <w:r>
        <w:rPr/>
        <w:t>日、</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w:t>
      </w:r>
      <w:r>
        <w:rPr>
          <w:rFonts w:ascii="宋体" w:hAnsi="宋体" w:cs="宋体" w:eastAsia="宋体" w:hint="default"/>
        </w:rPr>
        <w:t>2017</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日先后通过复审重新被认</w:t>
      </w:r>
      <w:r>
        <w:rPr>
          <w:w w:val="100"/>
        </w:rPr>
        <w:t> </w:t>
      </w:r>
      <w:r>
        <w:rPr>
          <w:spacing w:val="-2"/>
        </w:rPr>
        <w:t>定为高新技术企业，有效期三年。本年度减按</w:t>
      </w:r>
      <w:r>
        <w:rPr>
          <w:spacing w:val="13"/>
        </w:rPr>
        <w:t> </w:t>
      </w:r>
      <w:r>
        <w:rPr>
          <w:rFonts w:ascii="宋体" w:hAnsi="宋体" w:cs="宋体" w:eastAsia="宋体" w:hint="default"/>
          <w:spacing w:val="-2"/>
        </w:rPr>
        <w:t>15%</w:t>
      </w:r>
      <w:r>
        <w:rPr>
          <w:spacing w:val="-2"/>
        </w:rPr>
        <w:t>的税率缴纳企业所得税。</w:t>
      </w:r>
    </w:p>
    <w:p>
      <w:pPr>
        <w:pStyle w:val="BodyText"/>
        <w:spacing w:line="271" w:lineRule="exact"/>
        <w:ind w:right="25"/>
        <w:jc w:val="left"/>
      </w:pPr>
      <w:r>
        <w:rPr/>
        <w:t>（</w:t>
      </w:r>
      <w:r>
        <w:rPr>
          <w:rFonts w:ascii="宋体" w:hAnsi="宋体" w:cs="宋体" w:eastAsia="宋体" w:hint="default"/>
        </w:rPr>
        <w:t>3</w:t>
      </w:r>
      <w:r>
        <w:rPr/>
        <w:t>）子公司四季沐歌（洛阳）太阳能有限公司于</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5"/>
        </w:rPr>
        <w:t> </w:t>
      </w:r>
      <w:r>
        <w:rPr/>
        <w:t>月</w:t>
      </w:r>
      <w:r>
        <w:rPr>
          <w:spacing w:val="-57"/>
        </w:rPr>
        <w:t> </w:t>
      </w:r>
      <w:r>
        <w:rPr>
          <w:rFonts w:ascii="宋体" w:hAnsi="宋体" w:cs="宋体" w:eastAsia="宋体" w:hint="default"/>
        </w:rPr>
        <w:t>6</w:t>
      </w:r>
      <w:r>
        <w:rPr>
          <w:rFonts w:ascii="宋体" w:hAnsi="宋体" w:cs="宋体" w:eastAsia="宋体" w:hint="default"/>
          <w:spacing w:val="-55"/>
        </w:rPr>
        <w:t> </w:t>
      </w:r>
      <w:r>
        <w:rPr/>
        <w:t>日被认定为高新技术企业，有</w:t>
      </w:r>
    </w:p>
    <w:p>
      <w:pPr>
        <w:pStyle w:val="BodyText"/>
        <w:spacing w:line="272" w:lineRule="exact" w:before="27"/>
        <w:ind w:right="25"/>
        <w:jc w:val="left"/>
      </w:pPr>
      <w:r>
        <w:rPr>
          <w:spacing w:val="-3"/>
        </w:rPr>
        <w:t>效期三年。</w:t>
      </w:r>
      <w:r>
        <w:rPr>
          <w:rFonts w:ascii="宋体" w:hAnsi="宋体" w:cs="宋体" w:eastAsia="宋体" w:hint="default"/>
          <w:spacing w:val="-3"/>
        </w:rPr>
        <w:t>2015</w:t>
      </w:r>
      <w:r>
        <w:rPr>
          <w:rFonts w:ascii="宋体" w:hAnsi="宋体" w:cs="宋体" w:eastAsia="宋体" w:hint="default"/>
          <w:spacing w:val="-44"/>
        </w:rPr>
        <w:t> </w:t>
      </w:r>
      <w:r>
        <w:rPr/>
        <w:t>年</w:t>
      </w:r>
      <w:r>
        <w:rPr>
          <w:spacing w:val="-41"/>
        </w:rPr>
        <w:t> </w:t>
      </w:r>
      <w:r>
        <w:rPr>
          <w:rFonts w:ascii="宋体" w:hAnsi="宋体" w:cs="宋体" w:eastAsia="宋体" w:hint="default"/>
        </w:rPr>
        <w:t>8</w:t>
      </w:r>
      <w:r>
        <w:rPr>
          <w:rFonts w:ascii="宋体" w:hAnsi="宋体" w:cs="宋体" w:eastAsia="宋体" w:hint="default"/>
          <w:spacing w:val="-44"/>
        </w:rPr>
        <w:t> </w:t>
      </w:r>
      <w:r>
        <w:rPr/>
        <w:t>月</w:t>
      </w:r>
      <w:r>
        <w:rPr>
          <w:spacing w:val="-41"/>
        </w:rPr>
        <w:t> </w:t>
      </w:r>
      <w:r>
        <w:rPr>
          <w:rFonts w:ascii="宋体" w:hAnsi="宋体" w:cs="宋体" w:eastAsia="宋体" w:hint="default"/>
        </w:rPr>
        <w:t>3</w:t>
      </w:r>
      <w:r>
        <w:rPr>
          <w:rFonts w:ascii="宋体" w:hAnsi="宋体" w:cs="宋体" w:eastAsia="宋体" w:hint="default"/>
          <w:spacing w:val="-44"/>
        </w:rPr>
        <w:t> </w:t>
      </w:r>
      <w:r>
        <w:rPr>
          <w:spacing w:val="-3"/>
        </w:rPr>
        <w:t>日通过复审重新被认定为高新技术企业，有效期三年。本年度减按</w:t>
      </w:r>
      <w:r>
        <w:rPr>
          <w:spacing w:val="-40"/>
        </w:rPr>
        <w:t> </w:t>
      </w:r>
      <w:r>
        <w:rPr>
          <w:rFonts w:ascii="宋体" w:hAnsi="宋体" w:cs="宋体" w:eastAsia="宋体" w:hint="default"/>
        </w:rPr>
        <w:t>15%</w:t>
      </w:r>
      <w:r>
        <w:rPr>
          <w:rFonts w:ascii="宋体" w:hAnsi="宋体" w:cs="宋体" w:eastAsia="宋体" w:hint="default"/>
          <w:spacing w:val="-100"/>
        </w:rPr>
        <w:t> </w:t>
      </w:r>
      <w:r>
        <w:rPr>
          <w:rFonts w:ascii="宋体" w:hAnsi="宋体" w:cs="宋体" w:eastAsia="宋体" w:hint="default"/>
          <w:spacing w:val="-100"/>
        </w:rPr>
      </w:r>
      <w:r>
        <w:rPr/>
        <w:t>的税率缴纳企业所得税。</w:t>
      </w:r>
    </w:p>
    <w:p>
      <w:pPr>
        <w:pStyle w:val="BodyText"/>
        <w:spacing w:line="272" w:lineRule="exact" w:before="1"/>
        <w:ind w:right="25"/>
        <w:jc w:val="left"/>
      </w:pPr>
      <w:r>
        <w:rPr>
          <w:spacing w:val="-3"/>
        </w:rPr>
        <w:t>（</w:t>
      </w:r>
      <w:r>
        <w:rPr>
          <w:rFonts w:ascii="宋体" w:hAnsi="宋体" w:cs="宋体" w:eastAsia="宋体" w:hint="default"/>
          <w:spacing w:val="-3"/>
        </w:rPr>
        <w:t>4</w:t>
      </w:r>
      <w:r>
        <w:rPr>
          <w:spacing w:val="-3"/>
        </w:rPr>
        <w:t>）子公司广东日出东方空气能有限公司于</w:t>
      </w:r>
      <w:r>
        <w:rPr>
          <w:spacing w:val="-42"/>
        </w:rPr>
        <w:t> </w:t>
      </w: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0"/>
        </w:rPr>
        <w:t> </w:t>
      </w:r>
      <w:r>
        <w:rPr>
          <w:rFonts w:ascii="宋体" w:hAnsi="宋体" w:cs="宋体" w:eastAsia="宋体" w:hint="default"/>
        </w:rPr>
        <w:t>30</w:t>
      </w:r>
      <w:r>
        <w:rPr>
          <w:rFonts w:ascii="宋体" w:hAnsi="宋体" w:cs="宋体" w:eastAsia="宋体" w:hint="default"/>
          <w:spacing w:val="-44"/>
        </w:rPr>
        <w:t> </w:t>
      </w:r>
      <w:r>
        <w:rPr>
          <w:spacing w:val="-3"/>
        </w:rPr>
        <w:t>日被认定为高新技术企业，有效期</w:t>
      </w:r>
      <w:r>
        <w:rPr>
          <w:spacing w:val="-101"/>
        </w:rPr>
        <w:t> </w:t>
      </w:r>
      <w:r>
        <w:rPr>
          <w:spacing w:val="-101"/>
        </w:rPr>
      </w:r>
      <w:r>
        <w:rPr/>
        <w:t>三年。本年度减按</w:t>
      </w:r>
      <w:r>
        <w:rPr>
          <w:spacing w:val="-57"/>
        </w:rPr>
        <w:t> </w:t>
      </w:r>
      <w:r>
        <w:rPr>
          <w:rFonts w:ascii="宋体" w:hAnsi="宋体" w:cs="宋体" w:eastAsia="宋体" w:hint="default"/>
        </w:rPr>
        <w:t>15%</w:t>
      </w:r>
      <w:r>
        <w:rPr/>
        <w:t>的税率缴纳企业所得税。</w:t>
      </w:r>
    </w:p>
    <w:p>
      <w:pPr>
        <w:pStyle w:val="BodyText"/>
        <w:spacing w:line="272" w:lineRule="exact" w:before="1"/>
        <w:ind w:right="25"/>
        <w:jc w:val="left"/>
      </w:pPr>
      <w:r>
        <w:rPr>
          <w:spacing w:val="-3"/>
        </w:rPr>
        <w:t>（</w:t>
      </w:r>
      <w:r>
        <w:rPr>
          <w:rFonts w:ascii="宋体" w:hAnsi="宋体" w:cs="宋体" w:eastAsia="宋体" w:hint="default"/>
          <w:spacing w:val="-3"/>
        </w:rPr>
        <w:t>5</w:t>
      </w:r>
      <w:r>
        <w:rPr>
          <w:spacing w:val="-3"/>
        </w:rPr>
        <w:t>）子公司浙江帅康电气股份有限公司于</w:t>
      </w:r>
      <w:r>
        <w:rPr>
          <w:spacing w:val="-44"/>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10</w:t>
      </w:r>
      <w:r>
        <w:rPr>
          <w:rFonts w:ascii="宋体" w:hAnsi="宋体" w:cs="宋体" w:eastAsia="宋体" w:hint="default"/>
          <w:spacing w:val="-44"/>
        </w:rPr>
        <w:t> </w:t>
      </w:r>
      <w:r>
        <w:rPr/>
        <w:t>月</w:t>
      </w:r>
      <w:r>
        <w:rPr>
          <w:spacing w:val="-44"/>
        </w:rPr>
        <w:t> </w:t>
      </w:r>
      <w:r>
        <w:rPr>
          <w:rFonts w:ascii="宋体" w:hAnsi="宋体" w:cs="宋体" w:eastAsia="宋体" w:hint="default"/>
        </w:rPr>
        <w:t>29</w:t>
      </w:r>
      <w:r>
        <w:rPr>
          <w:rFonts w:ascii="宋体" w:hAnsi="宋体" w:cs="宋体" w:eastAsia="宋体" w:hint="default"/>
          <w:spacing w:val="-43"/>
        </w:rPr>
        <w:t> </w:t>
      </w:r>
      <w:r>
        <w:rPr>
          <w:spacing w:val="-3"/>
        </w:rPr>
        <w:t>日被认定为高新技术企业，有效期三</w:t>
      </w:r>
      <w:r>
        <w:rPr>
          <w:spacing w:val="-101"/>
        </w:rPr>
        <w:t> </w:t>
      </w:r>
      <w:r>
        <w:rPr>
          <w:spacing w:val="-101"/>
        </w:rPr>
      </w:r>
      <w:r>
        <w:rPr/>
        <w:t>年。本年度减按</w:t>
      </w:r>
      <w:r>
        <w:rPr>
          <w:spacing w:val="-54"/>
        </w:rPr>
        <w:t> </w:t>
      </w:r>
      <w:r>
        <w:rPr>
          <w:rFonts w:ascii="宋体" w:hAnsi="宋体" w:cs="宋体" w:eastAsia="宋体" w:hint="default"/>
        </w:rPr>
        <w:t>15%</w:t>
      </w:r>
      <w:r>
        <w:rPr/>
        <w:t>的税率缴纳企业所得税。</w:t>
      </w:r>
    </w:p>
    <w:p>
      <w:pPr>
        <w:pStyle w:val="BodyText"/>
        <w:spacing w:line="272" w:lineRule="exact" w:before="1"/>
        <w:ind w:right="295"/>
        <w:jc w:val="left"/>
        <w:rPr>
          <w:rFonts w:ascii="宋体" w:hAnsi="宋体" w:cs="宋体" w:eastAsia="宋体" w:hint="default"/>
        </w:rPr>
      </w:pPr>
      <w:r>
        <w:rPr/>
        <w:t>（</w:t>
      </w:r>
      <w:r>
        <w:rPr>
          <w:rFonts w:ascii="宋体" w:hAnsi="宋体" w:cs="宋体" w:eastAsia="宋体" w:hint="default"/>
        </w:rPr>
        <w:t>6</w:t>
      </w:r>
      <w:r>
        <w:rPr/>
        <w:t>）子公司西藏好景投资有限公司、西藏四季沐歌环境科技有限公司、西藏太阳雨环境科技有</w:t>
      </w:r>
      <w:r>
        <w:rPr>
          <w:w w:val="100"/>
        </w:rPr>
        <w:t> </w:t>
      </w:r>
      <w:r>
        <w:rPr>
          <w:spacing w:val="-9"/>
        </w:rPr>
        <w:t>限公司注册于西藏拉萨，根据《西藏自治区人民政府关于企业所得税政策实施办法》规定，自</w:t>
      </w:r>
      <w:r>
        <w:rPr>
          <w:spacing w:val="13"/>
        </w:rPr>
        <w:t> </w:t>
      </w:r>
      <w:r>
        <w:rPr>
          <w:rFonts w:ascii="宋体" w:hAnsi="宋体" w:cs="宋体" w:eastAsia="宋体" w:hint="default"/>
        </w:rPr>
        <w:t>2015</w:t>
      </w:r>
    </w:p>
    <w:p>
      <w:pPr>
        <w:pStyle w:val="BodyText"/>
        <w:spacing w:line="247" w:lineRule="exact"/>
        <w:ind w:right="25"/>
        <w:jc w:val="left"/>
      </w:pPr>
      <w:r>
        <w:rPr/>
        <w:t>年</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日企业所得税税率为</w:t>
      </w:r>
      <w:r>
        <w:rPr>
          <w:spacing w:val="-54"/>
        </w:rPr>
        <w:t> </w:t>
      </w:r>
      <w:r>
        <w:rPr>
          <w:rFonts w:ascii="宋体" w:hAnsi="宋体" w:cs="宋体" w:eastAsia="宋体" w:hint="default"/>
        </w:rPr>
        <w:t>9%</w:t>
      </w:r>
      <w:r>
        <w:rPr/>
        <w:t>。</w:t>
      </w:r>
    </w:p>
    <w:p>
      <w:pPr>
        <w:pStyle w:val="BodyText"/>
        <w:spacing w:line="272" w:lineRule="exact" w:before="26"/>
        <w:ind w:right="25"/>
        <w:jc w:val="left"/>
      </w:pPr>
      <w:r>
        <w:rPr/>
        <w:t>（</w:t>
      </w:r>
      <w:r>
        <w:rPr>
          <w:rFonts w:ascii="宋体" w:hAnsi="宋体" w:cs="宋体" w:eastAsia="宋体" w:hint="default"/>
        </w:rPr>
        <w:t>7</w:t>
      </w:r>
      <w:r>
        <w:rPr/>
        <w:t>）子公司太阳雨工程技术有限公司属于小型微利企业，根据《关于小型微利企业所得税优惠</w:t>
      </w:r>
      <w:r>
        <w:rPr>
          <w:w w:val="100"/>
        </w:rPr>
        <w:t> </w:t>
      </w:r>
      <w:r>
        <w:rPr>
          <w:spacing w:val="-4"/>
        </w:rPr>
        <w:t>政策的通知》（财税〔</w:t>
      </w:r>
      <w:r>
        <w:rPr>
          <w:rFonts w:ascii="宋体" w:hAnsi="宋体" w:cs="宋体" w:eastAsia="宋体" w:hint="default"/>
          <w:spacing w:val="-4"/>
        </w:rPr>
        <w:t>2015</w:t>
      </w:r>
      <w:r>
        <w:rPr>
          <w:spacing w:val="-4"/>
        </w:rPr>
        <w:t>〕</w:t>
      </w:r>
      <w:r>
        <w:rPr>
          <w:rFonts w:ascii="宋体" w:hAnsi="宋体" w:cs="宋体" w:eastAsia="宋体" w:hint="default"/>
          <w:spacing w:val="-4"/>
        </w:rPr>
        <w:t>34</w:t>
      </w:r>
      <w:r>
        <w:rPr>
          <w:rFonts w:ascii="宋体" w:hAnsi="宋体" w:cs="宋体" w:eastAsia="宋体" w:hint="default"/>
          <w:spacing w:val="-53"/>
        </w:rPr>
        <w:t> </w:t>
      </w:r>
      <w:r>
        <w:rPr>
          <w:spacing w:val="-5"/>
        </w:rPr>
        <w:t>号文）规定，自</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4"/>
        </w:rPr>
        <w:t>日，对年应</w:t>
      </w:r>
    </w:p>
    <w:p>
      <w:pPr>
        <w:pStyle w:val="BodyText"/>
        <w:spacing w:line="272" w:lineRule="exact" w:before="1"/>
        <w:ind w:right="317"/>
        <w:jc w:val="left"/>
      </w:pPr>
      <w:r>
        <w:rPr/>
        <w:t>纳税所得额低于</w:t>
      </w:r>
      <w:r>
        <w:rPr>
          <w:spacing w:val="-54"/>
        </w:rPr>
        <w:t> </w:t>
      </w:r>
      <w:r>
        <w:rPr>
          <w:rFonts w:ascii="宋体" w:hAnsi="宋体" w:cs="宋体" w:eastAsia="宋体" w:hint="default"/>
        </w:rPr>
        <w:t>20</w:t>
      </w:r>
      <w:r>
        <w:rPr>
          <w:rFonts w:ascii="宋体" w:hAnsi="宋体" w:cs="宋体" w:eastAsia="宋体" w:hint="default"/>
          <w:spacing w:val="-56"/>
        </w:rPr>
        <w:t> </w:t>
      </w:r>
      <w:r>
        <w:rPr/>
        <w:t>万元（含</w:t>
      </w:r>
      <w:r>
        <w:rPr>
          <w:spacing w:val="-53"/>
        </w:rPr>
        <w:t> </w:t>
      </w:r>
      <w:r>
        <w:rPr>
          <w:rFonts w:ascii="宋体" w:hAnsi="宋体" w:cs="宋体" w:eastAsia="宋体" w:hint="default"/>
        </w:rPr>
        <w:t>20</w:t>
      </w:r>
      <w:r>
        <w:rPr>
          <w:rFonts w:ascii="宋体" w:hAnsi="宋体" w:cs="宋体" w:eastAsia="宋体" w:hint="default"/>
          <w:spacing w:val="-56"/>
        </w:rPr>
        <w:t> </w:t>
      </w:r>
      <w:r>
        <w:rPr/>
        <w:t>万元）的小型微利企业，其所得减按</w:t>
      </w:r>
      <w:r>
        <w:rPr>
          <w:spacing w:val="-54"/>
        </w:rPr>
        <w:t> </w:t>
      </w:r>
      <w:r>
        <w:rPr>
          <w:rFonts w:ascii="宋体" w:hAnsi="宋体" w:cs="宋体" w:eastAsia="宋体" w:hint="default"/>
        </w:rPr>
        <w:t>50%</w:t>
      </w:r>
      <w:r>
        <w:rPr/>
        <w:t>计入应纳税所得额，按</w:t>
      </w:r>
      <w:r>
        <w:rPr>
          <w:w w:val="100"/>
        </w:rPr>
        <w:t> </w:t>
      </w:r>
      <w:r>
        <w:rPr>
          <w:rFonts w:ascii="宋体" w:hAnsi="宋体" w:cs="宋体" w:eastAsia="宋体" w:hint="default"/>
        </w:rPr>
        <w:t>20%</w:t>
      </w:r>
      <w:r>
        <w:rPr/>
        <w:t>的税率缴纳企业所得税。</w:t>
      </w:r>
    </w:p>
    <w:p>
      <w:pPr>
        <w:pStyle w:val="BodyText"/>
        <w:spacing w:line="272" w:lineRule="exact" w:before="1"/>
        <w:ind w:right="297"/>
        <w:jc w:val="left"/>
        <w:rPr>
          <w:rFonts w:ascii="宋体" w:hAnsi="宋体" w:cs="宋体" w:eastAsia="宋体" w:hint="default"/>
        </w:rPr>
      </w:pPr>
      <w:r>
        <w:rPr/>
        <w:t>（</w:t>
      </w:r>
      <w:r>
        <w:rPr>
          <w:rFonts w:ascii="宋体" w:hAnsi="宋体" w:cs="宋体" w:eastAsia="宋体" w:hint="default"/>
        </w:rPr>
        <w:t>8</w:t>
      </w:r>
      <w:r>
        <w:rPr/>
        <w:t>）境外子公司的企业所得税率情况如下：</w:t>
      </w:r>
      <w:r>
        <w:rPr>
          <w:w w:val="100"/>
        </w:rPr>
        <w:t> </w:t>
      </w:r>
      <w:r>
        <w:rPr/>
        <w:t>子公司创蓝国际投资控股集团有限公司注册于香港，所得税税率为</w:t>
      </w:r>
      <w:r>
        <w:rPr>
          <w:spacing w:val="-55"/>
        </w:rPr>
        <w:t> </w:t>
      </w:r>
      <w:r>
        <w:rPr>
          <w:rFonts w:ascii="宋体" w:hAnsi="宋体" w:cs="宋体" w:eastAsia="宋体" w:hint="default"/>
        </w:rPr>
        <w:t>16.5%</w:t>
      </w:r>
      <w:r>
        <w:rPr/>
        <w:t>。子公司</w:t>
      </w:r>
      <w:r>
        <w:rPr>
          <w:spacing w:val="-56"/>
        </w:rPr>
        <w:t> </w:t>
      </w:r>
      <w:r>
        <w:rPr>
          <w:rFonts w:ascii="宋体" w:hAnsi="宋体" w:cs="宋体" w:eastAsia="宋体" w:hint="default"/>
        </w:rPr>
        <w:t>Great</w:t>
      </w:r>
      <w:r>
        <w:rPr>
          <w:rFonts w:ascii="宋体" w:hAnsi="宋体" w:cs="宋体" w:eastAsia="宋体" w:hint="default"/>
          <w:spacing w:val="-37"/>
        </w:rPr>
        <w:t> </w:t>
      </w:r>
      <w:r>
        <w:rPr>
          <w:rFonts w:ascii="宋体" w:hAnsi="宋体" w:cs="宋体" w:eastAsia="宋体" w:hint="default"/>
        </w:rPr>
        <w:t>Change</w:t>
      </w:r>
    </w:p>
    <w:p>
      <w:pPr>
        <w:pStyle w:val="BodyText"/>
        <w:spacing w:line="272" w:lineRule="exact" w:before="1"/>
        <w:ind w:right="25"/>
        <w:jc w:val="left"/>
      </w:pPr>
      <w:r>
        <w:rPr>
          <w:rFonts w:ascii="宋体" w:hAnsi="宋体" w:cs="宋体" w:eastAsia="宋体" w:hint="default"/>
        </w:rPr>
        <w:t>Europe</w:t>
      </w:r>
      <w:r>
        <w:rPr>
          <w:rFonts w:ascii="宋体" w:hAnsi="宋体" w:cs="宋体" w:eastAsia="宋体" w:hint="default"/>
          <w:spacing w:val="-8"/>
        </w:rPr>
        <w:t> </w:t>
      </w:r>
      <w:r>
        <w:rPr>
          <w:rFonts w:ascii="宋体" w:hAnsi="宋体" w:cs="宋体" w:eastAsia="宋体" w:hint="default"/>
        </w:rPr>
        <w:t>Investment</w:t>
      </w:r>
      <w:r>
        <w:rPr>
          <w:rFonts w:ascii="宋体" w:hAnsi="宋体" w:cs="宋体" w:eastAsia="宋体" w:hint="default"/>
          <w:spacing w:val="-8"/>
        </w:rPr>
        <w:t> </w:t>
      </w:r>
      <w:r>
        <w:rPr>
          <w:rFonts w:ascii="宋体" w:hAnsi="宋体" w:cs="宋体" w:eastAsia="宋体" w:hint="default"/>
        </w:rPr>
        <w:t>Holdings</w:t>
      </w:r>
      <w:r>
        <w:rPr>
          <w:rFonts w:ascii="宋体" w:hAnsi="宋体" w:cs="宋体" w:eastAsia="宋体" w:hint="default"/>
          <w:spacing w:val="-6"/>
        </w:rPr>
        <w:t> </w:t>
      </w:r>
      <w:r>
        <w:rPr>
          <w:rFonts w:ascii="宋体" w:hAnsi="宋体" w:cs="宋体" w:eastAsia="宋体" w:hint="default"/>
        </w:rPr>
        <w:t>Company</w:t>
      </w:r>
      <w:r>
        <w:rPr>
          <w:rFonts w:ascii="宋体" w:hAnsi="宋体" w:cs="宋体" w:eastAsia="宋体" w:hint="default"/>
          <w:spacing w:val="-8"/>
        </w:rPr>
        <w:t> </w:t>
      </w:r>
      <w:r>
        <w:rPr>
          <w:rFonts w:ascii="宋体" w:hAnsi="宋体" w:cs="宋体" w:eastAsia="宋体" w:hint="default"/>
        </w:rPr>
        <w:t>Limited</w:t>
      </w:r>
      <w:r>
        <w:rPr>
          <w:rFonts w:ascii="宋体" w:hAnsi="宋体" w:cs="宋体" w:eastAsia="宋体" w:hint="default"/>
          <w:spacing w:val="-56"/>
        </w:rPr>
        <w:t> </w:t>
      </w:r>
      <w:r>
        <w:rPr/>
        <w:t>注册于卢森堡，子公司</w:t>
      </w:r>
      <w:r>
        <w:rPr>
          <w:spacing w:val="-54"/>
        </w:rPr>
        <w:t> </w:t>
      </w:r>
      <w:r>
        <w:rPr>
          <w:rFonts w:ascii="宋体" w:hAnsi="宋体" w:cs="宋体" w:eastAsia="宋体" w:hint="default"/>
        </w:rPr>
        <w:t>Great</w:t>
      </w:r>
      <w:r>
        <w:rPr>
          <w:rFonts w:ascii="宋体" w:hAnsi="宋体" w:cs="宋体" w:eastAsia="宋体" w:hint="default"/>
          <w:spacing w:val="-6"/>
        </w:rPr>
        <w:t> </w:t>
      </w:r>
      <w:r>
        <w:rPr>
          <w:rFonts w:ascii="宋体" w:hAnsi="宋体" w:cs="宋体" w:eastAsia="宋体" w:hint="default"/>
        </w:rPr>
        <w:t>Change</w:t>
      </w:r>
      <w:r>
        <w:rPr>
          <w:rFonts w:ascii="宋体" w:hAnsi="宋体" w:cs="宋体" w:eastAsia="宋体" w:hint="default"/>
          <w:spacing w:val="-8"/>
        </w:rPr>
        <w:t> </w:t>
      </w:r>
      <w:r>
        <w:rPr>
          <w:rFonts w:ascii="宋体" w:hAnsi="宋体" w:cs="宋体" w:eastAsia="宋体" w:hint="default"/>
        </w:rPr>
        <w:t>American</w:t>
      </w:r>
      <w:r>
        <w:rPr>
          <w:rFonts w:ascii="宋体" w:hAnsi="宋体" w:cs="宋体" w:eastAsia="宋体" w:hint="default"/>
          <w:w w:val="100"/>
        </w:rPr>
        <w:t> </w:t>
      </w:r>
      <w:r>
        <w:rPr>
          <w:rFonts w:ascii="宋体" w:hAnsi="宋体" w:cs="宋体" w:eastAsia="宋体" w:hint="default"/>
        </w:rPr>
        <w:t>Corporation</w:t>
      </w:r>
      <w:r>
        <w:rPr>
          <w:rFonts w:ascii="宋体" w:hAnsi="宋体" w:cs="宋体" w:eastAsia="宋体" w:hint="default"/>
          <w:spacing w:val="-53"/>
        </w:rPr>
        <w:t> </w:t>
      </w:r>
      <w:r>
        <w:rPr/>
        <w:t>注册于美国加州，子公司</w:t>
      </w:r>
      <w:r>
        <w:rPr>
          <w:spacing w:val="-53"/>
        </w:rPr>
        <w:t> </w:t>
      </w:r>
      <w:r>
        <w:rPr>
          <w:rFonts w:ascii="宋体" w:hAnsi="宋体" w:cs="宋体" w:eastAsia="宋体" w:hint="default"/>
        </w:rPr>
        <w:t>Solareast</w:t>
      </w:r>
      <w:r>
        <w:rPr>
          <w:rFonts w:ascii="宋体" w:hAnsi="宋体" w:cs="宋体" w:eastAsia="宋体" w:hint="default"/>
          <w:spacing w:val="-6"/>
        </w:rPr>
        <w:t> </w:t>
      </w:r>
      <w:r>
        <w:rPr>
          <w:rFonts w:ascii="宋体" w:hAnsi="宋体" w:cs="宋体" w:eastAsia="宋体" w:hint="default"/>
        </w:rPr>
        <w:t>Australasia</w:t>
      </w:r>
      <w:r>
        <w:rPr>
          <w:rFonts w:ascii="宋体" w:hAnsi="宋体" w:cs="宋体" w:eastAsia="宋体" w:hint="default"/>
          <w:spacing w:val="-1"/>
        </w:rPr>
        <w:t> </w:t>
      </w:r>
      <w:r>
        <w:rPr>
          <w:rFonts w:ascii="宋体" w:hAnsi="宋体" w:cs="宋体" w:eastAsia="宋体" w:hint="default"/>
        </w:rPr>
        <w:t>PTY</w:t>
      </w:r>
      <w:r>
        <w:rPr>
          <w:rFonts w:ascii="宋体" w:hAnsi="宋体" w:cs="宋体" w:eastAsia="宋体" w:hint="default"/>
          <w:spacing w:val="-1"/>
        </w:rPr>
        <w:t> </w:t>
      </w:r>
      <w:r>
        <w:rPr>
          <w:rFonts w:ascii="宋体" w:hAnsi="宋体" w:cs="宋体" w:eastAsia="宋体" w:hint="default"/>
        </w:rPr>
        <w:t>LTD</w:t>
      </w:r>
      <w:r>
        <w:rPr>
          <w:rFonts w:ascii="宋体" w:hAnsi="宋体" w:cs="宋体" w:eastAsia="宋体" w:hint="default"/>
          <w:spacing w:val="-54"/>
        </w:rPr>
        <w:t> </w:t>
      </w:r>
      <w:r>
        <w:rPr/>
        <w:t>注册于澳大利亚昆士兰</w:t>
      </w:r>
    </w:p>
    <w:p>
      <w:pPr>
        <w:pStyle w:val="BodyText"/>
        <w:spacing w:line="247" w:lineRule="exact"/>
        <w:ind w:right="25"/>
        <w:jc w:val="left"/>
      </w:pPr>
      <w:r>
        <w:rPr/>
        <w:t>州，子公司</w:t>
      </w:r>
      <w:r>
        <w:rPr>
          <w:spacing w:val="-52"/>
        </w:rPr>
        <w:t> </w:t>
      </w:r>
      <w:r>
        <w:rPr>
          <w:rFonts w:ascii="宋体" w:hAnsi="宋体" w:cs="宋体" w:eastAsia="宋体" w:hint="default"/>
        </w:rPr>
        <w:t>Naturaquell</w:t>
      </w:r>
      <w:r>
        <w:rPr>
          <w:rFonts w:ascii="宋体" w:hAnsi="宋体" w:cs="宋体" w:eastAsia="宋体" w:hint="default"/>
          <w:spacing w:val="-5"/>
        </w:rPr>
        <w:t> </w:t>
      </w:r>
      <w:r>
        <w:rPr>
          <w:rFonts w:ascii="宋体" w:hAnsi="宋体" w:cs="宋体" w:eastAsia="宋体" w:hint="default"/>
        </w:rPr>
        <w:t>GmbH</w:t>
      </w:r>
      <w:r>
        <w:rPr>
          <w:rFonts w:ascii="宋体" w:hAnsi="宋体" w:cs="宋体" w:eastAsia="宋体" w:hint="default"/>
          <w:spacing w:val="-55"/>
        </w:rPr>
        <w:t> </w:t>
      </w:r>
      <w:r>
        <w:rPr/>
        <w:t>注册于德国弗来森堡，分别按照当地税法进行缴税。</w:t>
      </w:r>
    </w:p>
    <w:p>
      <w:pPr>
        <w:pStyle w:val="BodyText"/>
        <w:spacing w:line="273" w:lineRule="exact"/>
        <w:ind w:right="25"/>
        <w:jc w:val="left"/>
      </w:pPr>
      <w:r>
        <w:rPr>
          <w:spacing w:val="-2"/>
        </w:rPr>
        <w:t>（</w:t>
      </w:r>
      <w:r>
        <w:rPr>
          <w:rFonts w:ascii="宋体" w:hAnsi="宋体" w:cs="宋体" w:eastAsia="宋体" w:hint="default"/>
          <w:spacing w:val="-2"/>
        </w:rPr>
        <w:t>9</w:t>
      </w:r>
      <w:r>
        <w:rPr>
          <w:spacing w:val="-2"/>
        </w:rPr>
        <w:t>）除上述情况外，其余境内子公司的企业所得税税率为</w:t>
      </w:r>
      <w:r>
        <w:rPr>
          <w:spacing w:val="-3"/>
        </w:rPr>
        <w:t> </w:t>
      </w:r>
      <w:r>
        <w:rPr>
          <w:rFonts w:ascii="宋体" w:hAnsi="宋体" w:cs="宋体" w:eastAsia="宋体" w:hint="default"/>
          <w:spacing w:val="-1"/>
        </w:rPr>
        <w:t>25%</w:t>
      </w:r>
      <w:r>
        <w:rPr>
          <w:spacing w:val="-1"/>
        </w:rPr>
        <w:t>。</w:t>
      </w:r>
    </w:p>
    <w:p>
      <w:pPr>
        <w:spacing w:line="240" w:lineRule="auto" w:before="3"/>
        <w:rPr>
          <w:rFonts w:ascii="宋体" w:hAnsi="宋体" w:cs="宋体" w:eastAsia="宋体" w:hint="default"/>
          <w:sz w:val="25"/>
          <w:szCs w:val="25"/>
        </w:rPr>
      </w:pPr>
    </w:p>
    <w:p>
      <w:pPr>
        <w:pStyle w:val="Heading5"/>
        <w:tabs>
          <w:tab w:pos="638" w:val="left" w:leader="none"/>
        </w:tabs>
        <w:spacing w:line="240" w:lineRule="auto"/>
        <w:ind w:left="212" w:right="25"/>
        <w:jc w:val="left"/>
        <w:rPr>
          <w:b w:val="0"/>
          <w:bCs w:val="0"/>
        </w:rPr>
      </w:pPr>
      <w:r>
        <w:rPr>
          <w:rFonts w:ascii="宋体" w:hAnsi="宋体" w:cs="宋体" w:eastAsia="宋体" w:hint="default"/>
          <w:w w:val="95"/>
        </w:rPr>
        <w:t>3.</w:t>
        <w:tab/>
      </w:r>
      <w:r>
        <w:rPr/>
        <w:t>其他</w:t>
      </w:r>
      <w:r>
        <w:rPr>
          <w:b w:val="0"/>
          <w:bCs w:val="0"/>
        </w:rPr>
      </w:r>
    </w:p>
    <w:p>
      <w:pPr>
        <w:pStyle w:val="BodyText"/>
        <w:tabs>
          <w:tab w:pos="1055" w:val="left" w:leader="none"/>
        </w:tabs>
        <w:spacing w:line="240" w:lineRule="auto" w:before="58"/>
        <w:ind w:right="2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50"/>
          <w:pgMar w:header="762" w:footer="941" w:top="1000" w:bottom="1140" w:left="920" w:right="1680"/>
        </w:sectPr>
      </w:pPr>
    </w:p>
    <w:p>
      <w:pPr>
        <w:pStyle w:val="Heading5"/>
        <w:spacing w:line="290" w:lineRule="auto" w:before="36"/>
        <w:ind w:left="212" w:right="-15"/>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55" w:val="left" w:leader="none"/>
        </w:tabs>
        <w:spacing w:line="240" w:lineRule="auto" w:before="14"/>
        <w:ind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748" w:space="3731"/>
            <w:col w:w="2831"/>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211"/>
        <w:gridCol w:w="3282"/>
        <w:gridCol w:w="3308"/>
      </w:tblGrid>
      <w:tr>
        <w:trPr>
          <w:trHeight w:val="2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208,381.44</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137,610.62</w:t>
            </w: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246,107,199.57</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783,821,548.18</w:t>
            </w: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139,358,059.71</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49,185,296.50</w:t>
            </w: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385,673,640.72</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833,144,455.30</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9" w:right="0"/>
              <w:jc w:val="left"/>
              <w:rPr>
                <w:rFonts w:ascii="宋体" w:hAnsi="宋体" w:cs="宋体" w:eastAsia="宋体" w:hint="default"/>
                <w:sz w:val="21"/>
                <w:szCs w:val="21"/>
              </w:rPr>
            </w:pPr>
            <w:r>
              <w:rPr>
                <w:rFonts w:ascii="宋体" w:hAnsi="宋体" w:cs="宋体" w:eastAsia="宋体" w:hint="default"/>
                <w:sz w:val="21"/>
                <w:szCs w:val="21"/>
              </w:rPr>
              <w:t>其中：存放在境外的</w:t>
            </w:r>
          </w:p>
          <w:p>
            <w:pPr>
              <w:pStyle w:val="TableParagraph"/>
              <w:spacing w:line="273" w:lineRule="exact"/>
              <w:ind w:left="679"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5,896,532.93</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50,337,175.42</w:t>
            </w:r>
          </w:p>
        </w:tc>
      </w:tr>
    </w:tbl>
    <w:p>
      <w:pPr>
        <w:spacing w:line="240" w:lineRule="auto" w:before="7"/>
        <w:rPr>
          <w:rFonts w:ascii="宋体" w:hAnsi="宋体" w:cs="宋体" w:eastAsia="宋体" w:hint="default"/>
          <w:sz w:val="15"/>
          <w:szCs w:val="15"/>
        </w:rPr>
      </w:pPr>
    </w:p>
    <w:p>
      <w:pPr>
        <w:pStyle w:val="BodyText"/>
        <w:spacing w:line="240" w:lineRule="auto" w:before="36"/>
        <w:ind w:right="25"/>
        <w:jc w:val="left"/>
      </w:pPr>
      <w:r>
        <w:rPr/>
        <w:t>其他说明</w:t>
      </w:r>
    </w:p>
    <w:p>
      <w:pPr>
        <w:spacing w:after="0" w:line="240" w:lineRule="auto"/>
        <w:jc w:val="left"/>
        <w:sectPr>
          <w:type w:val="continuous"/>
          <w:pgSz w:w="11910" w:h="16850"/>
          <w:pgMar w:top="1120" w:bottom="1380" w:left="920" w:right="1680"/>
        </w:sectPr>
      </w:pPr>
    </w:p>
    <w:p>
      <w:pPr>
        <w:pStyle w:val="BodyText"/>
        <w:spacing w:line="240" w:lineRule="auto" w:before="93"/>
        <w:ind w:left="252" w:right="294"/>
        <w:jc w:val="left"/>
      </w:pPr>
      <w:r>
        <w:rPr/>
        <w:t>说明</w:t>
      </w:r>
      <w:r>
        <w:rPr>
          <w:spacing w:val="-53"/>
        </w:rPr>
        <w:t> </w:t>
      </w:r>
      <w:r>
        <w:rPr>
          <w:rFonts w:ascii="宋体" w:hAnsi="宋体" w:cs="宋体" w:eastAsia="宋体" w:hint="default"/>
          <w:spacing w:val="-3"/>
        </w:rPr>
        <w:t>1</w:t>
      </w:r>
      <w:r>
        <w:rPr>
          <w:spacing w:val="-3"/>
        </w:rPr>
        <w:t>：期末货币资金较期初减少</w:t>
      </w:r>
      <w:r>
        <w:rPr>
          <w:spacing w:val="-53"/>
        </w:rPr>
        <w:t> </w:t>
      </w:r>
      <w:r>
        <w:rPr>
          <w:rFonts w:ascii="宋体" w:hAnsi="宋体" w:cs="宋体" w:eastAsia="宋体" w:hint="default"/>
        </w:rPr>
        <w:t>53.71%</w:t>
      </w:r>
      <w:r>
        <w:rPr/>
        <w:t>，主要系本公司本期收购帅康电气及参股苏宁银行支付</w:t>
      </w:r>
      <w:r>
        <w:rPr>
          <w:w w:val="100"/>
        </w:rPr>
        <w:t> </w:t>
      </w:r>
      <w:r>
        <w:rPr/>
        <w:t>的股权款所致。</w:t>
      </w:r>
    </w:p>
    <w:p>
      <w:pPr>
        <w:pStyle w:val="BodyText"/>
        <w:spacing w:line="237" w:lineRule="auto"/>
        <w:ind w:left="252" w:right="298"/>
        <w:jc w:val="both"/>
      </w:pPr>
      <w:r>
        <w:rPr/>
        <w:t>说明</w:t>
      </w:r>
      <w:r>
        <w:rPr>
          <w:spacing w:val="-55"/>
        </w:rPr>
        <w:t> </w:t>
      </w:r>
      <w:r>
        <w:rPr>
          <w:rFonts w:ascii="宋体" w:hAnsi="宋体" w:cs="宋体" w:eastAsia="宋体" w:hint="default"/>
        </w:rPr>
        <w:t>2</w:t>
      </w:r>
      <w:r>
        <w:rPr/>
        <w:t>：子公司四季沐歌（洛阳）太阳能有限公司收到的洛阳国家高新区洛龙科技园区管委会往</w:t>
      </w:r>
      <w:r>
        <w:rPr>
          <w:w w:val="100"/>
        </w:rPr>
        <w:t> </w:t>
      </w:r>
      <w:r>
        <w:rPr>
          <w:spacing w:val="-3"/>
        </w:rPr>
        <w:t>来款项，根据双方在开户银行的约定，对该笔款项用途尚未明确之前，需要双方共同确认方可使</w:t>
      </w:r>
      <w:r>
        <w:rPr>
          <w:spacing w:val="-22"/>
        </w:rPr>
        <w:t> </w:t>
      </w:r>
      <w:r>
        <w:rPr>
          <w:spacing w:val="-22"/>
        </w:rPr>
      </w:r>
      <w:r>
        <w:rPr/>
        <w:t>用，因此该款项属于使用权受到限制的银行存款，截止</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日，该账户余额共计</w:t>
      </w:r>
    </w:p>
    <w:p>
      <w:pPr>
        <w:pStyle w:val="BodyText"/>
        <w:spacing w:line="272" w:lineRule="exact"/>
        <w:ind w:left="252" w:right="294"/>
        <w:jc w:val="left"/>
      </w:pPr>
      <w:r>
        <w:rPr>
          <w:rFonts w:ascii="宋体" w:hAnsi="宋体" w:cs="宋体" w:eastAsia="宋体" w:hint="default"/>
        </w:rPr>
        <w:t>12,359,684.79</w:t>
      </w:r>
      <w:r>
        <w:rPr>
          <w:rFonts w:ascii="宋体" w:hAnsi="宋体" w:cs="宋体" w:eastAsia="宋体" w:hint="default"/>
          <w:spacing w:val="-51"/>
        </w:rPr>
        <w:t> </w:t>
      </w:r>
      <w:r>
        <w:rPr/>
        <w:t>元。</w:t>
      </w:r>
    </w:p>
    <w:p>
      <w:pPr>
        <w:pStyle w:val="BodyText"/>
        <w:spacing w:line="237" w:lineRule="auto"/>
        <w:ind w:left="252" w:right="294"/>
        <w:jc w:val="left"/>
      </w:pPr>
      <w:r>
        <w:rPr/>
        <w:t>说明</w:t>
      </w:r>
      <w:r>
        <w:rPr>
          <w:spacing w:val="-53"/>
        </w:rPr>
        <w:t> </w:t>
      </w:r>
      <w:r>
        <w:rPr>
          <w:rFonts w:ascii="宋体" w:hAnsi="宋体" w:cs="宋体" w:eastAsia="宋体" w:hint="default"/>
        </w:rPr>
        <w:t>3</w:t>
      </w:r>
      <w:r>
        <w:rPr/>
        <w:t>：本公司其他货币资金期末余额中存在</w:t>
      </w:r>
      <w:r>
        <w:rPr>
          <w:spacing w:val="-54"/>
        </w:rPr>
        <w:t> </w:t>
      </w:r>
      <w:r>
        <w:rPr>
          <w:rFonts w:ascii="宋体" w:hAnsi="宋体" w:cs="宋体" w:eastAsia="宋体" w:hint="default"/>
        </w:rPr>
        <w:t>103,758,221.48</w:t>
      </w:r>
      <w:r>
        <w:rPr>
          <w:rFonts w:ascii="宋体" w:hAnsi="宋体" w:cs="宋体" w:eastAsia="宋体" w:hint="default"/>
          <w:spacing w:val="-54"/>
        </w:rPr>
        <w:t> </w:t>
      </w:r>
      <w:r>
        <w:rPr/>
        <w:t>元的银行承兑汇票保证金、</w:t>
      </w:r>
      <w:r>
        <w:rPr>
          <w:w w:val="100"/>
        </w:rPr>
        <w:t> </w:t>
      </w:r>
      <w:r>
        <w:rPr>
          <w:rFonts w:ascii="宋体" w:hAnsi="宋体" w:cs="宋体" w:eastAsia="宋体" w:hint="default"/>
        </w:rPr>
        <w:t>17,451,184.19</w:t>
      </w:r>
      <w:r>
        <w:rPr>
          <w:rFonts w:ascii="宋体" w:hAnsi="宋体" w:cs="宋体" w:eastAsia="宋体" w:hint="default"/>
          <w:spacing w:val="-56"/>
        </w:rPr>
        <w:t> </w:t>
      </w:r>
      <w:r>
        <w:rPr/>
        <w:t>元的工程项目履约保函保证金以及</w:t>
      </w:r>
      <w:r>
        <w:rPr>
          <w:spacing w:val="-56"/>
        </w:rPr>
        <w:t> </w:t>
      </w:r>
      <w:r>
        <w:rPr>
          <w:rFonts w:ascii="宋体" w:hAnsi="宋体" w:cs="宋体" w:eastAsia="宋体" w:hint="default"/>
        </w:rPr>
        <w:t>9,000,000.00</w:t>
      </w:r>
      <w:r>
        <w:rPr>
          <w:rFonts w:ascii="宋体" w:hAnsi="宋体" w:cs="宋体" w:eastAsia="宋体" w:hint="default"/>
          <w:spacing w:val="-56"/>
        </w:rPr>
        <w:t> </w:t>
      </w:r>
      <w:r>
        <w:rPr/>
        <w:t>元的期限在三个月以上不可随</w:t>
      </w:r>
      <w:r>
        <w:rPr>
          <w:w w:val="100"/>
        </w:rPr>
        <w:t> </w:t>
      </w:r>
      <w:r>
        <w:rPr/>
        <w:t>意支取的定期存款使用受到限制。</w:t>
      </w:r>
      <w:r>
        <w:rPr>
          <w:w w:val="100"/>
        </w:rPr>
        <w:t> </w:t>
      </w:r>
      <w:r>
        <w:rPr>
          <w:spacing w:val="-3"/>
        </w:rPr>
        <w:t>除上述款项外，期末本公司不存在其他抵押、质押或冻结、或存放在境外且资金汇回受到限制的</w:t>
      </w:r>
      <w:r>
        <w:rPr>
          <w:spacing w:val="-22"/>
        </w:rPr>
        <w:t> </w:t>
      </w:r>
      <w:r>
        <w:rPr>
          <w:spacing w:val="-22"/>
        </w:rPr>
      </w:r>
      <w:r>
        <w:rPr/>
        <w:t>款项。说明</w:t>
      </w:r>
      <w:r>
        <w:rPr>
          <w:spacing w:val="-55"/>
        </w:rPr>
        <w:t> </w:t>
      </w:r>
      <w:r>
        <w:rPr>
          <w:rFonts w:ascii="宋体" w:hAnsi="宋体" w:cs="宋体" w:eastAsia="宋体" w:hint="default"/>
        </w:rPr>
        <w:t>2</w:t>
      </w:r>
      <w:r>
        <w:rPr/>
        <w:t>：子公司四季沐歌（洛阳）太阳能有限公司收到的洛阳国家高新区洛龙科技园区管</w:t>
      </w:r>
      <w:r>
        <w:rPr>
          <w:w w:val="100"/>
        </w:rPr>
        <w:t> </w:t>
      </w:r>
      <w:r>
        <w:rPr>
          <w:spacing w:val="-3"/>
        </w:rPr>
        <w:t>委会往来款项，根据双方在开户银行的约定，对该笔款项用途尚未明确之前，需要双方共同确认</w:t>
      </w:r>
      <w:r>
        <w:rPr>
          <w:spacing w:val="-22"/>
        </w:rPr>
        <w:t> </w:t>
      </w:r>
      <w:r>
        <w:rPr>
          <w:spacing w:val="-22"/>
        </w:rPr>
      </w:r>
      <w:r>
        <w:rPr/>
        <w:t>方可使用，因此该款项属于使用权受到限制的银行存款，截止</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日，该账户余额</w:t>
      </w:r>
    </w:p>
    <w:p>
      <w:pPr>
        <w:pStyle w:val="BodyText"/>
        <w:spacing w:line="273" w:lineRule="exact"/>
        <w:ind w:left="252" w:right="294"/>
        <w:jc w:val="left"/>
      </w:pPr>
      <w:r>
        <w:rPr/>
        <w:t>共计</w:t>
      </w:r>
      <w:r>
        <w:rPr>
          <w:spacing w:val="-51"/>
        </w:rPr>
        <w:t> </w:t>
      </w:r>
      <w:r>
        <w:rPr>
          <w:rFonts w:ascii="宋体" w:hAnsi="宋体" w:cs="宋体" w:eastAsia="宋体" w:hint="default"/>
        </w:rPr>
        <w:t>12,222,475.85</w:t>
      </w:r>
      <w:r>
        <w:rPr>
          <w:rFonts w:ascii="宋体" w:hAnsi="宋体" w:cs="宋体" w:eastAsia="宋体" w:hint="default"/>
          <w:spacing w:val="-54"/>
        </w:rPr>
        <w:t> </w:t>
      </w:r>
      <w:r>
        <w:rPr/>
        <w:t>元。</w:t>
      </w:r>
    </w:p>
    <w:p>
      <w:pPr>
        <w:pStyle w:val="BodyText"/>
        <w:spacing w:line="237" w:lineRule="auto"/>
        <w:ind w:left="252" w:right="294"/>
        <w:jc w:val="left"/>
      </w:pPr>
      <w:r>
        <w:rPr/>
        <w:t>说明</w:t>
      </w:r>
      <w:r>
        <w:rPr>
          <w:spacing w:val="-53"/>
        </w:rPr>
        <w:t> </w:t>
      </w:r>
      <w:r>
        <w:rPr>
          <w:rFonts w:ascii="宋体" w:hAnsi="宋体" w:cs="宋体" w:eastAsia="宋体" w:hint="default"/>
        </w:rPr>
        <w:t>3</w:t>
      </w:r>
      <w:r>
        <w:rPr/>
        <w:t>：本公司其他货币资金期末余额中存在</w:t>
      </w:r>
      <w:r>
        <w:rPr>
          <w:spacing w:val="-54"/>
        </w:rPr>
        <w:t> </w:t>
      </w:r>
      <w:r>
        <w:rPr>
          <w:rFonts w:ascii="宋体" w:hAnsi="宋体" w:cs="宋体" w:eastAsia="宋体" w:hint="default"/>
        </w:rPr>
        <w:t>33,103,000.00</w:t>
      </w:r>
      <w:r>
        <w:rPr>
          <w:rFonts w:ascii="宋体" w:hAnsi="宋体" w:cs="宋体" w:eastAsia="宋体" w:hint="default"/>
          <w:spacing w:val="-3"/>
        </w:rPr>
        <w:t> </w:t>
      </w:r>
      <w:r>
        <w:rPr/>
        <w:t>元的银行承兑汇票保证金及</w:t>
      </w:r>
      <w:r>
        <w:rPr>
          <w:w w:val="100"/>
        </w:rPr>
        <w:t> </w:t>
      </w:r>
      <w:r>
        <w:rPr>
          <w:rFonts w:ascii="宋体" w:hAnsi="宋体" w:cs="宋体" w:eastAsia="宋体" w:hint="default"/>
        </w:rPr>
        <w:t>11,277,350.37</w:t>
      </w:r>
      <w:r>
        <w:rPr>
          <w:rFonts w:ascii="宋体" w:hAnsi="宋体" w:cs="宋体" w:eastAsia="宋体" w:hint="default"/>
          <w:spacing w:val="-55"/>
        </w:rPr>
        <w:t> </w:t>
      </w:r>
      <w:r>
        <w:rPr/>
        <w:t>的工程项目履约保函保证金使用受到限制。</w:t>
      </w:r>
      <w:r>
        <w:rPr>
          <w:w w:val="100"/>
        </w:rPr>
        <w:t> </w:t>
      </w:r>
      <w:r>
        <w:rPr>
          <w:spacing w:val="-3"/>
        </w:rPr>
        <w:t>除上述款项外，期末本公司不存在其他抵押、质押或冻结、或存放在境外且资金汇回受到限制的</w:t>
      </w:r>
      <w:r>
        <w:rPr>
          <w:spacing w:val="-22"/>
        </w:rPr>
        <w:t> </w:t>
      </w:r>
      <w:r>
        <w:rPr>
          <w:spacing w:val="-22"/>
        </w:rPr>
      </w:r>
      <w:r>
        <w:rPr/>
        <w:t>款项。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2"/>
          <w:pgSz w:w="11910" w:h="16850"/>
          <w:pgMar w:footer="941" w:header="762" w:top="1000" w:bottom="1140" w:left="880" w:right="1680"/>
        </w:sectPr>
      </w:pPr>
    </w:p>
    <w:p>
      <w:pPr>
        <w:pStyle w:val="Heading5"/>
        <w:spacing w:line="240" w:lineRule="auto" w:before="36"/>
        <w:ind w:left="252" w:right="-16"/>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52"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3" w:val="left" w:leader="none"/>
        </w:tabs>
        <w:spacing w:line="240" w:lineRule="auto"/>
        <w:ind w:left="252" w:right="0"/>
        <w:jc w:val="left"/>
      </w:pPr>
      <w:r>
        <w:rPr>
          <w:spacing w:val="-1"/>
        </w:rPr>
        <w:t>单位：元</w:t>
        <w:tab/>
        <w:t>币种：人民币</w:t>
      </w:r>
    </w:p>
    <w:p>
      <w:pPr>
        <w:spacing w:after="0" w:line="240" w:lineRule="auto"/>
        <w:jc w:val="left"/>
        <w:sectPr>
          <w:type w:val="continuous"/>
          <w:pgSz w:w="11910" w:h="16850"/>
          <w:pgMar w:top="1120" w:bottom="1380" w:left="880" w:right="1680"/>
          <w:cols w:num="2" w:equalWidth="0">
            <w:col w:w="5313" w:space="1166"/>
            <w:col w:w="2871"/>
          </w:cols>
        </w:sectPr>
      </w:pPr>
    </w:p>
    <w:p>
      <w:pPr>
        <w:spacing w:line="240" w:lineRule="auto" w:before="4"/>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119"/>
        <w:gridCol w:w="2883"/>
        <w:gridCol w:w="3005"/>
      </w:tblGrid>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359,620,000.00</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359,620,000.00</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9"/>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883"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9"/>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883"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83"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83"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83"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9"/>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883"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83"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359,620,000.00</w:t>
            </w:r>
          </w:p>
        </w:tc>
        <w:tc>
          <w:tcPr>
            <w:tcW w:w="30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5"/>
        <w:spacing w:line="240" w:lineRule="auto" w:before="36"/>
        <w:ind w:left="252" w:right="294"/>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2" w:right="294"/>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50"/>
          <w:pgMar w:top="1120" w:bottom="1380" w:left="880" w:right="1680"/>
        </w:sectPr>
      </w:pPr>
    </w:p>
    <w:p>
      <w:pPr>
        <w:pStyle w:val="Heading5"/>
        <w:spacing w:line="240" w:lineRule="auto" w:before="36"/>
        <w:ind w:left="252" w:right="-19"/>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5"/>
        <w:spacing w:line="240" w:lineRule="auto" w:before="56"/>
        <w:ind w:left="252" w:right="-19"/>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pStyle w:val="BodyText"/>
        <w:spacing w:line="240" w:lineRule="auto" w:before="59"/>
        <w:ind w:left="25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3" w:val="left" w:leader="none"/>
        </w:tabs>
        <w:spacing w:line="240" w:lineRule="auto"/>
        <w:ind w:left="252" w:right="0"/>
        <w:jc w:val="left"/>
      </w:pPr>
      <w:r>
        <w:rPr>
          <w:spacing w:val="-1"/>
        </w:rPr>
        <w:t>单位：元</w:t>
        <w:tab/>
        <w:t>币种：人民币</w:t>
      </w:r>
    </w:p>
    <w:p>
      <w:pPr>
        <w:spacing w:after="0" w:line="240" w:lineRule="auto"/>
        <w:jc w:val="left"/>
        <w:sectPr>
          <w:type w:val="continuous"/>
          <w:pgSz w:w="11910" w:h="16850"/>
          <w:pgMar w:top="1120" w:bottom="1380" w:left="880" w:right="1680"/>
          <w:cols w:num="2" w:equalWidth="0">
            <w:col w:w="2471" w:space="4008"/>
            <w:col w:w="28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51"/>
        <w:gridCol w:w="3130"/>
        <w:gridCol w:w="2881"/>
      </w:tblGrid>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6"/>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37,419,701.07</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19,934,959.27</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394,348.80</w:t>
            </w:r>
          </w:p>
        </w:tc>
      </w:tr>
      <w:tr>
        <w:trPr>
          <w:trHeight w:val="28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6"/>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37,419,701.07</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20,329,308.07</w:t>
            </w:r>
          </w:p>
        </w:tc>
      </w:tr>
    </w:tbl>
    <w:p>
      <w:pPr>
        <w:spacing w:after="0" w:line="241" w:lineRule="exact"/>
        <w:jc w:val="right"/>
        <w:rPr>
          <w:rFonts w:ascii="宋体" w:hAnsi="宋体" w:cs="宋体" w:eastAsia="宋体" w:hint="default"/>
          <w:sz w:val="21"/>
          <w:szCs w:val="21"/>
        </w:rPr>
        <w:sectPr>
          <w:type w:val="continuous"/>
          <w:pgSz w:w="11910" w:h="16850"/>
          <w:pgMar w:top="1120" w:bottom="1380" w:left="8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3"/>
          <w:pgSz w:w="11910" w:h="16850"/>
          <w:pgMar w:footer="941" w:header="762" w:top="1000" w:bottom="1140" w:left="920" w:right="1680"/>
          <w:pgNumType w:start="101"/>
        </w:sectPr>
      </w:pPr>
    </w:p>
    <w:p>
      <w:pPr>
        <w:pStyle w:val="Heading5"/>
        <w:spacing w:line="240" w:lineRule="auto" w:before="175"/>
        <w:ind w:left="212"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271" w:space="3208"/>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69"/>
        <w:gridCol w:w="4638"/>
      </w:tblGrid>
      <w:tr>
        <w:trPr>
          <w:trHeight w:val="283"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hAnsi="宋体" w:cs="宋体" w:eastAsia="宋体" w:hint="default"/>
                <w:sz w:val="21"/>
                <w:szCs w:val="21"/>
              </w:rPr>
              <w:t>项目</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1"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14,336,475.59</w:t>
            </w:r>
          </w:p>
        </w:tc>
      </w:tr>
      <w:tr>
        <w:trPr>
          <w:trHeight w:val="283"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hAnsi="宋体" w:cs="宋体" w:eastAsia="宋体" w:hint="default"/>
                <w:sz w:val="21"/>
                <w:szCs w:val="21"/>
              </w:rPr>
              <w:t>合计</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14,336,475.59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6"/>
        <w:jc w:val="left"/>
        <w:rPr>
          <w:b w:val="0"/>
          <w:bCs w:val="0"/>
        </w:rPr>
      </w:pPr>
      <w:r>
        <w:rPr>
          <w:rFonts w:ascii="宋体" w:hAnsi="宋体" w:cs="宋体" w:eastAsia="宋体" w:hint="default"/>
        </w:rPr>
        <w:t>(3).</w:t>
      </w:r>
      <w:r>
        <w:rPr>
          <w:rFonts w:ascii="宋体" w:hAnsi="宋体" w:cs="宋体" w:eastAsia="宋体" w:hint="default"/>
          <w:spacing w:val="-3"/>
        </w:rPr>
        <w:t> </w:t>
      </w:r>
      <w:r>
        <w:rPr/>
        <w:t>期末公司已背书或贴现且在资产负债表日尚未到期的应收票据：</w:t>
      </w:r>
      <w:r>
        <w:rPr>
          <w:b w:val="0"/>
          <w:bCs w:val="0"/>
        </w:rPr>
      </w:r>
    </w:p>
    <w:p>
      <w:pPr>
        <w:pStyle w:val="BodyText"/>
        <w:spacing w:line="240" w:lineRule="auto" w:before="57"/>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057" w:val="left" w:leader="none"/>
        </w:tabs>
        <w:spacing w:line="240" w:lineRule="auto"/>
        <w:ind w:left="6"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6646" w:space="40"/>
            <w:col w:w="262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64"/>
        <w:gridCol w:w="3036"/>
        <w:gridCol w:w="3106"/>
      </w:tblGrid>
      <w:tr>
        <w:trPr>
          <w:trHeight w:val="28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326,034,561.37</w:t>
            </w:r>
          </w:p>
        </w:tc>
        <w:tc>
          <w:tcPr>
            <w:tcW w:w="31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326,034,561.37</w:t>
            </w:r>
          </w:p>
        </w:tc>
        <w:tc>
          <w:tcPr>
            <w:tcW w:w="31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before="36"/>
        <w:ind w:left="212" w:right="2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7499"/>
        <w:jc w:val="left"/>
      </w:pPr>
      <w:r>
        <w:rPr/>
        <w:t>□适用 √不适用</w:t>
      </w:r>
      <w:r>
        <w:rPr>
          <w:w w:val="100"/>
        </w:rPr>
        <w:t> </w:t>
      </w:r>
      <w:r>
        <w:rPr/>
        <w:t>其他说明</w:t>
      </w:r>
    </w:p>
    <w:p>
      <w:pPr>
        <w:pStyle w:val="BodyText"/>
        <w:spacing w:line="274" w:lineRule="exact" w:before="22"/>
        <w:ind w:right="1424"/>
        <w:jc w:val="left"/>
      </w:pPr>
      <w:r>
        <w:rPr/>
        <w:t>√适用</w:t>
      </w:r>
      <w:r>
        <w:rPr>
          <w:spacing w:val="-2"/>
        </w:rPr>
        <w:t> </w:t>
      </w:r>
      <w:r>
        <w:rPr/>
        <w:t>□不适用</w:t>
      </w:r>
      <w:r>
        <w:rPr>
          <w:spacing w:val="-103"/>
        </w:rPr>
        <w:t> </w:t>
      </w:r>
      <w:r>
        <w:rPr>
          <w:spacing w:val="-103"/>
        </w:rPr>
      </w:r>
      <w:r>
        <w:rPr>
          <w:spacing w:val="-2"/>
        </w:rPr>
        <w:t>不存在客观证据表明本公司应收票据发生减值，未计提应收票据减值准备。</w:t>
      </w:r>
    </w:p>
    <w:p>
      <w:pPr>
        <w:pStyle w:val="BodyText"/>
        <w:spacing w:line="245" w:lineRule="exact"/>
        <w:ind w:right="25"/>
        <w:jc w:val="left"/>
      </w:pPr>
      <w:r>
        <w:rPr>
          <w:spacing w:val="-3"/>
        </w:rPr>
        <w:t>本公司用于贴现或背书的银行承兑汇票是由信用等级较高的银行或者集团财务公司承兑，信用风</w:t>
      </w:r>
    </w:p>
    <w:p>
      <w:pPr>
        <w:pStyle w:val="BodyText"/>
        <w:spacing w:line="272" w:lineRule="exact" w:before="27"/>
        <w:ind w:right="25"/>
        <w:jc w:val="left"/>
      </w:pPr>
      <w:r>
        <w:rPr>
          <w:spacing w:val="-3"/>
        </w:rPr>
        <w:t>险和延期付款风险很小，并且票据相关的利率风险已转移给银行或者集团财务公司，可以判断票</w:t>
      </w:r>
      <w:r>
        <w:rPr>
          <w:spacing w:val="-17"/>
        </w:rPr>
        <w:t> </w:t>
      </w:r>
      <w:r>
        <w:rPr>
          <w:spacing w:val="-17"/>
        </w:rPr>
      </w:r>
      <w:r>
        <w:rPr/>
        <w:t>据所有权上的主要风险和报酬已经转移，故终止确认。</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9"/>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5"/>
        <w:spacing w:line="240" w:lineRule="auto" w:before="58"/>
        <w:ind w:left="212" w:right="-19"/>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477" w:space="3896"/>
            <w:col w:w="2937"/>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996"/>
        <w:gridCol w:w="1111"/>
        <w:gridCol w:w="360"/>
        <w:gridCol w:w="1037"/>
        <w:gridCol w:w="437"/>
        <w:gridCol w:w="1037"/>
        <w:gridCol w:w="1037"/>
        <w:gridCol w:w="324"/>
        <w:gridCol w:w="1037"/>
        <w:gridCol w:w="440"/>
        <w:gridCol w:w="1037"/>
      </w:tblGrid>
      <w:tr>
        <w:trPr>
          <w:trHeight w:val="269" w:hRule="exact"/>
        </w:trPr>
        <w:tc>
          <w:tcPr>
            <w:tcW w:w="9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39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8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996" w:type="dxa"/>
            <w:vMerge/>
            <w:tcBorders>
              <w:left w:val="single" w:sz="4" w:space="0" w:color="000000"/>
              <w:right w:val="single" w:sz="4" w:space="0" w:color="000000"/>
            </w:tcBorders>
          </w:tcPr>
          <w:p>
            <w:pPr/>
          </w:p>
        </w:tc>
        <w:tc>
          <w:tcPr>
            <w:tcW w:w="14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7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996"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比</w:t>
            </w:r>
          </w:p>
          <w:p>
            <w:pPr>
              <w:pStyle w:val="TableParagraph"/>
              <w:spacing w:line="240" w:lineRule="auto"/>
              <w:ind w:left="62" w:right="59" w:firstLine="38"/>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1" w:right="0"/>
              <w:jc w:val="left"/>
              <w:rPr>
                <w:rFonts w:ascii="宋体" w:hAnsi="宋体" w:cs="宋体" w:eastAsia="宋体" w:hint="default"/>
                <w:sz w:val="15"/>
                <w:szCs w:val="15"/>
              </w:rPr>
            </w:pPr>
            <w:r>
              <w:rPr>
                <w:rFonts w:ascii="宋体" w:hAnsi="宋体" w:cs="宋体" w:eastAsia="宋体" w:hint="default"/>
                <w:w w:val="100"/>
                <w:sz w:val="15"/>
                <w:szCs w:val="15"/>
              </w:rPr>
              <w:t>比</w:t>
            </w:r>
          </w:p>
          <w:p>
            <w:pPr>
              <w:pStyle w:val="TableParagraph"/>
              <w:spacing w:line="240" w:lineRule="auto"/>
              <w:ind w:left="45" w:right="40" w:firstLine="36"/>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3"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79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ind w:left="26" w:right="56"/>
              <w:jc w:val="both"/>
              <w:rPr>
                <w:rFonts w:ascii="宋体" w:hAnsi="宋体" w:cs="宋体" w:eastAsia="宋体" w:hint="default"/>
                <w:sz w:val="15"/>
                <w:szCs w:val="15"/>
              </w:rPr>
            </w:pPr>
            <w:r>
              <w:rPr>
                <w:rFonts w:ascii="宋体" w:hAnsi="宋体" w:cs="宋体" w:eastAsia="宋体" w:hint="default"/>
                <w:sz w:val="15"/>
                <w:szCs w:val="15"/>
              </w:rPr>
              <w:t>并单独计提坏</w:t>
            </w:r>
            <w:r>
              <w:rPr>
                <w:rFonts w:ascii="宋体" w:hAnsi="宋体" w:cs="宋体" w:eastAsia="宋体" w:hint="default"/>
                <w:w w:val="100"/>
                <w:sz w:val="15"/>
                <w:szCs w:val="15"/>
              </w:rPr>
              <w:t> </w:t>
            </w:r>
            <w:r>
              <w:rPr>
                <w:rFonts w:ascii="宋体" w:hAnsi="宋体" w:cs="宋体" w:eastAsia="宋体" w:hint="default"/>
                <w:sz w:val="15"/>
                <w:szCs w:val="15"/>
              </w:rPr>
              <w:t>账准备的应收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6" w:right="56"/>
              <w:jc w:val="both"/>
              <w:rPr>
                <w:rFonts w:ascii="宋体" w:hAnsi="宋体" w:cs="宋体" w:eastAsia="宋体" w:hint="default"/>
                <w:sz w:val="15"/>
                <w:szCs w:val="15"/>
              </w:rPr>
            </w:pPr>
            <w:r>
              <w:rPr>
                <w:rFonts w:ascii="宋体" w:hAnsi="宋体" w:cs="宋体" w:eastAsia="宋体" w:hint="default"/>
                <w:sz w:val="15"/>
                <w:szCs w:val="15"/>
              </w:rPr>
              <w:t>征组合计提坏</w:t>
            </w:r>
            <w:r>
              <w:rPr>
                <w:rFonts w:ascii="宋体" w:hAnsi="宋体" w:cs="宋体" w:eastAsia="宋体" w:hint="default"/>
                <w:w w:val="100"/>
                <w:sz w:val="15"/>
                <w:szCs w:val="15"/>
              </w:rPr>
              <w:t> </w:t>
            </w:r>
            <w:r>
              <w:rPr>
                <w:rFonts w:ascii="宋体" w:hAnsi="宋体" w:cs="宋体" w:eastAsia="宋体" w:hint="default"/>
                <w:sz w:val="15"/>
                <w:szCs w:val="15"/>
              </w:rPr>
              <w:t>账准备的应收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107,375,369.65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21,791,754.38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20.29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85,583,615.27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42,103,808.20</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1" w:right="0"/>
              <w:jc w:val="center"/>
              <w:rPr>
                <w:rFonts w:ascii="宋体" w:hAnsi="宋体" w:cs="宋体" w:eastAsia="宋体" w:hint="default"/>
                <w:sz w:val="15"/>
                <w:szCs w:val="15"/>
              </w:rPr>
            </w:pPr>
            <w:r>
              <w:rPr>
                <w:rFonts w:ascii="宋体"/>
                <w:sz w:val="15"/>
              </w:rPr>
              <w:t>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sz w:val="15"/>
              </w:rPr>
              <w:t>13,361,728.12</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31.74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28,742,080.08</w:t>
            </w:r>
          </w:p>
        </w:tc>
      </w:tr>
      <w:tr>
        <w:trPr>
          <w:trHeight w:val="78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w:t>
            </w:r>
          </w:p>
          <w:p>
            <w:pPr>
              <w:pStyle w:val="TableParagraph"/>
              <w:spacing w:line="240" w:lineRule="auto"/>
              <w:ind w:left="26" w:right="56"/>
              <w:jc w:val="both"/>
              <w:rPr>
                <w:rFonts w:ascii="宋体" w:hAnsi="宋体" w:cs="宋体" w:eastAsia="宋体" w:hint="default"/>
                <w:sz w:val="15"/>
                <w:szCs w:val="15"/>
              </w:rPr>
            </w:pPr>
            <w:r>
              <w:rPr>
                <w:rFonts w:ascii="宋体" w:hAnsi="宋体" w:cs="宋体" w:eastAsia="宋体" w:hint="default"/>
                <w:sz w:val="15"/>
                <w:szCs w:val="15"/>
              </w:rPr>
              <w:t>大但单独计提</w:t>
            </w:r>
            <w:r>
              <w:rPr>
                <w:rFonts w:ascii="宋体" w:hAnsi="宋体" w:cs="宋体" w:eastAsia="宋体" w:hint="default"/>
                <w:w w:val="100"/>
                <w:sz w:val="15"/>
                <w:szCs w:val="15"/>
              </w:rPr>
              <w:t> </w:t>
            </w:r>
            <w:r>
              <w:rPr>
                <w:rFonts w:ascii="宋体" w:hAnsi="宋体" w:cs="宋体" w:eastAsia="宋体" w:hint="default"/>
                <w:sz w:val="15"/>
                <w:szCs w:val="15"/>
              </w:rPr>
              <w:t>坏账准备的应</w:t>
            </w:r>
            <w:r>
              <w:rPr>
                <w:rFonts w:ascii="宋体" w:hAnsi="宋体" w:cs="宋体" w:eastAsia="宋体" w:hint="default"/>
                <w:w w:val="100"/>
                <w:sz w:val="15"/>
                <w:szCs w:val="15"/>
              </w:rPr>
              <w:t> </w:t>
            </w:r>
            <w:r>
              <w:rPr>
                <w:rFonts w:ascii="宋体" w:hAnsi="宋体" w:cs="宋体" w:eastAsia="宋体" w:hint="default"/>
                <w:sz w:val="15"/>
                <w:szCs w:val="15"/>
              </w:rPr>
              <w:t>收账款</w:t>
            </w:r>
          </w:p>
        </w:tc>
        <w:tc>
          <w:tcPr>
            <w:tcW w:w="111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 w:right="0"/>
              <w:jc w:val="center"/>
              <w:rPr>
                <w:rFonts w:ascii="宋体" w:hAnsi="宋体" w:cs="宋体" w:eastAsia="宋体" w:hint="default"/>
                <w:sz w:val="15"/>
                <w:szCs w:val="15"/>
              </w:rPr>
            </w:pPr>
            <w:r>
              <w:rPr>
                <w:rFonts w:ascii="宋体"/>
                <w:sz w:val="15"/>
              </w:rPr>
              <w:t>107,375,369.65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21,791,754.38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85,583,615.27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42,103,808.20</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 w:right="0"/>
              <w:jc w:val="center"/>
              <w:rPr>
                <w:rFonts w:ascii="宋体" w:hAnsi="宋体" w:cs="宋体" w:eastAsia="宋体" w:hint="default"/>
                <w:sz w:val="15"/>
                <w:szCs w:val="15"/>
              </w:rPr>
            </w:pPr>
            <w:r>
              <w:rPr>
                <w:rFonts w:ascii="宋体"/>
                <w:sz w:val="15"/>
              </w:rPr>
              <w:t>13,361,728.12</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28,742,080.08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5"/>
        <w:jc w:val="left"/>
      </w:pPr>
      <w:r>
        <w:rPr/>
        <w:t>期末单项金额重大并单项计提坏帐准备的应收账款</w:t>
      </w:r>
    </w:p>
    <w:p>
      <w:pPr>
        <w:pStyle w:val="BodyText"/>
        <w:spacing w:line="273" w:lineRule="exact"/>
        <w:ind w:right="25"/>
        <w:jc w:val="left"/>
      </w:pPr>
      <w:r>
        <w:rPr/>
        <w:t>□适用 √不适用</w:t>
      </w:r>
    </w:p>
    <w:p>
      <w:pPr>
        <w:spacing w:after="0" w:line="273" w:lineRule="exact"/>
        <w:jc w:val="left"/>
        <w:sectPr>
          <w:type w:val="continuous"/>
          <w:pgSz w:w="11910" w:h="16850"/>
          <w:pgMar w:top="1120" w:bottom="1380" w:left="920" w:right="1680"/>
        </w:sectPr>
      </w:pPr>
    </w:p>
    <w:p>
      <w:pPr>
        <w:pStyle w:val="BodyText"/>
        <w:spacing w:line="274" w:lineRule="exact" w:before="93"/>
        <w:ind w:right="0"/>
        <w:jc w:val="left"/>
      </w:pPr>
      <w:r>
        <w:rPr>
          <w:spacing w:val="-2"/>
        </w:rPr>
        <w:t>组合中，按账龄分析法计提坏账准备的应收账款：</w:t>
      </w:r>
    </w:p>
    <w:p>
      <w:pPr>
        <w:pStyle w:val="BodyText"/>
        <w:spacing w:line="274"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pgSz w:w="11910" w:h="16850"/>
          <w:pgMar w:header="762" w:footer="941" w:top="1000" w:bottom="1140" w:left="920" w:right="1680"/>
          <w:cols w:num="2" w:equalWidth="0">
            <w:col w:w="4839" w:space="1640"/>
            <w:col w:w="2831"/>
          </w:cols>
        </w:sectPr>
      </w:pP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2038"/>
        <w:gridCol w:w="2271"/>
        <w:gridCol w:w="2307"/>
        <w:gridCol w:w="2237"/>
      </w:tblGrid>
      <w:tr>
        <w:trPr>
          <w:trHeight w:val="283" w:hRule="exact"/>
        </w:trPr>
        <w:tc>
          <w:tcPr>
            <w:tcW w:w="20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38" w:type="dxa"/>
            <w:vMerge/>
            <w:tcBorders>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84,765,821.20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8,476,582.10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84,765,821.20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8,476,582.10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11,281,982.42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3,384,594.71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2,793,976.95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1,396,988.49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1"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8,533,589.08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8,533,589.08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107,375,369.65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21,791,754.38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20.29</w:t>
            </w:r>
          </w:p>
        </w:tc>
      </w:tr>
    </w:tbl>
    <w:p>
      <w:pPr>
        <w:spacing w:line="240" w:lineRule="auto" w:before="8"/>
        <w:rPr>
          <w:rFonts w:ascii="宋体" w:hAnsi="宋体" w:cs="宋体" w:eastAsia="宋体" w:hint="default"/>
          <w:sz w:val="15"/>
          <w:szCs w:val="15"/>
        </w:rPr>
      </w:pPr>
    </w:p>
    <w:p>
      <w:pPr>
        <w:pStyle w:val="BodyText"/>
        <w:spacing w:line="272" w:lineRule="exact" w:before="64"/>
        <w:ind w:right="1424"/>
        <w:jc w:val="left"/>
      </w:pPr>
      <w:r>
        <w:rPr/>
        <w:t>确定该组合依据的说明：</w:t>
      </w:r>
      <w:r>
        <w:rPr>
          <w:w w:val="100"/>
        </w:rPr>
        <w:t> </w:t>
      </w:r>
      <w:r>
        <w:rPr>
          <w:spacing w:val="-2"/>
        </w:rPr>
        <w:t>公司管理层认为应收账款相同账龄具有相同或类似信用风险。</w:t>
      </w:r>
    </w:p>
    <w:p>
      <w:pPr>
        <w:spacing w:line="240" w:lineRule="auto" w:before="10"/>
        <w:rPr>
          <w:rFonts w:ascii="宋体" w:hAnsi="宋体" w:cs="宋体" w:eastAsia="宋体" w:hint="default"/>
          <w:sz w:val="18"/>
          <w:szCs w:val="18"/>
        </w:rPr>
      </w:pPr>
    </w:p>
    <w:p>
      <w:pPr>
        <w:pStyle w:val="BodyText"/>
        <w:spacing w:line="274" w:lineRule="exact"/>
        <w:ind w:right="25"/>
        <w:jc w:val="left"/>
      </w:pPr>
      <w:r>
        <w:rPr/>
        <w:t>组合中，采用余额百分比法计提坏账准备的应收账款：</w:t>
      </w:r>
    </w:p>
    <w:p>
      <w:pPr>
        <w:pStyle w:val="BodyText"/>
        <w:spacing w:line="274" w:lineRule="exact"/>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5"/>
        <w:jc w:val="left"/>
      </w:pPr>
      <w:r>
        <w:rPr/>
        <w:t>组合中，采用其他方法计提坏账准备的应收账款：</w:t>
      </w:r>
    </w:p>
    <w:p>
      <w:pPr>
        <w:pStyle w:val="BodyText"/>
        <w:tabs>
          <w:tab w:pos="1055" w:val="left" w:leader="none"/>
        </w:tabs>
        <w:spacing w:line="274" w:lineRule="exact"/>
        <w:ind w:right="25"/>
        <w:jc w:val="left"/>
      </w:pPr>
      <w:r>
        <w:rPr/>
        <w:t>□适用</w:t>
        <w:tab/>
        <w:t>√不适用</w:t>
      </w:r>
    </w:p>
    <w:p>
      <w:pPr>
        <w:spacing w:line="240" w:lineRule="auto" w:before="0"/>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9"/>
        <w:ind w:right="25"/>
        <w:jc w:val="left"/>
      </w:pPr>
      <w:r>
        <w:rPr/>
        <w:t>本期计提坏账准备金额</w:t>
      </w:r>
      <w:r>
        <w:rPr>
          <w:spacing w:val="-56"/>
        </w:rPr>
        <w:t> </w:t>
      </w:r>
      <w:r>
        <w:rPr>
          <w:rFonts w:ascii="宋体" w:hAnsi="宋体" w:cs="宋体" w:eastAsia="宋体" w:hint="default"/>
        </w:rPr>
        <w:t>4,574,413.88</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8"/>
        <w:rPr>
          <w:rFonts w:ascii="宋体" w:hAnsi="宋体" w:cs="宋体" w:eastAsia="宋体" w:hint="default"/>
          <w:sz w:val="20"/>
          <w:szCs w:val="20"/>
        </w:rPr>
      </w:pPr>
    </w:p>
    <w:p>
      <w:pPr>
        <w:pStyle w:val="BodyText"/>
        <w:spacing w:line="273" w:lineRule="exact"/>
        <w:ind w:right="25"/>
        <w:jc w:val="left"/>
      </w:pPr>
      <w:r>
        <w:rPr/>
        <w:t>其中本期坏账准备收回或转回金额重要的：</w:t>
      </w:r>
    </w:p>
    <w:p>
      <w:pPr>
        <w:pStyle w:val="BodyText"/>
        <w:spacing w:line="273" w:lineRule="exact"/>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50"/>
          <w:pgMar w:top="1120" w:bottom="1380" w:left="920" w:right="1680"/>
        </w:sectPr>
      </w:pPr>
    </w:p>
    <w:p>
      <w:pPr>
        <w:pStyle w:val="Heading5"/>
        <w:spacing w:line="240" w:lineRule="auto" w:before="36"/>
        <w:ind w:left="212" w:right="-18"/>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529" w:space="2950"/>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254"/>
        <w:gridCol w:w="4753"/>
      </w:tblGrid>
      <w:tr>
        <w:trPr>
          <w:trHeight w:val="28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376,946.90</w:t>
            </w:r>
          </w:p>
        </w:tc>
      </w:tr>
    </w:tbl>
    <w:p>
      <w:pPr>
        <w:spacing w:line="240" w:lineRule="auto" w:before="5"/>
        <w:rPr>
          <w:rFonts w:ascii="宋体" w:hAnsi="宋体" w:cs="宋体" w:eastAsia="宋体" w:hint="default"/>
          <w:sz w:val="15"/>
          <w:szCs w:val="15"/>
        </w:rPr>
      </w:pPr>
    </w:p>
    <w:p>
      <w:pPr>
        <w:pStyle w:val="BodyText"/>
        <w:spacing w:line="274" w:lineRule="exact" w:before="36"/>
        <w:ind w:right="25"/>
        <w:jc w:val="left"/>
      </w:pPr>
      <w:r>
        <w:rPr/>
        <w:t>其中重要的应收账款核销情况</w:t>
      </w:r>
    </w:p>
    <w:p>
      <w:pPr>
        <w:pStyle w:val="BodyText"/>
        <w:spacing w:line="274" w:lineRule="exact"/>
        <w:ind w:right="2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5"/>
        <w:jc w:val="left"/>
      </w:pPr>
      <w:r>
        <w:rPr/>
        <w:t>应收账款核销说明：</w:t>
      </w:r>
    </w:p>
    <w:p>
      <w:pPr>
        <w:pStyle w:val="BodyText"/>
        <w:spacing w:line="273" w:lineRule="exact"/>
        <w:ind w:right="25"/>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55" w:val="left" w:leader="none"/>
        </w:tabs>
        <w:spacing w:line="240" w:lineRule="auto" w:before="58"/>
        <w:ind w:right="25"/>
        <w:jc w:val="left"/>
      </w:pPr>
      <w:r>
        <w:rPr/>
        <w:t>√适用</w:t>
        <w:tab/>
        <w:t>□不适用</w:t>
      </w:r>
    </w:p>
    <w:p>
      <w:pPr>
        <w:spacing w:line="240" w:lineRule="auto" w:before="1"/>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340"/>
        <w:gridCol w:w="1931"/>
        <w:gridCol w:w="2201"/>
        <w:gridCol w:w="1534"/>
      </w:tblGrid>
      <w:tr>
        <w:trPr>
          <w:trHeight w:val="982" w:hRule="exact"/>
        </w:trPr>
        <w:tc>
          <w:tcPr>
            <w:tcW w:w="3340" w:type="dxa"/>
            <w:tcBorders>
              <w:top w:val="single" w:sz="8"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31"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2" w:lineRule="exact"/>
              <w:ind w:left="947" w:right="139"/>
              <w:jc w:val="left"/>
              <w:rPr>
                <w:rFonts w:ascii="宋体" w:hAnsi="宋体" w:cs="宋体" w:eastAsia="宋体" w:hint="default"/>
                <w:sz w:val="21"/>
                <w:szCs w:val="21"/>
              </w:rPr>
            </w:pPr>
            <w:r>
              <w:rPr>
                <w:rFonts w:ascii="宋体" w:hAnsi="宋体" w:cs="宋体" w:eastAsia="宋体" w:hint="default"/>
                <w:spacing w:val="-1"/>
                <w:sz w:val="21"/>
                <w:szCs w:val="21"/>
              </w:rPr>
              <w:t>应收账款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期末余额</w:t>
            </w:r>
          </w:p>
        </w:tc>
        <w:tc>
          <w:tcPr>
            <w:tcW w:w="2201"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2" w:lineRule="exact"/>
              <w:ind w:left="667" w:right="163" w:hanging="526"/>
              <w:jc w:val="left"/>
              <w:rPr>
                <w:rFonts w:ascii="宋体" w:hAnsi="宋体" w:cs="宋体" w:eastAsia="宋体" w:hint="default"/>
                <w:sz w:val="21"/>
                <w:szCs w:val="21"/>
              </w:rPr>
            </w:pPr>
            <w:r>
              <w:rPr>
                <w:rFonts w:ascii="宋体" w:hAnsi="宋体" w:cs="宋体" w:eastAsia="宋体" w:hint="default"/>
                <w:spacing w:val="-1"/>
                <w:sz w:val="21"/>
                <w:szCs w:val="21"/>
              </w:rPr>
              <w:t>占应收账款期末余额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合计数的比例</w:t>
            </w:r>
            <w:r>
              <w:rPr>
                <w:rFonts w:ascii="宋体" w:hAnsi="宋体" w:cs="宋体" w:eastAsia="宋体" w:hint="default"/>
                <w:spacing w:val="-1"/>
                <w:sz w:val="21"/>
                <w:szCs w:val="21"/>
              </w:rPr>
              <w:t>%</w:t>
            </w:r>
          </w:p>
        </w:tc>
        <w:tc>
          <w:tcPr>
            <w:tcW w:w="153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2" w:lineRule="exact"/>
              <w:ind w:left="586" w:right="103"/>
              <w:jc w:val="left"/>
              <w:rPr>
                <w:rFonts w:ascii="宋体" w:hAnsi="宋体" w:cs="宋体" w:eastAsia="宋体" w:hint="default"/>
                <w:sz w:val="21"/>
                <w:szCs w:val="21"/>
              </w:rPr>
            </w:pPr>
            <w:r>
              <w:rPr>
                <w:rFonts w:ascii="宋体" w:hAnsi="宋体" w:cs="宋体" w:eastAsia="宋体" w:hint="default"/>
                <w:spacing w:val="-1"/>
                <w:sz w:val="21"/>
                <w:szCs w:val="21"/>
              </w:rPr>
              <w:t>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期末余额</w:t>
            </w:r>
          </w:p>
        </w:tc>
      </w:tr>
      <w:tr>
        <w:trPr>
          <w:trHeight w:val="395" w:hRule="exact"/>
        </w:trPr>
        <w:tc>
          <w:tcPr>
            <w:tcW w:w="334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定兴县发展改革局</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87" w:right="0"/>
              <w:jc w:val="left"/>
              <w:rPr>
                <w:rFonts w:ascii="宋体" w:hAnsi="宋体" w:cs="宋体" w:eastAsia="宋体" w:hint="default"/>
                <w:sz w:val="21"/>
                <w:szCs w:val="21"/>
              </w:rPr>
            </w:pPr>
            <w:r>
              <w:rPr>
                <w:rFonts w:ascii="宋体"/>
                <w:sz w:val="21"/>
              </w:rPr>
              <w:t>12,607,430.00</w:t>
            </w:r>
          </w:p>
        </w:tc>
        <w:tc>
          <w:tcPr>
            <w:tcW w:w="220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66"/>
              <w:jc w:val="right"/>
              <w:rPr>
                <w:rFonts w:ascii="宋体" w:hAnsi="宋体" w:cs="宋体" w:eastAsia="宋体" w:hint="default"/>
                <w:sz w:val="21"/>
                <w:szCs w:val="21"/>
              </w:rPr>
            </w:pPr>
            <w:r>
              <w:rPr>
                <w:rFonts w:ascii="宋体"/>
                <w:sz w:val="21"/>
              </w:rPr>
              <w:t>11.74</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21"/>
                <w:szCs w:val="21"/>
              </w:rPr>
            </w:pPr>
            <w:r>
              <w:rPr>
                <w:rFonts w:ascii="宋体"/>
                <w:spacing w:val="-1"/>
                <w:sz w:val="21"/>
              </w:rPr>
              <w:t>1,260,743.00</w:t>
            </w:r>
          </w:p>
        </w:tc>
      </w:tr>
      <w:tr>
        <w:trPr>
          <w:trHeight w:val="400" w:hRule="exact"/>
        </w:trPr>
        <w:tc>
          <w:tcPr>
            <w:tcW w:w="334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北京市顺义区新农村建设办公室</w:t>
            </w: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287" w:right="0"/>
              <w:jc w:val="left"/>
              <w:rPr>
                <w:rFonts w:ascii="宋体" w:hAnsi="宋体" w:cs="宋体" w:eastAsia="宋体" w:hint="default"/>
                <w:sz w:val="21"/>
                <w:szCs w:val="21"/>
              </w:rPr>
            </w:pPr>
            <w:r>
              <w:rPr>
                <w:rFonts w:ascii="宋体"/>
                <w:sz w:val="21"/>
              </w:rPr>
              <w:t>10,219,858.39</w:t>
            </w:r>
          </w:p>
        </w:tc>
        <w:tc>
          <w:tcPr>
            <w:tcW w:w="220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66"/>
              <w:jc w:val="right"/>
              <w:rPr>
                <w:rFonts w:ascii="宋体" w:hAnsi="宋体" w:cs="宋体" w:eastAsia="宋体" w:hint="default"/>
                <w:sz w:val="21"/>
                <w:szCs w:val="21"/>
              </w:rPr>
            </w:pPr>
            <w:r>
              <w:rPr>
                <w:rFonts w:ascii="宋体"/>
                <w:sz w:val="21"/>
              </w:rPr>
              <w:t>9.52</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3"/>
              <w:jc w:val="right"/>
              <w:rPr>
                <w:rFonts w:ascii="宋体" w:hAnsi="宋体" w:cs="宋体" w:eastAsia="宋体" w:hint="default"/>
                <w:sz w:val="21"/>
                <w:szCs w:val="21"/>
              </w:rPr>
            </w:pPr>
            <w:r>
              <w:rPr>
                <w:rFonts w:ascii="宋体"/>
                <w:spacing w:val="-1"/>
                <w:sz w:val="21"/>
              </w:rPr>
              <w:t>1,021,985.84</w:t>
            </w:r>
          </w:p>
        </w:tc>
      </w:tr>
    </w:tbl>
    <w:p>
      <w:pPr>
        <w:spacing w:after="0" w:line="240" w:lineRule="auto"/>
        <w:jc w:val="right"/>
        <w:rPr>
          <w:rFonts w:ascii="宋体" w:hAnsi="宋体" w:cs="宋体" w:eastAsia="宋体" w:hint="default"/>
          <w:sz w:val="21"/>
          <w:szCs w:val="21"/>
        </w:rPr>
        <w:sectPr>
          <w:type w:val="continuous"/>
          <w:pgSz w:w="11910" w:h="16850"/>
          <w:pgMar w:top="1120" w:bottom="1380" w:left="920" w:right="1680"/>
        </w:sectPr>
      </w:pPr>
    </w:p>
    <w:p>
      <w:pPr>
        <w:spacing w:line="240" w:lineRule="auto" w:before="3"/>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366"/>
        <w:gridCol w:w="2444"/>
        <w:gridCol w:w="1584"/>
        <w:gridCol w:w="1433"/>
        <w:gridCol w:w="101"/>
      </w:tblGrid>
      <w:tr>
        <w:trPr>
          <w:trHeight w:val="139" w:hRule="exact"/>
        </w:trPr>
        <w:tc>
          <w:tcPr>
            <w:tcW w:w="3366" w:type="dxa"/>
            <w:tcBorders>
              <w:top w:val="single" w:sz="6" w:space="0" w:color="000000"/>
              <w:left w:val="nil" w:sz="6" w:space="0" w:color="auto"/>
              <w:bottom w:val="single" w:sz="4" w:space="0" w:color="000000"/>
              <w:right w:val="nil" w:sz="6" w:space="0" w:color="auto"/>
            </w:tcBorders>
          </w:tcPr>
          <w:p>
            <w:pPr/>
          </w:p>
        </w:tc>
        <w:tc>
          <w:tcPr>
            <w:tcW w:w="2444" w:type="dxa"/>
            <w:tcBorders>
              <w:top w:val="single" w:sz="6" w:space="0" w:color="000000"/>
              <w:left w:val="nil" w:sz="6" w:space="0" w:color="auto"/>
              <w:bottom w:val="single" w:sz="4" w:space="0" w:color="000000"/>
              <w:right w:val="nil" w:sz="6" w:space="0" w:color="auto"/>
            </w:tcBorders>
          </w:tcPr>
          <w:p>
            <w:pPr/>
          </w:p>
        </w:tc>
        <w:tc>
          <w:tcPr>
            <w:tcW w:w="1584" w:type="dxa"/>
            <w:tcBorders>
              <w:top w:val="single" w:sz="6" w:space="0" w:color="000000"/>
              <w:left w:val="nil" w:sz="6" w:space="0" w:color="auto"/>
              <w:bottom w:val="single" w:sz="4" w:space="0" w:color="000000"/>
              <w:right w:val="nil" w:sz="6" w:space="0" w:color="auto"/>
            </w:tcBorders>
          </w:tcPr>
          <w:p>
            <w:pPr/>
          </w:p>
        </w:tc>
        <w:tc>
          <w:tcPr>
            <w:tcW w:w="1433" w:type="dxa"/>
            <w:tcBorders>
              <w:top w:val="single" w:sz="6" w:space="0" w:color="000000"/>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single" w:sz="4" w:space="0" w:color="000000"/>
              <w:right w:val="nil" w:sz="6" w:space="0" w:color="auto"/>
            </w:tcBorders>
          </w:tcPr>
          <w:p>
            <w:pPr/>
          </w:p>
        </w:tc>
      </w:tr>
      <w:tr>
        <w:trPr>
          <w:trHeight w:val="620" w:hRule="exact"/>
        </w:trPr>
        <w:tc>
          <w:tcPr>
            <w:tcW w:w="3366" w:type="dxa"/>
            <w:tcBorders>
              <w:top w:val="single" w:sz="4" w:space="0" w:color="000000"/>
              <w:left w:val="nil" w:sz="6" w:space="0" w:color="auto"/>
              <w:bottom w:val="nil" w:sz="6" w:space="0" w:color="auto"/>
              <w:right w:val="nil" w:sz="6" w:space="0" w:color="auto"/>
            </w:tcBorders>
          </w:tcPr>
          <w:p>
            <w:pPr>
              <w:pStyle w:val="TableParagraph"/>
              <w:spacing w:line="274" w:lineRule="exact" w:before="18"/>
              <w:ind w:left="28" w:right="180"/>
              <w:jc w:val="left"/>
              <w:rPr>
                <w:rFonts w:ascii="宋体" w:hAnsi="宋体" w:cs="宋体" w:eastAsia="宋体" w:hint="default"/>
                <w:sz w:val="21"/>
                <w:szCs w:val="21"/>
              </w:rPr>
            </w:pPr>
            <w:r>
              <w:rPr>
                <w:rFonts w:ascii="宋体" w:hAnsi="宋体" w:cs="宋体" w:eastAsia="宋体" w:hint="default"/>
                <w:spacing w:val="-2"/>
                <w:sz w:val="21"/>
                <w:szCs w:val="21"/>
              </w:rPr>
              <w:t>苏宁云商集团股份有限公司苏宁采</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购中心</w:t>
            </w:r>
          </w:p>
        </w:tc>
        <w:tc>
          <w:tcPr>
            <w:tcW w:w="2444"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288" w:right="0"/>
              <w:jc w:val="left"/>
              <w:rPr>
                <w:rFonts w:ascii="宋体" w:hAnsi="宋体" w:cs="宋体" w:eastAsia="宋体" w:hint="default"/>
                <w:sz w:val="21"/>
                <w:szCs w:val="21"/>
              </w:rPr>
            </w:pPr>
            <w:r>
              <w:rPr>
                <w:rFonts w:ascii="宋体"/>
                <w:sz w:val="21"/>
              </w:rPr>
              <w:t>5,950,800.87</w:t>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21"/>
                <w:szCs w:val="21"/>
              </w:rPr>
            </w:pPr>
            <w:r>
              <w:rPr>
                <w:rFonts w:ascii="宋体"/>
                <w:sz w:val="21"/>
              </w:rPr>
              <w:t>5.54</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595,080.09</w:t>
            </w:r>
          </w:p>
        </w:tc>
        <w:tc>
          <w:tcPr>
            <w:tcW w:w="101" w:type="dxa"/>
            <w:tcBorders>
              <w:top w:val="single" w:sz="4" w:space="0" w:color="000000"/>
              <w:left w:val="nil" w:sz="6" w:space="0" w:color="auto"/>
              <w:bottom w:val="nil" w:sz="6" w:space="0" w:color="auto"/>
              <w:right w:val="nil" w:sz="6" w:space="0" w:color="auto"/>
            </w:tcBorders>
          </w:tcPr>
          <w:p>
            <w:pPr/>
          </w:p>
        </w:tc>
      </w:tr>
      <w:tr>
        <w:trPr>
          <w:trHeight w:val="378" w:hRule="exact"/>
        </w:trPr>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1"/>
                <w:szCs w:val="21"/>
              </w:rPr>
            </w:pPr>
            <w:r>
              <w:rPr>
                <w:rFonts w:ascii="宋体" w:hAnsi="宋体" w:cs="宋体" w:eastAsia="宋体" w:hint="default"/>
                <w:sz w:val="21"/>
                <w:szCs w:val="21"/>
              </w:rPr>
              <w:t>北京京东世纪贸易有限公司</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21"/>
                <w:szCs w:val="21"/>
              </w:rPr>
            </w:pPr>
            <w:r>
              <w:rPr>
                <w:rFonts w:ascii="宋体"/>
                <w:sz w:val="21"/>
              </w:rPr>
              <w:t>5,197,097.59</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3"/>
              <w:jc w:val="right"/>
              <w:rPr>
                <w:rFonts w:ascii="宋体" w:hAnsi="宋体" w:cs="宋体" w:eastAsia="宋体" w:hint="default"/>
                <w:sz w:val="21"/>
                <w:szCs w:val="21"/>
              </w:rPr>
            </w:pPr>
            <w:r>
              <w:rPr>
                <w:rFonts w:ascii="宋体"/>
                <w:sz w:val="21"/>
              </w:rPr>
              <w:t>4.84</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519,709.76</w:t>
            </w:r>
          </w:p>
        </w:tc>
        <w:tc>
          <w:tcPr>
            <w:tcW w:w="101" w:type="dxa"/>
            <w:tcBorders>
              <w:top w:val="nil" w:sz="6" w:space="0" w:color="auto"/>
              <w:left w:val="nil" w:sz="6" w:space="0" w:color="auto"/>
              <w:bottom w:val="nil" w:sz="6" w:space="0" w:color="auto"/>
              <w:right w:val="nil" w:sz="6" w:space="0" w:color="auto"/>
            </w:tcBorders>
          </w:tcPr>
          <w:p>
            <w:pPr/>
          </w:p>
        </w:tc>
      </w:tr>
      <w:tr>
        <w:trPr>
          <w:trHeight w:val="406" w:hRule="exact"/>
        </w:trPr>
        <w:tc>
          <w:tcPr>
            <w:tcW w:w="336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RINNAIAUSTRALIAPTY.LTD(</w:t>
            </w:r>
            <w:r>
              <w:rPr>
                <w:rFonts w:ascii="宋体" w:hAnsi="宋体" w:cs="宋体" w:eastAsia="宋体" w:hint="default"/>
                <w:sz w:val="21"/>
                <w:szCs w:val="21"/>
              </w:rPr>
              <w:t>澳洲</w:t>
            </w:r>
            <w:r>
              <w:rPr>
                <w:rFonts w:ascii="宋体" w:hAnsi="宋体" w:cs="宋体" w:eastAsia="宋体" w:hint="default"/>
                <w:sz w:val="21"/>
                <w:szCs w:val="21"/>
              </w:rPr>
              <w:t>)</w:t>
            </w:r>
          </w:p>
        </w:tc>
        <w:tc>
          <w:tcPr>
            <w:tcW w:w="244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288" w:right="0"/>
              <w:jc w:val="left"/>
              <w:rPr>
                <w:rFonts w:ascii="宋体" w:hAnsi="宋体" w:cs="宋体" w:eastAsia="宋体" w:hint="default"/>
                <w:sz w:val="21"/>
                <w:szCs w:val="21"/>
              </w:rPr>
            </w:pPr>
            <w:r>
              <w:rPr>
                <w:rFonts w:ascii="宋体"/>
                <w:sz w:val="21"/>
              </w:rPr>
              <w:t>3,737,523.19</w:t>
            </w:r>
          </w:p>
        </w:tc>
        <w:tc>
          <w:tcPr>
            <w:tcW w:w="158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67"/>
              <w:jc w:val="right"/>
              <w:rPr>
                <w:rFonts w:ascii="宋体" w:hAnsi="宋体" w:cs="宋体" w:eastAsia="宋体" w:hint="default"/>
                <w:sz w:val="21"/>
                <w:szCs w:val="21"/>
              </w:rPr>
            </w:pPr>
            <w:r>
              <w:rPr>
                <w:rFonts w:ascii="宋体"/>
                <w:sz w:val="21"/>
              </w:rPr>
              <w:t>3.48</w:t>
            </w:r>
          </w:p>
        </w:tc>
        <w:tc>
          <w:tcPr>
            <w:tcW w:w="143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373,752.32</w:t>
            </w:r>
          </w:p>
        </w:tc>
        <w:tc>
          <w:tcPr>
            <w:tcW w:w="101" w:type="dxa"/>
            <w:tcBorders>
              <w:top w:val="nil" w:sz="6" w:space="0" w:color="auto"/>
              <w:left w:val="nil" w:sz="6" w:space="0" w:color="auto"/>
              <w:bottom w:val="single" w:sz="8" w:space="0" w:color="000000"/>
              <w:right w:val="nil" w:sz="6" w:space="0" w:color="auto"/>
            </w:tcBorders>
          </w:tcPr>
          <w:p>
            <w:pPr/>
          </w:p>
        </w:tc>
      </w:tr>
      <w:tr>
        <w:trPr>
          <w:trHeight w:val="398" w:hRule="exact"/>
        </w:trPr>
        <w:tc>
          <w:tcPr>
            <w:tcW w:w="3366" w:type="dxa"/>
            <w:tcBorders>
              <w:top w:val="single" w:sz="8" w:space="0" w:color="000000"/>
              <w:left w:val="nil" w:sz="6" w:space="0" w:color="auto"/>
              <w:bottom w:val="single" w:sz="8" w:space="0" w:color="000000"/>
              <w:right w:val="nil" w:sz="6" w:space="0" w:color="auto"/>
            </w:tcBorders>
          </w:tcPr>
          <w:p>
            <w:pPr>
              <w:pStyle w:val="TableParagraph"/>
              <w:tabs>
                <w:tab w:pos="451" w:val="left" w:leader="none"/>
              </w:tabs>
              <w:spacing w:line="240" w:lineRule="auto" w:before="21"/>
              <w:ind w:left="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4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82" w:right="0"/>
              <w:jc w:val="left"/>
              <w:rPr>
                <w:rFonts w:ascii="宋体" w:hAnsi="宋体" w:cs="宋体" w:eastAsia="宋体" w:hint="default"/>
                <w:sz w:val="21"/>
                <w:szCs w:val="21"/>
              </w:rPr>
            </w:pPr>
            <w:r>
              <w:rPr>
                <w:rFonts w:ascii="宋体"/>
                <w:sz w:val="21"/>
              </w:rPr>
              <w:t>37,712,710.04</w:t>
            </w:r>
          </w:p>
        </w:tc>
        <w:tc>
          <w:tcPr>
            <w:tcW w:w="158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67"/>
              <w:jc w:val="right"/>
              <w:rPr>
                <w:rFonts w:ascii="宋体" w:hAnsi="宋体" w:cs="宋体" w:eastAsia="宋体" w:hint="default"/>
                <w:sz w:val="21"/>
                <w:szCs w:val="21"/>
              </w:rPr>
            </w:pPr>
            <w:r>
              <w:rPr>
                <w:rFonts w:ascii="宋体"/>
                <w:spacing w:val="-2"/>
                <w:sz w:val="21"/>
              </w:rPr>
              <w:t>35.12</w:t>
            </w:r>
            <w:r>
              <w:rPr>
                <w:rFonts w:ascii="宋体"/>
                <w:sz w:val="21"/>
              </w:rPr>
            </w:r>
          </w:p>
        </w:tc>
        <w:tc>
          <w:tcPr>
            <w:tcW w:w="143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3"/>
              <w:jc w:val="right"/>
              <w:rPr>
                <w:rFonts w:ascii="宋体" w:hAnsi="宋体" w:cs="宋体" w:eastAsia="宋体" w:hint="default"/>
                <w:sz w:val="21"/>
                <w:szCs w:val="21"/>
              </w:rPr>
            </w:pPr>
            <w:r>
              <w:rPr>
                <w:rFonts w:ascii="宋体"/>
                <w:spacing w:val="-1"/>
                <w:sz w:val="21"/>
              </w:rPr>
              <w:t>3,771,271.01</w:t>
            </w:r>
          </w:p>
        </w:tc>
        <w:tc>
          <w:tcPr>
            <w:tcW w:w="101" w:type="dxa"/>
            <w:tcBorders>
              <w:top w:val="single" w:sz="8"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212" w:right="25"/>
        <w:jc w:val="left"/>
        <w:rPr>
          <w:b w:val="0"/>
          <w:bCs w:val="0"/>
        </w:rPr>
      </w:pPr>
      <w:r>
        <w:rPr>
          <w:rFonts w:ascii="宋体" w:hAnsi="宋体" w:cs="宋体" w:eastAsia="宋体" w:hint="default"/>
        </w:rPr>
        <w:t>(5).</w:t>
      </w:r>
      <w:r>
        <w:rPr>
          <w:rFonts w:ascii="宋体" w:hAnsi="宋体" w:cs="宋体" w:eastAsia="宋体" w:hint="default"/>
          <w:spacing w:val="43"/>
        </w:rPr>
        <w:t> </w:t>
      </w:r>
      <w:r>
        <w:rPr/>
        <w:t>因金融资产转移而终止确认的应收账款：</w:t>
      </w:r>
      <w:r>
        <w:rPr>
          <w:b w:val="0"/>
          <w:bCs w:val="0"/>
        </w:rPr>
      </w:r>
    </w:p>
    <w:p>
      <w:pPr>
        <w:pStyle w:val="BodyText"/>
        <w:tabs>
          <w:tab w:pos="1055" w:val="left" w:leader="none"/>
        </w:tabs>
        <w:spacing w:line="240" w:lineRule="auto" w:before="58"/>
        <w:ind w:right="25"/>
        <w:jc w:val="left"/>
      </w:pPr>
      <w:r>
        <w:rPr/>
        <w:t>□适用</w:t>
        <w:tab/>
        <w:t>√不适用</w:t>
      </w:r>
    </w:p>
    <w:p>
      <w:pPr>
        <w:spacing w:line="240" w:lineRule="auto" w:before="12"/>
        <w:rPr>
          <w:rFonts w:ascii="宋体" w:hAnsi="宋体" w:cs="宋体" w:eastAsia="宋体" w:hint="default"/>
          <w:sz w:val="22"/>
          <w:szCs w:val="22"/>
        </w:rPr>
      </w:pPr>
    </w:p>
    <w:p>
      <w:pPr>
        <w:pStyle w:val="Heading5"/>
        <w:spacing w:line="240" w:lineRule="auto"/>
        <w:ind w:left="212" w:right="25"/>
        <w:jc w:val="left"/>
        <w:rPr>
          <w:b w:val="0"/>
          <w:bCs w:val="0"/>
        </w:rPr>
      </w:pPr>
      <w:r>
        <w:rPr>
          <w:rFonts w:ascii="宋体" w:hAnsi="宋体" w:cs="宋体" w:eastAsia="宋体" w:hint="default"/>
        </w:rPr>
        <w:t>(6).</w:t>
      </w:r>
      <w:r>
        <w:rPr>
          <w:rFonts w:ascii="宋体" w:hAnsi="宋体" w:cs="宋体" w:eastAsia="宋体" w:hint="default"/>
          <w:spacing w:val="42"/>
        </w:rPr>
        <w:t> </w:t>
      </w:r>
      <w:r>
        <w:rPr/>
        <w:t>转移应收账款且继续涉入形成的资产、负债金额：</w:t>
      </w:r>
      <w:r>
        <w:rPr>
          <w:b w:val="0"/>
          <w:bCs w:val="0"/>
        </w:rPr>
      </w:r>
    </w:p>
    <w:p>
      <w:pPr>
        <w:pStyle w:val="BodyText"/>
        <w:tabs>
          <w:tab w:pos="1055" w:val="left" w:leader="none"/>
        </w:tabs>
        <w:spacing w:line="240" w:lineRule="auto" w:before="56"/>
        <w:ind w:right="25"/>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right="25"/>
        <w:jc w:val="left"/>
      </w:pPr>
      <w:r>
        <w:rPr/>
        <w:t>其他说明：</w:t>
      </w:r>
    </w:p>
    <w:p>
      <w:pPr>
        <w:pStyle w:val="BodyText"/>
        <w:tabs>
          <w:tab w:pos="1055" w:val="left" w:leader="none"/>
        </w:tabs>
        <w:spacing w:line="274" w:lineRule="exact"/>
        <w:ind w:right="2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50"/>
          <w:pgMar w:header="762" w:footer="941" w:top="960" w:bottom="1140" w:left="920" w:right="1680"/>
        </w:sectPr>
      </w:pPr>
    </w:p>
    <w:p>
      <w:pPr>
        <w:pStyle w:val="Heading5"/>
        <w:spacing w:line="240" w:lineRule="auto" w:before="36"/>
        <w:ind w:left="212"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5"/>
        <w:spacing w:line="240" w:lineRule="auto" w:before="56"/>
        <w:ind w:left="212" w:right="-19"/>
        <w:jc w:val="left"/>
        <w:rPr>
          <w:b w:val="0"/>
          <w:bCs w:val="0"/>
        </w:rPr>
      </w:pPr>
      <w:r>
        <w:rPr>
          <w:rFonts w:ascii="宋体" w:hAnsi="宋体" w:cs="宋体" w:eastAsia="宋体" w:hint="default"/>
        </w:rPr>
        <w:t>(1).</w:t>
      </w:r>
      <w:r>
        <w:rPr>
          <w:rFonts w:ascii="宋体" w:hAnsi="宋体" w:cs="宋体" w:eastAsia="宋体" w:hint="default"/>
          <w:spacing w:val="91"/>
        </w:rPr>
        <w:t> </w:t>
      </w:r>
      <w:r>
        <w:rPr/>
        <w:t>预付款项按账龄列示</w:t>
      </w:r>
      <w:r>
        <w:rPr>
          <w:b w:val="0"/>
          <w:bCs w:val="0"/>
        </w:rPr>
      </w:r>
    </w:p>
    <w:p>
      <w:pPr>
        <w:pStyle w:val="BodyText"/>
        <w:tabs>
          <w:tab w:pos="1055" w:val="left" w:leader="none"/>
        </w:tabs>
        <w:spacing w:line="240" w:lineRule="auto" w:before="58"/>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731" w:space="3748"/>
            <w:col w:w="2831"/>
          </w:cols>
        </w:sectPr>
      </w:pP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1352"/>
        <w:gridCol w:w="1885"/>
        <w:gridCol w:w="1867"/>
        <w:gridCol w:w="1865"/>
        <w:gridCol w:w="1885"/>
      </w:tblGrid>
      <w:tr>
        <w:trPr>
          <w:trHeight w:val="281" w:hRule="exact"/>
        </w:trPr>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352" w:type="dxa"/>
            <w:vMerge/>
            <w:tcBorders>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43,286,801.80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97.66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48,966,549.17</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97.62</w:t>
            </w:r>
          </w:p>
        </w:tc>
      </w:tr>
      <w:tr>
        <w:trPr>
          <w:trHeight w:val="281"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732,536.23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1.65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1,107,316.71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2.21</w:t>
            </w:r>
          </w:p>
        </w:tc>
      </w:tr>
      <w:tr>
        <w:trPr>
          <w:trHeight w:val="28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226,328.48</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0.51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2,445.00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0.01</w:t>
            </w:r>
          </w:p>
        </w:tc>
      </w:tr>
      <w:tr>
        <w:trPr>
          <w:trHeight w:val="281"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3"/>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0.18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80,000.00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0.16</w:t>
            </w:r>
          </w:p>
        </w:tc>
      </w:tr>
      <w:tr>
        <w:trPr>
          <w:trHeight w:val="28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8"/>
              <w:jc w:val="right"/>
              <w:rPr>
                <w:rFonts w:ascii="宋体" w:hAnsi="宋体" w:cs="宋体" w:eastAsia="宋体" w:hint="default"/>
                <w:sz w:val="21"/>
                <w:szCs w:val="21"/>
              </w:rPr>
            </w:pPr>
            <w:r>
              <w:rPr>
                <w:rFonts w:ascii="宋体" w:hAnsi="宋体" w:cs="宋体" w:eastAsia="宋体" w:hint="default"/>
                <w:sz w:val="21"/>
                <w:szCs w:val="21"/>
              </w:rPr>
              <w:t>合计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44,325,666.51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100.00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50,156,310.88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2" w:lineRule="exact" w:before="64"/>
        <w:ind w:right="3407"/>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4"/>
        <w:rPr>
          <w:rFonts w:ascii="宋体" w:hAnsi="宋体" w:cs="宋体" w:eastAsia="宋体" w:hint="default"/>
          <w:sz w:val="23"/>
          <w:szCs w:val="23"/>
        </w:rPr>
      </w:pPr>
    </w:p>
    <w:p>
      <w:pPr>
        <w:pStyle w:val="Heading5"/>
        <w:spacing w:line="240" w:lineRule="auto"/>
        <w:ind w:left="212" w:right="25"/>
        <w:jc w:val="left"/>
        <w:rPr>
          <w:b w:val="0"/>
          <w:bCs w:val="0"/>
        </w:rPr>
      </w:pPr>
      <w:r>
        <w:rPr>
          <w:rFonts w:ascii="宋体" w:hAnsi="宋体" w:cs="宋体" w:eastAsia="宋体" w:hint="default"/>
        </w:rPr>
        <w:t>(2).</w:t>
      </w:r>
      <w:r>
        <w:rPr>
          <w:rFonts w:ascii="宋体" w:hAnsi="宋体" w:cs="宋体" w:eastAsia="宋体" w:hint="default"/>
          <w:spacing w:val="87"/>
        </w:rPr>
        <w:t> </w:t>
      </w:r>
      <w:r>
        <w:rPr/>
        <w:t>按预付对象归集的期末余额前五名的预付款情况：</w:t>
      </w:r>
      <w:r>
        <w:rPr>
          <w:b w:val="0"/>
          <w:bCs w:val="0"/>
        </w:rPr>
      </w:r>
    </w:p>
    <w:p>
      <w:pPr>
        <w:pStyle w:val="BodyText"/>
        <w:tabs>
          <w:tab w:pos="1055" w:val="left" w:leader="none"/>
        </w:tabs>
        <w:spacing w:line="240" w:lineRule="auto" w:before="59"/>
        <w:ind w:right="25"/>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733"/>
        <w:gridCol w:w="2324"/>
        <w:gridCol w:w="2950"/>
      </w:tblGrid>
      <w:tr>
        <w:trPr>
          <w:trHeight w:val="605" w:hRule="exact"/>
        </w:trPr>
        <w:tc>
          <w:tcPr>
            <w:tcW w:w="3733" w:type="dxa"/>
            <w:tcBorders>
              <w:top w:val="single" w:sz="8" w:space="0" w:color="000000"/>
              <w:left w:val="nil" w:sz="6" w:space="0" w:color="auto"/>
              <w:bottom w:val="single" w:sz="4" w:space="0" w:color="000000"/>
              <w:right w:val="nil" w:sz="6" w:space="0" w:color="auto"/>
            </w:tcBorders>
          </w:tcPr>
          <w:p>
            <w:pPr>
              <w:pStyle w:val="TableParagraph"/>
              <w:spacing w:line="240" w:lineRule="auto" w:before="124"/>
              <w:ind w:left="10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8" w:space="0" w:color="000000"/>
              <w:left w:val="nil" w:sz="6" w:space="0" w:color="auto"/>
              <w:bottom w:val="single" w:sz="4" w:space="0" w:color="000000"/>
              <w:right w:val="nil" w:sz="6" w:space="0" w:color="auto"/>
            </w:tcBorders>
          </w:tcPr>
          <w:p>
            <w:pPr>
              <w:pStyle w:val="TableParagraph"/>
              <w:spacing w:line="272" w:lineRule="exact" w:before="17"/>
              <w:ind w:left="470" w:right="1008"/>
              <w:jc w:val="left"/>
              <w:rPr>
                <w:rFonts w:ascii="宋体" w:hAnsi="宋体" w:cs="宋体" w:eastAsia="宋体" w:hint="default"/>
                <w:sz w:val="21"/>
                <w:szCs w:val="21"/>
              </w:rPr>
            </w:pPr>
            <w:r>
              <w:rPr>
                <w:rFonts w:ascii="宋体" w:hAnsi="宋体" w:cs="宋体" w:eastAsia="宋体" w:hint="default"/>
                <w:spacing w:val="-1"/>
                <w:sz w:val="21"/>
                <w:szCs w:val="21"/>
              </w:rPr>
              <w:t>预付款项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期末余额</w:t>
            </w:r>
          </w:p>
        </w:tc>
        <w:tc>
          <w:tcPr>
            <w:tcW w:w="2950" w:type="dxa"/>
            <w:tcBorders>
              <w:top w:val="single" w:sz="8" w:space="0" w:color="000000"/>
              <w:left w:val="nil" w:sz="6" w:space="0" w:color="auto"/>
              <w:bottom w:val="single" w:sz="4" w:space="0" w:color="000000"/>
              <w:right w:val="nil" w:sz="6" w:space="0" w:color="auto"/>
            </w:tcBorders>
          </w:tcPr>
          <w:p>
            <w:pPr>
              <w:pStyle w:val="TableParagraph"/>
              <w:spacing w:line="272" w:lineRule="exact" w:before="17"/>
              <w:ind w:left="484" w:right="569"/>
              <w:jc w:val="left"/>
              <w:rPr>
                <w:rFonts w:ascii="宋体" w:hAnsi="宋体" w:cs="宋体" w:eastAsia="宋体" w:hint="default"/>
                <w:sz w:val="21"/>
                <w:szCs w:val="21"/>
              </w:rPr>
            </w:pPr>
            <w:r>
              <w:rPr>
                <w:rFonts w:ascii="宋体" w:hAnsi="宋体" w:cs="宋体" w:eastAsia="宋体" w:hint="default"/>
                <w:spacing w:val="-1"/>
                <w:sz w:val="21"/>
                <w:szCs w:val="21"/>
              </w:rPr>
              <w:t>占预付款项期末余额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合计数的比例</w:t>
            </w:r>
            <w:r>
              <w:rPr>
                <w:rFonts w:ascii="宋体" w:hAnsi="宋体" w:cs="宋体" w:eastAsia="宋体" w:hint="default"/>
                <w:sz w:val="21"/>
                <w:szCs w:val="21"/>
              </w:rPr>
              <w:t>%</w:t>
            </w:r>
          </w:p>
        </w:tc>
      </w:tr>
      <w:tr>
        <w:trPr>
          <w:trHeight w:val="394" w:hRule="exact"/>
        </w:trPr>
        <w:tc>
          <w:tcPr>
            <w:tcW w:w="373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上海宝钢不锈钢贸易有限公司</w:t>
            </w:r>
          </w:p>
        </w:tc>
        <w:tc>
          <w:tcPr>
            <w:tcW w:w="232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70" w:right="0"/>
              <w:jc w:val="left"/>
              <w:rPr>
                <w:rFonts w:ascii="宋体" w:hAnsi="宋体" w:cs="宋体" w:eastAsia="宋体" w:hint="default"/>
                <w:sz w:val="21"/>
                <w:szCs w:val="21"/>
              </w:rPr>
            </w:pPr>
            <w:r>
              <w:rPr>
                <w:rFonts w:ascii="宋体"/>
                <w:sz w:val="21"/>
              </w:rPr>
              <w:t>5,567,789.16</w:t>
            </w: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84" w:right="0"/>
              <w:jc w:val="left"/>
              <w:rPr>
                <w:rFonts w:ascii="宋体" w:hAnsi="宋体" w:cs="宋体" w:eastAsia="宋体" w:hint="default"/>
                <w:sz w:val="21"/>
                <w:szCs w:val="21"/>
              </w:rPr>
            </w:pPr>
            <w:r>
              <w:rPr>
                <w:rFonts w:ascii="宋体"/>
                <w:sz w:val="21"/>
              </w:rPr>
              <w:t>12.56</w:t>
            </w:r>
          </w:p>
        </w:tc>
      </w:tr>
      <w:tr>
        <w:trPr>
          <w:trHeight w:val="395"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无锡市酒钢博创钢业有限公司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0" w:right="0"/>
              <w:jc w:val="left"/>
              <w:rPr>
                <w:rFonts w:ascii="宋体" w:hAnsi="宋体" w:cs="宋体" w:eastAsia="宋体" w:hint="default"/>
                <w:sz w:val="21"/>
                <w:szCs w:val="21"/>
              </w:rPr>
            </w:pPr>
            <w:r>
              <w:rPr>
                <w:rFonts w:ascii="宋体"/>
                <w:sz w:val="21"/>
              </w:rPr>
              <w:t>4,196,010.01</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84" w:right="0"/>
              <w:jc w:val="left"/>
              <w:rPr>
                <w:rFonts w:ascii="宋体" w:hAnsi="宋体" w:cs="宋体" w:eastAsia="宋体" w:hint="default"/>
                <w:sz w:val="21"/>
                <w:szCs w:val="21"/>
              </w:rPr>
            </w:pPr>
            <w:r>
              <w:rPr>
                <w:rFonts w:ascii="宋体"/>
                <w:sz w:val="21"/>
              </w:rPr>
              <w:t>9.47</w:t>
            </w:r>
          </w:p>
        </w:tc>
      </w:tr>
      <w:tr>
        <w:trPr>
          <w:trHeight w:val="396"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青岛河钢新材料科技有限公司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0" w:right="0"/>
              <w:jc w:val="left"/>
              <w:rPr>
                <w:rFonts w:ascii="宋体" w:hAnsi="宋体" w:cs="宋体" w:eastAsia="宋体" w:hint="default"/>
                <w:sz w:val="21"/>
                <w:szCs w:val="21"/>
              </w:rPr>
            </w:pPr>
            <w:r>
              <w:rPr>
                <w:rFonts w:ascii="宋体"/>
                <w:sz w:val="21"/>
              </w:rPr>
              <w:t>3,532,990.27</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84" w:right="0"/>
              <w:jc w:val="left"/>
              <w:rPr>
                <w:rFonts w:ascii="宋体" w:hAnsi="宋体" w:cs="宋体" w:eastAsia="宋体" w:hint="default"/>
                <w:sz w:val="21"/>
                <w:szCs w:val="21"/>
              </w:rPr>
            </w:pPr>
            <w:r>
              <w:rPr>
                <w:rFonts w:ascii="宋体"/>
                <w:sz w:val="21"/>
              </w:rPr>
              <w:t>7.97</w:t>
            </w:r>
          </w:p>
        </w:tc>
      </w:tr>
      <w:tr>
        <w:trPr>
          <w:trHeight w:val="397"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北京金阳科创太阳能技术有限公司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0" w:right="0"/>
              <w:jc w:val="left"/>
              <w:rPr>
                <w:rFonts w:ascii="宋体" w:hAnsi="宋体" w:cs="宋体" w:eastAsia="宋体" w:hint="default"/>
                <w:sz w:val="21"/>
                <w:szCs w:val="21"/>
              </w:rPr>
            </w:pPr>
            <w:r>
              <w:rPr>
                <w:rFonts w:ascii="宋体"/>
                <w:sz w:val="21"/>
              </w:rPr>
              <w:t>1,600,800.00</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84" w:right="0"/>
              <w:jc w:val="left"/>
              <w:rPr>
                <w:rFonts w:ascii="宋体" w:hAnsi="宋体" w:cs="宋体" w:eastAsia="宋体" w:hint="default"/>
                <w:sz w:val="21"/>
                <w:szCs w:val="21"/>
              </w:rPr>
            </w:pPr>
            <w:r>
              <w:rPr>
                <w:rFonts w:ascii="宋体"/>
                <w:sz w:val="21"/>
              </w:rPr>
              <w:t>3.61</w:t>
            </w:r>
          </w:p>
        </w:tc>
      </w:tr>
      <w:tr>
        <w:trPr>
          <w:trHeight w:val="407" w:hRule="exact"/>
        </w:trPr>
        <w:tc>
          <w:tcPr>
            <w:tcW w:w="3733"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昌荣传媒有限公司</w:t>
            </w:r>
          </w:p>
        </w:tc>
        <w:tc>
          <w:tcPr>
            <w:tcW w:w="2324"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470" w:right="0"/>
              <w:jc w:val="left"/>
              <w:rPr>
                <w:rFonts w:ascii="宋体" w:hAnsi="宋体" w:cs="宋体" w:eastAsia="宋体" w:hint="default"/>
                <w:sz w:val="21"/>
                <w:szCs w:val="21"/>
              </w:rPr>
            </w:pPr>
            <w:r>
              <w:rPr>
                <w:rFonts w:ascii="宋体"/>
                <w:sz w:val="21"/>
              </w:rPr>
              <w:t>1,542,452.83</w:t>
            </w:r>
          </w:p>
        </w:tc>
        <w:tc>
          <w:tcPr>
            <w:tcW w:w="2950"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484" w:right="0"/>
              <w:jc w:val="left"/>
              <w:rPr>
                <w:rFonts w:ascii="宋体" w:hAnsi="宋体" w:cs="宋体" w:eastAsia="宋体" w:hint="default"/>
                <w:sz w:val="21"/>
                <w:szCs w:val="21"/>
              </w:rPr>
            </w:pPr>
            <w:r>
              <w:rPr>
                <w:rFonts w:ascii="宋体"/>
                <w:sz w:val="21"/>
              </w:rPr>
              <w:t>3.48</w:t>
            </w:r>
          </w:p>
        </w:tc>
      </w:tr>
      <w:tr>
        <w:trPr>
          <w:trHeight w:val="398" w:hRule="exact"/>
        </w:trPr>
        <w:tc>
          <w:tcPr>
            <w:tcW w:w="3733" w:type="dxa"/>
            <w:tcBorders>
              <w:top w:val="single" w:sz="8"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18"/>
              <w:ind w:left="10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24"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470" w:right="0"/>
              <w:jc w:val="left"/>
              <w:rPr>
                <w:rFonts w:ascii="宋体" w:hAnsi="宋体" w:cs="宋体" w:eastAsia="宋体" w:hint="default"/>
                <w:sz w:val="21"/>
                <w:szCs w:val="21"/>
              </w:rPr>
            </w:pPr>
            <w:r>
              <w:rPr>
                <w:rFonts w:ascii="宋体"/>
                <w:sz w:val="21"/>
              </w:rPr>
              <w:t>16,440,042.27</w:t>
            </w:r>
          </w:p>
        </w:tc>
        <w:tc>
          <w:tcPr>
            <w:tcW w:w="2950"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696" w:right="0"/>
              <w:jc w:val="left"/>
              <w:rPr>
                <w:rFonts w:ascii="宋体" w:hAnsi="宋体" w:cs="宋体" w:eastAsia="宋体" w:hint="default"/>
                <w:sz w:val="21"/>
                <w:szCs w:val="21"/>
              </w:rPr>
            </w:pPr>
            <w:r>
              <w:rPr>
                <w:rFonts w:ascii="宋体"/>
                <w:sz w:val="21"/>
              </w:rPr>
              <w:t>37.09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5"/>
        <w:jc w:val="left"/>
      </w:pPr>
      <w:r>
        <w:rPr/>
        <w:t>其他说明</w:t>
      </w:r>
    </w:p>
    <w:p>
      <w:pPr>
        <w:pStyle w:val="BodyText"/>
        <w:tabs>
          <w:tab w:pos="1055" w:val="left" w:leader="none"/>
        </w:tabs>
        <w:spacing w:line="273" w:lineRule="exact"/>
        <w:ind w:right="25"/>
        <w:jc w:val="left"/>
      </w:pPr>
      <w:r>
        <w:rPr/>
        <w:t>□适用</w:t>
        <w:tab/>
        <w:t>√不适用</w:t>
      </w:r>
    </w:p>
    <w:p>
      <w:pPr>
        <w:spacing w:after="0" w:line="273" w:lineRule="exact"/>
        <w:jc w:val="left"/>
        <w:sectPr>
          <w:type w:val="continuous"/>
          <w:pgSz w:w="11910" w:h="16850"/>
          <w:pgMar w:top="1120" w:bottom="1380" w:left="920" w:right="1680"/>
        </w:sectPr>
      </w:pPr>
    </w:p>
    <w:p>
      <w:pPr>
        <w:spacing w:line="240" w:lineRule="auto" w:before="3"/>
        <w:rPr>
          <w:rFonts w:ascii="宋体" w:hAnsi="宋体" w:cs="宋体" w:eastAsia="宋体" w:hint="default"/>
          <w:sz w:val="2"/>
          <w:szCs w:val="2"/>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442.1pt;height:.75pt;mso-position-horizontal-relative:char;mso-position-vertical-relative:line" coordorigin="0,0" coordsize="8842,15">
            <v:group style="position:absolute;left:7;top:7;width:8827;height:2" coordorigin="7,7" coordsize="8827,2">
              <v:shape style="position:absolute;left:7;top:7;width:8827;height:2" coordorigin="7,7" coordsize="8827,0" path="m7,7l8834,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50"/>
          <w:pgMar w:header="762" w:footer="941" w:top="960" w:bottom="1140" w:left="600" w:right="1160"/>
        </w:sectPr>
      </w:pPr>
    </w:p>
    <w:p>
      <w:pPr>
        <w:pStyle w:val="Heading5"/>
        <w:spacing w:line="240" w:lineRule="auto" w:before="36"/>
        <w:ind w:left="532"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5"/>
        <w:spacing w:line="240" w:lineRule="auto" w:before="56"/>
        <w:ind w:left="532" w:right="-19"/>
        <w:jc w:val="left"/>
        <w:rPr>
          <w:b w:val="0"/>
          <w:bCs w:val="0"/>
        </w:rPr>
      </w:pPr>
      <w:r>
        <w:rPr>
          <w:rFonts w:ascii="宋体" w:hAnsi="宋体" w:cs="宋体" w:eastAsia="宋体" w:hint="default"/>
        </w:rPr>
        <w:t>(1).</w:t>
      </w:r>
      <w:r>
        <w:rPr>
          <w:rFonts w:ascii="宋体" w:hAnsi="宋体" w:cs="宋体" w:eastAsia="宋体" w:hint="default"/>
          <w:spacing w:val="20"/>
        </w:rPr>
        <w:t> </w:t>
      </w:r>
      <w:r>
        <w:rPr/>
        <w:t>应收利息分类</w:t>
      </w:r>
      <w:r>
        <w:rPr>
          <w:b w:val="0"/>
          <w:bCs w:val="0"/>
        </w:rPr>
      </w:r>
    </w:p>
    <w:p>
      <w:pPr>
        <w:pStyle w:val="BodyText"/>
        <w:spacing w:line="240" w:lineRule="auto" w:before="58"/>
        <w:ind w:left="53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3" w:val="left" w:leader="none"/>
        </w:tabs>
        <w:spacing w:line="240" w:lineRule="auto"/>
        <w:ind w:left="532" w:right="0"/>
        <w:jc w:val="left"/>
      </w:pPr>
      <w:r>
        <w:rPr>
          <w:spacing w:val="-1"/>
        </w:rPr>
        <w:t>单位：元</w:t>
        <w:tab/>
        <w:t>币种：人民币</w:t>
      </w:r>
    </w:p>
    <w:p>
      <w:pPr>
        <w:spacing w:after="0" w:line="240" w:lineRule="auto"/>
        <w:jc w:val="left"/>
        <w:sectPr>
          <w:type w:val="continuous"/>
          <w:pgSz w:w="11910" w:h="16850"/>
          <w:pgMar w:top="1120" w:bottom="1380" w:left="600" w:right="1160"/>
          <w:cols w:num="2" w:equalWidth="0">
            <w:col w:w="2348" w:space="4131"/>
            <w:col w:w="3671"/>
          </w:cols>
        </w:sectPr>
      </w:pPr>
    </w:p>
    <w:p>
      <w:pPr>
        <w:spacing w:line="240" w:lineRule="auto" w:before="7"/>
        <w:rPr>
          <w:rFonts w:ascii="宋体" w:hAnsi="宋体" w:cs="宋体" w:eastAsia="宋体" w:hint="default"/>
          <w:sz w:val="2"/>
          <w:szCs w:val="2"/>
        </w:rPr>
      </w:pPr>
    </w:p>
    <w:tbl>
      <w:tblPr>
        <w:tblW w:w="0" w:type="auto"/>
        <w:jc w:val="left"/>
        <w:tblInd w:w="496" w:type="dxa"/>
        <w:tblLayout w:type="fixed"/>
        <w:tblCellMar>
          <w:top w:w="0" w:type="dxa"/>
          <w:left w:w="0" w:type="dxa"/>
          <w:bottom w:w="0" w:type="dxa"/>
          <w:right w:w="0" w:type="dxa"/>
        </w:tblCellMar>
        <w:tblLook w:val="01E0"/>
      </w:tblPr>
      <w:tblGrid>
        <w:gridCol w:w="2766"/>
        <w:gridCol w:w="3034"/>
        <w:gridCol w:w="3051"/>
      </w:tblGrid>
      <w:tr>
        <w:trPr>
          <w:trHeight w:val="283"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2"/>
              <w:jc w:val="right"/>
              <w:rPr>
                <w:rFonts w:ascii="宋体" w:hAnsi="宋体" w:cs="宋体" w:eastAsia="宋体" w:hint="default"/>
                <w:sz w:val="21"/>
                <w:szCs w:val="21"/>
              </w:rPr>
            </w:pPr>
            <w:r>
              <w:rPr>
                <w:rFonts w:ascii="宋体" w:hAnsi="宋体" w:cs="宋体" w:eastAsia="宋体" w:hint="default"/>
                <w:sz w:val="21"/>
                <w:szCs w:val="21"/>
              </w:rPr>
              <w:t>项目</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11,703.45</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10,960.20</w:t>
            </w:r>
          </w:p>
        </w:tc>
      </w:tr>
      <w:tr>
        <w:trPr>
          <w:trHeight w:val="283"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理财产品利息</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5,870,814.99</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5,058,889.05</w:t>
            </w:r>
          </w:p>
        </w:tc>
      </w:tr>
      <w:tr>
        <w:trPr>
          <w:trHeight w:val="283"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2"/>
              <w:jc w:val="right"/>
              <w:rPr>
                <w:rFonts w:ascii="宋体" w:hAnsi="宋体" w:cs="宋体" w:eastAsia="宋体" w:hint="default"/>
                <w:sz w:val="21"/>
                <w:szCs w:val="21"/>
              </w:rPr>
            </w:pPr>
            <w:r>
              <w:rPr>
                <w:rFonts w:ascii="宋体" w:hAnsi="宋体" w:cs="宋体" w:eastAsia="宋体" w:hint="default"/>
                <w:sz w:val="21"/>
                <w:szCs w:val="21"/>
              </w:rPr>
              <w:t>合计</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5,882,518.44</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5,069,849.25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532" w:right="0"/>
        <w:jc w:val="left"/>
        <w:rPr>
          <w:b w:val="0"/>
          <w:bCs w:val="0"/>
        </w:rPr>
      </w:pPr>
      <w:r>
        <w:rPr>
          <w:rFonts w:ascii="宋体" w:hAnsi="宋体" w:cs="宋体" w:eastAsia="宋体" w:hint="default"/>
        </w:rPr>
        <w:t>(2).</w:t>
      </w:r>
      <w:r>
        <w:rPr>
          <w:rFonts w:ascii="宋体" w:hAnsi="宋体" w:cs="宋体" w:eastAsia="宋体" w:hint="default"/>
          <w:spacing w:val="20"/>
        </w:rPr>
        <w:t> </w:t>
      </w:r>
      <w:r>
        <w:rPr/>
        <w:t>重要逾期利息</w:t>
      </w:r>
      <w:r>
        <w:rPr>
          <w:b w:val="0"/>
          <w:bCs w:val="0"/>
        </w:rPr>
      </w:r>
    </w:p>
    <w:p>
      <w:pPr>
        <w:pStyle w:val="BodyText"/>
        <w:spacing w:line="240" w:lineRule="auto" w:before="57"/>
        <w:ind w:left="532" w:right="8019"/>
        <w:jc w:val="left"/>
      </w:pPr>
      <w:r>
        <w:rPr/>
        <w:t>□适用 √不适用</w:t>
      </w:r>
      <w:r>
        <w:rPr>
          <w:w w:val="100"/>
        </w:rPr>
        <w:t> </w:t>
      </w:r>
      <w:r>
        <w:rPr/>
        <w:t>其他说明：</w:t>
      </w:r>
    </w:p>
    <w:p>
      <w:pPr>
        <w:pStyle w:val="BodyText"/>
        <w:tabs>
          <w:tab w:pos="1375" w:val="left" w:leader="none"/>
        </w:tabs>
        <w:spacing w:line="271" w:lineRule="exact"/>
        <w:ind w:left="532" w:right="0"/>
        <w:jc w:val="left"/>
      </w:pPr>
      <w:r>
        <w:rPr/>
        <w:t>□适用</w:t>
        <w:tab/>
        <w:t>√不适用</w:t>
      </w:r>
    </w:p>
    <w:p>
      <w:pPr>
        <w:spacing w:line="240" w:lineRule="auto" w:before="3"/>
        <w:rPr>
          <w:rFonts w:ascii="宋体" w:hAnsi="宋体" w:cs="宋体" w:eastAsia="宋体" w:hint="default"/>
          <w:sz w:val="25"/>
          <w:szCs w:val="25"/>
        </w:rPr>
      </w:pPr>
    </w:p>
    <w:p>
      <w:pPr>
        <w:pStyle w:val="Heading5"/>
        <w:spacing w:line="290" w:lineRule="auto"/>
        <w:ind w:left="532" w:right="8191"/>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1"/>
        </w:rPr>
        <w:t> </w:t>
      </w:r>
      <w:r>
        <w:rPr/>
        <w:t>应收股利</w:t>
      </w:r>
      <w:r>
        <w:rPr>
          <w:b w:val="0"/>
          <w:bCs w:val="0"/>
        </w:rPr>
      </w:r>
    </w:p>
    <w:p>
      <w:pPr>
        <w:pStyle w:val="BodyText"/>
        <w:spacing w:line="240" w:lineRule="auto" w:before="14"/>
        <w:ind w:left="532" w:right="0"/>
        <w:jc w:val="left"/>
      </w:pPr>
      <w:r>
        <w:rPr/>
        <w:t>□适用 √不适用</w:t>
      </w:r>
    </w:p>
    <w:p>
      <w:pPr>
        <w:pStyle w:val="Heading5"/>
        <w:spacing w:line="240" w:lineRule="auto" w:before="56"/>
        <w:ind w:left="532"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9"/>
        <w:ind w:left="532" w:right="8019"/>
        <w:jc w:val="left"/>
      </w:pPr>
      <w:r>
        <w:rPr/>
        <w:t>□适用 √不适用</w:t>
      </w:r>
      <w:r>
        <w:rPr>
          <w:w w:val="100"/>
        </w:rPr>
        <w:t> </w:t>
      </w:r>
      <w:r>
        <w:rPr/>
        <w:t>其他说明：</w:t>
      </w:r>
    </w:p>
    <w:p>
      <w:pPr>
        <w:pStyle w:val="BodyText"/>
        <w:spacing w:line="249" w:lineRule="exact"/>
        <w:ind w:left="532"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600" w:right="1160"/>
        </w:sectPr>
      </w:pPr>
    </w:p>
    <w:p>
      <w:pPr>
        <w:pStyle w:val="Heading5"/>
        <w:spacing w:line="240" w:lineRule="auto" w:before="36"/>
        <w:ind w:left="532"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5"/>
        <w:spacing w:line="240" w:lineRule="auto" w:before="56"/>
        <w:ind w:left="532" w:right="-19"/>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pStyle w:val="BodyText"/>
        <w:spacing w:line="240" w:lineRule="auto" w:before="58"/>
        <w:ind w:left="53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3" w:val="left" w:leader="none"/>
        </w:tabs>
        <w:spacing w:line="240" w:lineRule="auto"/>
        <w:ind w:left="532" w:right="0"/>
        <w:jc w:val="left"/>
      </w:pPr>
      <w:r>
        <w:rPr>
          <w:spacing w:val="-1"/>
        </w:rPr>
        <w:t>单位：元</w:t>
        <w:tab/>
        <w:t>币种：人民币</w:t>
      </w:r>
    </w:p>
    <w:p>
      <w:pPr>
        <w:spacing w:after="0" w:line="240" w:lineRule="auto"/>
        <w:jc w:val="left"/>
        <w:sectPr>
          <w:type w:val="continuous"/>
          <w:pgSz w:w="11910" w:h="16850"/>
          <w:pgMar w:top="1120" w:bottom="1380" w:left="600" w:right="1160"/>
          <w:cols w:num="2" w:equalWidth="0">
            <w:col w:w="3023" w:space="3351"/>
            <w:col w:w="377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49"/>
        <w:gridCol w:w="1111"/>
        <w:gridCol w:w="439"/>
        <w:gridCol w:w="1037"/>
        <w:gridCol w:w="511"/>
        <w:gridCol w:w="1198"/>
        <w:gridCol w:w="1037"/>
        <w:gridCol w:w="571"/>
        <w:gridCol w:w="1133"/>
        <w:gridCol w:w="711"/>
        <w:gridCol w:w="1130"/>
      </w:tblGrid>
      <w:tr>
        <w:trPr>
          <w:trHeight w:val="293" w:hRule="exact"/>
        </w:trPr>
        <w:tc>
          <w:tcPr>
            <w:tcW w:w="10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2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049" w:type="dxa"/>
            <w:vMerge/>
            <w:tcBorders>
              <w:left w:val="single" w:sz="4" w:space="0" w:color="000000"/>
              <w:right w:val="single" w:sz="4" w:space="0" w:color="000000"/>
            </w:tcBorders>
          </w:tcPr>
          <w:p>
            <w:pP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79"/>
              <w:ind w:left="446" w:right="437"/>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79"/>
              <w:ind w:left="410" w:right="407"/>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049"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0" w:right="0"/>
              <w:jc w:val="left"/>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4"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4"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98"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0"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70" w:right="0"/>
              <w:jc w:val="left"/>
              <w:rPr>
                <w:rFonts w:ascii="宋体" w:hAnsi="宋体" w:cs="宋体" w:eastAsia="宋体" w:hint="default"/>
                <w:sz w:val="15"/>
                <w:szCs w:val="15"/>
              </w:rPr>
            </w:pPr>
            <w:r>
              <w:rPr>
                <w:rFonts w:ascii="宋体"/>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195" w:lineRule="exact"/>
              <w:ind w:left="1" w:right="0"/>
              <w:jc w:val="center"/>
              <w:rPr>
                <w:rFonts w:ascii="宋体" w:hAnsi="宋体" w:cs="宋体" w:eastAsia="宋体" w:hint="default"/>
                <w:sz w:val="15"/>
                <w:szCs w:val="15"/>
              </w:rPr>
            </w:pPr>
            <w:r>
              <w:rPr>
                <w:rFonts w:ascii="宋体"/>
                <w:sz w:val="15"/>
              </w:rPr>
              <w:t>(%)</w:t>
            </w:r>
          </w:p>
        </w:tc>
        <w:tc>
          <w:tcPr>
            <w:tcW w:w="1130" w:type="dxa"/>
            <w:vMerge/>
            <w:tcBorders>
              <w:left w:val="single" w:sz="4" w:space="0" w:color="000000"/>
              <w:bottom w:val="single" w:sz="4" w:space="0" w:color="000000"/>
              <w:right w:val="single" w:sz="4" w:space="0" w:color="000000"/>
            </w:tcBorders>
          </w:tcPr>
          <w:p>
            <w:pPr/>
          </w:p>
        </w:tc>
      </w:tr>
      <w:tr>
        <w:trPr>
          <w:trHeight w:val="790"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 w:right="0"/>
              <w:jc w:val="both"/>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ind w:left="28" w:right="106"/>
              <w:jc w:val="both"/>
              <w:rPr>
                <w:rFonts w:ascii="宋体" w:hAnsi="宋体" w:cs="宋体" w:eastAsia="宋体" w:hint="default"/>
                <w:sz w:val="15"/>
                <w:szCs w:val="15"/>
              </w:rPr>
            </w:pPr>
            <w:r>
              <w:rPr>
                <w:rFonts w:ascii="宋体" w:hAnsi="宋体" w:cs="宋体" w:eastAsia="宋体" w:hint="default"/>
                <w:sz w:val="15"/>
                <w:szCs w:val="15"/>
              </w:rPr>
              <w:t>并单独计提坏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8"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8" w:right="106"/>
              <w:jc w:val="both"/>
              <w:rPr>
                <w:rFonts w:ascii="宋体" w:hAnsi="宋体" w:cs="宋体" w:eastAsia="宋体" w:hint="default"/>
                <w:sz w:val="15"/>
                <w:szCs w:val="15"/>
              </w:rPr>
            </w:pPr>
            <w:r>
              <w:rPr>
                <w:rFonts w:ascii="宋体" w:hAnsi="宋体" w:cs="宋体" w:eastAsia="宋体" w:hint="default"/>
                <w:sz w:val="15"/>
                <w:szCs w:val="15"/>
              </w:rPr>
              <w:t>征组合计提坏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116,319,388.39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98.21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31,185,868.70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sz w:val="15"/>
              </w:rPr>
              <w:t>26.81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85,133,519.69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66,836,562.06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99.09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14,786,228.59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22.12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9" w:right="0"/>
              <w:jc w:val="left"/>
              <w:rPr>
                <w:rFonts w:ascii="宋体" w:hAnsi="宋体" w:cs="宋体" w:eastAsia="宋体" w:hint="default"/>
                <w:sz w:val="15"/>
                <w:szCs w:val="15"/>
              </w:rPr>
            </w:pPr>
            <w:r>
              <w:rPr>
                <w:rFonts w:ascii="宋体"/>
                <w:sz w:val="15"/>
              </w:rPr>
              <w:t>52,050,333.47</w:t>
            </w:r>
          </w:p>
        </w:tc>
      </w:tr>
      <w:tr>
        <w:trPr>
          <w:trHeight w:val="78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8" w:right="0"/>
              <w:jc w:val="both"/>
              <w:rPr>
                <w:rFonts w:ascii="宋体" w:hAnsi="宋体" w:cs="宋体" w:eastAsia="宋体" w:hint="default"/>
                <w:sz w:val="15"/>
                <w:szCs w:val="15"/>
              </w:rPr>
            </w:pPr>
            <w:r>
              <w:rPr>
                <w:rFonts w:ascii="宋体" w:hAnsi="宋体" w:cs="宋体" w:eastAsia="宋体" w:hint="default"/>
                <w:sz w:val="15"/>
                <w:szCs w:val="15"/>
              </w:rPr>
              <w:t>单项金额不重</w:t>
            </w:r>
          </w:p>
          <w:p>
            <w:pPr>
              <w:pStyle w:val="TableParagraph"/>
              <w:spacing w:line="240" w:lineRule="auto"/>
              <w:ind w:left="28" w:right="106"/>
              <w:jc w:val="both"/>
              <w:rPr>
                <w:rFonts w:ascii="宋体" w:hAnsi="宋体" w:cs="宋体" w:eastAsia="宋体" w:hint="default"/>
                <w:sz w:val="15"/>
                <w:szCs w:val="15"/>
              </w:rPr>
            </w:pPr>
            <w:r>
              <w:rPr>
                <w:rFonts w:ascii="宋体" w:hAnsi="宋体" w:cs="宋体" w:eastAsia="宋体" w:hint="default"/>
                <w:sz w:val="15"/>
                <w:szCs w:val="15"/>
              </w:rPr>
              <w:t>大但单独计提</w:t>
            </w:r>
            <w:r>
              <w:rPr>
                <w:rFonts w:ascii="宋体" w:hAnsi="宋体" w:cs="宋体" w:eastAsia="宋体" w:hint="default"/>
                <w:w w:val="100"/>
                <w:sz w:val="15"/>
                <w:szCs w:val="15"/>
              </w:rPr>
              <w:t> </w:t>
            </w:r>
            <w:r>
              <w:rPr>
                <w:rFonts w:ascii="宋体" w:hAnsi="宋体" w:cs="宋体" w:eastAsia="宋体" w:hint="default"/>
                <w:sz w:val="15"/>
                <w:szCs w:val="15"/>
              </w:rPr>
              <w:t>坏账准备的其</w:t>
            </w:r>
            <w:r>
              <w:rPr>
                <w:rFonts w:ascii="宋体" w:hAnsi="宋体" w:cs="宋体" w:eastAsia="宋体" w:hint="default"/>
                <w:w w:val="100"/>
                <w:sz w:val="15"/>
                <w:szCs w:val="15"/>
              </w:rPr>
              <w:t> </w:t>
            </w:r>
            <w:r>
              <w:rPr>
                <w:rFonts w:ascii="宋体" w:hAnsi="宋体" w:cs="宋体" w:eastAsia="宋体" w:hint="default"/>
                <w:sz w:val="15"/>
                <w:szCs w:val="15"/>
              </w:rPr>
              <w:t>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2,124,056.06</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sz w:val="15"/>
              </w:rPr>
              <w:t>1.79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2,124,056.06</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100.00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614,056.06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0.91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614,056.06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118,443,444.45</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33,309,924.76</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85,133,519.69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67,450,618.12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center"/>
              <w:rPr>
                <w:rFonts w:ascii="宋体" w:hAnsi="宋体" w:cs="宋体" w:eastAsia="宋体" w:hint="default"/>
                <w:sz w:val="15"/>
                <w:szCs w:val="15"/>
              </w:rPr>
            </w:pPr>
            <w:r>
              <w:rPr>
                <w:rFonts w:ascii="宋体"/>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15,400,284.65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sz w:val="15"/>
              </w:rPr>
              <w:t>52,050,333.47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50"/>
          <w:pgMar w:top="1120" w:bottom="1380" w:left="600" w:right="1160"/>
        </w:sectPr>
      </w:pPr>
    </w:p>
    <w:p>
      <w:pPr>
        <w:pStyle w:val="BodyText"/>
        <w:spacing w:line="274" w:lineRule="exact" w:before="36"/>
        <w:ind w:left="532" w:right="0"/>
        <w:jc w:val="left"/>
      </w:pPr>
      <w:r>
        <w:rPr>
          <w:spacing w:val="-2"/>
        </w:rPr>
        <w:t>期末单项金额重大并单项计提坏帐准备的其他应收款</w:t>
      </w:r>
    </w:p>
    <w:p>
      <w:pPr>
        <w:pStyle w:val="BodyText"/>
        <w:spacing w:line="272" w:lineRule="exact" w:before="27"/>
        <w:ind w:left="532"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tabs>
          <w:tab w:pos="1375" w:val="left" w:leader="none"/>
        </w:tabs>
        <w:spacing w:line="249" w:lineRule="exact"/>
        <w:ind w:left="532"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583" w:val="left" w:leader="none"/>
        </w:tabs>
        <w:spacing w:line="240" w:lineRule="auto"/>
        <w:ind w:left="532" w:right="0"/>
        <w:jc w:val="left"/>
      </w:pPr>
      <w:r>
        <w:rPr>
          <w:spacing w:val="-1"/>
        </w:rPr>
        <w:t>单位：元</w:t>
        <w:tab/>
        <w:t>币种：人民币</w:t>
      </w:r>
    </w:p>
    <w:p>
      <w:pPr>
        <w:spacing w:after="0" w:line="240" w:lineRule="auto"/>
        <w:jc w:val="left"/>
        <w:sectPr>
          <w:type w:val="continuous"/>
          <w:pgSz w:w="11910" w:h="16850"/>
          <w:pgMar w:top="1120" w:bottom="1380" w:left="600" w:right="1160"/>
          <w:cols w:num="2" w:equalWidth="0">
            <w:col w:w="5368" w:space="1111"/>
            <w:col w:w="3671"/>
          </w:cols>
        </w:sectPr>
      </w:pPr>
    </w:p>
    <w:p>
      <w:pPr>
        <w:spacing w:line="240" w:lineRule="auto" w:before="7"/>
        <w:rPr>
          <w:rFonts w:ascii="宋体" w:hAnsi="宋体" w:cs="宋体" w:eastAsia="宋体" w:hint="default"/>
          <w:sz w:val="2"/>
          <w:szCs w:val="2"/>
        </w:rPr>
      </w:pPr>
    </w:p>
    <w:tbl>
      <w:tblPr>
        <w:tblW w:w="0" w:type="auto"/>
        <w:jc w:val="left"/>
        <w:tblInd w:w="496" w:type="dxa"/>
        <w:tblLayout w:type="fixed"/>
        <w:tblCellMar>
          <w:top w:w="0" w:type="dxa"/>
          <w:left w:w="0" w:type="dxa"/>
          <w:bottom w:w="0" w:type="dxa"/>
          <w:right w:w="0" w:type="dxa"/>
        </w:tblCellMar>
        <w:tblLook w:val="01E0"/>
      </w:tblPr>
      <w:tblGrid>
        <w:gridCol w:w="2362"/>
        <w:gridCol w:w="2192"/>
        <w:gridCol w:w="2122"/>
        <w:gridCol w:w="2177"/>
      </w:tblGrid>
      <w:tr>
        <w:trPr>
          <w:trHeight w:val="281"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4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62" w:type="dxa"/>
            <w:vMerge/>
            <w:tcBorders>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2" w:right="0"/>
              <w:jc w:val="left"/>
              <w:rPr>
                <w:rFonts w:ascii="宋体" w:hAnsi="宋体" w:cs="宋体" w:eastAsia="宋体" w:hint="default"/>
                <w:sz w:val="21"/>
                <w:szCs w:val="21"/>
              </w:rPr>
            </w:pPr>
            <w:r>
              <w:rPr>
                <w:rFonts w:ascii="宋体"/>
                <w:sz w:val="21"/>
              </w:rPr>
              <w:t>65,840,518.89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sz w:val="21"/>
              </w:rPr>
              <w:t>6,584,051.91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bl>
    <w:p>
      <w:pPr>
        <w:spacing w:after="0" w:line="241" w:lineRule="exact"/>
        <w:jc w:val="right"/>
        <w:rPr>
          <w:rFonts w:ascii="宋体" w:hAnsi="宋体" w:cs="宋体" w:eastAsia="宋体" w:hint="default"/>
          <w:sz w:val="21"/>
          <w:szCs w:val="21"/>
        </w:rPr>
        <w:sectPr>
          <w:type w:val="continuous"/>
          <w:pgSz w:w="11910" w:h="16850"/>
          <w:pgMar w:top="1120" w:bottom="1380" w:left="600" w:right="1160"/>
        </w:sectPr>
      </w:pPr>
    </w:p>
    <w:p>
      <w:pPr>
        <w:spacing w:line="240" w:lineRule="auto" w:before="1"/>
        <w:rPr>
          <w:rFonts w:ascii="宋体" w:hAnsi="宋体" w:cs="宋体" w:eastAsia="宋体" w:hint="default"/>
          <w:sz w:val="13"/>
          <w:szCs w:val="13"/>
        </w:rPr>
      </w:pPr>
    </w:p>
    <w:tbl>
      <w:tblPr>
        <w:tblW w:w="0" w:type="auto"/>
        <w:jc w:val="left"/>
        <w:tblInd w:w="176" w:type="dxa"/>
        <w:tblLayout w:type="fixed"/>
        <w:tblCellMar>
          <w:top w:w="0" w:type="dxa"/>
          <w:left w:w="0" w:type="dxa"/>
          <w:bottom w:w="0" w:type="dxa"/>
          <w:right w:w="0" w:type="dxa"/>
        </w:tblCellMar>
        <w:tblLook w:val="01E0"/>
      </w:tblPr>
      <w:tblGrid>
        <w:gridCol w:w="2362"/>
        <w:gridCol w:w="2192"/>
        <w:gridCol w:w="2122"/>
        <w:gridCol w:w="2177"/>
      </w:tblGrid>
      <w:tr>
        <w:trPr>
          <w:trHeight w:val="28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65,840,518.89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6,584,051.91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w:t>
            </w:r>
          </w:p>
        </w:tc>
      </w:tr>
      <w:tr>
        <w:trPr>
          <w:trHeight w:val="28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23,857,345.17</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7,157,203.57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w:t>
            </w:r>
          </w:p>
        </w:tc>
      </w:tr>
      <w:tr>
        <w:trPr>
          <w:trHeight w:val="281"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18,353,822.27</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9,176,911.16</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8,267,702.06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8,267,702.06</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116,319,388.39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31,185,868.70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26.81</w:t>
            </w:r>
          </w:p>
        </w:tc>
      </w:tr>
    </w:tbl>
    <w:p>
      <w:pPr>
        <w:spacing w:line="240" w:lineRule="auto" w:before="5"/>
        <w:rPr>
          <w:rFonts w:ascii="宋体" w:hAnsi="宋体" w:cs="宋体" w:eastAsia="宋体" w:hint="default"/>
          <w:sz w:val="15"/>
          <w:szCs w:val="15"/>
        </w:rPr>
      </w:pPr>
    </w:p>
    <w:p>
      <w:pPr>
        <w:pStyle w:val="BodyText"/>
        <w:spacing w:line="240" w:lineRule="auto" w:before="36"/>
        <w:ind w:right="1424"/>
        <w:jc w:val="left"/>
      </w:pPr>
      <w:r>
        <w:rPr/>
        <w:t>确定该组合依据的说明：</w:t>
      </w:r>
      <w:r>
        <w:rPr>
          <w:w w:val="100"/>
        </w:rPr>
        <w:t> </w:t>
      </w:r>
      <w:r>
        <w:rPr>
          <w:spacing w:val="-2"/>
        </w:rPr>
        <w:t>公司管理层认为应收账款相同账龄具有相同或类似信用风险。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5"/>
        <w:jc w:val="left"/>
      </w:pPr>
      <w:r>
        <w:rPr/>
        <w:t>组合中，采用余额百分比法计提坏账准备的其他应收款：</w:t>
      </w:r>
    </w:p>
    <w:p>
      <w:pPr>
        <w:pStyle w:val="BodyText"/>
        <w:spacing w:line="274" w:lineRule="exact"/>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5"/>
        <w:jc w:val="left"/>
      </w:pPr>
      <w:r>
        <w:rPr/>
        <w:t>组合中，采用其他方法计提坏账准备的其他应收款：</w:t>
      </w:r>
    </w:p>
    <w:p>
      <w:pPr>
        <w:pStyle w:val="BodyText"/>
        <w:spacing w:line="274" w:lineRule="exact"/>
        <w:ind w:right="25"/>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(2).</w:t>
      </w:r>
      <w:r>
        <w:rPr>
          <w:rFonts w:ascii="宋体" w:hAnsi="宋体" w:cs="宋体" w:eastAsia="宋体" w:hint="default"/>
          <w:spacing w:val="59"/>
        </w:rPr>
        <w:t> </w:t>
      </w:r>
      <w:r>
        <w:rPr/>
        <w:t>本期计提、收回或转回的坏账准备情况：</w:t>
      </w:r>
      <w:r>
        <w:rPr>
          <w:b w:val="0"/>
          <w:bCs w:val="0"/>
        </w:rPr>
      </w:r>
    </w:p>
    <w:p>
      <w:pPr>
        <w:pStyle w:val="BodyText"/>
        <w:spacing w:line="240" w:lineRule="auto" w:before="56"/>
        <w:ind w:right="1424"/>
        <w:jc w:val="left"/>
      </w:pPr>
      <w:r>
        <w:rPr/>
        <w:t>本期计提坏账准备金额</w:t>
      </w:r>
      <w:r>
        <w:rPr>
          <w:spacing w:val="-55"/>
        </w:rPr>
        <w:t> </w:t>
      </w:r>
      <w:r>
        <w:rPr>
          <w:rFonts w:ascii="宋体" w:hAnsi="宋体" w:cs="宋体" w:eastAsia="宋体" w:hint="default"/>
        </w:rPr>
        <w:t>13,178,356.06</w:t>
      </w:r>
      <w:r>
        <w:rPr>
          <w:rFonts w:ascii="宋体" w:hAnsi="宋体" w:cs="宋体" w:eastAsia="宋体" w:hint="default"/>
          <w:spacing w:val="-54"/>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71" w:lineRule="exact"/>
        <w:ind w:right="25"/>
        <w:jc w:val="left"/>
      </w:pPr>
      <w:r>
        <w:rPr/>
        <w:t>□适用 √不适用</w:t>
      </w:r>
    </w:p>
    <w:p>
      <w:pPr>
        <w:pStyle w:val="Heading5"/>
        <w:spacing w:line="240" w:lineRule="auto" w:before="58"/>
        <w:ind w:left="212" w:right="25"/>
        <w:jc w:val="left"/>
        <w:rPr>
          <w:b w:val="0"/>
          <w:bCs w:val="0"/>
        </w:rPr>
      </w:pPr>
      <w:r>
        <w:rPr>
          <w:rFonts w:ascii="宋体" w:hAnsi="宋体" w:cs="宋体" w:eastAsia="宋体" w:hint="default"/>
        </w:rPr>
        <w:t>(3).</w:t>
      </w:r>
      <w:r>
        <w:rPr>
          <w:rFonts w:ascii="宋体" w:hAnsi="宋体" w:cs="宋体" w:eastAsia="宋体" w:hint="default"/>
          <w:spacing w:val="58"/>
        </w:rPr>
        <w:t> </w:t>
      </w:r>
      <w:r>
        <w:rPr/>
        <w:t>本期实际核销的其他应收款情况</w:t>
      </w:r>
      <w:r>
        <w:rPr>
          <w:b w:val="0"/>
          <w:bCs w:val="0"/>
        </w:rPr>
      </w:r>
    </w:p>
    <w:p>
      <w:pPr>
        <w:pStyle w:val="BodyText"/>
        <w:spacing w:line="240" w:lineRule="auto" w:before="56"/>
        <w:ind w:right="25"/>
        <w:jc w:val="left"/>
      </w:pPr>
      <w:r>
        <w:rPr/>
        <w:t>√适用 □不适用</w:t>
      </w:r>
    </w:p>
    <w:p>
      <w:pPr>
        <w:pStyle w:val="BodyText"/>
        <w:tabs>
          <w:tab w:pos="1051" w:val="left" w:leader="none"/>
        </w:tabs>
        <w:spacing w:line="272" w:lineRule="exact"/>
        <w:ind w:left="0" w:right="298"/>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4407"/>
        <w:gridCol w:w="4446"/>
      </w:tblGrid>
      <w:tr>
        <w:trPr>
          <w:trHeight w:val="283"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2,106,837.61</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50"/>
          <w:pgMar w:header="762" w:footer="941" w:top="960" w:bottom="1140" w:left="920" w:right="1680"/>
        </w:sectPr>
      </w:pPr>
    </w:p>
    <w:p>
      <w:pPr>
        <w:pStyle w:val="BodyText"/>
        <w:spacing w:line="273" w:lineRule="exact" w:before="36"/>
        <w:ind w:right="0"/>
        <w:jc w:val="left"/>
      </w:pPr>
      <w:r>
        <w:rPr>
          <w:spacing w:val="-2"/>
        </w:rPr>
        <w:t>其中重要的其他应收款核销情况：</w:t>
      </w:r>
    </w:p>
    <w:p>
      <w:pPr>
        <w:pStyle w:val="BodyText"/>
        <w:spacing w:line="273"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367" w:space="3112"/>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92"/>
        <w:gridCol w:w="1438"/>
        <w:gridCol w:w="1476"/>
        <w:gridCol w:w="1325"/>
        <w:gridCol w:w="1452"/>
        <w:gridCol w:w="1724"/>
      </w:tblGrid>
      <w:tr>
        <w:trPr>
          <w:trHeight w:val="55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7"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孙信军</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1,264,102.56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张锐</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842,735.05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2,106,837.61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right="25"/>
        <w:jc w:val="left"/>
      </w:pPr>
      <w:r>
        <w:rPr/>
        <w:t>其他应收款核销说明：</w:t>
      </w:r>
    </w:p>
    <w:p>
      <w:pPr>
        <w:pStyle w:val="BodyText"/>
        <w:spacing w:line="273" w:lineRule="exact"/>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20" w:right="1680"/>
        </w:sectPr>
      </w:pPr>
    </w:p>
    <w:p>
      <w:pPr>
        <w:pStyle w:val="Heading5"/>
        <w:spacing w:line="240" w:lineRule="auto" w:before="36"/>
        <w:ind w:left="212" w:right="-18"/>
        <w:jc w:val="left"/>
        <w:rPr>
          <w:b w:val="0"/>
          <w:bCs w:val="0"/>
        </w:rPr>
      </w:pPr>
      <w:r>
        <w:rPr>
          <w:rFonts w:ascii="宋体" w:hAnsi="宋体" w:cs="宋体" w:eastAsia="宋体" w:hint="default"/>
        </w:rPr>
        <w:t>(4).</w:t>
      </w:r>
      <w:r>
        <w:rPr>
          <w:rFonts w:ascii="宋体" w:hAnsi="宋体" w:cs="宋体" w:eastAsia="宋体" w:hint="default"/>
          <w:spacing w:val="58"/>
        </w:rPr>
        <w:t> </w:t>
      </w:r>
      <w:r>
        <w:rPr/>
        <w:t>其他应收款按款项性质分类情况</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47" w:val="left" w:leader="none"/>
        </w:tabs>
        <w:spacing w:line="240" w:lineRule="auto"/>
        <w:ind w:right="0"/>
        <w:jc w:val="left"/>
      </w:pPr>
      <w:r>
        <w:rPr>
          <w:spacing w:val="-5"/>
        </w:rPr>
        <w:t>单位：元</w:t>
        <w:tab/>
      </w:r>
      <w:r>
        <w:rPr>
          <w:spacing w:val="-4"/>
        </w:rPr>
        <w:t>币种：人民币</w:t>
      </w:r>
    </w:p>
    <w:p>
      <w:pPr>
        <w:spacing w:after="0" w:line="240" w:lineRule="auto"/>
        <w:jc w:val="left"/>
        <w:sectPr>
          <w:type w:val="continuous"/>
          <w:pgSz w:w="11910" w:h="16850"/>
          <w:pgMar w:top="1120" w:bottom="1380" w:left="920" w:right="1680"/>
          <w:cols w:num="2" w:equalWidth="0">
            <w:col w:w="3754" w:space="2759"/>
            <w:col w:w="27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61"/>
        <w:gridCol w:w="2967"/>
        <w:gridCol w:w="2979"/>
      </w:tblGrid>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41,743,814.39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26,261,291.21</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16,147,499.35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8,306,309.98</w:t>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22,306,919.89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13,749,345.52</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非关联方往来款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20,953,464.35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14,823,981.00</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1,616,503.71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1,138,580.67</w:t>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3,165,438.65</w:t>
            </w:r>
          </w:p>
        </w:tc>
        <w:tc>
          <w:tcPr>
            <w:tcW w:w="29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120" w:bottom="1380" w:left="920" w:right="1680"/>
        </w:sectPr>
      </w:pPr>
    </w:p>
    <w:p>
      <w:pPr>
        <w:spacing w:line="240" w:lineRule="auto" w:before="1"/>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061"/>
        <w:gridCol w:w="2967"/>
        <w:gridCol w:w="2979"/>
      </w:tblGrid>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经销商借款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9,138,100.00</w:t>
            </w:r>
          </w:p>
        </w:tc>
        <w:tc>
          <w:tcPr>
            <w:tcW w:w="29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3,371,704.11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3,171,109.74</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118,443,444.45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67,450,618.12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762" w:footer="941" w:top="960" w:bottom="1140" w:left="920" w:right="1680"/>
        </w:sectPr>
      </w:pPr>
    </w:p>
    <w:p>
      <w:pPr>
        <w:pStyle w:val="Heading5"/>
        <w:spacing w:line="240" w:lineRule="auto" w:before="36"/>
        <w:ind w:left="212" w:right="-16"/>
        <w:jc w:val="left"/>
        <w:rPr>
          <w:b w:val="0"/>
          <w:bCs w:val="0"/>
        </w:rPr>
      </w:pPr>
      <w:r>
        <w:rPr>
          <w:rFonts w:ascii="宋体" w:hAnsi="宋体" w:cs="宋体" w:eastAsia="宋体" w:hint="default"/>
        </w:rPr>
        <w:t>(5).</w:t>
      </w:r>
      <w:r>
        <w:rPr>
          <w:rFonts w:ascii="宋体" w:hAnsi="宋体" w:cs="宋体" w:eastAsia="宋体" w:hint="default"/>
          <w:spacing w:val="55"/>
        </w:rPr>
        <w:t> </w:t>
      </w:r>
      <w:r>
        <w:rPr/>
        <w:t>按欠款方归集的期末余额前五名的其他应收款情况：</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5650" w:space="829"/>
            <w:col w:w="2831"/>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1476"/>
        <w:gridCol w:w="1292"/>
        <w:gridCol w:w="1500"/>
        <w:gridCol w:w="1270"/>
        <w:gridCol w:w="1699"/>
        <w:gridCol w:w="1616"/>
      </w:tblGrid>
      <w:tr>
        <w:trPr>
          <w:trHeight w:val="82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7" w:right="105"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3" w:right="37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连云港宝翔置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非关联方往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10,200,000.00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8.61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3,060,000.00</w:t>
            </w:r>
          </w:p>
        </w:tc>
      </w:tr>
      <w:tr>
        <w:trPr>
          <w:trHeight w:val="82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顺德高新技术</w:t>
            </w:r>
          </w:p>
          <w:p>
            <w:pPr>
              <w:pStyle w:val="TableParagraph"/>
              <w:spacing w:line="240" w:lineRule="auto"/>
              <w:ind w:left="26" w:right="175"/>
              <w:jc w:val="left"/>
              <w:rPr>
                <w:rFonts w:ascii="宋体" w:hAnsi="宋体" w:cs="宋体" w:eastAsia="宋体" w:hint="default"/>
                <w:sz w:val="21"/>
                <w:szCs w:val="21"/>
              </w:rPr>
            </w:pPr>
            <w:r>
              <w:rPr>
                <w:rFonts w:ascii="宋体" w:hAnsi="宋体" w:cs="宋体" w:eastAsia="宋体" w:hint="default"/>
                <w:sz w:val="21"/>
                <w:szCs w:val="21"/>
              </w:rPr>
              <w:t>产业开发区管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8,259,503.20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4,129,751.60</w:t>
            </w: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王欢军</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7,520,194.22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752,019.42</w:t>
            </w:r>
          </w:p>
        </w:tc>
      </w:tr>
      <w:tr>
        <w:trPr>
          <w:trHeight w:val="191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环境保护部环</w:t>
            </w:r>
          </w:p>
          <w:p>
            <w:pPr>
              <w:pStyle w:val="TableParagraph"/>
              <w:spacing w:line="272" w:lineRule="exact" w:before="27"/>
              <w:ind w:left="26" w:right="175"/>
              <w:jc w:val="left"/>
              <w:rPr>
                <w:rFonts w:ascii="宋体" w:hAnsi="宋体" w:cs="宋体" w:eastAsia="宋体" w:hint="default"/>
                <w:sz w:val="21"/>
                <w:szCs w:val="21"/>
              </w:rPr>
            </w:pPr>
            <w:r>
              <w:rPr>
                <w:rFonts w:ascii="宋体" w:hAnsi="宋体" w:cs="宋体" w:eastAsia="宋体" w:hint="default"/>
                <w:sz w:val="21"/>
                <w:szCs w:val="21"/>
              </w:rPr>
              <w:t>境保护对外合</w:t>
            </w:r>
            <w:r>
              <w:rPr>
                <w:rFonts w:ascii="宋体" w:hAnsi="宋体" w:cs="宋体" w:eastAsia="宋体" w:hint="default"/>
                <w:w w:val="100"/>
                <w:sz w:val="21"/>
                <w:szCs w:val="21"/>
              </w:rPr>
              <w:t> </w:t>
            </w:r>
            <w:r>
              <w:rPr>
                <w:rFonts w:ascii="宋体" w:hAnsi="宋体" w:cs="宋体" w:eastAsia="宋体" w:hint="default"/>
                <w:sz w:val="21"/>
                <w:szCs w:val="21"/>
              </w:rPr>
              <w:t>作中心</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非关联方往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6,013,981.00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期末余额中</w:t>
            </w:r>
          </w:p>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年以内为</w:t>
            </w:r>
          </w:p>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1390000</w:t>
            </w:r>
            <w:r>
              <w:rPr>
                <w:rFonts w:ascii="宋体" w:hAnsi="宋体" w:cs="宋体" w:eastAsia="宋体" w:hint="default"/>
                <w:sz w:val="21"/>
                <w:szCs w:val="21"/>
              </w:rPr>
              <w:t>；</w:t>
            </w:r>
          </w:p>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年为</w:t>
            </w:r>
          </w:p>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186306</w:t>
            </w:r>
            <w:r>
              <w:rPr>
                <w:rFonts w:ascii="宋体" w:hAnsi="宋体" w:cs="宋体" w:eastAsia="宋体" w:hint="default"/>
                <w:spacing w:val="-3"/>
                <w:sz w:val="21"/>
                <w:szCs w:val="21"/>
              </w:rPr>
              <w:t>；</w:t>
            </w:r>
            <w:r>
              <w:rPr>
                <w:rFonts w:ascii="宋体" w:hAnsi="宋体" w:cs="宋体" w:eastAsia="宋体" w:hint="default"/>
                <w:spacing w:val="-3"/>
                <w:sz w:val="21"/>
                <w:szCs w:val="21"/>
              </w:rPr>
              <w:t>2-3</w:t>
            </w:r>
          </w:p>
          <w:p>
            <w:pPr>
              <w:pStyle w:val="TableParagraph"/>
              <w:spacing w:line="240" w:lineRule="auto"/>
              <w:ind w:left="28" w:right="492"/>
              <w:jc w:val="left"/>
              <w:rPr>
                <w:rFonts w:ascii="宋体" w:hAnsi="宋体" w:cs="宋体" w:eastAsia="宋体" w:hint="default"/>
                <w:sz w:val="21"/>
                <w:szCs w:val="21"/>
              </w:rPr>
            </w:pPr>
            <w:r>
              <w:rPr>
                <w:rFonts w:ascii="宋体" w:hAnsi="宋体" w:cs="宋体" w:eastAsia="宋体" w:hint="default"/>
                <w:sz w:val="21"/>
                <w:szCs w:val="21"/>
              </w:rPr>
              <w:t>年为</w:t>
            </w:r>
            <w:r>
              <w:rPr>
                <w:rFonts w:ascii="宋体" w:hAnsi="宋体" w:cs="宋体" w:eastAsia="宋体" w:hint="default"/>
                <w:spacing w:val="-103"/>
                <w:sz w:val="21"/>
                <w:szCs w:val="21"/>
              </w:rPr>
              <w:t> </w:t>
            </w:r>
            <w:r>
              <w:rPr>
                <w:rFonts w:ascii="宋体" w:hAnsi="宋体" w:cs="宋体" w:eastAsia="宋体" w:hint="default"/>
                <w:sz w:val="21"/>
                <w:szCs w:val="21"/>
              </w:rPr>
              <w:t>4437675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2,413,729.30</w:t>
            </w:r>
          </w:p>
        </w:tc>
      </w:tr>
      <w:tr>
        <w:trPr>
          <w:trHeight w:val="82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丰宁满族自治</w:t>
            </w:r>
          </w:p>
          <w:p>
            <w:pPr>
              <w:pStyle w:val="TableParagraph"/>
              <w:spacing w:line="240" w:lineRule="auto"/>
              <w:ind w:left="26" w:right="175"/>
              <w:jc w:val="left"/>
              <w:rPr>
                <w:rFonts w:ascii="宋体" w:hAnsi="宋体" w:cs="宋体" w:eastAsia="宋体" w:hint="default"/>
                <w:sz w:val="21"/>
                <w:szCs w:val="21"/>
              </w:rPr>
            </w:pPr>
            <w:r>
              <w:rPr>
                <w:rFonts w:ascii="宋体" w:hAnsi="宋体" w:cs="宋体" w:eastAsia="宋体" w:hint="default"/>
                <w:sz w:val="21"/>
                <w:szCs w:val="21"/>
              </w:rPr>
              <w:t>县聚众商贸有</w:t>
            </w:r>
            <w:r>
              <w:rPr>
                <w:rFonts w:ascii="宋体" w:hAnsi="宋体" w:cs="宋体" w:eastAsia="宋体" w:hint="default"/>
                <w:w w:val="100"/>
                <w:sz w:val="21"/>
                <w:szCs w:val="21"/>
              </w:rPr>
              <w:t> </w:t>
            </w:r>
            <w:r>
              <w:rPr>
                <w:rFonts w:ascii="宋体" w:hAnsi="宋体" w:cs="宋体" w:eastAsia="宋体" w:hint="default"/>
                <w:sz w:val="21"/>
                <w:szCs w:val="21"/>
              </w:rPr>
              <w:t>限责任公司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非关联方往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来款</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2,234,252.80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1.89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223,425.28</w:t>
            </w: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34,227,931.22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28.90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10,578,925.60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212" w:right="25"/>
        <w:jc w:val="left"/>
        <w:rPr>
          <w:b w:val="0"/>
          <w:bCs w:val="0"/>
        </w:rPr>
      </w:pPr>
      <w:r>
        <w:rPr>
          <w:rFonts w:ascii="宋体" w:hAnsi="宋体" w:cs="宋体" w:eastAsia="宋体" w:hint="default"/>
        </w:rPr>
        <w:t>(6).</w:t>
      </w:r>
      <w:r>
        <w:rPr>
          <w:rFonts w:ascii="宋体" w:hAnsi="宋体" w:cs="宋体" w:eastAsia="宋体" w:hint="default"/>
          <w:spacing w:val="60"/>
        </w:rPr>
        <w:t> </w:t>
      </w:r>
      <w:r>
        <w:rPr/>
        <w:t>涉及政府补助的应收款项</w:t>
      </w:r>
      <w:r>
        <w:rPr>
          <w:b w:val="0"/>
          <w:bCs w:val="0"/>
        </w:rPr>
      </w:r>
    </w:p>
    <w:p>
      <w:pPr>
        <w:pStyle w:val="BodyText"/>
        <w:spacing w:line="240" w:lineRule="auto" w:before="56"/>
        <w:ind w:right="25"/>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55" w:val="left" w:leader="none"/>
        </w:tabs>
        <w:spacing w:line="240" w:lineRule="auto" w:before="59"/>
        <w:ind w:right="25"/>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(8).</w:t>
      </w:r>
      <w:r>
        <w:rPr>
          <w:rFonts w:ascii="宋体" w:hAnsi="宋体" w:cs="宋体" w:eastAsia="宋体" w:hint="default"/>
          <w:spacing w:val="56"/>
        </w:rPr>
        <w:t> </w:t>
      </w:r>
      <w:r>
        <w:rPr/>
        <w:t>转移其他应收款且继续涉入形成的资产、负债的金额：</w:t>
      </w:r>
      <w:r>
        <w:rPr>
          <w:b w:val="0"/>
          <w:bCs w:val="0"/>
        </w:rPr>
      </w:r>
    </w:p>
    <w:p>
      <w:pPr>
        <w:pStyle w:val="BodyText"/>
        <w:tabs>
          <w:tab w:pos="1055" w:val="left" w:leader="none"/>
        </w:tabs>
        <w:spacing w:line="240" w:lineRule="auto" w:before="56"/>
        <w:ind w:right="25"/>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right="25"/>
        <w:jc w:val="left"/>
      </w:pPr>
      <w:r>
        <w:rPr/>
        <w:t>其他说明：</w:t>
      </w:r>
    </w:p>
    <w:p>
      <w:pPr>
        <w:pStyle w:val="BodyText"/>
        <w:tabs>
          <w:tab w:pos="1055" w:val="left" w:leader="none"/>
        </w:tabs>
        <w:spacing w:line="274" w:lineRule="exact"/>
        <w:ind w:right="2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20" w:right="1680"/>
        </w:sectPr>
      </w:pPr>
    </w:p>
    <w:p>
      <w:pPr>
        <w:pStyle w:val="Heading5"/>
        <w:tabs>
          <w:tab w:pos="844" w:val="left" w:leader="none"/>
          <w:tab w:pos="1053" w:val="left" w:leader="none"/>
        </w:tabs>
        <w:spacing w:line="290" w:lineRule="auto" w:before="36"/>
        <w:ind w:left="212" w:right="98"/>
        <w:jc w:val="left"/>
        <w:rPr>
          <w:b w:val="0"/>
          <w:bCs w:val="0"/>
        </w:rPr>
      </w:pPr>
      <w:r>
        <w:rPr>
          <w:rFonts w:ascii="宋体" w:hAnsi="宋体" w:cs="宋体" w:eastAsia="宋体" w:hint="default"/>
          <w:w w:val="95"/>
        </w:rPr>
        <w:t>10</w:t>
      </w:r>
      <w:r>
        <w:rPr>
          <w:w w:val="95"/>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791" w:space="4688"/>
            <w:col w:w="2831"/>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1352"/>
        <w:gridCol w:w="1327"/>
        <w:gridCol w:w="1148"/>
        <w:gridCol w:w="1327"/>
        <w:gridCol w:w="1328"/>
        <w:gridCol w:w="1044"/>
        <w:gridCol w:w="1328"/>
      </w:tblGrid>
      <w:tr>
        <w:trPr>
          <w:trHeight w:val="245" w:hRule="exact"/>
        </w:trPr>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352"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178,817,281.39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1,570,151.56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177,247,129.83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132,181,815.40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132,181,815.40</w:t>
            </w:r>
          </w:p>
        </w:tc>
      </w:tr>
      <w:tr>
        <w:trPr>
          <w:trHeight w:val="242"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15,407,572.93</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15,407,572.93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2,222,833.84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2,222,833.84</w:t>
            </w:r>
          </w:p>
        </w:tc>
      </w:tr>
    </w:tbl>
    <w:p>
      <w:pPr>
        <w:spacing w:after="0" w:line="205" w:lineRule="exact"/>
        <w:jc w:val="right"/>
        <w:rPr>
          <w:rFonts w:ascii="宋体" w:hAnsi="宋体" w:cs="宋体" w:eastAsia="宋体" w:hint="default"/>
          <w:sz w:val="18"/>
          <w:szCs w:val="18"/>
        </w:rPr>
        <w:sectPr>
          <w:type w:val="continuous"/>
          <w:pgSz w:w="11910" w:h="16850"/>
          <w:pgMar w:top="1120" w:bottom="1380" w:left="920" w:right="1680"/>
        </w:sectPr>
      </w:pPr>
    </w:p>
    <w:p>
      <w:pPr>
        <w:spacing w:line="240" w:lineRule="auto" w:before="1"/>
        <w:rPr>
          <w:rFonts w:ascii="宋体" w:hAnsi="宋体" w:cs="宋体" w:eastAsia="宋体" w:hint="default"/>
          <w:sz w:val="13"/>
          <w:szCs w:val="13"/>
        </w:rPr>
      </w:pPr>
    </w:p>
    <w:tbl>
      <w:tblPr>
        <w:tblW w:w="0" w:type="auto"/>
        <w:jc w:val="left"/>
        <w:tblInd w:w="476" w:type="dxa"/>
        <w:tblLayout w:type="fixed"/>
        <w:tblCellMar>
          <w:top w:w="0" w:type="dxa"/>
          <w:left w:w="0" w:type="dxa"/>
          <w:bottom w:w="0" w:type="dxa"/>
          <w:right w:w="0" w:type="dxa"/>
        </w:tblCellMar>
        <w:tblLook w:val="01E0"/>
      </w:tblPr>
      <w:tblGrid>
        <w:gridCol w:w="1352"/>
        <w:gridCol w:w="1327"/>
        <w:gridCol w:w="1148"/>
        <w:gridCol w:w="1327"/>
        <w:gridCol w:w="1328"/>
        <w:gridCol w:w="1044"/>
        <w:gridCol w:w="1328"/>
      </w:tblGrid>
      <w:tr>
        <w:trPr>
          <w:trHeight w:val="24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252,374,612.24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
              <w:jc w:val="right"/>
              <w:rPr>
                <w:rFonts w:ascii="宋体" w:hAnsi="宋体" w:cs="宋体" w:eastAsia="宋体" w:hint="default"/>
                <w:sz w:val="18"/>
                <w:szCs w:val="18"/>
              </w:rPr>
            </w:pPr>
            <w:r>
              <w:rPr>
                <w:rFonts w:ascii="宋体"/>
                <w:spacing w:val="-1"/>
                <w:sz w:val="18"/>
              </w:rPr>
              <w:t>638,820.47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251,735,791.77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138,853,243.24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138,853,243.24</w:t>
            </w:r>
          </w:p>
        </w:tc>
      </w:tr>
      <w:tr>
        <w:trPr>
          <w:trHeight w:val="24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303,387.07</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303,387.07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建造合同形成的</w:t>
            </w:r>
          </w:p>
          <w:p>
            <w:pPr>
              <w:pStyle w:val="TableParagraph"/>
              <w:spacing w:line="232" w:lineRule="exact" w:before="23"/>
              <w:ind w:left="26" w:right="53"/>
              <w:jc w:val="left"/>
              <w:rPr>
                <w:rFonts w:ascii="宋体" w:hAnsi="宋体" w:cs="宋体" w:eastAsia="宋体" w:hint="default"/>
                <w:sz w:val="18"/>
                <w:szCs w:val="18"/>
              </w:rPr>
            </w:pPr>
            <w:r>
              <w:rPr>
                <w:rFonts w:ascii="宋体" w:hAnsi="宋体" w:cs="宋体" w:eastAsia="宋体" w:hint="default"/>
                <w:sz w:val="18"/>
                <w:szCs w:val="18"/>
              </w:rPr>
              <w:t>已完工未结算资 产</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3,218,895.82</w:t>
            </w:r>
          </w:p>
        </w:tc>
        <w:tc>
          <w:tcPr>
            <w:tcW w:w="114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3,218,895.82</w:t>
            </w:r>
          </w:p>
        </w:tc>
        <w:tc>
          <w:tcPr>
            <w:tcW w:w="132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450,121,749.45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2,208,972.03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447,912,777.42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273,257,892.48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273,257,892.48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50"/>
          <w:pgMar w:header="762" w:footer="941" w:top="960" w:bottom="1140" w:left="620" w:right="1500"/>
        </w:sectPr>
      </w:pPr>
    </w:p>
    <w:p>
      <w:pPr>
        <w:pStyle w:val="Heading5"/>
        <w:tabs>
          <w:tab w:pos="1144" w:val="left" w:leader="none"/>
        </w:tabs>
        <w:spacing w:line="240" w:lineRule="auto" w:before="36"/>
        <w:ind w:left="512"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512"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63" w:val="left" w:leader="none"/>
        </w:tabs>
        <w:spacing w:line="240" w:lineRule="auto"/>
        <w:ind w:left="512" w:right="0"/>
        <w:jc w:val="left"/>
      </w:pPr>
      <w:r>
        <w:rPr>
          <w:spacing w:val="-1"/>
        </w:rPr>
        <w:t>单位：元</w:t>
        <w:tab/>
        <w:t>币种：人民币</w:t>
      </w:r>
    </w:p>
    <w:p>
      <w:pPr>
        <w:spacing w:after="0" w:line="240" w:lineRule="auto"/>
        <w:jc w:val="left"/>
        <w:sectPr>
          <w:type w:val="continuous"/>
          <w:pgSz w:w="11910" w:h="16850"/>
          <w:pgMar w:top="1120" w:bottom="1380" w:left="620" w:right="1500"/>
          <w:cols w:num="2" w:equalWidth="0">
            <w:col w:w="2412" w:space="4067"/>
            <w:col w:w="3311"/>
          </w:cols>
        </w:sectPr>
      </w:pPr>
    </w:p>
    <w:p>
      <w:pPr>
        <w:spacing w:line="240" w:lineRule="auto" w:before="7"/>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2724"/>
        <w:gridCol w:w="896"/>
        <w:gridCol w:w="1116"/>
        <w:gridCol w:w="1296"/>
        <w:gridCol w:w="1109"/>
        <w:gridCol w:w="564"/>
        <w:gridCol w:w="1301"/>
      </w:tblGrid>
      <w:tr>
        <w:trPr>
          <w:trHeight w:val="247" w:hRule="exact"/>
        </w:trPr>
        <w:tc>
          <w:tcPr>
            <w:tcW w:w="272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92"/>
              <w:ind w:left="355" w:right="168"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6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9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2724"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转回或转</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销</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他</w:t>
            </w:r>
          </w:p>
        </w:tc>
        <w:tc>
          <w:tcPr>
            <w:tcW w:w="1301" w:type="dxa"/>
            <w:vMerge/>
            <w:tcBorders>
              <w:left w:val="single" w:sz="4" w:space="0" w:color="000000"/>
              <w:bottom w:val="single" w:sz="4" w:space="0" w:color="000000"/>
              <w:right w:val="single" w:sz="4" w:space="0" w:color="000000"/>
            </w:tcBorders>
          </w:tcPr>
          <w:p>
            <w:pPr/>
          </w:p>
        </w:tc>
      </w:tr>
      <w:tr>
        <w:trPr>
          <w:trHeight w:val="2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8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1,597,200.08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27,048.52</w:t>
            </w:r>
          </w:p>
        </w:tc>
        <w:tc>
          <w:tcPr>
            <w:tcW w:w="56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1,570,151.56</w:t>
            </w:r>
          </w:p>
        </w:tc>
      </w:tr>
      <w:tr>
        <w:trPr>
          <w:trHeight w:val="24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8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8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638,820.47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638,820.47</w:t>
            </w:r>
          </w:p>
        </w:tc>
      </w:tr>
      <w:tr>
        <w:trPr>
          <w:trHeight w:val="2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8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638,820.47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1,597,200.08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27,048.52</w:t>
            </w:r>
          </w:p>
        </w:tc>
        <w:tc>
          <w:tcPr>
            <w:tcW w:w="56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2,208,972.03</w:t>
            </w:r>
          </w:p>
        </w:tc>
      </w:tr>
    </w:tbl>
    <w:p>
      <w:pPr>
        <w:spacing w:line="240" w:lineRule="auto" w:before="2"/>
        <w:rPr>
          <w:rFonts w:ascii="宋体" w:hAnsi="宋体" w:cs="宋体" w:eastAsia="宋体" w:hint="default"/>
          <w:sz w:val="20"/>
          <w:szCs w:val="20"/>
        </w:rPr>
      </w:pPr>
    </w:p>
    <w:p>
      <w:pPr>
        <w:pStyle w:val="Heading5"/>
        <w:tabs>
          <w:tab w:pos="1144" w:val="left" w:leader="none"/>
        </w:tabs>
        <w:spacing w:line="240" w:lineRule="auto" w:before="36"/>
        <w:ind w:left="512"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355" w:val="left" w:leader="none"/>
        </w:tabs>
        <w:spacing w:line="240" w:lineRule="auto" w:before="56"/>
        <w:ind w:left="512" w:right="0"/>
        <w:jc w:val="left"/>
      </w:pPr>
      <w:r>
        <w:rPr/>
        <w:t>□适用</w:t>
        <w:tab/>
        <w:t>√不适用</w:t>
      </w:r>
    </w:p>
    <w:p>
      <w:pPr>
        <w:spacing w:line="240" w:lineRule="auto" w:before="3"/>
        <w:rPr>
          <w:rFonts w:ascii="宋体" w:hAnsi="宋体" w:cs="宋体" w:eastAsia="宋体" w:hint="default"/>
          <w:sz w:val="25"/>
          <w:szCs w:val="25"/>
        </w:rPr>
      </w:pPr>
    </w:p>
    <w:p>
      <w:pPr>
        <w:pStyle w:val="Heading5"/>
        <w:tabs>
          <w:tab w:pos="1144" w:val="left" w:leader="none"/>
        </w:tabs>
        <w:spacing w:line="240" w:lineRule="auto"/>
        <w:ind w:left="512"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6"/>
        <w:ind w:left="512" w:right="7679"/>
        <w:jc w:val="left"/>
      </w:pPr>
      <w:r>
        <w:rPr/>
        <w:t>□适用 √不适用</w:t>
      </w:r>
      <w:r>
        <w:rPr>
          <w:w w:val="100"/>
        </w:rPr>
        <w:t> </w:t>
      </w:r>
      <w:r>
        <w:rPr/>
        <w:t>其他说明</w:t>
      </w:r>
    </w:p>
    <w:p>
      <w:pPr>
        <w:pStyle w:val="BodyText"/>
        <w:tabs>
          <w:tab w:pos="1355" w:val="left" w:leader="none"/>
        </w:tabs>
        <w:spacing w:line="246" w:lineRule="exact"/>
        <w:ind w:left="512" w:right="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512" w:right="0"/>
        <w:jc w:val="left"/>
        <w:rPr>
          <w:b w:val="0"/>
          <w:bCs w:val="0"/>
        </w:rPr>
      </w:pPr>
      <w:r>
        <w:rPr>
          <w:rFonts w:ascii="宋体" w:hAnsi="宋体" w:cs="宋体" w:eastAsia="宋体" w:hint="default"/>
        </w:rPr>
        <w:t>11</w:t>
      </w:r>
      <w:r>
        <w:rPr/>
        <w:t>、</w:t>
      </w:r>
      <w:r>
        <w:rPr>
          <w:spacing w:val="-23"/>
        </w:rPr>
        <w:t> </w:t>
      </w:r>
      <w:r>
        <w:rPr/>
        <w:t>持有待售资产</w:t>
      </w:r>
      <w:r>
        <w:rPr>
          <w:b w:val="0"/>
          <w:bCs w:val="0"/>
        </w:rPr>
      </w:r>
    </w:p>
    <w:p>
      <w:pPr>
        <w:pStyle w:val="BodyText"/>
        <w:spacing w:line="240" w:lineRule="auto" w:before="58"/>
        <w:ind w:left="512" w:right="0"/>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50"/>
          <w:pgMar w:top="1120" w:bottom="1380" w:left="620" w:right="1500"/>
        </w:sectPr>
      </w:pPr>
    </w:p>
    <w:p>
      <w:pPr>
        <w:pStyle w:val="Heading5"/>
        <w:spacing w:line="240" w:lineRule="auto" w:before="36"/>
        <w:ind w:left="512" w:right="-18"/>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spacing w:line="240" w:lineRule="auto" w:before="58"/>
        <w:ind w:left="512"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3" w:val="left" w:leader="none"/>
        </w:tabs>
        <w:spacing w:line="240" w:lineRule="auto"/>
        <w:ind w:left="512" w:right="0"/>
        <w:jc w:val="left"/>
      </w:pPr>
      <w:r>
        <w:rPr>
          <w:spacing w:val="-1"/>
        </w:rPr>
        <w:t>单位：元</w:t>
        <w:tab/>
        <w:t>币种：人民币</w:t>
      </w:r>
    </w:p>
    <w:p>
      <w:pPr>
        <w:spacing w:after="0" w:line="240" w:lineRule="auto"/>
        <w:jc w:val="left"/>
        <w:sectPr>
          <w:type w:val="continuous"/>
          <w:pgSz w:w="11910" w:h="16850"/>
          <w:pgMar w:top="1120" w:bottom="1380" w:left="620" w:right="1500"/>
          <w:cols w:num="2" w:equalWidth="0">
            <w:col w:w="3339" w:space="2929"/>
            <w:col w:w="3522"/>
          </w:cols>
        </w:sectPr>
      </w:pPr>
    </w:p>
    <w:p>
      <w:pPr>
        <w:spacing w:line="240" w:lineRule="auto" w:before="7"/>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3272"/>
        <w:gridCol w:w="2883"/>
        <w:gridCol w:w="2852"/>
      </w:tblGrid>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年内到期的信托理财产品</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152,271,000.00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170,000,000.00</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152,271,000.00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170,000,000.00</w:t>
            </w:r>
          </w:p>
        </w:tc>
      </w:tr>
    </w:tbl>
    <w:p>
      <w:pPr>
        <w:spacing w:line="240" w:lineRule="auto" w:before="5"/>
        <w:rPr>
          <w:rFonts w:ascii="宋体" w:hAnsi="宋体" w:cs="宋体" w:eastAsia="宋体" w:hint="default"/>
          <w:sz w:val="15"/>
          <w:szCs w:val="15"/>
        </w:rPr>
      </w:pPr>
    </w:p>
    <w:p>
      <w:pPr>
        <w:pStyle w:val="BodyText"/>
        <w:spacing w:line="240" w:lineRule="auto" w:before="36"/>
        <w:ind w:left="512" w:right="0"/>
        <w:jc w:val="left"/>
      </w:pPr>
      <w:r>
        <w:rPr/>
        <w:t>其他说明</w:t>
      </w:r>
    </w:p>
    <w:p>
      <w:pPr>
        <w:spacing w:line="240" w:lineRule="auto" w:before="3"/>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3476"/>
        <w:gridCol w:w="2126"/>
        <w:gridCol w:w="2394"/>
        <w:gridCol w:w="1570"/>
      </w:tblGrid>
      <w:tr>
        <w:trPr>
          <w:trHeight w:val="413" w:hRule="exact"/>
        </w:trPr>
        <w:tc>
          <w:tcPr>
            <w:tcW w:w="3476"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126"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40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94"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197"/>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570"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b/>
                <w:bCs/>
                <w:sz w:val="21"/>
                <w:szCs w:val="21"/>
              </w:rPr>
              <w:t>预期年收益率</w:t>
            </w:r>
            <w:r>
              <w:rPr>
                <w:rFonts w:ascii="宋体" w:hAnsi="宋体" w:cs="宋体" w:eastAsia="宋体" w:hint="default"/>
                <w:sz w:val="21"/>
                <w:szCs w:val="21"/>
              </w:rPr>
            </w:r>
          </w:p>
        </w:tc>
      </w:tr>
      <w:tr>
        <w:trPr>
          <w:trHeight w:val="580" w:hRule="exact"/>
        </w:trPr>
        <w:tc>
          <w:tcPr>
            <w:tcW w:w="3476" w:type="dxa"/>
            <w:tcBorders>
              <w:top w:val="single" w:sz="4" w:space="0" w:color="000000"/>
              <w:left w:val="nil" w:sz="6" w:space="0" w:color="auto"/>
              <w:bottom w:val="nil" w:sz="6" w:space="0" w:color="auto"/>
              <w:right w:val="nil" w:sz="6" w:space="0" w:color="auto"/>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广发信德</w:t>
            </w:r>
            <w:r>
              <w:rPr>
                <w:rFonts w:ascii="宋体" w:hAnsi="宋体" w:cs="宋体" w:eastAsia="宋体" w:hint="default"/>
                <w:sz w:val="21"/>
                <w:szCs w:val="21"/>
              </w:rPr>
              <w:t>-</w:t>
            </w:r>
            <w:r>
              <w:rPr>
                <w:rFonts w:ascii="宋体" w:hAnsi="宋体" w:cs="宋体" w:eastAsia="宋体" w:hint="default"/>
                <w:sz w:val="21"/>
                <w:szCs w:val="21"/>
              </w:rPr>
              <w:t>新湖中宝平阳专项资管</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计划②</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342"/>
              <w:jc w:val="right"/>
              <w:rPr>
                <w:rFonts w:ascii="宋体" w:hAnsi="宋体" w:cs="宋体" w:eastAsia="宋体" w:hint="default"/>
                <w:sz w:val="21"/>
                <w:szCs w:val="21"/>
              </w:rPr>
            </w:pPr>
            <w:r>
              <w:rPr>
                <w:rFonts w:ascii="宋体"/>
                <w:spacing w:val="-1"/>
                <w:sz w:val="21"/>
              </w:rPr>
              <w:t>20,000,000.00</w:t>
            </w:r>
          </w:p>
        </w:tc>
        <w:tc>
          <w:tcPr>
            <w:tcW w:w="239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2016/1/12-2018/1/12</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9.00%</w:t>
            </w:r>
          </w:p>
        </w:tc>
      </w:tr>
      <w:tr>
        <w:trPr>
          <w:trHeight w:val="377" w:hRule="exact"/>
        </w:trPr>
        <w:tc>
          <w:tcPr>
            <w:tcW w:w="3476" w:type="dxa"/>
            <w:tcBorders>
              <w:top w:val="nil" w:sz="6" w:space="0" w:color="auto"/>
              <w:left w:val="nil" w:sz="6" w:space="0" w:color="auto"/>
              <w:bottom w:val="single" w:sz="8" w:space="0" w:color="000000"/>
              <w:right w:val="nil" w:sz="6" w:space="0" w:color="auto"/>
            </w:tcBorders>
          </w:tcPr>
          <w:p>
            <w:pPr>
              <w:pStyle w:val="TableParagraph"/>
              <w:spacing w:line="272" w:lineRule="exact"/>
              <w:ind w:left="14" w:right="0"/>
              <w:jc w:val="left"/>
              <w:rPr>
                <w:rFonts w:ascii="宋体" w:hAnsi="宋体" w:cs="宋体" w:eastAsia="宋体" w:hint="default"/>
                <w:sz w:val="21"/>
                <w:szCs w:val="21"/>
              </w:rPr>
            </w:pPr>
            <w:r>
              <w:rPr>
                <w:rFonts w:ascii="宋体" w:hAnsi="宋体" w:cs="宋体" w:eastAsia="宋体" w:hint="default"/>
                <w:sz w:val="21"/>
                <w:szCs w:val="21"/>
              </w:rPr>
              <w:t>广发信德兴业太阳能专项资产</w:t>
            </w:r>
          </w:p>
        </w:tc>
        <w:tc>
          <w:tcPr>
            <w:tcW w:w="2126" w:type="dxa"/>
            <w:tcBorders>
              <w:top w:val="nil" w:sz="6" w:space="0" w:color="auto"/>
              <w:left w:val="nil" w:sz="6" w:space="0" w:color="auto"/>
              <w:bottom w:val="single" w:sz="8" w:space="0" w:color="000000"/>
              <w:right w:val="nil" w:sz="6" w:space="0" w:color="auto"/>
            </w:tcBorders>
          </w:tcPr>
          <w:p>
            <w:pPr>
              <w:pStyle w:val="TableParagraph"/>
              <w:spacing w:line="272" w:lineRule="exact"/>
              <w:ind w:right="342"/>
              <w:jc w:val="right"/>
              <w:rPr>
                <w:rFonts w:ascii="宋体" w:hAnsi="宋体" w:cs="宋体" w:eastAsia="宋体" w:hint="default"/>
                <w:sz w:val="21"/>
                <w:szCs w:val="21"/>
              </w:rPr>
            </w:pPr>
            <w:r>
              <w:rPr>
                <w:rFonts w:ascii="宋体"/>
                <w:spacing w:val="-1"/>
                <w:sz w:val="21"/>
              </w:rPr>
              <w:t>20,000,000.00</w:t>
            </w:r>
          </w:p>
        </w:tc>
        <w:tc>
          <w:tcPr>
            <w:tcW w:w="2394" w:type="dxa"/>
            <w:tcBorders>
              <w:top w:val="nil" w:sz="6" w:space="0" w:color="auto"/>
              <w:left w:val="nil" w:sz="6" w:space="0" w:color="auto"/>
              <w:bottom w:val="single" w:sz="8" w:space="0" w:color="000000"/>
              <w:right w:val="nil" w:sz="6" w:space="0" w:color="auto"/>
            </w:tcBorders>
          </w:tcPr>
          <w:p>
            <w:pPr>
              <w:pStyle w:val="TableParagraph"/>
              <w:spacing w:line="272" w:lineRule="exact"/>
              <w:ind w:right="50"/>
              <w:jc w:val="right"/>
              <w:rPr>
                <w:rFonts w:ascii="宋体" w:hAnsi="宋体" w:cs="宋体" w:eastAsia="宋体" w:hint="default"/>
                <w:sz w:val="21"/>
                <w:szCs w:val="21"/>
              </w:rPr>
            </w:pPr>
            <w:r>
              <w:rPr>
                <w:rFonts w:ascii="宋体"/>
                <w:spacing w:val="-1"/>
                <w:sz w:val="21"/>
              </w:rPr>
              <w:t>2016/5/24-2018/5/23</w:t>
            </w:r>
          </w:p>
        </w:tc>
        <w:tc>
          <w:tcPr>
            <w:tcW w:w="1570" w:type="dxa"/>
            <w:tcBorders>
              <w:top w:val="nil" w:sz="6" w:space="0" w:color="auto"/>
              <w:left w:val="nil" w:sz="6" w:space="0" w:color="auto"/>
              <w:bottom w:val="single" w:sz="8" w:space="0" w:color="000000"/>
              <w:right w:val="nil" w:sz="6" w:space="0" w:color="auto"/>
            </w:tcBorders>
          </w:tcPr>
          <w:p>
            <w:pPr>
              <w:pStyle w:val="TableParagraph"/>
              <w:spacing w:line="272" w:lineRule="exact"/>
              <w:ind w:right="101"/>
              <w:jc w:val="right"/>
              <w:rPr>
                <w:rFonts w:ascii="宋体" w:hAnsi="宋体" w:cs="宋体" w:eastAsia="宋体" w:hint="default"/>
                <w:sz w:val="21"/>
                <w:szCs w:val="21"/>
              </w:rPr>
            </w:pPr>
            <w:r>
              <w:rPr>
                <w:rFonts w:ascii="宋体"/>
                <w:sz w:val="21"/>
              </w:rPr>
              <w:t>8.50%</w:t>
            </w:r>
          </w:p>
        </w:tc>
      </w:tr>
    </w:tbl>
    <w:p>
      <w:pPr>
        <w:spacing w:after="0" w:line="272" w:lineRule="exact"/>
        <w:jc w:val="right"/>
        <w:rPr>
          <w:rFonts w:ascii="宋体" w:hAnsi="宋体" w:cs="宋体" w:eastAsia="宋体" w:hint="default"/>
          <w:sz w:val="21"/>
          <w:szCs w:val="21"/>
        </w:rPr>
        <w:sectPr>
          <w:type w:val="continuous"/>
          <w:pgSz w:w="11910" w:h="16850"/>
          <w:pgMar w:top="1120" w:bottom="1380" w:left="620" w:right="1500"/>
        </w:sectPr>
      </w:pPr>
    </w:p>
    <w:p>
      <w:pPr>
        <w:spacing w:line="240" w:lineRule="auto" w:before="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529"/>
        <w:gridCol w:w="1967"/>
        <w:gridCol w:w="2943"/>
        <w:gridCol w:w="1127"/>
      </w:tblGrid>
      <w:tr>
        <w:trPr>
          <w:trHeight w:val="679" w:hRule="exact"/>
        </w:trPr>
        <w:tc>
          <w:tcPr>
            <w:tcW w:w="3529"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left="14" w:right="463"/>
              <w:jc w:val="left"/>
              <w:rPr>
                <w:rFonts w:ascii="宋体" w:hAnsi="宋体" w:cs="宋体" w:eastAsia="宋体" w:hint="default"/>
                <w:sz w:val="21"/>
                <w:szCs w:val="21"/>
              </w:rPr>
            </w:pPr>
            <w:r>
              <w:rPr>
                <w:rFonts w:ascii="宋体" w:hAnsi="宋体" w:cs="宋体" w:eastAsia="宋体" w:hint="default"/>
                <w:spacing w:val="-2"/>
                <w:sz w:val="21"/>
                <w:szCs w:val="21"/>
              </w:rPr>
              <w:t>财通基金—玉泉成功</w:t>
            </w:r>
            <w:r>
              <w:rPr>
                <w:rFonts w:ascii="宋体" w:hAnsi="宋体" w:cs="宋体" w:eastAsia="宋体" w:hint="default"/>
                <w:spacing w:val="-2"/>
                <w:sz w:val="21"/>
                <w:szCs w:val="21"/>
              </w:rPr>
              <w:t>1</w:t>
            </w:r>
            <w:r>
              <w:rPr>
                <w:rFonts w:ascii="宋体" w:hAnsi="宋体" w:cs="宋体" w:eastAsia="宋体" w:hint="default"/>
                <w:spacing w:val="-2"/>
                <w:sz w:val="21"/>
                <w:szCs w:val="21"/>
              </w:rPr>
              <w:t>号资产管理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计划</w:t>
            </w:r>
          </w:p>
        </w:tc>
        <w:tc>
          <w:tcPr>
            <w:tcW w:w="196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6"/>
              <w:jc w:val="right"/>
              <w:rPr>
                <w:rFonts w:ascii="宋体" w:hAnsi="宋体" w:cs="宋体" w:eastAsia="宋体" w:hint="default"/>
                <w:sz w:val="21"/>
                <w:szCs w:val="21"/>
              </w:rPr>
            </w:pPr>
            <w:r>
              <w:rPr>
                <w:rFonts w:ascii="宋体"/>
                <w:spacing w:val="-1"/>
                <w:sz w:val="21"/>
              </w:rPr>
              <w:t>50,000,000.00</w:t>
            </w:r>
          </w:p>
        </w:tc>
        <w:tc>
          <w:tcPr>
            <w:tcW w:w="2943"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93"/>
              <w:jc w:val="right"/>
              <w:rPr>
                <w:rFonts w:ascii="宋体" w:hAnsi="宋体" w:cs="宋体" w:eastAsia="宋体" w:hint="default"/>
                <w:sz w:val="21"/>
                <w:szCs w:val="21"/>
              </w:rPr>
            </w:pPr>
            <w:r>
              <w:rPr>
                <w:rFonts w:ascii="宋体"/>
                <w:spacing w:val="-1"/>
                <w:sz w:val="21"/>
              </w:rPr>
              <w:t>2016/9/9-2018/3/8</w:t>
            </w:r>
          </w:p>
        </w:tc>
        <w:tc>
          <w:tcPr>
            <w:tcW w:w="1127" w:type="dxa"/>
            <w:tcBorders>
              <w:top w:val="single" w:sz="6" w:space="0" w:color="000000"/>
              <w:left w:val="nil" w:sz="6" w:space="0" w:color="auto"/>
              <w:bottom w:val="nil" w:sz="6" w:space="0" w:color="auto"/>
              <w:right w:val="nil" w:sz="6" w:space="0" w:color="auto"/>
            </w:tcBorders>
          </w:tcPr>
          <w:p>
            <w:pPr/>
          </w:p>
        </w:tc>
      </w:tr>
      <w:tr>
        <w:trPr>
          <w:trHeight w:val="545"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中海</w:t>
            </w:r>
            <w:r>
              <w:rPr>
                <w:rFonts w:ascii="宋体" w:hAnsi="宋体" w:cs="宋体" w:eastAsia="宋体" w:hint="default"/>
                <w:sz w:val="21"/>
                <w:szCs w:val="21"/>
              </w:rPr>
              <w:t>-</w:t>
            </w:r>
            <w:r>
              <w:rPr>
                <w:rFonts w:ascii="宋体" w:hAnsi="宋体" w:cs="宋体" w:eastAsia="宋体" w:hint="default"/>
                <w:sz w:val="21"/>
                <w:szCs w:val="21"/>
              </w:rPr>
              <w:t>浦江之星</w:t>
            </w:r>
            <w:r>
              <w:rPr>
                <w:rFonts w:ascii="宋体" w:hAnsi="宋体" w:cs="宋体" w:eastAsia="宋体" w:hint="default"/>
                <w:sz w:val="21"/>
                <w:szCs w:val="21"/>
              </w:rPr>
              <w:t>245</w:t>
            </w:r>
            <w:r>
              <w:rPr>
                <w:rFonts w:ascii="宋体" w:hAnsi="宋体" w:cs="宋体" w:eastAsia="宋体" w:hint="default"/>
                <w:sz w:val="21"/>
                <w:szCs w:val="21"/>
              </w:rPr>
              <w:t>号集合资金信托</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6"/>
              <w:jc w:val="right"/>
              <w:rPr>
                <w:rFonts w:ascii="宋体" w:hAnsi="宋体" w:cs="宋体" w:eastAsia="宋体" w:hint="default"/>
                <w:sz w:val="21"/>
                <w:szCs w:val="21"/>
              </w:rPr>
            </w:pPr>
            <w:r>
              <w:rPr>
                <w:rFonts w:ascii="宋体"/>
                <w:spacing w:val="-1"/>
                <w:sz w:val="21"/>
              </w:rPr>
              <w:t>28,971,000.00</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93"/>
              <w:jc w:val="right"/>
              <w:rPr>
                <w:rFonts w:ascii="宋体" w:hAnsi="宋体" w:cs="宋体" w:eastAsia="宋体" w:hint="default"/>
                <w:sz w:val="21"/>
                <w:szCs w:val="21"/>
              </w:rPr>
            </w:pPr>
            <w:r>
              <w:rPr>
                <w:rFonts w:ascii="宋体"/>
                <w:spacing w:val="-1"/>
                <w:sz w:val="21"/>
              </w:rPr>
              <w:t>2016/12/21-2018/12/12</w:t>
            </w:r>
          </w:p>
        </w:tc>
        <w:tc>
          <w:tcPr>
            <w:tcW w:w="1127" w:type="dxa"/>
            <w:tcBorders>
              <w:top w:val="nil" w:sz="6" w:space="0" w:color="auto"/>
              <w:left w:val="nil" w:sz="6" w:space="0" w:color="auto"/>
              <w:bottom w:val="nil" w:sz="6" w:space="0" w:color="auto"/>
              <w:right w:val="nil" w:sz="6" w:space="0" w:color="auto"/>
            </w:tcBorders>
          </w:tcPr>
          <w:p>
            <w:pPr/>
          </w:p>
        </w:tc>
      </w:tr>
      <w:tr>
        <w:trPr>
          <w:trHeight w:val="557" w:hRule="exact"/>
        </w:trPr>
        <w:tc>
          <w:tcPr>
            <w:tcW w:w="3529" w:type="dxa"/>
            <w:tcBorders>
              <w:top w:val="nil" w:sz="6" w:space="0" w:color="auto"/>
              <w:left w:val="nil" w:sz="6" w:space="0" w:color="auto"/>
              <w:bottom w:val="single" w:sz="8" w:space="0" w:color="000000"/>
              <w:right w:val="nil" w:sz="6" w:space="0" w:color="auto"/>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广发信德兴业太阳能专项资产管理</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967"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236"/>
              <w:jc w:val="right"/>
              <w:rPr>
                <w:rFonts w:ascii="宋体" w:hAnsi="宋体" w:cs="宋体" w:eastAsia="宋体" w:hint="default"/>
                <w:sz w:val="21"/>
                <w:szCs w:val="21"/>
              </w:rPr>
            </w:pPr>
            <w:r>
              <w:rPr>
                <w:rFonts w:ascii="宋体"/>
                <w:spacing w:val="-1"/>
                <w:sz w:val="21"/>
              </w:rPr>
              <w:t>33,300,000.00</w:t>
            </w:r>
          </w:p>
        </w:tc>
        <w:tc>
          <w:tcPr>
            <w:tcW w:w="2943"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493"/>
              <w:jc w:val="right"/>
              <w:rPr>
                <w:rFonts w:ascii="宋体" w:hAnsi="宋体" w:cs="宋体" w:eastAsia="宋体" w:hint="default"/>
                <w:sz w:val="21"/>
                <w:szCs w:val="21"/>
              </w:rPr>
            </w:pPr>
            <w:r>
              <w:rPr>
                <w:rFonts w:ascii="宋体"/>
                <w:spacing w:val="-1"/>
                <w:sz w:val="21"/>
              </w:rPr>
              <w:t>2017/1/3-2018/5/5</w:t>
            </w:r>
          </w:p>
        </w:tc>
        <w:tc>
          <w:tcPr>
            <w:tcW w:w="1127"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495" w:right="0"/>
              <w:jc w:val="left"/>
              <w:rPr>
                <w:rFonts w:ascii="宋体" w:hAnsi="宋体" w:cs="宋体" w:eastAsia="宋体" w:hint="default"/>
                <w:sz w:val="21"/>
                <w:szCs w:val="21"/>
              </w:rPr>
            </w:pPr>
            <w:r>
              <w:rPr>
                <w:rFonts w:ascii="宋体"/>
                <w:sz w:val="21"/>
              </w:rPr>
              <w:t>8.50%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762" w:footer="941" w:top="960" w:bottom="1140" w:left="620" w:right="1500"/>
        </w:sectPr>
      </w:pPr>
    </w:p>
    <w:p>
      <w:pPr>
        <w:pStyle w:val="Heading5"/>
        <w:spacing w:line="240" w:lineRule="auto" w:before="36"/>
        <w:ind w:left="512" w:right="-18"/>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pStyle w:val="BodyText"/>
        <w:spacing w:line="240" w:lineRule="auto" w:before="56"/>
        <w:ind w:left="512"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3" w:val="left" w:leader="none"/>
        </w:tabs>
        <w:spacing w:line="240" w:lineRule="auto"/>
        <w:ind w:left="512" w:right="0"/>
        <w:jc w:val="left"/>
      </w:pPr>
      <w:r>
        <w:rPr>
          <w:spacing w:val="-1"/>
        </w:rPr>
        <w:t>单位：元</w:t>
        <w:tab/>
        <w:t>币种：人民币</w:t>
      </w:r>
    </w:p>
    <w:p>
      <w:pPr>
        <w:spacing w:after="0" w:line="240" w:lineRule="auto"/>
        <w:jc w:val="left"/>
        <w:sectPr>
          <w:type w:val="continuous"/>
          <w:pgSz w:w="11910" w:h="16850"/>
          <w:pgMar w:top="1120" w:bottom="1380" w:left="620" w:right="1500"/>
          <w:cols w:num="2" w:equalWidth="0">
            <w:col w:w="2285" w:space="4194"/>
            <w:col w:w="3311"/>
          </w:cols>
        </w:sectPr>
      </w:pPr>
    </w:p>
    <w:p>
      <w:pPr>
        <w:spacing w:line="240" w:lineRule="auto" w:before="4"/>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3272"/>
        <w:gridCol w:w="2902"/>
        <w:gridCol w:w="2833"/>
      </w:tblGrid>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待抵扣进项税额</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10,214,399.64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5,234,952.49</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11,123,212.37</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2,921.05</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应收出口退税</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2,259,685.20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2,728,056.41</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预缴其他税费</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49,350.52</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90,607.66</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357,000,000.00</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基金理财产品</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482,000,000.00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1,155,000,000.00</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331,929,164.41</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私募债券</w:t>
            </w:r>
          </w:p>
        </w:tc>
        <w:tc>
          <w:tcPr>
            <w:tcW w:w="2902" w:type="dxa"/>
            <w:tcBorders>
              <w:top w:val="single" w:sz="4" w:space="0" w:color="000000"/>
              <w:left w:val="single" w:sz="4" w:space="0" w:color="000000"/>
              <w:bottom w:val="single" w:sz="4" w:space="0" w:color="000000"/>
              <w:right w:val="single" w:sz="4" w:space="0" w:color="000000"/>
            </w:tcBorders>
          </w:tcPr>
          <w:p>
            <w:pP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GAM</w:t>
            </w:r>
            <w:r>
              <w:rPr>
                <w:rFonts w:ascii="宋体" w:hAnsi="宋体" w:cs="宋体" w:eastAsia="宋体" w:hint="default"/>
                <w:spacing w:val="-54"/>
                <w:sz w:val="21"/>
                <w:szCs w:val="21"/>
              </w:rPr>
              <w:t> </w:t>
            </w:r>
            <w:r>
              <w:rPr>
                <w:rFonts w:ascii="宋体" w:hAnsi="宋体" w:cs="宋体" w:eastAsia="宋体" w:hint="default"/>
                <w:sz w:val="21"/>
                <w:szCs w:val="21"/>
              </w:rPr>
              <w:t>信贷机会基金挂钩票据</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13,094,900.00</w:t>
            </w:r>
          </w:p>
        </w:tc>
        <w:tc>
          <w:tcPr>
            <w:tcW w:w="28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648,741,547.73</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1,861,985,702.02</w:t>
            </w:r>
          </w:p>
        </w:tc>
      </w:tr>
    </w:tbl>
    <w:p>
      <w:pPr>
        <w:spacing w:line="240" w:lineRule="auto" w:before="7"/>
        <w:rPr>
          <w:rFonts w:ascii="宋体" w:hAnsi="宋体" w:cs="宋体" w:eastAsia="宋体" w:hint="default"/>
          <w:sz w:val="15"/>
          <w:szCs w:val="15"/>
        </w:rPr>
      </w:pPr>
    </w:p>
    <w:p>
      <w:pPr>
        <w:pStyle w:val="BodyText"/>
        <w:spacing w:line="240" w:lineRule="auto" w:before="36"/>
        <w:ind w:left="512" w:right="0"/>
        <w:jc w:val="left"/>
      </w:pPr>
      <w:r>
        <w:rPr/>
        <w:t>其他说明</w:t>
      </w:r>
    </w:p>
    <w:p>
      <w:pPr>
        <w:spacing w:line="240" w:lineRule="auto" w:before="5"/>
        <w:rPr>
          <w:rFonts w:ascii="宋体" w:hAnsi="宋体" w:cs="宋体" w:eastAsia="宋体" w:hint="default"/>
          <w:sz w:val="18"/>
          <w:szCs w:val="18"/>
        </w:rPr>
      </w:pPr>
    </w:p>
    <w:p>
      <w:pPr>
        <w:tabs>
          <w:tab w:pos="1233" w:val="left" w:leader="none"/>
        </w:tabs>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tab/>
        <w:t>银行理财产品</w:t>
      </w:r>
    </w:p>
    <w:p>
      <w:pPr>
        <w:spacing w:line="240" w:lineRule="auto" w:before="8"/>
        <w:rPr>
          <w:rFonts w:ascii="宋体" w:hAnsi="宋体" w:cs="宋体" w:eastAsia="宋体" w:hint="default"/>
          <w:sz w:val="20"/>
          <w:szCs w:val="20"/>
        </w:rPr>
      </w:pPr>
    </w:p>
    <w:tbl>
      <w:tblPr>
        <w:tblW w:w="0" w:type="auto"/>
        <w:jc w:val="left"/>
        <w:tblInd w:w="457" w:type="dxa"/>
        <w:tblLayout w:type="fixed"/>
        <w:tblCellMar>
          <w:top w:w="0" w:type="dxa"/>
          <w:left w:w="0" w:type="dxa"/>
          <w:bottom w:w="0" w:type="dxa"/>
          <w:right w:w="0" w:type="dxa"/>
        </w:tblCellMar>
        <w:tblLook w:val="01E0"/>
      </w:tblPr>
      <w:tblGrid>
        <w:gridCol w:w="3274"/>
        <w:gridCol w:w="2128"/>
        <w:gridCol w:w="1964"/>
        <w:gridCol w:w="1533"/>
      </w:tblGrid>
      <w:tr>
        <w:trPr>
          <w:trHeight w:val="480" w:hRule="exact"/>
        </w:trPr>
        <w:tc>
          <w:tcPr>
            <w:tcW w:w="3274"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128"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56"/>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964"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533" w:type="dxa"/>
            <w:tcBorders>
              <w:top w:val="single" w:sz="8" w:space="0" w:color="000000"/>
              <w:left w:val="nil" w:sz="6" w:space="0" w:color="auto"/>
              <w:bottom w:val="single" w:sz="4" w:space="0" w:color="000000"/>
              <w:right w:val="nil" w:sz="6" w:space="0" w:color="auto"/>
            </w:tcBorders>
          </w:tcPr>
          <w:p>
            <w:pPr>
              <w:pStyle w:val="TableParagraph"/>
              <w:spacing w:line="204" w:lineRule="exact"/>
              <w:ind w:left="250" w:right="0"/>
              <w:jc w:val="left"/>
              <w:rPr>
                <w:rFonts w:ascii="宋体" w:hAnsi="宋体" w:cs="宋体" w:eastAsia="宋体" w:hint="default"/>
                <w:sz w:val="18"/>
                <w:szCs w:val="18"/>
              </w:rPr>
            </w:pPr>
            <w:r>
              <w:rPr>
                <w:rFonts w:ascii="宋体" w:hAnsi="宋体" w:cs="宋体" w:eastAsia="宋体" w:hint="default"/>
                <w:b/>
                <w:bCs/>
                <w:sz w:val="18"/>
                <w:szCs w:val="18"/>
              </w:rPr>
              <w:t>预期年化收</w:t>
            </w:r>
            <w:r>
              <w:rPr>
                <w:rFonts w:ascii="宋体" w:hAnsi="宋体" w:cs="宋体" w:eastAsia="宋体" w:hint="default"/>
                <w:sz w:val="18"/>
                <w:szCs w:val="18"/>
              </w:rPr>
            </w:r>
          </w:p>
          <w:p>
            <w:pPr>
              <w:pStyle w:val="TableParagraph"/>
              <w:spacing w:line="234" w:lineRule="exact"/>
              <w:ind w:left="250" w:right="0"/>
              <w:jc w:val="left"/>
              <w:rPr>
                <w:rFonts w:ascii="宋体" w:hAnsi="宋体" w:cs="宋体" w:eastAsia="宋体" w:hint="default"/>
                <w:sz w:val="18"/>
                <w:szCs w:val="18"/>
              </w:rPr>
            </w:pPr>
            <w:r>
              <w:rPr>
                <w:rFonts w:ascii="宋体" w:hAnsi="宋体" w:cs="宋体" w:eastAsia="宋体" w:hint="default"/>
                <w:b/>
                <w:bCs/>
                <w:sz w:val="18"/>
                <w:szCs w:val="18"/>
              </w:rPr>
              <w:t>益率</w:t>
            </w:r>
            <w:r>
              <w:rPr>
                <w:rFonts w:ascii="宋体" w:hAnsi="宋体" w:cs="宋体" w:eastAsia="宋体" w:hint="default"/>
                <w:sz w:val="18"/>
                <w:szCs w:val="18"/>
              </w:rPr>
            </w:r>
          </w:p>
        </w:tc>
      </w:tr>
      <w:tr>
        <w:trPr>
          <w:trHeight w:val="521" w:hRule="exact"/>
        </w:trPr>
        <w:tc>
          <w:tcPr>
            <w:tcW w:w="3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79" w:right="0"/>
              <w:jc w:val="left"/>
              <w:rPr>
                <w:rFonts w:ascii="宋体" w:hAnsi="宋体" w:cs="宋体" w:eastAsia="宋体" w:hint="default"/>
                <w:sz w:val="18"/>
                <w:szCs w:val="18"/>
              </w:rPr>
            </w:pPr>
            <w:r>
              <w:rPr>
                <w:rFonts w:ascii="宋体" w:hAnsi="宋体" w:cs="宋体" w:eastAsia="宋体" w:hint="default"/>
                <w:sz w:val="18"/>
                <w:szCs w:val="18"/>
              </w:rPr>
              <w:t>中银保本理财</w:t>
            </w:r>
            <w:r>
              <w:rPr>
                <w:rFonts w:ascii="宋体" w:hAnsi="宋体" w:cs="宋体" w:eastAsia="宋体" w:hint="default"/>
                <w:sz w:val="18"/>
                <w:szCs w:val="18"/>
              </w:rPr>
              <w:t>-</w:t>
            </w:r>
            <w:r>
              <w:rPr>
                <w:rFonts w:ascii="宋体" w:hAnsi="宋体" w:cs="宋体" w:eastAsia="宋体" w:hint="default"/>
                <w:sz w:val="18"/>
                <w:szCs w:val="18"/>
              </w:rPr>
              <w:t>人民币按期开放</w:t>
            </w:r>
          </w:p>
        </w:tc>
        <w:tc>
          <w:tcPr>
            <w:tcW w:w="2128"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864" w:right="0"/>
              <w:jc w:val="left"/>
              <w:rPr>
                <w:rFonts w:ascii="宋体" w:hAnsi="宋体" w:cs="宋体" w:eastAsia="宋体" w:hint="default"/>
                <w:sz w:val="18"/>
                <w:szCs w:val="18"/>
              </w:rPr>
            </w:pPr>
            <w:r>
              <w:rPr>
                <w:rFonts w:ascii="宋体"/>
                <w:sz w:val="18"/>
              </w:rPr>
              <w:t>60,000,000.00</w:t>
            </w:r>
          </w:p>
        </w:tc>
        <w:tc>
          <w:tcPr>
            <w:tcW w:w="19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92" w:right="0"/>
              <w:jc w:val="left"/>
              <w:rPr>
                <w:rFonts w:ascii="宋体" w:hAnsi="宋体" w:cs="宋体" w:eastAsia="宋体" w:hint="default"/>
                <w:sz w:val="18"/>
                <w:szCs w:val="18"/>
              </w:rPr>
            </w:pPr>
            <w:r>
              <w:rPr>
                <w:rFonts w:ascii="宋体"/>
                <w:sz w:val="18"/>
              </w:rPr>
              <w:t>2012/11/7-2018/1/3</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975" w:right="0"/>
              <w:jc w:val="left"/>
              <w:rPr>
                <w:rFonts w:ascii="宋体" w:hAnsi="宋体" w:cs="宋体" w:eastAsia="宋体" w:hint="default"/>
                <w:sz w:val="18"/>
                <w:szCs w:val="18"/>
              </w:rPr>
            </w:pPr>
            <w:r>
              <w:rPr>
                <w:rFonts w:ascii="宋体"/>
                <w:sz w:val="18"/>
              </w:rPr>
              <w:t>1.70%</w:t>
            </w:r>
          </w:p>
        </w:tc>
      </w:tr>
    </w:tbl>
    <w:p>
      <w:pPr>
        <w:spacing w:line="240" w:lineRule="auto" w:before="8"/>
        <w:rPr>
          <w:rFonts w:ascii="宋体" w:hAnsi="宋体" w:cs="宋体" w:eastAsia="宋体" w:hint="default"/>
          <w:sz w:val="12"/>
          <w:szCs w:val="12"/>
        </w:rPr>
      </w:pPr>
    </w:p>
    <w:p>
      <w:pPr>
        <w:tabs>
          <w:tab w:pos="1233" w:val="left" w:leader="none"/>
        </w:tabs>
        <w:spacing w:before="44"/>
        <w:ind w:left="5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tab/>
        <w:t>基金理财产品</w:t>
      </w:r>
    </w:p>
    <w:p>
      <w:pPr>
        <w:spacing w:line="240" w:lineRule="auto" w:before="6"/>
        <w:rPr>
          <w:rFonts w:ascii="宋体" w:hAnsi="宋体" w:cs="宋体" w:eastAsia="宋体" w:hint="default"/>
          <w:sz w:val="20"/>
          <w:szCs w:val="20"/>
        </w:rPr>
      </w:pPr>
    </w:p>
    <w:tbl>
      <w:tblPr>
        <w:tblW w:w="0" w:type="auto"/>
        <w:jc w:val="left"/>
        <w:tblInd w:w="443" w:type="dxa"/>
        <w:tblLayout w:type="fixed"/>
        <w:tblCellMar>
          <w:top w:w="0" w:type="dxa"/>
          <w:left w:w="0" w:type="dxa"/>
          <w:bottom w:w="0" w:type="dxa"/>
          <w:right w:w="0" w:type="dxa"/>
        </w:tblCellMar>
        <w:tblLook w:val="01E0"/>
      </w:tblPr>
      <w:tblGrid>
        <w:gridCol w:w="3700"/>
        <w:gridCol w:w="1716"/>
        <w:gridCol w:w="2061"/>
        <w:gridCol w:w="1435"/>
      </w:tblGrid>
      <w:tr>
        <w:trPr>
          <w:trHeight w:val="483" w:hRule="exact"/>
        </w:trPr>
        <w:tc>
          <w:tcPr>
            <w:tcW w:w="3700"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716"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351"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061"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435" w:type="dxa"/>
            <w:tcBorders>
              <w:top w:val="single" w:sz="8" w:space="0" w:color="000000"/>
              <w:left w:val="nil" w:sz="6" w:space="0" w:color="auto"/>
              <w:bottom w:val="single" w:sz="4" w:space="0" w:color="000000"/>
              <w:right w:val="nil" w:sz="6" w:space="0" w:color="auto"/>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预期年化收</w:t>
            </w:r>
            <w:r>
              <w:rPr>
                <w:rFonts w:ascii="宋体" w:hAnsi="宋体" w:cs="宋体" w:eastAsia="宋体" w:hint="default"/>
                <w:sz w:val="18"/>
                <w:szCs w:val="18"/>
              </w:rPr>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益率</w:t>
            </w:r>
            <w:r>
              <w:rPr>
                <w:rFonts w:ascii="宋体" w:hAnsi="宋体" w:cs="宋体" w:eastAsia="宋体" w:hint="default"/>
                <w:sz w:val="18"/>
                <w:szCs w:val="18"/>
              </w:rPr>
            </w:r>
          </w:p>
        </w:tc>
      </w:tr>
      <w:tr>
        <w:trPr>
          <w:trHeight w:val="515" w:hRule="exact"/>
        </w:trPr>
        <w:tc>
          <w:tcPr>
            <w:tcW w:w="3700"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16" w:right="0"/>
              <w:jc w:val="left"/>
              <w:rPr>
                <w:rFonts w:ascii="宋体" w:hAnsi="宋体" w:cs="宋体" w:eastAsia="宋体" w:hint="default"/>
                <w:sz w:val="18"/>
                <w:szCs w:val="18"/>
              </w:rPr>
            </w:pPr>
            <w:r>
              <w:rPr>
                <w:rFonts w:ascii="宋体" w:hAnsi="宋体" w:cs="宋体" w:eastAsia="宋体" w:hint="default"/>
                <w:sz w:val="18"/>
                <w:szCs w:val="18"/>
              </w:rPr>
              <w:t>中金公司财富资金系列</w:t>
            </w:r>
            <w:r>
              <w:rPr>
                <w:rFonts w:ascii="宋体" w:hAnsi="宋体" w:cs="宋体" w:eastAsia="宋体" w:hint="default"/>
                <w:sz w:val="18"/>
                <w:szCs w:val="18"/>
              </w:rPr>
              <w:t>116</w:t>
            </w:r>
            <w:r>
              <w:rPr>
                <w:rFonts w:ascii="宋体" w:hAnsi="宋体" w:cs="宋体" w:eastAsia="宋体" w:hint="default"/>
                <w:sz w:val="18"/>
                <w:szCs w:val="18"/>
              </w:rPr>
              <w:t>期收益凭证</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90"/>
              <w:jc w:val="right"/>
              <w:rPr>
                <w:rFonts w:ascii="宋体" w:hAnsi="宋体" w:cs="宋体" w:eastAsia="宋体" w:hint="default"/>
                <w:sz w:val="18"/>
                <w:szCs w:val="18"/>
              </w:rPr>
            </w:pPr>
            <w:r>
              <w:rPr>
                <w:rFonts w:ascii="宋体"/>
                <w:spacing w:val="-1"/>
                <w:sz w:val="18"/>
              </w:rPr>
              <w:t>29,000,000.00</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106" w:right="0"/>
              <w:jc w:val="left"/>
              <w:rPr>
                <w:rFonts w:ascii="宋体" w:hAnsi="宋体" w:cs="宋体" w:eastAsia="宋体" w:hint="default"/>
                <w:sz w:val="18"/>
                <w:szCs w:val="18"/>
              </w:rPr>
            </w:pPr>
            <w:r>
              <w:rPr>
                <w:rFonts w:ascii="宋体"/>
                <w:sz w:val="18"/>
              </w:rPr>
              <w:t>2017/12/28-2018/1/18</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5.10%</w:t>
            </w:r>
          </w:p>
        </w:tc>
      </w:tr>
      <w:tr>
        <w:trPr>
          <w:trHeight w:val="51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6" w:right="0"/>
              <w:jc w:val="left"/>
              <w:rPr>
                <w:rFonts w:ascii="宋体" w:hAnsi="宋体" w:cs="宋体" w:eastAsia="宋体" w:hint="default"/>
                <w:sz w:val="18"/>
                <w:szCs w:val="18"/>
              </w:rPr>
            </w:pPr>
            <w:r>
              <w:rPr>
                <w:rFonts w:ascii="宋体" w:hAnsi="宋体" w:cs="宋体" w:eastAsia="宋体" w:hint="default"/>
                <w:sz w:val="18"/>
                <w:szCs w:val="18"/>
              </w:rPr>
              <w:t>中国银河证券</w:t>
            </w:r>
            <w:r>
              <w:rPr>
                <w:rFonts w:ascii="宋体" w:hAnsi="宋体" w:cs="宋体" w:eastAsia="宋体" w:hint="default"/>
                <w:sz w:val="18"/>
                <w:szCs w:val="18"/>
              </w:rPr>
              <w:t>"</w:t>
            </w:r>
            <w:r>
              <w:rPr>
                <w:rFonts w:ascii="宋体" w:hAnsi="宋体" w:cs="宋体" w:eastAsia="宋体" w:hint="default"/>
                <w:sz w:val="18"/>
                <w:szCs w:val="18"/>
              </w:rPr>
              <w:t>银河金山</w:t>
            </w:r>
            <w:r>
              <w:rPr>
                <w:rFonts w:ascii="宋体" w:hAnsi="宋体" w:cs="宋体" w:eastAsia="宋体" w:hint="default"/>
                <w:sz w:val="18"/>
                <w:szCs w:val="18"/>
              </w:rPr>
              <w:t>"</w:t>
            </w:r>
            <w:r>
              <w:rPr>
                <w:rFonts w:ascii="宋体" w:hAnsi="宋体" w:cs="宋体" w:eastAsia="宋体" w:hint="default"/>
                <w:sz w:val="18"/>
                <w:szCs w:val="18"/>
              </w:rPr>
              <w:t>收益凭证</w:t>
            </w:r>
            <w:r>
              <w:rPr>
                <w:rFonts w:ascii="宋体" w:hAnsi="宋体" w:cs="宋体" w:eastAsia="宋体" w:hint="default"/>
                <w:sz w:val="18"/>
                <w:szCs w:val="18"/>
              </w:rPr>
              <w:t>1410</w:t>
            </w:r>
            <w:r>
              <w:rPr>
                <w:rFonts w:ascii="宋体" w:hAnsi="宋体" w:cs="宋体" w:eastAsia="宋体" w:hint="default"/>
                <w:sz w:val="18"/>
                <w:szCs w:val="18"/>
              </w:rPr>
              <w:t>期</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0"/>
              <w:jc w:val="right"/>
              <w:rPr>
                <w:rFonts w:ascii="宋体" w:hAnsi="宋体" w:cs="宋体" w:eastAsia="宋体" w:hint="default"/>
                <w:sz w:val="18"/>
                <w:szCs w:val="18"/>
              </w:rPr>
            </w:pPr>
            <w:r>
              <w:rPr>
                <w:rFonts w:ascii="宋体"/>
                <w:spacing w:val="-1"/>
                <w:sz w:val="18"/>
              </w:rPr>
              <w:t>50,000,000.00</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2" w:right="0"/>
              <w:jc w:val="left"/>
              <w:rPr>
                <w:rFonts w:ascii="宋体" w:hAnsi="宋体" w:cs="宋体" w:eastAsia="宋体" w:hint="default"/>
                <w:sz w:val="18"/>
                <w:szCs w:val="18"/>
              </w:rPr>
            </w:pPr>
            <w:r>
              <w:rPr>
                <w:rFonts w:ascii="宋体"/>
                <w:sz w:val="18"/>
              </w:rPr>
              <w:t>2017/8/8-2018/2/5</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4.70%</w:t>
            </w:r>
          </w:p>
        </w:tc>
      </w:tr>
      <w:tr>
        <w:trPr>
          <w:trHeight w:val="51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6" w:right="0"/>
              <w:jc w:val="left"/>
              <w:rPr>
                <w:rFonts w:ascii="宋体" w:hAnsi="宋体" w:cs="宋体" w:eastAsia="宋体" w:hint="default"/>
                <w:sz w:val="18"/>
                <w:szCs w:val="18"/>
              </w:rPr>
            </w:pPr>
            <w:r>
              <w:rPr>
                <w:rFonts w:ascii="宋体" w:hAnsi="宋体" w:cs="宋体" w:eastAsia="宋体" w:hint="default"/>
                <w:sz w:val="18"/>
                <w:szCs w:val="18"/>
              </w:rPr>
              <w:t>中金公司财富资金系列</w:t>
            </w:r>
            <w:r>
              <w:rPr>
                <w:rFonts w:ascii="宋体" w:hAnsi="宋体" w:cs="宋体" w:eastAsia="宋体" w:hint="default"/>
                <w:sz w:val="18"/>
                <w:szCs w:val="18"/>
              </w:rPr>
              <w:t>61</w:t>
            </w:r>
            <w:r>
              <w:rPr>
                <w:rFonts w:ascii="宋体" w:hAnsi="宋体" w:cs="宋体" w:eastAsia="宋体" w:hint="default"/>
                <w:sz w:val="18"/>
                <w:szCs w:val="18"/>
              </w:rPr>
              <w:t>期收益凭证</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0"/>
              <w:jc w:val="right"/>
              <w:rPr>
                <w:rFonts w:ascii="宋体" w:hAnsi="宋体" w:cs="宋体" w:eastAsia="宋体" w:hint="default"/>
                <w:sz w:val="18"/>
                <w:szCs w:val="18"/>
              </w:rPr>
            </w:pPr>
            <w:r>
              <w:rPr>
                <w:rFonts w:ascii="宋体"/>
                <w:spacing w:val="-1"/>
                <w:sz w:val="18"/>
              </w:rPr>
              <w:t>64,000,000.00</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2" w:right="0"/>
              <w:jc w:val="left"/>
              <w:rPr>
                <w:rFonts w:ascii="宋体" w:hAnsi="宋体" w:cs="宋体" w:eastAsia="宋体" w:hint="default"/>
                <w:sz w:val="18"/>
                <w:szCs w:val="18"/>
              </w:rPr>
            </w:pPr>
            <w:r>
              <w:rPr>
                <w:rFonts w:ascii="宋体"/>
                <w:sz w:val="18"/>
              </w:rPr>
              <w:t>2017/7/6-2018/1/4</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7.04%</w:t>
            </w:r>
          </w:p>
        </w:tc>
      </w:tr>
      <w:tr>
        <w:trPr>
          <w:trHeight w:val="51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6" w:right="0"/>
              <w:jc w:val="left"/>
              <w:rPr>
                <w:rFonts w:ascii="宋体" w:hAnsi="宋体" w:cs="宋体" w:eastAsia="宋体" w:hint="default"/>
                <w:sz w:val="18"/>
                <w:szCs w:val="18"/>
              </w:rPr>
            </w:pPr>
            <w:r>
              <w:rPr>
                <w:rFonts w:ascii="宋体" w:hAnsi="宋体" w:cs="宋体" w:eastAsia="宋体" w:hint="default"/>
                <w:sz w:val="18"/>
                <w:szCs w:val="18"/>
              </w:rPr>
              <w:t>中金公司财富资金系列</w:t>
            </w:r>
            <w:r>
              <w:rPr>
                <w:rFonts w:ascii="宋体" w:hAnsi="宋体" w:cs="宋体" w:eastAsia="宋体" w:hint="default"/>
                <w:sz w:val="18"/>
                <w:szCs w:val="18"/>
              </w:rPr>
              <w:t>110</w:t>
            </w:r>
            <w:r>
              <w:rPr>
                <w:rFonts w:ascii="宋体" w:hAnsi="宋体" w:cs="宋体" w:eastAsia="宋体" w:hint="default"/>
                <w:sz w:val="18"/>
                <w:szCs w:val="18"/>
              </w:rPr>
              <w:t>期收益凭证</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0"/>
              <w:jc w:val="right"/>
              <w:rPr>
                <w:rFonts w:ascii="宋体" w:hAnsi="宋体" w:cs="宋体" w:eastAsia="宋体" w:hint="default"/>
                <w:sz w:val="18"/>
                <w:szCs w:val="18"/>
              </w:rPr>
            </w:pPr>
            <w:r>
              <w:rPr>
                <w:rFonts w:ascii="宋体"/>
                <w:spacing w:val="-1"/>
                <w:sz w:val="18"/>
              </w:rPr>
              <w:t>110,000,000.00</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2" w:right="0"/>
              <w:jc w:val="left"/>
              <w:rPr>
                <w:rFonts w:ascii="宋体" w:hAnsi="宋体" w:cs="宋体" w:eastAsia="宋体" w:hint="default"/>
                <w:sz w:val="18"/>
                <w:szCs w:val="18"/>
              </w:rPr>
            </w:pPr>
            <w:r>
              <w:rPr>
                <w:rFonts w:ascii="宋体"/>
                <w:sz w:val="18"/>
              </w:rPr>
              <w:t>2017/12/25-2018/1/25</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5.10%</w:t>
            </w:r>
          </w:p>
        </w:tc>
      </w:tr>
      <w:tr>
        <w:trPr>
          <w:trHeight w:val="51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6" w:right="0"/>
              <w:jc w:val="left"/>
              <w:rPr>
                <w:rFonts w:ascii="宋体" w:hAnsi="宋体" w:cs="宋体" w:eastAsia="宋体" w:hint="default"/>
                <w:sz w:val="18"/>
                <w:szCs w:val="18"/>
              </w:rPr>
            </w:pPr>
            <w:r>
              <w:rPr>
                <w:rFonts w:ascii="宋体" w:hAnsi="宋体" w:cs="宋体" w:eastAsia="宋体" w:hint="default"/>
                <w:sz w:val="18"/>
                <w:szCs w:val="18"/>
              </w:rPr>
              <w:t>中金公司财富资金系列</w:t>
            </w:r>
            <w:r>
              <w:rPr>
                <w:rFonts w:ascii="宋体" w:hAnsi="宋体" w:cs="宋体" w:eastAsia="宋体" w:hint="default"/>
                <w:sz w:val="18"/>
                <w:szCs w:val="18"/>
              </w:rPr>
              <w:t>109</w:t>
            </w:r>
            <w:r>
              <w:rPr>
                <w:rFonts w:ascii="宋体" w:hAnsi="宋体" w:cs="宋体" w:eastAsia="宋体" w:hint="default"/>
                <w:sz w:val="18"/>
                <w:szCs w:val="18"/>
              </w:rPr>
              <w:t>期收益凭证产品</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0"/>
              <w:jc w:val="right"/>
              <w:rPr>
                <w:rFonts w:ascii="宋体" w:hAnsi="宋体" w:cs="宋体" w:eastAsia="宋体" w:hint="default"/>
                <w:sz w:val="18"/>
                <w:szCs w:val="18"/>
              </w:rPr>
            </w:pPr>
            <w:r>
              <w:rPr>
                <w:rFonts w:ascii="宋体"/>
                <w:spacing w:val="-1"/>
                <w:sz w:val="18"/>
              </w:rPr>
              <w:t>88,000,000.00</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2" w:right="0"/>
              <w:jc w:val="left"/>
              <w:rPr>
                <w:rFonts w:ascii="宋体" w:hAnsi="宋体" w:cs="宋体" w:eastAsia="宋体" w:hint="default"/>
                <w:sz w:val="18"/>
                <w:szCs w:val="18"/>
              </w:rPr>
            </w:pPr>
            <w:r>
              <w:rPr>
                <w:rFonts w:ascii="宋体"/>
                <w:sz w:val="18"/>
              </w:rPr>
              <w:t>2017/12/25-2018/1/25</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5.10%</w:t>
            </w:r>
          </w:p>
        </w:tc>
      </w:tr>
      <w:tr>
        <w:trPr>
          <w:trHeight w:val="51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6" w:right="0"/>
              <w:jc w:val="left"/>
              <w:rPr>
                <w:rFonts w:ascii="宋体" w:hAnsi="宋体" w:cs="宋体" w:eastAsia="宋体" w:hint="default"/>
                <w:sz w:val="18"/>
                <w:szCs w:val="18"/>
              </w:rPr>
            </w:pPr>
            <w:r>
              <w:rPr>
                <w:rFonts w:ascii="宋体" w:hAnsi="宋体" w:cs="宋体" w:eastAsia="宋体" w:hint="default"/>
                <w:sz w:val="18"/>
                <w:szCs w:val="18"/>
              </w:rPr>
              <w:t>新时代富贵花稳盈</w:t>
            </w:r>
            <w:r>
              <w:rPr>
                <w:rFonts w:ascii="宋体" w:hAnsi="宋体" w:cs="宋体" w:eastAsia="宋体" w:hint="default"/>
                <w:sz w:val="18"/>
                <w:szCs w:val="18"/>
              </w:rPr>
              <w:t>32</w:t>
            </w:r>
            <w:r>
              <w:rPr>
                <w:rFonts w:ascii="宋体" w:hAnsi="宋体" w:cs="宋体" w:eastAsia="宋体" w:hint="default"/>
                <w:sz w:val="18"/>
                <w:szCs w:val="18"/>
              </w:rPr>
              <w:t>号</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0"/>
              <w:jc w:val="right"/>
              <w:rPr>
                <w:rFonts w:ascii="宋体" w:hAnsi="宋体" w:cs="宋体" w:eastAsia="宋体" w:hint="default"/>
                <w:sz w:val="18"/>
                <w:szCs w:val="18"/>
              </w:rPr>
            </w:pPr>
            <w:r>
              <w:rPr>
                <w:rFonts w:ascii="宋体"/>
                <w:spacing w:val="-1"/>
                <w:sz w:val="18"/>
              </w:rPr>
              <w:t>91,000,000.00</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2" w:right="0"/>
              <w:jc w:val="left"/>
              <w:rPr>
                <w:rFonts w:ascii="宋体" w:hAnsi="宋体" w:cs="宋体" w:eastAsia="宋体" w:hint="default"/>
                <w:sz w:val="18"/>
                <w:szCs w:val="18"/>
              </w:rPr>
            </w:pPr>
            <w:r>
              <w:rPr>
                <w:rFonts w:ascii="宋体"/>
                <w:sz w:val="18"/>
              </w:rPr>
              <w:t>2017/7/7-2018/1/8</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5.20%</w:t>
            </w:r>
          </w:p>
        </w:tc>
      </w:tr>
      <w:tr>
        <w:trPr>
          <w:trHeight w:val="516" w:hRule="exact"/>
        </w:trPr>
        <w:tc>
          <w:tcPr>
            <w:tcW w:w="3700"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6" w:right="0"/>
              <w:jc w:val="left"/>
              <w:rPr>
                <w:rFonts w:ascii="宋体" w:hAnsi="宋体" w:cs="宋体" w:eastAsia="宋体" w:hint="default"/>
                <w:sz w:val="18"/>
                <w:szCs w:val="18"/>
              </w:rPr>
            </w:pPr>
            <w:r>
              <w:rPr>
                <w:rFonts w:ascii="宋体" w:hAnsi="宋体" w:cs="宋体" w:eastAsia="宋体" w:hint="default"/>
                <w:sz w:val="18"/>
                <w:szCs w:val="18"/>
              </w:rPr>
              <w:t>安信证券收益凭证</w:t>
            </w:r>
            <w:r>
              <w:rPr>
                <w:rFonts w:ascii="宋体" w:hAnsi="宋体" w:cs="宋体" w:eastAsia="宋体" w:hint="default"/>
                <w:sz w:val="18"/>
                <w:szCs w:val="18"/>
              </w:rPr>
              <w:t>-</w:t>
            </w:r>
            <w:r>
              <w:rPr>
                <w:rFonts w:ascii="宋体" w:hAnsi="宋体" w:cs="宋体" w:eastAsia="宋体" w:hint="default"/>
                <w:sz w:val="18"/>
                <w:szCs w:val="18"/>
              </w:rPr>
              <w:t>安益乐享</w:t>
            </w:r>
            <w:r>
              <w:rPr>
                <w:rFonts w:ascii="宋体" w:hAnsi="宋体" w:cs="宋体" w:eastAsia="宋体" w:hint="default"/>
                <w:sz w:val="18"/>
                <w:szCs w:val="18"/>
              </w:rPr>
              <w:t>113</w:t>
            </w:r>
            <w:r>
              <w:rPr>
                <w:rFonts w:ascii="宋体" w:hAnsi="宋体" w:cs="宋体" w:eastAsia="宋体" w:hint="default"/>
                <w:sz w:val="18"/>
                <w:szCs w:val="18"/>
              </w:rPr>
              <w:t>号</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0"/>
              <w:jc w:val="right"/>
              <w:rPr>
                <w:rFonts w:ascii="宋体" w:hAnsi="宋体" w:cs="宋体" w:eastAsia="宋体" w:hint="default"/>
                <w:sz w:val="18"/>
                <w:szCs w:val="18"/>
              </w:rPr>
            </w:pPr>
            <w:r>
              <w:rPr>
                <w:rFonts w:ascii="宋体"/>
                <w:spacing w:val="-1"/>
                <w:sz w:val="18"/>
              </w:rPr>
              <w:t>50,000,000.00</w:t>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92" w:right="0"/>
              <w:jc w:val="left"/>
              <w:rPr>
                <w:rFonts w:ascii="宋体" w:hAnsi="宋体" w:cs="宋体" w:eastAsia="宋体" w:hint="default"/>
                <w:sz w:val="18"/>
                <w:szCs w:val="18"/>
              </w:rPr>
            </w:pPr>
            <w:r>
              <w:rPr>
                <w:rFonts w:ascii="宋体"/>
                <w:sz w:val="18"/>
              </w:rPr>
              <w:t>2017/8/3-2018/2/1</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4.70%</w:t>
            </w:r>
          </w:p>
        </w:tc>
      </w:tr>
      <w:tr>
        <w:trPr>
          <w:trHeight w:val="552" w:hRule="exact"/>
        </w:trPr>
        <w:tc>
          <w:tcPr>
            <w:tcW w:w="3700" w:type="dxa"/>
            <w:tcBorders>
              <w:top w:val="single" w:sz="4" w:space="0" w:color="000000"/>
              <w:left w:val="nil" w:sz="6" w:space="0" w:color="auto"/>
              <w:bottom w:val="single" w:sz="8" w:space="0" w:color="000000"/>
              <w:right w:val="nil" w:sz="6" w:space="0" w:color="auto"/>
            </w:tcBorders>
          </w:tcPr>
          <w:p>
            <w:pPr>
              <w:pStyle w:val="TableParagraph"/>
              <w:tabs>
                <w:tab w:pos="528" w:val="left" w:leader="none"/>
              </w:tabs>
              <w:spacing w:line="240" w:lineRule="auto" w:before="123"/>
              <w:ind w:left="16"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16" w:type="dxa"/>
            <w:tcBorders>
              <w:top w:val="single" w:sz="4" w:space="0" w:color="000000"/>
              <w:left w:val="nil" w:sz="6" w:space="0" w:color="auto"/>
              <w:bottom w:val="single" w:sz="8" w:space="0" w:color="000000"/>
              <w:right w:val="nil" w:sz="6" w:space="0" w:color="auto"/>
            </w:tcBorders>
          </w:tcPr>
          <w:p>
            <w:pPr>
              <w:pStyle w:val="TableParagraph"/>
              <w:spacing w:line="240" w:lineRule="auto" w:before="123"/>
              <w:ind w:right="90"/>
              <w:jc w:val="right"/>
              <w:rPr>
                <w:rFonts w:ascii="宋体" w:hAnsi="宋体" w:cs="宋体" w:eastAsia="宋体" w:hint="default"/>
                <w:sz w:val="18"/>
                <w:szCs w:val="18"/>
              </w:rPr>
            </w:pPr>
            <w:r>
              <w:rPr>
                <w:rFonts w:ascii="宋体"/>
                <w:b/>
                <w:w w:val="95"/>
                <w:sz w:val="18"/>
              </w:rPr>
              <w:t>482,000,000.00</w:t>
            </w:r>
            <w:r>
              <w:rPr>
                <w:rFonts w:ascii="宋体"/>
                <w:sz w:val="18"/>
              </w:rPr>
            </w:r>
          </w:p>
        </w:tc>
        <w:tc>
          <w:tcPr>
            <w:tcW w:w="2061" w:type="dxa"/>
            <w:tcBorders>
              <w:top w:val="single" w:sz="4" w:space="0" w:color="000000"/>
              <w:left w:val="nil" w:sz="6" w:space="0" w:color="auto"/>
              <w:bottom w:val="single" w:sz="8" w:space="0" w:color="000000"/>
              <w:right w:val="nil" w:sz="6" w:space="0" w:color="auto"/>
            </w:tcBorders>
          </w:tcPr>
          <w:p>
            <w:pPr/>
          </w:p>
        </w:tc>
        <w:tc>
          <w:tcPr>
            <w:tcW w:w="1435" w:type="dxa"/>
            <w:tcBorders>
              <w:top w:val="single" w:sz="4" w:space="0" w:color="000000"/>
              <w:left w:val="nil" w:sz="6" w:space="0" w:color="auto"/>
              <w:bottom w:val="single" w:sz="8" w:space="0" w:color="000000"/>
              <w:right w:val="nil" w:sz="6" w:space="0" w:color="auto"/>
            </w:tcBorders>
          </w:tcPr>
          <w:p>
            <w:pPr/>
          </w:p>
        </w:tc>
      </w:tr>
    </w:tbl>
    <w:p>
      <w:pPr>
        <w:spacing w:before="89"/>
        <w:ind w:left="512" w:right="0" w:firstLine="0"/>
        <w:jc w:val="left"/>
        <w:rPr>
          <w:rFonts w:ascii="宋体" w:hAnsi="宋体" w:cs="宋体" w:eastAsia="宋体" w:hint="default"/>
          <w:sz w:val="18"/>
          <w:szCs w:val="18"/>
        </w:rPr>
      </w:pPr>
      <w:r>
        <w:rPr>
          <w:rFonts w:ascii="宋体" w:hAnsi="宋体" w:cs="宋体" w:eastAsia="宋体" w:hint="default"/>
          <w:sz w:val="18"/>
          <w:szCs w:val="18"/>
        </w:rPr>
        <w:t>说明：截至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日止，上述基金理财产品均已收回本金及收益。</w:t>
      </w:r>
    </w:p>
    <w:p>
      <w:pPr>
        <w:spacing w:after="0"/>
        <w:jc w:val="left"/>
        <w:rPr>
          <w:rFonts w:ascii="宋体" w:hAnsi="宋体" w:cs="宋体" w:eastAsia="宋体" w:hint="default"/>
          <w:sz w:val="18"/>
          <w:szCs w:val="18"/>
        </w:rPr>
        <w:sectPr>
          <w:type w:val="continuous"/>
          <w:pgSz w:w="11910" w:h="16850"/>
          <w:pgMar w:top="1120" w:bottom="1380" w:left="620" w:right="1500"/>
        </w:sectPr>
      </w:pPr>
    </w:p>
    <w:p>
      <w:pPr>
        <w:spacing w:line="240" w:lineRule="auto" w:before="3"/>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2.1pt;height:.75pt;mso-position-horizontal-relative:char;mso-position-vertical-relative:line" coordorigin="0,0" coordsize="8842,15">
            <v:group style="position:absolute;left:7;top:7;width:8827;height:2" coordorigin="7,7" coordsize="8827,2">
              <v:shape style="position:absolute;left:7;top:7;width:8827;height:2" coordorigin="7,7" coordsize="8827,0" path="m7,7l8834,7e" filled="false" stroked="true" strokeweight=".72pt" strokecolor="#000000">
                <v:path arrowok="t"/>
              </v:shape>
            </v:group>
          </v:group>
        </w:pict>
      </w:r>
      <w:r>
        <w:rPr>
          <w:rFonts w:ascii="宋体" w:hAnsi="宋体" w:cs="宋体" w:eastAsia="宋体" w:hint="default"/>
          <w:sz w:val="2"/>
          <w:szCs w:val="2"/>
        </w:rPr>
      </w:r>
    </w:p>
    <w:p>
      <w:pPr>
        <w:tabs>
          <w:tab w:pos="973" w:val="left" w:leader="none"/>
        </w:tabs>
        <w:spacing w:before="91"/>
        <w:ind w:left="252" w:right="2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tab/>
        <w:t>信托理财产品</w:t>
      </w:r>
    </w:p>
    <w:p>
      <w:pPr>
        <w:spacing w:line="240" w:lineRule="auto" w:before="6"/>
        <w:rPr>
          <w:rFonts w:ascii="宋体" w:hAnsi="宋体" w:cs="宋体" w:eastAsia="宋体" w:hint="default"/>
          <w:sz w:val="11"/>
          <w:szCs w:val="11"/>
        </w:rPr>
      </w:pPr>
    </w:p>
    <w:tbl>
      <w:tblPr>
        <w:tblW w:w="0" w:type="auto"/>
        <w:jc w:val="left"/>
        <w:tblInd w:w="197" w:type="dxa"/>
        <w:tblLayout w:type="fixed"/>
        <w:tblCellMar>
          <w:top w:w="0" w:type="dxa"/>
          <w:left w:w="0" w:type="dxa"/>
          <w:bottom w:w="0" w:type="dxa"/>
          <w:right w:w="0" w:type="dxa"/>
        </w:tblCellMar>
        <w:tblLook w:val="01E0"/>
      </w:tblPr>
      <w:tblGrid>
        <w:gridCol w:w="3800"/>
        <w:gridCol w:w="1910"/>
        <w:gridCol w:w="2099"/>
        <w:gridCol w:w="1090"/>
      </w:tblGrid>
      <w:tr>
        <w:trPr>
          <w:trHeight w:val="483" w:hRule="exact"/>
        </w:trPr>
        <w:tc>
          <w:tcPr>
            <w:tcW w:w="3800"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910"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13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099"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252"/>
              <w:jc w:val="righ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090" w:type="dxa"/>
            <w:tcBorders>
              <w:top w:val="single" w:sz="8" w:space="0" w:color="000000"/>
              <w:left w:val="nil" w:sz="6" w:space="0" w:color="auto"/>
              <w:bottom w:val="single" w:sz="4" w:space="0" w:color="000000"/>
              <w:right w:val="nil" w:sz="6" w:space="0" w:color="auto"/>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预期年收</w:t>
            </w:r>
            <w:r>
              <w:rPr>
                <w:rFonts w:ascii="宋体" w:hAnsi="宋体" w:cs="宋体" w:eastAsia="宋体" w:hint="default"/>
                <w:sz w:val="18"/>
                <w:szCs w:val="18"/>
              </w:rPr>
            </w:r>
          </w:p>
          <w:p>
            <w:pPr>
              <w:pStyle w:val="TableParagraph"/>
              <w:spacing w:line="234"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益率</w:t>
            </w:r>
            <w:r>
              <w:rPr>
                <w:rFonts w:ascii="宋体" w:hAnsi="宋体" w:cs="宋体" w:eastAsia="宋体" w:hint="default"/>
                <w:sz w:val="18"/>
                <w:szCs w:val="18"/>
              </w:rPr>
            </w:r>
          </w:p>
        </w:tc>
      </w:tr>
      <w:tr>
        <w:trPr>
          <w:trHeight w:val="406" w:hRule="exact"/>
        </w:trPr>
        <w:tc>
          <w:tcPr>
            <w:tcW w:w="38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广发信德</w:t>
            </w:r>
            <w:r>
              <w:rPr>
                <w:rFonts w:ascii="宋体" w:hAnsi="宋体" w:cs="宋体" w:eastAsia="宋体" w:hint="default"/>
                <w:sz w:val="18"/>
                <w:szCs w:val="18"/>
              </w:rPr>
              <w:t>-</w:t>
            </w:r>
            <w:r>
              <w:rPr>
                <w:rFonts w:ascii="宋体" w:hAnsi="宋体" w:cs="宋体" w:eastAsia="宋体" w:hint="default"/>
                <w:sz w:val="18"/>
                <w:szCs w:val="18"/>
              </w:rPr>
              <w:t>新湖中宝平阳专项资管计划①</w:t>
            </w:r>
          </w:p>
        </w:tc>
        <w:tc>
          <w:tcPr>
            <w:tcW w:w="19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45" w:right="0"/>
              <w:jc w:val="left"/>
              <w:rPr>
                <w:rFonts w:ascii="宋体" w:hAnsi="宋体" w:cs="宋体" w:eastAsia="宋体" w:hint="default"/>
                <w:sz w:val="18"/>
                <w:szCs w:val="18"/>
              </w:rPr>
            </w:pPr>
            <w:r>
              <w:rPr>
                <w:rFonts w:ascii="宋体"/>
                <w:sz w:val="18"/>
              </w:rPr>
              <w:t>70,000,000.00</w:t>
            </w:r>
          </w:p>
        </w:tc>
        <w:tc>
          <w:tcPr>
            <w:tcW w:w="209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2015/12/28-2017/12/28</w:t>
            </w:r>
          </w:p>
        </w:tc>
        <w:tc>
          <w:tcPr>
            <w:tcW w:w="10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32" w:right="0"/>
              <w:jc w:val="left"/>
              <w:rPr>
                <w:rFonts w:ascii="宋体" w:hAnsi="宋体" w:cs="宋体" w:eastAsia="宋体" w:hint="default"/>
                <w:sz w:val="18"/>
                <w:szCs w:val="18"/>
              </w:rPr>
            </w:pPr>
            <w:r>
              <w:rPr>
                <w:rFonts w:ascii="宋体"/>
                <w:sz w:val="18"/>
              </w:rPr>
              <w:t>9.00%</w:t>
            </w:r>
          </w:p>
        </w:tc>
      </w:tr>
    </w:tbl>
    <w:p>
      <w:pPr>
        <w:spacing w:before="89"/>
        <w:ind w:left="252" w:right="294" w:firstLine="0"/>
        <w:jc w:val="left"/>
        <w:rPr>
          <w:rFonts w:ascii="宋体" w:hAnsi="宋体" w:cs="宋体" w:eastAsia="宋体" w:hint="default"/>
          <w:sz w:val="18"/>
          <w:szCs w:val="18"/>
        </w:rPr>
      </w:pPr>
      <w:r>
        <w:rPr>
          <w:rFonts w:ascii="宋体" w:hAnsi="宋体" w:cs="宋体" w:eastAsia="宋体" w:hint="default"/>
          <w:sz w:val="18"/>
          <w:szCs w:val="18"/>
        </w:rPr>
        <w:t>说明：由于时间差原因，</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年尚未收到赎回款，实际于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日收到本金及收益。</w:t>
      </w:r>
    </w:p>
    <w:p>
      <w:pPr>
        <w:tabs>
          <w:tab w:pos="973" w:val="left" w:leader="none"/>
        </w:tabs>
        <w:spacing w:before="119"/>
        <w:ind w:left="252" w:right="2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tab/>
      </w:r>
      <w:r>
        <w:rPr>
          <w:rFonts w:ascii="宋体" w:hAnsi="宋体" w:cs="宋体" w:eastAsia="宋体" w:hint="default"/>
          <w:sz w:val="18"/>
          <w:szCs w:val="18"/>
        </w:rPr>
        <w:t>GAM</w:t>
      </w:r>
      <w:r>
        <w:rPr>
          <w:rFonts w:ascii="宋体" w:hAnsi="宋体" w:cs="宋体" w:eastAsia="宋体" w:hint="default"/>
          <w:spacing w:val="-45"/>
          <w:sz w:val="18"/>
          <w:szCs w:val="18"/>
        </w:rPr>
        <w:t> </w:t>
      </w:r>
      <w:r>
        <w:rPr>
          <w:rFonts w:ascii="宋体" w:hAnsi="宋体" w:cs="宋体" w:eastAsia="宋体" w:hint="default"/>
          <w:sz w:val="18"/>
          <w:szCs w:val="18"/>
        </w:rPr>
        <w:t>信贷机会基金挂钩票据</w:t>
      </w: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699"/>
        <w:gridCol w:w="2176"/>
        <w:gridCol w:w="2038"/>
        <w:gridCol w:w="1158"/>
      </w:tblGrid>
      <w:tr>
        <w:trPr>
          <w:trHeight w:val="482" w:hRule="exact"/>
        </w:trPr>
        <w:tc>
          <w:tcPr>
            <w:tcW w:w="3699"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176"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1346"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038"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257"/>
              <w:jc w:val="center"/>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158"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83" w:right="0"/>
              <w:jc w:val="left"/>
              <w:rPr>
                <w:rFonts w:ascii="宋体" w:hAnsi="宋体" w:cs="宋体" w:eastAsia="宋体" w:hint="default"/>
                <w:sz w:val="18"/>
                <w:szCs w:val="18"/>
              </w:rPr>
            </w:pPr>
            <w:r>
              <w:rPr>
                <w:rFonts w:ascii="宋体" w:hAnsi="宋体" w:cs="宋体" w:eastAsia="宋体" w:hint="default"/>
                <w:b/>
                <w:bCs/>
                <w:sz w:val="18"/>
                <w:szCs w:val="18"/>
              </w:rPr>
              <w:t>预期年收</w:t>
            </w:r>
            <w:r>
              <w:rPr>
                <w:rFonts w:ascii="宋体" w:hAnsi="宋体" w:cs="宋体" w:eastAsia="宋体" w:hint="default"/>
                <w:sz w:val="18"/>
                <w:szCs w:val="18"/>
              </w:rPr>
            </w:r>
          </w:p>
          <w:p>
            <w:pPr>
              <w:pStyle w:val="TableParagraph"/>
              <w:spacing w:line="240" w:lineRule="auto"/>
              <w:ind w:left="543" w:right="0"/>
              <w:jc w:val="left"/>
              <w:rPr>
                <w:rFonts w:ascii="宋体" w:hAnsi="宋体" w:cs="宋体" w:eastAsia="宋体" w:hint="default"/>
                <w:sz w:val="18"/>
                <w:szCs w:val="18"/>
              </w:rPr>
            </w:pPr>
            <w:r>
              <w:rPr>
                <w:rFonts w:ascii="宋体" w:hAnsi="宋体" w:cs="宋体" w:eastAsia="宋体" w:hint="default"/>
                <w:b/>
                <w:bCs/>
                <w:sz w:val="18"/>
                <w:szCs w:val="18"/>
              </w:rPr>
              <w:t>益率</w:t>
            </w:r>
            <w:r>
              <w:rPr>
                <w:rFonts w:ascii="宋体" w:hAnsi="宋体" w:cs="宋体" w:eastAsia="宋体" w:hint="default"/>
                <w:sz w:val="18"/>
                <w:szCs w:val="18"/>
              </w:rPr>
            </w:r>
          </w:p>
        </w:tc>
      </w:tr>
      <w:tr>
        <w:trPr>
          <w:trHeight w:val="413" w:hRule="exact"/>
        </w:trPr>
        <w:tc>
          <w:tcPr>
            <w:tcW w:w="369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GAM</w:t>
            </w:r>
            <w:r>
              <w:rPr>
                <w:rFonts w:ascii="宋体" w:hAnsi="宋体" w:cs="宋体" w:eastAsia="宋体" w:hint="default"/>
                <w:spacing w:val="-47"/>
                <w:sz w:val="18"/>
                <w:szCs w:val="18"/>
              </w:rPr>
              <w:t> </w:t>
            </w:r>
            <w:r>
              <w:rPr>
                <w:rFonts w:ascii="宋体" w:hAnsi="宋体" w:cs="宋体" w:eastAsia="宋体" w:hint="default"/>
                <w:sz w:val="18"/>
                <w:szCs w:val="18"/>
              </w:rPr>
              <w:t>信贷机会基金挂钩本金保障票据</w:t>
            </w:r>
          </w:p>
        </w:tc>
        <w:tc>
          <w:tcPr>
            <w:tcW w:w="217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861" w:right="0"/>
              <w:jc w:val="left"/>
              <w:rPr>
                <w:rFonts w:ascii="宋体" w:hAnsi="宋体" w:cs="宋体" w:eastAsia="宋体" w:hint="default"/>
                <w:sz w:val="18"/>
                <w:szCs w:val="18"/>
              </w:rPr>
            </w:pPr>
            <w:r>
              <w:rPr>
                <w:rFonts w:ascii="宋体"/>
                <w:sz w:val="18"/>
              </w:rPr>
              <w:t>13,094,900.00</w:t>
            </w:r>
          </w:p>
        </w:tc>
        <w:tc>
          <w:tcPr>
            <w:tcW w:w="203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42" w:right="0"/>
              <w:jc w:val="left"/>
              <w:rPr>
                <w:rFonts w:ascii="宋体" w:hAnsi="宋体" w:cs="宋体" w:eastAsia="宋体" w:hint="default"/>
                <w:sz w:val="18"/>
                <w:szCs w:val="18"/>
              </w:rPr>
            </w:pPr>
            <w:r>
              <w:rPr>
                <w:rFonts w:ascii="宋体"/>
                <w:sz w:val="18"/>
              </w:rPr>
              <w:t>2017/9/29-2018/9/29</w:t>
            </w:r>
          </w:p>
        </w:tc>
        <w:tc>
          <w:tcPr>
            <w:tcW w:w="115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601" w:right="0"/>
              <w:jc w:val="left"/>
              <w:rPr>
                <w:rFonts w:ascii="宋体" w:hAnsi="宋体" w:cs="宋体" w:eastAsia="宋体" w:hint="default"/>
                <w:sz w:val="18"/>
                <w:szCs w:val="18"/>
              </w:rPr>
            </w:pPr>
            <w:r>
              <w:rPr>
                <w:rFonts w:ascii="宋体"/>
                <w:sz w:val="18"/>
              </w:rPr>
              <w:t>7.00%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50"/>
          <w:pgMar w:header="762" w:footer="941" w:top="960" w:bottom="1140" w:left="880" w:right="1680"/>
        </w:sectPr>
      </w:pPr>
    </w:p>
    <w:p>
      <w:pPr>
        <w:pStyle w:val="Heading5"/>
        <w:spacing w:line="240" w:lineRule="auto" w:before="36"/>
        <w:ind w:left="252" w:right="-9"/>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Heading5"/>
        <w:tabs>
          <w:tab w:pos="896" w:val="left" w:leader="none"/>
        </w:tabs>
        <w:spacing w:line="240" w:lineRule="auto" w:before="58"/>
        <w:ind w:left="252"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6"/>
        <w:ind w:left="252" w:right="-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3" w:val="left" w:leader="none"/>
        </w:tabs>
        <w:spacing w:line="240" w:lineRule="auto"/>
        <w:ind w:left="252" w:right="0"/>
        <w:jc w:val="left"/>
      </w:pPr>
      <w:r>
        <w:rPr>
          <w:spacing w:val="-1"/>
        </w:rPr>
        <w:t>单位：元</w:t>
        <w:tab/>
        <w:t>币种：人民币</w:t>
      </w:r>
    </w:p>
    <w:p>
      <w:pPr>
        <w:spacing w:after="0" w:line="240" w:lineRule="auto"/>
        <w:jc w:val="left"/>
        <w:sectPr>
          <w:type w:val="continuous"/>
          <w:pgSz w:w="11910" w:h="16850"/>
          <w:pgMar w:top="1120" w:bottom="1380" w:left="880" w:right="1680"/>
          <w:cols w:num="2" w:equalWidth="0">
            <w:col w:w="3007" w:space="3472"/>
            <w:col w:w="2871"/>
          </w:cols>
        </w:sectPr>
      </w:pPr>
    </w:p>
    <w:p>
      <w:pPr>
        <w:spacing w:line="240" w:lineRule="auto" w:before="4"/>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1697"/>
        <w:gridCol w:w="1323"/>
        <w:gridCol w:w="1231"/>
        <w:gridCol w:w="1323"/>
        <w:gridCol w:w="1322"/>
        <w:gridCol w:w="634"/>
        <w:gridCol w:w="1323"/>
      </w:tblGrid>
      <w:tr>
        <w:trPr>
          <w:trHeight w:val="245"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5" w:hRule="exact"/>
        </w:trPr>
        <w:tc>
          <w:tcPr>
            <w:tcW w:w="1697"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2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514,106,544.45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10,000,000.00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504,106,544.45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514,872,239.71</w:t>
            </w:r>
          </w:p>
        </w:tc>
        <w:tc>
          <w:tcPr>
            <w:tcW w:w="63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514,872,239.71</w:t>
            </w: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31,284,201.43</w:t>
            </w:r>
          </w:p>
        </w:tc>
        <w:tc>
          <w:tcPr>
            <w:tcW w:w="123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31,284,201.43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79,605,851.95</w:t>
            </w:r>
          </w:p>
        </w:tc>
        <w:tc>
          <w:tcPr>
            <w:tcW w:w="63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79,605,851.95</w:t>
            </w: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482,822,343.02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10,000,000.00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472,822,343.02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435,266,387.76</w:t>
            </w:r>
          </w:p>
        </w:tc>
        <w:tc>
          <w:tcPr>
            <w:tcW w:w="63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435,266,387.76</w:t>
            </w: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514,106,544.45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10,000,000.00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504,106,544.45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514,872,239.71</w:t>
            </w:r>
          </w:p>
        </w:tc>
        <w:tc>
          <w:tcPr>
            <w:tcW w:w="63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514,872,239.71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880" w:right="1680"/>
        </w:sectPr>
      </w:pPr>
    </w:p>
    <w:p>
      <w:pPr>
        <w:pStyle w:val="Heading5"/>
        <w:tabs>
          <w:tab w:pos="896" w:val="left" w:leader="none"/>
        </w:tabs>
        <w:spacing w:line="240" w:lineRule="auto" w:before="36"/>
        <w:ind w:left="252"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left="252"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3" w:val="left" w:leader="none"/>
        </w:tabs>
        <w:spacing w:line="240" w:lineRule="auto"/>
        <w:ind w:left="252" w:right="0"/>
        <w:jc w:val="left"/>
      </w:pPr>
      <w:r>
        <w:rPr>
          <w:spacing w:val="-1"/>
        </w:rPr>
        <w:t>单位：元</w:t>
        <w:tab/>
        <w:t>币种：人民币</w:t>
      </w:r>
    </w:p>
    <w:p>
      <w:pPr>
        <w:spacing w:after="0" w:line="240" w:lineRule="auto"/>
        <w:jc w:val="left"/>
        <w:sectPr>
          <w:type w:val="continuous"/>
          <w:pgSz w:w="11910" w:h="16850"/>
          <w:pgMar w:top="1120" w:bottom="1380" w:left="880" w:right="1680"/>
          <w:cols w:num="2" w:equalWidth="0">
            <w:col w:w="4694" w:space="1785"/>
            <w:col w:w="2871"/>
          </w:cols>
        </w:sectPr>
      </w:pPr>
    </w:p>
    <w:p>
      <w:pPr>
        <w:spacing w:line="240" w:lineRule="auto" w:before="4"/>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2705"/>
        <w:gridCol w:w="1623"/>
        <w:gridCol w:w="1572"/>
        <w:gridCol w:w="1553"/>
        <w:gridCol w:w="1553"/>
      </w:tblGrid>
      <w:tr>
        <w:trPr>
          <w:trHeight w:val="47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可供出售权益工</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可供出售债务工</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债务工具的摊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余成本</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15,714,106.52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15,714,106.52</w:t>
            </w:r>
          </w:p>
        </w:tc>
      </w:tr>
      <w:tr>
        <w:trPr>
          <w:trHeight w:val="242"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31,284,201.43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31,284,201.43</w:t>
            </w:r>
          </w:p>
        </w:tc>
      </w:tr>
      <w:tr>
        <w:trPr>
          <w:trHeight w:val="47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价值变动金额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pacing w:val="-1"/>
                <w:sz w:val="18"/>
              </w:rPr>
              <w:t>15,570,094.91</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15,570,094.91</w:t>
            </w:r>
          </w:p>
        </w:tc>
      </w:tr>
      <w:tr>
        <w:trPr>
          <w:trHeight w:val="242"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120" w:bottom="1380" w:left="880" w:right="16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4"/>
          <w:pgSz w:w="11910" w:h="16850"/>
          <w:pgMar w:footer="941" w:header="762" w:top="960" w:bottom="1140" w:left="460" w:right="580"/>
        </w:sectPr>
      </w:pPr>
    </w:p>
    <w:p>
      <w:pPr>
        <w:spacing w:line="240" w:lineRule="auto" w:before="13"/>
        <w:rPr>
          <w:rFonts w:ascii="宋体" w:hAnsi="宋体" w:cs="宋体" w:eastAsia="宋体" w:hint="default"/>
          <w:sz w:val="15"/>
          <w:szCs w:val="15"/>
        </w:rPr>
      </w:pPr>
    </w:p>
    <w:p>
      <w:pPr>
        <w:pStyle w:val="Heading5"/>
        <w:tabs>
          <w:tab w:pos="1316" w:val="left" w:leader="none"/>
        </w:tabs>
        <w:spacing w:line="240" w:lineRule="auto"/>
        <w:ind w:left="672"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6"/>
        <w:ind w:left="672"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1707" w:val="left" w:leader="none"/>
        </w:tabs>
        <w:spacing w:line="240" w:lineRule="auto"/>
        <w:ind w:left="672" w:right="0"/>
        <w:jc w:val="left"/>
      </w:pPr>
      <w:r>
        <w:rPr>
          <w:spacing w:val="-5"/>
        </w:rPr>
        <w:t>单位：元</w:t>
        <w:tab/>
      </w:r>
      <w:r>
        <w:rPr>
          <w:spacing w:val="-4"/>
        </w:rPr>
        <w:t>币种：人民币</w:t>
      </w:r>
    </w:p>
    <w:p>
      <w:pPr>
        <w:spacing w:after="0" w:line="240" w:lineRule="auto"/>
        <w:jc w:val="left"/>
        <w:sectPr>
          <w:type w:val="continuous"/>
          <w:pgSz w:w="11910" w:h="16850"/>
          <w:pgMar w:top="1120" w:bottom="1380" w:left="460" w:right="580"/>
          <w:cols w:num="2" w:equalWidth="0">
            <w:col w:w="4692" w:space="1821"/>
            <w:col w:w="435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94"/>
        <w:gridCol w:w="1272"/>
        <w:gridCol w:w="1025"/>
        <w:gridCol w:w="1104"/>
        <w:gridCol w:w="1279"/>
        <w:gridCol w:w="425"/>
        <w:gridCol w:w="1135"/>
        <w:gridCol w:w="569"/>
        <w:gridCol w:w="1133"/>
        <w:gridCol w:w="708"/>
        <w:gridCol w:w="989"/>
      </w:tblGrid>
      <w:tr>
        <w:trPr>
          <w:trHeight w:val="720"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0" w:right="262" w:hanging="75"/>
              <w:jc w:val="left"/>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spacing w:val="-72"/>
                <w:sz w:val="15"/>
                <w:szCs w:val="15"/>
              </w:rPr>
              <w:t> </w:t>
            </w:r>
            <w:r>
              <w:rPr>
                <w:rFonts w:ascii="宋体" w:hAnsi="宋体" w:cs="宋体" w:eastAsia="宋体" w:hint="default"/>
                <w:sz w:val="15"/>
                <w:szCs w:val="15"/>
              </w:rPr>
              <w:t>单位</w:t>
            </w:r>
          </w:p>
        </w:tc>
        <w:tc>
          <w:tcPr>
            <w:tcW w:w="46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3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3"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120"/>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110" w:hanging="300"/>
              <w:jc w:val="left"/>
              <w:rPr>
                <w:rFonts w:ascii="宋体" w:hAnsi="宋体" w:cs="宋体" w:eastAsia="宋体" w:hint="default"/>
                <w:sz w:val="15"/>
                <w:szCs w:val="15"/>
              </w:rPr>
            </w:pPr>
            <w:r>
              <w:rPr>
                <w:rFonts w:ascii="宋体" w:hAnsi="宋体" w:cs="宋体" w:eastAsia="宋体" w:hint="default"/>
                <w:sz w:val="15"/>
                <w:szCs w:val="15"/>
              </w:rPr>
              <w:t>本期现金红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利</w:t>
            </w:r>
          </w:p>
        </w:tc>
      </w:tr>
      <w:tr>
        <w:trPr>
          <w:trHeight w:val="602" w:hRule="exact"/>
        </w:trPr>
        <w:tc>
          <w:tcPr>
            <w:tcW w:w="994"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7" w:right="353"/>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8" w:right="391"/>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减少</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2" w:right="131"/>
              <w:jc w:val="left"/>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2" w:right="408"/>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9" w:right="125"/>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708"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北京得意音</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通技术有限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责任公司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10.22</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上海邦明科</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兴投资中心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w:t>
            </w:r>
            <w:r>
              <w:rPr>
                <w:rFonts w:ascii="宋体" w:hAnsi="宋体" w:cs="宋体" w:eastAsia="宋体" w:hint="default"/>
                <w:sz w:val="15"/>
                <w:szCs w:val="15"/>
              </w:rPr>
              <w:t>有限合伙</w:t>
            </w:r>
            <w:r>
              <w:rPr>
                <w:rFonts w:ascii="宋体" w:hAnsi="宋体" w:cs="宋体" w:eastAsia="宋体" w:hint="default"/>
                <w:sz w:val="15"/>
                <w:szCs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30,100,000.00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9,505,263.</w:t>
            </w:r>
          </w:p>
          <w:p>
            <w:pPr>
              <w:pStyle w:val="TableParagraph"/>
              <w:spacing w:line="195" w:lineRule="exact"/>
              <w:ind w:right="99"/>
              <w:jc w:val="right"/>
              <w:rPr>
                <w:rFonts w:ascii="宋体" w:hAnsi="宋体" w:cs="宋体" w:eastAsia="宋体" w:hint="default"/>
                <w:sz w:val="15"/>
                <w:szCs w:val="15"/>
              </w:rPr>
            </w:pPr>
            <w:r>
              <w:rPr>
                <w:rFonts w:ascii="宋体"/>
                <w:sz w:val="15"/>
              </w:rPr>
              <w:t>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3,183,616.0</w:t>
            </w:r>
          </w:p>
          <w:p>
            <w:pPr>
              <w:pStyle w:val="TableParagraph"/>
              <w:spacing w:line="195" w:lineRule="exact"/>
              <w:ind w:right="97"/>
              <w:jc w:val="right"/>
              <w:rPr>
                <w:rFonts w:ascii="宋体" w:hAnsi="宋体" w:cs="宋体" w:eastAsia="宋体" w:hint="default"/>
                <w:sz w:val="15"/>
                <w:szCs w:val="15"/>
              </w:rPr>
            </w:pPr>
            <w:r>
              <w:rPr>
                <w:rFonts w:ascii="宋体"/>
                <w:w w:val="100"/>
                <w:sz w:val="15"/>
              </w:rPr>
              <w:t>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36,421,646.91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195" w:lineRule="exact"/>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sz w:val="15"/>
              </w:rPr>
              <w:t>Huaxing</w:t>
            </w:r>
          </w:p>
          <w:p>
            <w:pPr>
              <w:pStyle w:val="TableParagraph"/>
              <w:spacing w:line="240" w:lineRule="auto"/>
              <w:ind w:left="103" w:right="202"/>
              <w:jc w:val="left"/>
              <w:rPr>
                <w:rFonts w:ascii="宋体" w:hAnsi="宋体" w:cs="宋体" w:eastAsia="宋体" w:hint="default"/>
                <w:sz w:val="15"/>
                <w:szCs w:val="15"/>
              </w:rPr>
            </w:pPr>
            <w:r>
              <w:rPr>
                <w:rFonts w:ascii="宋体" w:hAnsi="宋体" w:cs="宋体" w:eastAsia="宋体" w:hint="default"/>
                <w:sz w:val="15"/>
                <w:szCs w:val="15"/>
              </w:rPr>
              <w:t>Capital</w:t>
            </w:r>
            <w:r>
              <w:rPr>
                <w:rFonts w:ascii="宋体" w:hAnsi="宋体" w:cs="宋体" w:eastAsia="宋体" w:hint="default"/>
                <w:w w:val="100"/>
                <w:sz w:val="15"/>
                <w:szCs w:val="15"/>
              </w:rPr>
              <w:t> </w:t>
            </w:r>
            <w:r>
              <w:rPr>
                <w:rFonts w:ascii="宋体" w:hAnsi="宋体" w:cs="宋体" w:eastAsia="宋体" w:hint="default"/>
                <w:sz w:val="15"/>
                <w:szCs w:val="15"/>
              </w:rPr>
              <w:t>Partners</w:t>
            </w:r>
            <w:r>
              <w:rPr>
                <w:rFonts w:ascii="宋体" w:hAnsi="宋体" w:cs="宋体" w:eastAsia="宋体" w:hint="default"/>
                <w:w w:val="100"/>
                <w:sz w:val="15"/>
                <w:szCs w:val="15"/>
              </w:rPr>
              <w:t> </w:t>
            </w: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,L.P.</w:t>
            </w:r>
            <w:r>
              <w:rPr>
                <w:rFonts w:ascii="宋体" w:hAnsi="宋体" w:cs="宋体" w:eastAsia="宋体" w:hint="default"/>
                <w:sz w:val="15"/>
                <w:szCs w:val="15"/>
              </w:rPr>
              <w:t>华</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兴资本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14,641,114.76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1"/>
              <w:jc w:val="right"/>
              <w:rPr>
                <w:rFonts w:ascii="宋体" w:hAnsi="宋体" w:cs="宋体" w:eastAsia="宋体" w:hint="default"/>
                <w:sz w:val="15"/>
                <w:szCs w:val="15"/>
              </w:rPr>
            </w:pPr>
            <w:r>
              <w:rPr>
                <w:rFonts w:ascii="宋体"/>
                <w:spacing w:val="-1"/>
                <w:sz w:val="15"/>
              </w:rPr>
              <w:t>11,403,926</w:t>
            </w:r>
          </w:p>
          <w:p>
            <w:pPr>
              <w:pStyle w:val="TableParagraph"/>
              <w:spacing w:line="195" w:lineRule="exact"/>
              <w:ind w:right="100"/>
              <w:jc w:val="right"/>
              <w:rPr>
                <w:rFonts w:ascii="宋体" w:hAnsi="宋体" w:cs="宋体" w:eastAsia="宋体" w:hint="default"/>
                <w:sz w:val="15"/>
                <w:szCs w:val="15"/>
              </w:rPr>
            </w:pPr>
            <w:r>
              <w:rPr>
                <w:rFonts w:ascii="宋体"/>
                <w:spacing w:val="-1"/>
                <w:sz w:val="15"/>
              </w:rPr>
              <w:t>.65</w:t>
            </w: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26,045,041.41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195" w:lineRule="exact"/>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DANHUA</w:t>
            </w:r>
          </w:p>
          <w:p>
            <w:pPr>
              <w:pStyle w:val="TableParagraph"/>
              <w:spacing w:line="194" w:lineRule="exact"/>
              <w:ind w:left="103" w:right="0"/>
              <w:jc w:val="left"/>
              <w:rPr>
                <w:rFonts w:ascii="宋体" w:hAnsi="宋体" w:cs="宋体" w:eastAsia="宋体" w:hint="default"/>
                <w:sz w:val="15"/>
                <w:szCs w:val="15"/>
              </w:rPr>
            </w:pPr>
            <w:r>
              <w:rPr>
                <w:rFonts w:ascii="宋体"/>
                <w:sz w:val="15"/>
              </w:rPr>
              <w:t>CAPITAL,L.</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P.</w:t>
            </w:r>
            <w:r>
              <w:rPr>
                <w:rFonts w:ascii="宋体" w:hAnsi="宋体" w:cs="宋体" w:eastAsia="宋体" w:hint="default"/>
                <w:sz w:val="15"/>
                <w:szCs w:val="15"/>
              </w:rPr>
              <w:t>丹华资本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9,426,775.00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3,474,900.</w:t>
            </w:r>
          </w:p>
          <w:p>
            <w:pPr>
              <w:pStyle w:val="TableParagraph"/>
              <w:spacing w:line="195" w:lineRule="exact"/>
              <w:ind w:right="99"/>
              <w:jc w:val="right"/>
              <w:rPr>
                <w:rFonts w:ascii="宋体" w:hAnsi="宋体" w:cs="宋体" w:eastAsia="宋体" w:hint="default"/>
                <w:sz w:val="15"/>
                <w:szCs w:val="15"/>
              </w:rPr>
            </w:pPr>
            <w:r>
              <w:rPr>
                <w:rFonts w:ascii="宋体"/>
                <w:sz w:val="15"/>
              </w:rPr>
              <w:t>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12,901,675.00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195" w:lineRule="exact"/>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上海华晟领</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势创业投资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合伙企业</w:t>
            </w:r>
          </w:p>
          <w:p>
            <w:pPr>
              <w:pStyle w:val="TableParagraph"/>
              <w:spacing w:line="240" w:lineRule="auto"/>
              <w:ind w:left="103" w:right="276"/>
              <w:jc w:val="left"/>
              <w:rPr>
                <w:rFonts w:ascii="宋体" w:hAnsi="宋体" w:cs="宋体" w:eastAsia="宋体" w:hint="default"/>
                <w:sz w:val="15"/>
                <w:szCs w:val="15"/>
              </w:rPr>
            </w:pPr>
            <w:r>
              <w:rPr>
                <w:rFonts w:ascii="宋体" w:hAnsi="宋体" w:cs="宋体" w:eastAsia="宋体" w:hint="default"/>
                <w:sz w:val="15"/>
                <w:szCs w:val="15"/>
              </w:rPr>
              <w:t>（有限合</w:t>
            </w:r>
            <w:r>
              <w:rPr>
                <w:rFonts w:ascii="宋体" w:hAnsi="宋体" w:cs="宋体" w:eastAsia="宋体" w:hint="default"/>
                <w:w w:val="100"/>
                <w:sz w:val="15"/>
                <w:szCs w:val="15"/>
              </w:rPr>
              <w:t> </w:t>
            </w:r>
            <w:r>
              <w:rPr>
                <w:rFonts w:ascii="宋体" w:hAnsi="宋体" w:cs="宋体" w:eastAsia="宋体" w:hint="default"/>
                <w:sz w:val="15"/>
                <w:szCs w:val="15"/>
              </w:rPr>
              <w:t>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2" w:right="0"/>
              <w:jc w:val="left"/>
              <w:rPr>
                <w:rFonts w:ascii="宋体" w:hAnsi="宋体" w:cs="宋体" w:eastAsia="宋体" w:hint="default"/>
                <w:sz w:val="15"/>
                <w:szCs w:val="15"/>
              </w:rPr>
            </w:pPr>
            <w:r>
              <w:rPr>
                <w:rFonts w:ascii="宋体"/>
                <w:sz w:val="15"/>
              </w:rPr>
              <w:t>601,370.80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49,398,629.20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195" w:lineRule="exact"/>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4" w:right="0"/>
              <w:jc w:val="left"/>
              <w:rPr>
                <w:rFonts w:ascii="宋体" w:hAnsi="宋体" w:cs="宋体" w:eastAsia="宋体" w:hint="default"/>
                <w:sz w:val="15"/>
                <w:szCs w:val="15"/>
              </w:rPr>
            </w:pPr>
            <w:r>
              <w:rPr>
                <w:rFonts w:ascii="宋体"/>
                <w:sz w:val="15"/>
              </w:rPr>
              <w:t>987,029.42</w:t>
            </w: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宁波祈禧智</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能科技股份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4.76</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北京新源国</w:t>
            </w:r>
          </w:p>
          <w:p>
            <w:pPr>
              <w:pStyle w:val="TableParagraph"/>
              <w:spacing w:line="240" w:lineRule="auto"/>
              <w:ind w:left="103" w:right="125"/>
              <w:jc w:val="both"/>
              <w:rPr>
                <w:rFonts w:ascii="宋体" w:hAnsi="宋体" w:cs="宋体" w:eastAsia="宋体" w:hint="default"/>
                <w:sz w:val="15"/>
                <w:szCs w:val="15"/>
              </w:rPr>
            </w:pPr>
            <w:r>
              <w:rPr>
                <w:rFonts w:ascii="宋体" w:hAnsi="宋体" w:cs="宋体" w:eastAsia="宋体" w:hint="default"/>
                <w:sz w:val="15"/>
                <w:szCs w:val="15"/>
              </w:rPr>
              <w:t>能科技集团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股份有限公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35,661,648.00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35,661,648.00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南京同兴赢</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典投资管理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1,120,000.00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1,120,000.00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20.00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南京同兴赢</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典壹号投资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管理中心</w:t>
            </w:r>
          </w:p>
          <w:p>
            <w:pPr>
              <w:pStyle w:val="TableParagraph"/>
              <w:spacing w:line="240" w:lineRule="auto"/>
              <w:ind w:left="103" w:right="276"/>
              <w:jc w:val="left"/>
              <w:rPr>
                <w:rFonts w:ascii="宋体" w:hAnsi="宋体" w:cs="宋体" w:eastAsia="宋体" w:hint="default"/>
                <w:sz w:val="15"/>
                <w:szCs w:val="15"/>
              </w:rPr>
            </w:pPr>
            <w:r>
              <w:rPr>
                <w:rFonts w:ascii="宋体" w:hAnsi="宋体" w:cs="宋体" w:eastAsia="宋体" w:hint="default"/>
                <w:sz w:val="15"/>
                <w:szCs w:val="15"/>
              </w:rPr>
              <w:t>（有限合</w:t>
            </w:r>
            <w:r>
              <w:rPr>
                <w:rFonts w:ascii="宋体" w:hAnsi="宋体" w:cs="宋体" w:eastAsia="宋体" w:hint="default"/>
                <w:w w:val="100"/>
                <w:sz w:val="15"/>
                <w:szCs w:val="15"/>
              </w:rPr>
              <w:t> </w:t>
            </w:r>
            <w:r>
              <w:rPr>
                <w:rFonts w:ascii="宋体" w:hAnsi="宋体" w:cs="宋体" w:eastAsia="宋体" w:hint="default"/>
                <w:sz w:val="15"/>
                <w:szCs w:val="15"/>
              </w:rPr>
              <w:t>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30,000,000.00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195" w:lineRule="exact"/>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宁波亚锦电</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子科技股份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51,000,000.00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51,000,000.00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广发信德</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Bay</w:t>
            </w:r>
            <w:r>
              <w:rPr>
                <w:rFonts w:ascii="宋体" w:hAnsi="宋体" w:cs="宋体" w:eastAsia="宋体" w:hint="default"/>
                <w:spacing w:val="-2"/>
                <w:sz w:val="15"/>
                <w:szCs w:val="15"/>
              </w:rPr>
              <w:t> </w:t>
            </w:r>
            <w:r>
              <w:rPr>
                <w:rFonts w:ascii="宋体" w:hAnsi="宋体" w:cs="宋体" w:eastAsia="宋体" w:hint="default"/>
                <w:sz w:val="15"/>
                <w:szCs w:val="15"/>
              </w:rPr>
              <w:t>City</w:t>
            </w:r>
            <w:r>
              <w:rPr>
                <w:rFonts w:ascii="宋体" w:hAnsi="宋体" w:cs="宋体" w:eastAsia="宋体" w:hint="default"/>
                <w:w w:val="100"/>
                <w:sz w:val="15"/>
                <w:szCs w:val="15"/>
              </w:rPr>
              <w:t> </w:t>
            </w:r>
            <w:r>
              <w:rPr>
                <w:rFonts w:ascii="宋体" w:hAnsi="宋体" w:cs="宋体" w:eastAsia="宋体" w:hint="default"/>
                <w:sz w:val="15"/>
                <w:szCs w:val="15"/>
              </w:rPr>
              <w:t>Capital</w:t>
            </w:r>
            <w:r>
              <w:rPr>
                <w:rFonts w:ascii="宋体" w:hAnsi="宋体" w:cs="宋体" w:eastAsia="宋体" w:hint="default"/>
                <w:spacing w:val="-39"/>
                <w:sz w:val="15"/>
                <w:szCs w:val="15"/>
              </w:rPr>
              <w:t> </w:t>
            </w:r>
            <w:r>
              <w:rPr>
                <w:rFonts w:ascii="宋体" w:hAnsi="宋体" w:cs="宋体" w:eastAsia="宋体" w:hint="default"/>
                <w:sz w:val="15"/>
                <w:szCs w:val="15"/>
              </w:rPr>
              <w:t>生</w:t>
            </w:r>
            <w:r>
              <w:rPr>
                <w:rFonts w:ascii="宋体" w:hAnsi="宋体" w:cs="宋体" w:eastAsia="宋体" w:hint="default"/>
                <w:w w:val="100"/>
                <w:sz w:val="15"/>
                <w:szCs w:val="15"/>
              </w:rPr>
              <w:t> </w:t>
            </w:r>
            <w:r>
              <w:rPr>
                <w:rFonts w:ascii="宋体" w:hAnsi="宋体" w:cs="宋体" w:eastAsia="宋体" w:hint="default"/>
                <w:sz w:val="15"/>
                <w:szCs w:val="15"/>
              </w:rPr>
              <w:t>命科学基金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40,640,400.00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40,640,400.00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195" w:lineRule="exact"/>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上海国泰君</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安日出东方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投资中心</w:t>
            </w:r>
          </w:p>
          <w:p>
            <w:pPr>
              <w:pStyle w:val="TableParagraph"/>
              <w:spacing w:line="240" w:lineRule="auto"/>
              <w:ind w:left="103" w:right="276"/>
              <w:jc w:val="left"/>
              <w:rPr>
                <w:rFonts w:ascii="宋体" w:hAnsi="宋体" w:cs="宋体" w:eastAsia="宋体" w:hint="default"/>
                <w:sz w:val="15"/>
                <w:szCs w:val="15"/>
              </w:rPr>
            </w:pPr>
            <w:r>
              <w:rPr>
                <w:rFonts w:ascii="宋体" w:hAnsi="宋体" w:cs="宋体" w:eastAsia="宋体" w:hint="default"/>
                <w:sz w:val="15"/>
                <w:szCs w:val="15"/>
              </w:rPr>
              <w:t>（有限合</w:t>
            </w:r>
            <w:r>
              <w:rPr>
                <w:rFonts w:ascii="宋体" w:hAnsi="宋体" w:cs="宋体" w:eastAsia="宋体" w:hint="default"/>
                <w:w w:val="100"/>
                <w:sz w:val="15"/>
                <w:szCs w:val="15"/>
              </w:rPr>
              <w:t> </w:t>
            </w:r>
            <w:r>
              <w:rPr>
                <w:rFonts w:ascii="宋体" w:hAnsi="宋体" w:cs="宋体" w:eastAsia="宋体" w:hint="default"/>
                <w:sz w:val="15"/>
                <w:szCs w:val="15"/>
              </w:rPr>
              <w:t>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120,000,000.00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195" w:lineRule="exact"/>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国泰君安上</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海好景投资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3,000,000.00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98"/>
              <w:jc w:val="right"/>
              <w:rPr>
                <w:rFonts w:ascii="宋体" w:hAnsi="宋体" w:cs="宋体" w:eastAsia="宋体" w:hint="default"/>
                <w:sz w:val="15"/>
                <w:szCs w:val="15"/>
              </w:rPr>
            </w:pPr>
            <w:r>
              <w:rPr>
                <w:rFonts w:ascii="宋体"/>
                <w:spacing w:val="-1"/>
                <w:sz w:val="15"/>
              </w:rPr>
              <w:t>3,000,000.0</w:t>
            </w:r>
          </w:p>
          <w:p>
            <w:pPr>
              <w:pStyle w:val="TableParagraph"/>
              <w:spacing w:line="195" w:lineRule="exact"/>
              <w:ind w:right="97"/>
              <w:jc w:val="right"/>
              <w:rPr>
                <w:rFonts w:ascii="宋体" w:hAnsi="宋体" w:cs="宋体" w:eastAsia="宋体" w:hint="default"/>
                <w:sz w:val="15"/>
                <w:szCs w:val="15"/>
              </w:rPr>
            </w:pPr>
            <w:r>
              <w:rPr>
                <w:rFonts w:ascii="宋体"/>
                <w:w w:val="100"/>
                <w:sz w:val="15"/>
              </w:rPr>
              <w:t>0</w:t>
            </w:r>
          </w:p>
        </w:tc>
        <w:tc>
          <w:tcPr>
            <w:tcW w:w="12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若水彤云影</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视基金优先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 w:right="0"/>
              <w:jc w:val="center"/>
              <w:rPr>
                <w:rFonts w:ascii="宋体" w:hAnsi="宋体" w:cs="宋体" w:eastAsia="宋体" w:hint="default"/>
                <w:sz w:val="15"/>
                <w:szCs w:val="15"/>
              </w:rPr>
            </w:pPr>
            <w:r>
              <w:rPr>
                <w:rFonts w:ascii="宋体"/>
                <w:sz w:val="15"/>
              </w:rPr>
              <w:t>5,000,000.00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若水彤云影</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视基金普通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 w:right="0"/>
              <w:jc w:val="center"/>
              <w:rPr>
                <w:rFonts w:ascii="宋体" w:hAnsi="宋体" w:cs="宋体" w:eastAsia="宋体" w:hint="default"/>
                <w:sz w:val="15"/>
                <w:szCs w:val="15"/>
              </w:rPr>
            </w:pPr>
            <w:r>
              <w:rPr>
                <w:rFonts w:ascii="宋体"/>
                <w:sz w:val="15"/>
              </w:rPr>
              <w:t>5,000,000.00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4.00</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南京同兴赢</w:t>
            </w:r>
          </w:p>
          <w:p>
            <w:pPr>
              <w:pStyle w:val="TableParagraph"/>
              <w:spacing w:line="240" w:lineRule="auto"/>
              <w:ind w:left="103" w:right="125"/>
              <w:jc w:val="left"/>
              <w:rPr>
                <w:rFonts w:ascii="宋体" w:hAnsi="宋体" w:cs="宋体" w:eastAsia="宋体" w:hint="default"/>
                <w:sz w:val="15"/>
                <w:szCs w:val="15"/>
              </w:rPr>
            </w:pPr>
            <w:r>
              <w:rPr>
                <w:rFonts w:ascii="宋体" w:hAnsi="宋体" w:cs="宋体" w:eastAsia="宋体" w:hint="default"/>
                <w:sz w:val="15"/>
                <w:szCs w:val="15"/>
              </w:rPr>
              <w:t>典贰号投资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管理中心</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95" w:right="0" w:hanging="152"/>
              <w:jc w:val="left"/>
              <w:rPr>
                <w:rFonts w:ascii="宋体" w:hAnsi="宋体" w:cs="宋体" w:eastAsia="宋体" w:hint="default"/>
                <w:sz w:val="15"/>
                <w:szCs w:val="15"/>
              </w:rPr>
            </w:pPr>
            <w:r>
              <w:rPr>
                <w:rFonts w:ascii="宋体" w:hAnsi="宋体" w:cs="宋体" w:eastAsia="宋体" w:hint="default"/>
                <w:sz w:val="15"/>
                <w:szCs w:val="15"/>
              </w:rPr>
              <w:t>有限合</w:t>
            </w: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伙人</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TOPPERMANU</w:t>
            </w:r>
          </w:p>
          <w:p>
            <w:pPr>
              <w:pStyle w:val="TableParagraph"/>
              <w:spacing w:line="195" w:lineRule="exact"/>
              <w:ind w:left="103" w:right="0"/>
              <w:jc w:val="left"/>
              <w:rPr>
                <w:rFonts w:ascii="宋体" w:hAnsi="宋体" w:cs="宋体" w:eastAsia="宋体" w:hint="default"/>
                <w:sz w:val="15"/>
                <w:szCs w:val="15"/>
              </w:rPr>
            </w:pPr>
            <w:r>
              <w:rPr>
                <w:rFonts w:ascii="宋体"/>
                <w:sz w:val="15"/>
              </w:rPr>
              <w:t>FACTURINGC</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9,676,450.00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3,767,052.</w:t>
            </w:r>
          </w:p>
          <w:p>
            <w:pPr>
              <w:pStyle w:val="TableParagraph"/>
              <w:spacing w:line="195" w:lineRule="exact"/>
              <w:ind w:right="99"/>
              <w:jc w:val="right"/>
              <w:rPr>
                <w:rFonts w:ascii="宋体" w:hAnsi="宋体" w:cs="宋体" w:eastAsia="宋体" w:hint="default"/>
                <w:sz w:val="15"/>
                <w:szCs w:val="15"/>
              </w:rPr>
            </w:pPr>
            <w:r>
              <w:rPr>
                <w:rFonts w:ascii="宋体"/>
                <w:sz w:val="15"/>
              </w:rPr>
              <w:t>50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13,443,502.50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20.00</w:t>
            </w: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120" w:bottom="1380" w:left="460" w:right="580"/>
        </w:sectPr>
      </w:pPr>
    </w:p>
    <w:p>
      <w:pPr>
        <w:spacing w:line="240" w:lineRule="auto" w:before="1"/>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994"/>
        <w:gridCol w:w="1272"/>
        <w:gridCol w:w="1025"/>
        <w:gridCol w:w="1104"/>
        <w:gridCol w:w="1279"/>
        <w:gridCol w:w="425"/>
        <w:gridCol w:w="1135"/>
        <w:gridCol w:w="569"/>
        <w:gridCol w:w="1133"/>
        <w:gridCol w:w="708"/>
        <w:gridCol w:w="989"/>
      </w:tblGrid>
      <w:tr>
        <w:trPr>
          <w:trHeight w:val="24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center"/>
              <w:rPr>
                <w:rFonts w:ascii="宋体" w:hAnsi="宋体" w:cs="宋体" w:eastAsia="宋体" w:hint="default"/>
                <w:sz w:val="15"/>
                <w:szCs w:val="15"/>
              </w:rPr>
            </w:pPr>
            <w:r>
              <w:rPr>
                <w:rFonts w:ascii="宋体"/>
                <w:sz w:val="15"/>
              </w:rPr>
              <w:t>ORPORATION</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z w:val="15"/>
                <w:szCs w:val="15"/>
              </w:rPr>
              <w:t>中国邮政储</w:t>
            </w:r>
          </w:p>
          <w:p>
            <w:pPr>
              <w:pStyle w:val="TableParagraph"/>
              <w:spacing w:line="240" w:lineRule="auto"/>
              <w:ind w:left="103" w:right="125"/>
              <w:jc w:val="both"/>
              <w:rPr>
                <w:rFonts w:ascii="宋体" w:hAnsi="宋体" w:cs="宋体" w:eastAsia="宋体" w:hint="default"/>
                <w:sz w:val="15"/>
                <w:szCs w:val="15"/>
              </w:rPr>
            </w:pPr>
            <w:r>
              <w:rPr>
                <w:rFonts w:ascii="宋体" w:hAnsi="宋体" w:cs="宋体" w:eastAsia="宋体" w:hint="default"/>
                <w:sz w:val="15"/>
                <w:szCs w:val="15"/>
              </w:rPr>
              <w:t>蓄银行股份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外优先股杠</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杆借款</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1"/>
              <w:jc w:val="right"/>
              <w:rPr>
                <w:rFonts w:ascii="宋体" w:hAnsi="宋体" w:cs="宋体" w:eastAsia="宋体" w:hint="default"/>
                <w:sz w:val="15"/>
                <w:szCs w:val="15"/>
              </w:rPr>
            </w:pPr>
            <w:r>
              <w:rPr>
                <w:rFonts w:ascii="宋体"/>
                <w:spacing w:val="-1"/>
                <w:sz w:val="15"/>
              </w:rPr>
              <w:t>26,189,800</w:t>
            </w:r>
          </w:p>
          <w:p>
            <w:pPr>
              <w:pStyle w:val="TableParagraph"/>
              <w:spacing w:line="196" w:lineRule="exact"/>
              <w:ind w:right="100"/>
              <w:jc w:val="right"/>
              <w:rPr>
                <w:rFonts w:ascii="宋体" w:hAnsi="宋体" w:cs="宋体" w:eastAsia="宋体" w:hint="default"/>
                <w:sz w:val="15"/>
                <w:szCs w:val="15"/>
              </w:rPr>
            </w:pPr>
            <w:r>
              <w:rPr>
                <w:rFonts w:ascii="宋体"/>
                <w:spacing w:val="-1"/>
                <w:sz w:val="15"/>
              </w:rPr>
              <w:t>.00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26,189,800.00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435,266,387.76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54,340,942</w:t>
            </w:r>
          </w:p>
          <w:p>
            <w:pPr>
              <w:pStyle w:val="TableParagraph"/>
              <w:spacing w:line="195" w:lineRule="exact"/>
              <w:ind w:right="100"/>
              <w:jc w:val="right"/>
              <w:rPr>
                <w:rFonts w:ascii="宋体" w:hAnsi="宋体" w:cs="宋体" w:eastAsia="宋体" w:hint="default"/>
                <w:sz w:val="15"/>
                <w:szCs w:val="15"/>
              </w:rPr>
            </w:pPr>
            <w:r>
              <w:rPr>
                <w:rFonts w:ascii="宋体"/>
                <w:spacing w:val="-1"/>
                <w:sz w:val="15"/>
              </w:rPr>
              <w:t>.15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6,784,986.8</w:t>
            </w:r>
          </w:p>
          <w:p>
            <w:pPr>
              <w:pStyle w:val="TableParagraph"/>
              <w:spacing w:line="195" w:lineRule="exact"/>
              <w:ind w:right="97"/>
              <w:jc w:val="right"/>
              <w:rPr>
                <w:rFonts w:ascii="宋体" w:hAnsi="宋体" w:cs="宋体" w:eastAsia="宋体" w:hint="default"/>
                <w:sz w:val="15"/>
                <w:szCs w:val="15"/>
              </w:rPr>
            </w:pPr>
            <w:r>
              <w:rPr>
                <w:rFonts w:ascii="宋体"/>
                <w:w w:val="100"/>
                <w:sz w:val="15"/>
              </w:rPr>
              <w:t>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482,822,343.02</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2"/>
                <w:sz w:val="15"/>
              </w:rPr>
              <w:t>10,000,000.0</w:t>
            </w:r>
          </w:p>
          <w:p>
            <w:pPr>
              <w:pStyle w:val="TableParagraph"/>
              <w:spacing w:line="195" w:lineRule="exact"/>
              <w:ind w:right="101"/>
              <w:jc w:val="right"/>
              <w:rPr>
                <w:rFonts w:ascii="宋体" w:hAnsi="宋体" w:cs="宋体" w:eastAsia="宋体" w:hint="default"/>
                <w:sz w:val="15"/>
                <w:szCs w:val="15"/>
              </w:rPr>
            </w:pPr>
            <w:r>
              <w:rPr>
                <w:rFonts w:ascii="宋体"/>
                <w:w w:val="100"/>
                <w:sz w:val="15"/>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2"/>
                <w:sz w:val="15"/>
              </w:rPr>
              <w:t>10,000,000.0</w:t>
            </w:r>
          </w:p>
          <w:p>
            <w:pPr>
              <w:pStyle w:val="TableParagraph"/>
              <w:spacing w:line="195" w:lineRule="exact"/>
              <w:ind w:right="101"/>
              <w:jc w:val="right"/>
              <w:rPr>
                <w:rFonts w:ascii="宋体" w:hAnsi="宋体" w:cs="宋体" w:eastAsia="宋体" w:hint="default"/>
                <w:sz w:val="15"/>
                <w:szCs w:val="15"/>
              </w:rPr>
            </w:pPr>
            <w:r>
              <w:rPr>
                <w:rFonts w:ascii="宋体"/>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4" w:right="0"/>
              <w:jc w:val="left"/>
              <w:rPr>
                <w:rFonts w:ascii="宋体" w:hAnsi="宋体" w:cs="宋体" w:eastAsia="宋体" w:hint="default"/>
                <w:sz w:val="15"/>
                <w:szCs w:val="15"/>
              </w:rPr>
            </w:pPr>
            <w:r>
              <w:rPr>
                <w:rFonts w:ascii="宋体"/>
                <w:sz w:val="15"/>
              </w:rPr>
              <w:t>987,029.42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5"/>
          <w:pgSz w:w="11910" w:h="16850"/>
          <w:pgMar w:footer="941" w:header="762" w:top="960" w:bottom="1140" w:left="460" w:right="580"/>
        </w:sectPr>
      </w:pPr>
    </w:p>
    <w:p>
      <w:pPr>
        <w:pStyle w:val="Heading5"/>
        <w:tabs>
          <w:tab w:pos="1316" w:val="left" w:leader="none"/>
        </w:tabs>
        <w:spacing w:line="240" w:lineRule="auto" w:before="36"/>
        <w:ind w:left="672"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left="672"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3" w:val="left" w:leader="none"/>
        </w:tabs>
        <w:spacing w:line="240" w:lineRule="auto"/>
        <w:ind w:left="672" w:right="0"/>
        <w:jc w:val="left"/>
      </w:pPr>
      <w:r>
        <w:rPr>
          <w:spacing w:val="-1"/>
        </w:rPr>
        <w:t>单位：元</w:t>
        <w:tab/>
        <w:t>币种：人民币</w:t>
      </w:r>
    </w:p>
    <w:p>
      <w:pPr>
        <w:spacing w:after="0" w:line="240" w:lineRule="auto"/>
        <w:jc w:val="left"/>
        <w:sectPr>
          <w:type w:val="continuous"/>
          <w:pgSz w:w="11910" w:h="16850"/>
          <w:pgMar w:top="1120" w:bottom="1380" w:left="460" w:right="580"/>
          <w:cols w:num="2" w:equalWidth="0">
            <w:col w:w="5325" w:space="1154"/>
            <w:col w:w="4391"/>
          </w:cols>
        </w:sectPr>
      </w:pPr>
    </w:p>
    <w:p>
      <w:pPr>
        <w:spacing w:line="240" w:lineRule="auto" w:before="7"/>
        <w:rPr>
          <w:rFonts w:ascii="宋体" w:hAnsi="宋体" w:cs="宋体" w:eastAsia="宋体" w:hint="default"/>
          <w:sz w:val="2"/>
          <w:szCs w:val="2"/>
        </w:rPr>
      </w:pPr>
    </w:p>
    <w:tbl>
      <w:tblPr>
        <w:tblW w:w="0" w:type="auto"/>
        <w:jc w:val="left"/>
        <w:tblInd w:w="560" w:type="dxa"/>
        <w:tblLayout w:type="fixed"/>
        <w:tblCellMar>
          <w:top w:w="0" w:type="dxa"/>
          <w:left w:w="0" w:type="dxa"/>
          <w:bottom w:w="0" w:type="dxa"/>
          <w:right w:w="0" w:type="dxa"/>
        </w:tblCellMar>
        <w:tblLook w:val="01E0"/>
      </w:tblPr>
      <w:tblGrid>
        <w:gridCol w:w="2436"/>
        <w:gridCol w:w="1683"/>
        <w:gridCol w:w="1714"/>
        <w:gridCol w:w="1577"/>
        <w:gridCol w:w="1597"/>
      </w:tblGrid>
      <w:tr>
        <w:trPr>
          <w:trHeight w:val="476"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可供出售权益</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可供出售债务</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68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r>
      <w:tr>
        <w:trPr>
          <w:trHeight w:val="293"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168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其中：期后公允价值回升转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回</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期末已计提减值金余额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10,000,000.00</w:t>
            </w:r>
          </w:p>
        </w:tc>
      </w:tr>
    </w:tbl>
    <w:p>
      <w:pPr>
        <w:spacing w:line="240" w:lineRule="auto" w:before="2"/>
        <w:rPr>
          <w:rFonts w:ascii="宋体" w:hAnsi="宋体" w:cs="宋体" w:eastAsia="宋体" w:hint="default"/>
          <w:sz w:val="20"/>
          <w:szCs w:val="20"/>
        </w:rPr>
      </w:pPr>
    </w:p>
    <w:p>
      <w:pPr>
        <w:pStyle w:val="Heading5"/>
        <w:tabs>
          <w:tab w:pos="1316" w:val="left" w:leader="none"/>
        </w:tabs>
        <w:spacing w:line="240" w:lineRule="auto" w:before="36"/>
        <w:ind w:left="672"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4"/>
        <w:ind w:left="672" w:right="8599"/>
        <w:jc w:val="left"/>
      </w:pPr>
      <w:r>
        <w:rPr/>
        <w:t>□适用 √不适用</w:t>
      </w:r>
      <w:r>
        <w:rPr>
          <w:w w:val="100"/>
        </w:rPr>
        <w:t> </w:t>
      </w:r>
      <w:r>
        <w:rPr/>
        <w:t>其他说明</w:t>
      </w:r>
    </w:p>
    <w:p>
      <w:pPr>
        <w:pStyle w:val="BodyText"/>
        <w:spacing w:line="249" w:lineRule="exact"/>
        <w:ind w:left="672" w:right="0"/>
        <w:jc w:val="left"/>
      </w:pPr>
      <w:r>
        <w:rPr/>
        <w:t>□适用 √不适用</w:t>
      </w:r>
    </w:p>
    <w:p>
      <w:pPr>
        <w:spacing w:line="240" w:lineRule="auto" w:before="3"/>
        <w:rPr>
          <w:rFonts w:ascii="宋体" w:hAnsi="宋体" w:cs="宋体" w:eastAsia="宋体" w:hint="default"/>
          <w:sz w:val="25"/>
          <w:szCs w:val="25"/>
        </w:rPr>
      </w:pPr>
    </w:p>
    <w:p>
      <w:pPr>
        <w:pStyle w:val="Heading5"/>
        <w:spacing w:line="290" w:lineRule="auto"/>
        <w:ind w:left="672" w:right="7642"/>
        <w:jc w:val="left"/>
        <w:rPr>
          <w:b w:val="0"/>
          <w:bCs w:val="0"/>
        </w:rPr>
      </w:pPr>
      <w:r>
        <w:rPr>
          <w:rFonts w:ascii="宋体" w:hAnsi="宋体" w:cs="宋体" w:eastAsia="宋体" w:hint="default"/>
        </w:rPr>
        <w:t>15</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pStyle w:val="BodyText"/>
        <w:spacing w:line="228" w:lineRule="exact"/>
        <w:ind w:left="672" w:right="0"/>
        <w:jc w:val="left"/>
      </w:pPr>
      <w:r>
        <w:rPr/>
        <w:t>□适用 √不适用</w:t>
      </w:r>
    </w:p>
    <w:p>
      <w:pPr>
        <w:pStyle w:val="Heading5"/>
        <w:spacing w:line="272" w:lineRule="exact"/>
        <w:ind w:left="672" w:right="0"/>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672" w:right="67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515" w:val="left" w:leader="none"/>
        </w:tabs>
        <w:spacing w:line="249" w:lineRule="exact"/>
        <w:ind w:left="672"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672" w:right="0"/>
        <w:jc w:val="left"/>
      </w:pPr>
      <w:r>
        <w:rPr/>
        <w:t>其他说明：</w:t>
      </w:r>
    </w:p>
    <w:p>
      <w:pPr>
        <w:pStyle w:val="BodyText"/>
        <w:spacing w:line="273" w:lineRule="exact"/>
        <w:ind w:left="672"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672" w:right="0"/>
        <w:jc w:val="left"/>
        <w:rPr>
          <w:b w:val="0"/>
          <w:bCs w:val="0"/>
        </w:rPr>
      </w:pPr>
      <w:r>
        <w:rPr>
          <w:rFonts w:ascii="宋体" w:hAnsi="宋体" w:cs="宋体" w:eastAsia="宋体" w:hint="default"/>
        </w:rPr>
        <w:t>16</w:t>
      </w:r>
      <w:r>
        <w:rPr/>
        <w:t>、</w:t>
      </w:r>
      <w:r>
        <w:rPr>
          <w:spacing w:val="-24"/>
        </w:rPr>
        <w:t> </w:t>
      </w:r>
      <w:r>
        <w:rPr/>
        <w:t>长期应收款</w:t>
      </w:r>
      <w:r>
        <w:rPr>
          <w:b w:val="0"/>
          <w:bCs w:val="0"/>
        </w:rPr>
      </w:r>
    </w:p>
    <w:p>
      <w:pPr>
        <w:pStyle w:val="Heading5"/>
        <w:spacing w:line="240" w:lineRule="auto" w:before="58"/>
        <w:ind w:left="672" w:right="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672" w:right="0"/>
        <w:jc w:val="left"/>
      </w:pPr>
      <w:r>
        <w:rPr/>
        <w:t>□适用 √不适用</w:t>
      </w:r>
    </w:p>
    <w:p>
      <w:pPr>
        <w:pStyle w:val="Heading5"/>
        <w:spacing w:line="240" w:lineRule="auto" w:before="58"/>
        <w:ind w:left="672" w:right="0"/>
        <w:jc w:val="left"/>
        <w:rPr>
          <w:b w:val="0"/>
          <w:bCs w:val="0"/>
        </w:rPr>
      </w:pPr>
      <w:r>
        <w:rPr>
          <w:rFonts w:ascii="宋体" w:hAnsi="宋体" w:cs="宋体" w:eastAsia="宋体" w:hint="default"/>
        </w:rPr>
        <w:t>(2)</w:t>
      </w:r>
      <w:r>
        <w:rPr>
          <w:rFonts w:ascii="宋体" w:hAnsi="宋体" w:cs="宋体" w:eastAsia="宋体" w:hint="default"/>
          <w:spacing w:val="1"/>
        </w:rPr>
        <w:t> </w:t>
      </w:r>
      <w:r>
        <w:rPr/>
        <w:t>因金融资产转移而终止确认的长期应收款</w:t>
      </w:r>
      <w:r>
        <w:rPr>
          <w:b w:val="0"/>
          <w:bCs w:val="0"/>
        </w:rPr>
      </w:r>
    </w:p>
    <w:p>
      <w:pPr>
        <w:pStyle w:val="BodyText"/>
        <w:tabs>
          <w:tab w:pos="1515" w:val="left" w:leader="none"/>
        </w:tabs>
        <w:spacing w:line="240" w:lineRule="auto" w:before="56"/>
        <w:ind w:left="672" w:right="0"/>
        <w:jc w:val="left"/>
      </w:pPr>
      <w:r>
        <w:rPr/>
        <w:t>□适用</w:t>
        <w:tab/>
        <w:t>√不适用</w:t>
      </w:r>
    </w:p>
    <w:p>
      <w:pPr>
        <w:spacing w:line="240" w:lineRule="auto" w:before="3"/>
        <w:rPr>
          <w:rFonts w:ascii="宋体" w:hAnsi="宋体" w:cs="宋体" w:eastAsia="宋体" w:hint="default"/>
          <w:sz w:val="25"/>
          <w:szCs w:val="25"/>
        </w:rPr>
      </w:pPr>
    </w:p>
    <w:p>
      <w:pPr>
        <w:pStyle w:val="Heading5"/>
        <w:spacing w:line="240" w:lineRule="auto"/>
        <w:ind w:left="672"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515" w:val="left" w:leader="none"/>
        </w:tabs>
        <w:spacing w:line="240" w:lineRule="auto" w:before="56"/>
        <w:ind w:left="672" w:right="0"/>
        <w:jc w:val="left"/>
      </w:pPr>
      <w:r>
        <w:rPr/>
        <w:t>□适用</w:t>
        <w:tab/>
        <w:t>√不适用</w:t>
      </w:r>
    </w:p>
    <w:p>
      <w:pPr>
        <w:spacing w:line="240" w:lineRule="auto" w:before="9"/>
        <w:rPr>
          <w:rFonts w:ascii="宋体" w:hAnsi="宋体" w:cs="宋体" w:eastAsia="宋体" w:hint="default"/>
          <w:sz w:val="20"/>
          <w:szCs w:val="20"/>
        </w:rPr>
      </w:pPr>
    </w:p>
    <w:p>
      <w:pPr>
        <w:pStyle w:val="BodyText"/>
        <w:spacing w:line="274" w:lineRule="exact"/>
        <w:ind w:left="672" w:right="0"/>
        <w:jc w:val="left"/>
      </w:pPr>
      <w:r>
        <w:rPr/>
        <w:t>其他说明</w:t>
      </w:r>
    </w:p>
    <w:p>
      <w:pPr>
        <w:pStyle w:val="BodyText"/>
        <w:spacing w:line="274" w:lineRule="exact"/>
        <w:ind w:left="672" w:right="0"/>
        <w:jc w:val="left"/>
      </w:pPr>
      <w:r>
        <w:rPr/>
        <w:t>□适用 √不适用</w:t>
      </w:r>
    </w:p>
    <w:p>
      <w:pPr>
        <w:spacing w:after="0" w:line="274" w:lineRule="exact"/>
        <w:jc w:val="left"/>
        <w:sectPr>
          <w:type w:val="continuous"/>
          <w:pgSz w:w="11910" w:h="16850"/>
          <w:pgMar w:top="1120" w:bottom="1380" w:left="4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56"/>
          <w:footerReference w:type="default" r:id="rId57"/>
          <w:pgSz w:w="16850" w:h="11910" w:orient="landscape"/>
          <w:pgMar w:header="762" w:footer="939" w:top="1000" w:bottom="1120" w:left="740" w:right="840"/>
          <w:pgNumType w:start="112"/>
        </w:sectPr>
      </w:pPr>
    </w:p>
    <w:p>
      <w:pPr>
        <w:pStyle w:val="Heading5"/>
        <w:spacing w:line="240" w:lineRule="auto" w:before="36"/>
        <w:ind w:left="392" w:right="-19"/>
        <w:jc w:val="left"/>
        <w:rPr>
          <w:b w:val="0"/>
          <w:bCs w:val="0"/>
        </w:rPr>
      </w:pPr>
      <w:r>
        <w:rPr>
          <w:rFonts w:ascii="宋体" w:hAnsi="宋体" w:cs="宋体" w:eastAsia="宋体" w:hint="default"/>
        </w:rPr>
        <w:t>17</w:t>
      </w:r>
      <w:r>
        <w:rPr/>
        <w:t>、</w:t>
      </w:r>
      <w:r>
        <w:rPr>
          <w:spacing w:val="-22"/>
        </w:rPr>
        <w:t> </w:t>
      </w:r>
      <w:r>
        <w:rPr/>
        <w:t>长期股权投资</w:t>
      </w:r>
      <w:r>
        <w:rPr>
          <w:b w:val="0"/>
          <w:bCs w:val="0"/>
        </w:rPr>
      </w:r>
    </w:p>
    <w:p>
      <w:pPr>
        <w:pStyle w:val="BodyText"/>
        <w:spacing w:line="240" w:lineRule="auto" w:before="58"/>
        <w:ind w:left="39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4" w:val="left" w:leader="none"/>
        </w:tabs>
        <w:spacing w:line="240" w:lineRule="auto"/>
        <w:ind w:left="392" w:right="0"/>
        <w:jc w:val="left"/>
      </w:pPr>
      <w:r>
        <w:rPr>
          <w:spacing w:val="-1"/>
        </w:rPr>
        <w:t>单位：元</w:t>
        <w:tab/>
      </w:r>
      <w:r>
        <w:rPr>
          <w:spacing w:val="-2"/>
        </w:rPr>
        <w:t>币种：人民币</w:t>
      </w:r>
    </w:p>
    <w:p>
      <w:pPr>
        <w:spacing w:after="0" w:line="240" w:lineRule="auto"/>
        <w:jc w:val="left"/>
        <w:sectPr>
          <w:type w:val="continuous"/>
          <w:pgSz w:w="16850" w:h="11910" w:orient="landscape"/>
          <w:pgMar w:top="1120" w:bottom="1380" w:left="740" w:right="840"/>
          <w:cols w:num="2" w:equalWidth="0">
            <w:col w:w="2165" w:space="10099"/>
            <w:col w:w="300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97"/>
        <w:gridCol w:w="1562"/>
        <w:gridCol w:w="1561"/>
        <w:gridCol w:w="1416"/>
        <w:gridCol w:w="1416"/>
        <w:gridCol w:w="994"/>
        <w:gridCol w:w="144"/>
        <w:gridCol w:w="564"/>
        <w:gridCol w:w="1419"/>
        <w:gridCol w:w="708"/>
        <w:gridCol w:w="427"/>
        <w:gridCol w:w="1565"/>
        <w:gridCol w:w="1553"/>
      </w:tblGrid>
      <w:tr>
        <w:trPr>
          <w:trHeight w:val="242"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595" w:right="595"/>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649"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597" w:right="597"/>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681" w:right="13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1" w:hRule="exact"/>
        </w:trPr>
        <w:tc>
          <w:tcPr>
            <w:tcW w:w="1697"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4" w:right="161"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32" w:right="1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权益 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6" w:right="161"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68"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0"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5"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r>
      <w:tr>
        <w:trPr>
          <w:trHeight w:val="242" w:hRule="exact"/>
        </w:trPr>
        <w:tc>
          <w:tcPr>
            <w:tcW w:w="1502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02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西藏鸥美家卫浴用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品有限公司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2,860,821.92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-1,174,884.84</w:t>
            </w: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1,685,937.08</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深圳市鹏桑普太阳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能股份有限公司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186,421,876.22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186,421,876.22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186,421,876.22</w:t>
            </w: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普罗米司（上海）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健康科技有限公司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2,044,475.96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0" w:right="0"/>
              <w:jc w:val="center"/>
              <w:rPr>
                <w:rFonts w:ascii="宋体" w:hAnsi="宋体" w:cs="宋体" w:eastAsia="宋体" w:hint="default"/>
                <w:sz w:val="18"/>
                <w:szCs w:val="18"/>
              </w:rPr>
            </w:pPr>
            <w:r>
              <w:rPr>
                <w:rFonts w:ascii="宋体"/>
                <w:sz w:val="18"/>
              </w:rPr>
              <w:t>2,044,475.96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广州四季沐歌厨卫</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深圳自由生活科技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2,160,000.00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-564,177.33</w:t>
            </w: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1,595,822.67</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江苏苏宁银行股份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944,000,000.00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10,264.11</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162,015.65</w:t>
            </w: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944,172,279.76</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国泰君安上海好景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5,079,053.19</w:t>
            </w: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6,279,053.19</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广州的咚信息技术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6,860,000.00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-637,019.90</w:t>
            </w: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6,222,980.10</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191,327,174.10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956,020,000.00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center"/>
              <w:rPr>
                <w:rFonts w:ascii="宋体" w:hAnsi="宋体" w:cs="宋体" w:eastAsia="宋体" w:hint="default"/>
                <w:sz w:val="18"/>
                <w:szCs w:val="18"/>
              </w:rPr>
            </w:pPr>
            <w:r>
              <w:rPr>
                <w:rFonts w:ascii="宋体"/>
                <w:sz w:val="18"/>
              </w:rPr>
              <w:t>2,044,475.96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2,713,235.23</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162,015.65</w:t>
            </w: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1,146,377,949.</w:t>
            </w:r>
          </w:p>
          <w:p>
            <w:pPr>
              <w:pStyle w:val="TableParagraph"/>
              <w:spacing w:line="234" w:lineRule="exact"/>
              <w:ind w:right="98"/>
              <w:jc w:val="right"/>
              <w:rPr>
                <w:rFonts w:ascii="宋体" w:hAnsi="宋体" w:cs="宋体" w:eastAsia="宋体" w:hint="default"/>
                <w:sz w:val="18"/>
                <w:szCs w:val="18"/>
              </w:rPr>
            </w:pPr>
            <w:r>
              <w:rPr>
                <w:rFonts w:ascii="宋体"/>
                <w:sz w:val="18"/>
              </w:rPr>
              <w:t>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186,421,876.22</w:t>
            </w: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191,327,174.10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956,020,000.00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0" w:right="0"/>
              <w:jc w:val="center"/>
              <w:rPr>
                <w:rFonts w:ascii="宋体" w:hAnsi="宋体" w:cs="宋体" w:eastAsia="宋体" w:hint="default"/>
                <w:sz w:val="18"/>
                <w:szCs w:val="18"/>
              </w:rPr>
            </w:pPr>
            <w:r>
              <w:rPr>
                <w:rFonts w:ascii="宋体"/>
                <w:sz w:val="18"/>
              </w:rPr>
              <w:t>2,044,475.96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2,713,235.23</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sz w:val="18"/>
              </w:rPr>
              <w:t>162,015.65</w:t>
            </w: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1,146,377,949.</w:t>
            </w:r>
          </w:p>
          <w:p>
            <w:pPr>
              <w:pStyle w:val="TableParagraph"/>
              <w:spacing w:line="234" w:lineRule="exact"/>
              <w:ind w:right="98"/>
              <w:jc w:val="right"/>
              <w:rPr>
                <w:rFonts w:ascii="宋体" w:hAnsi="宋体" w:cs="宋体" w:eastAsia="宋体" w:hint="default"/>
                <w:sz w:val="18"/>
                <w:szCs w:val="18"/>
              </w:rPr>
            </w:pPr>
            <w:r>
              <w:rPr>
                <w:rFonts w:ascii="宋体"/>
                <w:sz w:val="18"/>
              </w:rPr>
              <w:t>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186,421,876.22</w:t>
            </w:r>
          </w:p>
        </w:tc>
      </w:tr>
    </w:tbl>
    <w:p>
      <w:pPr>
        <w:spacing w:line="240" w:lineRule="auto" w:before="7"/>
        <w:rPr>
          <w:rFonts w:ascii="宋体" w:hAnsi="宋体" w:cs="宋体" w:eastAsia="宋体" w:hint="default"/>
          <w:sz w:val="15"/>
          <w:szCs w:val="15"/>
        </w:rPr>
      </w:pPr>
    </w:p>
    <w:p>
      <w:pPr>
        <w:pStyle w:val="BodyText"/>
        <w:spacing w:line="273" w:lineRule="exact" w:before="36"/>
        <w:ind w:left="392" w:right="0"/>
        <w:jc w:val="left"/>
      </w:pPr>
      <w:r>
        <w:rPr/>
        <w:t>其他说明</w:t>
      </w:r>
    </w:p>
    <w:p>
      <w:pPr>
        <w:pStyle w:val="BodyText"/>
        <w:spacing w:line="273" w:lineRule="exact"/>
        <w:ind w:left="392" w:right="0"/>
        <w:jc w:val="left"/>
      </w:pPr>
      <w:r>
        <w:rPr/>
        <w:t>广州四季沐歌厨卫有限公司本期仍亏损，上期已全额确认</w:t>
      </w:r>
      <w:r>
        <w:rPr>
          <w:spacing w:val="-55"/>
        </w:rPr>
        <w:t> </w:t>
      </w:r>
      <w:r>
        <w:rPr>
          <w:rFonts w:ascii="宋体" w:hAnsi="宋体" w:cs="宋体" w:eastAsia="宋体" w:hint="default"/>
        </w:rPr>
        <w:t>150</w:t>
      </w:r>
      <w:r>
        <w:rPr>
          <w:rFonts w:ascii="宋体" w:hAnsi="宋体" w:cs="宋体" w:eastAsia="宋体" w:hint="default"/>
          <w:spacing w:val="-57"/>
        </w:rPr>
        <w:t> </w:t>
      </w:r>
      <w:r>
        <w:rPr/>
        <w:t>万元投资亏损，故本期不予确认投资亏损。</w:t>
      </w:r>
    </w:p>
    <w:p>
      <w:pPr>
        <w:spacing w:after="0" w:line="273" w:lineRule="exact"/>
        <w:jc w:val="left"/>
        <w:sectPr>
          <w:type w:val="continuous"/>
          <w:pgSz w:w="16850" w:h="11910" w:orient="landscape"/>
          <w:pgMar w:top="1120" w:bottom="1380" w:left="74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6850" w:h="11910" w:orient="landscape"/>
          <w:pgMar w:header="762" w:footer="939" w:top="1000" w:bottom="1120" w:left="920" w:right="1000"/>
        </w:sectPr>
      </w:pPr>
    </w:p>
    <w:p>
      <w:pPr>
        <w:spacing w:line="290" w:lineRule="auto" w:before="36"/>
        <w:ind w:left="212" w:right="-17"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5"/>
        <w:spacing w:line="240" w:lineRule="auto" w:before="12"/>
        <w:ind w:left="212" w:right="-17"/>
        <w:jc w:val="left"/>
        <w:rPr>
          <w:b w:val="0"/>
          <w:bCs w:val="0"/>
        </w:rPr>
      </w:pPr>
      <w:r>
        <w:rPr>
          <w:rFonts w:ascii="宋体" w:hAnsi="宋体" w:cs="宋体" w:eastAsia="宋体" w:hint="default"/>
        </w:rPr>
        <w:t>(1).</w:t>
      </w:r>
      <w:r>
        <w:rPr>
          <w:rFonts w:ascii="宋体" w:hAnsi="宋体" w:cs="宋体" w:eastAsia="宋体" w:hint="default"/>
          <w:spacing w:val="87"/>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4"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6850" w:h="11910" w:orient="landscape"/>
          <w:pgMar w:top="1120" w:bottom="1380" w:left="920" w:right="1000"/>
          <w:cols w:num="2" w:equalWidth="0">
            <w:col w:w="3994" w:space="7850"/>
            <w:col w:w="3086"/>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42"/>
        <w:gridCol w:w="2551"/>
        <w:gridCol w:w="2691"/>
        <w:gridCol w:w="2696"/>
        <w:gridCol w:w="2405"/>
      </w:tblGrid>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116,631,690.56</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116,631,690.56</w:t>
            </w: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在建工程转入</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116,631,690.56</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116,631,690.56</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116,631,690.56</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116,631,690.56</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14,705,634.92</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14,705,634.92</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5,652,521.21</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5,652,521.21</w:t>
            </w: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）其他增加</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9,053,113.71</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9,053,113.71</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50" w:h="11910" w:orient="landscape"/>
          <w:pgMar w:top="1120" w:bottom="1380" w:left="9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942"/>
        <w:gridCol w:w="2551"/>
        <w:gridCol w:w="2691"/>
        <w:gridCol w:w="2696"/>
        <w:gridCol w:w="2405"/>
      </w:tblGrid>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14,705,634.92</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14,705,634.92</w:t>
            </w: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101,926,055.64</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101,926,055.64</w:t>
            </w:r>
          </w:p>
        </w:tc>
      </w:tr>
      <w:tr>
        <w:trPr>
          <w:trHeight w:val="303" w:hRule="exact"/>
        </w:trPr>
        <w:tc>
          <w:tcPr>
            <w:tcW w:w="39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551"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5"/>
        <w:spacing w:line="240" w:lineRule="auto" w:before="36"/>
        <w:ind w:left="212" w:right="0"/>
        <w:jc w:val="left"/>
        <w:rPr>
          <w:b w:val="0"/>
          <w:bCs w:val="0"/>
        </w:rPr>
      </w:pPr>
      <w:r>
        <w:rPr>
          <w:rFonts w:ascii="宋体" w:hAnsi="宋体" w:cs="宋体" w:eastAsia="宋体" w:hint="default"/>
        </w:rPr>
        <w:t>(2).</w:t>
      </w:r>
      <w:r>
        <w:rPr>
          <w:rFonts w:ascii="宋体" w:hAnsi="宋体" w:cs="宋体" w:eastAsia="宋体" w:hint="default"/>
          <w:spacing w:val="88"/>
        </w:rPr>
        <w:t> </w:t>
      </w:r>
      <w:r>
        <w:rPr/>
        <w:t>未办妥产权证书的投资性房地产情况：</w:t>
      </w:r>
      <w:r>
        <w:rPr>
          <w:b w:val="0"/>
          <w:bCs w:val="0"/>
        </w:rPr>
      </w:r>
    </w:p>
    <w:p>
      <w:pPr>
        <w:pStyle w:val="BodyText"/>
        <w:spacing w:line="240" w:lineRule="auto" w:before="56"/>
        <w:ind w:left="169" w:right="13113" w:firstLine="43"/>
        <w:jc w:val="left"/>
      </w:pPr>
      <w:r>
        <w:rPr/>
        <w:t>□适用 √不适用</w:t>
      </w:r>
      <w:r>
        <w:rPr>
          <w:w w:val="100"/>
        </w:rPr>
        <w:t> </w:t>
      </w:r>
      <w:r>
        <w:rPr/>
        <w:t>其他说明</w:t>
      </w:r>
    </w:p>
    <w:p>
      <w:pPr>
        <w:pStyle w:val="BodyText"/>
        <w:spacing w:line="271" w:lineRule="exact"/>
        <w:ind w:left="169"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50" w:h="11910" w:orient="landscape"/>
          <w:pgMar w:header="762" w:footer="939" w:top="1000" w:bottom="1120" w:left="920" w:right="1000"/>
        </w:sectPr>
      </w:pPr>
    </w:p>
    <w:p>
      <w:pPr>
        <w:pStyle w:val="Heading5"/>
        <w:spacing w:line="240" w:lineRule="auto" w:before="36"/>
        <w:ind w:left="212" w:right="-19"/>
        <w:jc w:val="left"/>
        <w:rPr>
          <w:b w:val="0"/>
          <w:bCs w:val="0"/>
        </w:rPr>
      </w:pPr>
      <w:r>
        <w:rPr>
          <w:rFonts w:ascii="宋体" w:hAnsi="宋体" w:cs="宋体" w:eastAsia="宋体" w:hint="default"/>
        </w:rPr>
        <w:t>19</w:t>
      </w:r>
      <w:r>
        <w:rPr/>
        <w:t>、</w:t>
      </w:r>
      <w:r>
        <w:rPr>
          <w:spacing w:val="-23"/>
        </w:rPr>
        <w:t> </w:t>
      </w:r>
      <w:r>
        <w:rPr/>
        <w:t>固定资产</w:t>
      </w:r>
      <w:r>
        <w:rPr>
          <w:b w:val="0"/>
          <w:bCs w:val="0"/>
        </w:rPr>
      </w:r>
    </w:p>
    <w:p>
      <w:pPr>
        <w:pStyle w:val="Heading5"/>
        <w:spacing w:line="240" w:lineRule="auto" w:before="59"/>
        <w:ind w:left="212" w:right="-19"/>
        <w:jc w:val="left"/>
        <w:rPr>
          <w:b w:val="0"/>
          <w:bCs w:val="0"/>
        </w:rPr>
      </w:pPr>
      <w:r>
        <w:rPr>
          <w:rFonts w:ascii="宋体" w:hAnsi="宋体" w:cs="宋体" w:eastAsia="宋体" w:hint="default"/>
        </w:rPr>
        <w:t>(1).</w:t>
      </w:r>
      <w:r>
        <w:rPr>
          <w:rFonts w:ascii="宋体" w:hAnsi="宋体" w:cs="宋体" w:eastAsia="宋体" w:hint="default"/>
          <w:spacing w:val="61"/>
        </w:rPr>
        <w:t> </w:t>
      </w:r>
      <w:r>
        <w:rPr/>
        <w:t>固定资产情况</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4"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6850" w:h="11910" w:orient="landscape"/>
          <w:pgMar w:top="1120" w:bottom="1380" w:left="920" w:right="1000"/>
          <w:cols w:num="2" w:equalWidth="0">
            <w:col w:w="2069" w:space="10195"/>
            <w:col w:w="2666"/>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3296"/>
        <w:gridCol w:w="2269"/>
        <w:gridCol w:w="2127"/>
        <w:gridCol w:w="2125"/>
        <w:gridCol w:w="1985"/>
        <w:gridCol w:w="2693"/>
      </w:tblGrid>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8"/>
              <w:jc w:val="right"/>
              <w:rPr>
                <w:rFonts w:ascii="宋体" w:hAnsi="宋体" w:cs="宋体" w:eastAsia="宋体" w:hint="default"/>
                <w:sz w:val="21"/>
                <w:szCs w:val="21"/>
              </w:rPr>
            </w:pPr>
            <w:r>
              <w:rPr>
                <w:rFonts w:ascii="宋体" w:hAnsi="宋体" w:cs="宋体" w:eastAsia="宋体" w:hint="default"/>
                <w:sz w:val="21"/>
                <w:szCs w:val="21"/>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694,439,690.89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sz w:val="21"/>
              </w:rPr>
              <w:t>278,504,474.04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31,307,310.20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sz w:val="21"/>
              </w:rPr>
              <w:t>35,141,063.87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1,039,392,539.00</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526,217,926.52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sz w:val="21"/>
              </w:rPr>
              <w:t>140,305,712.36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2,284,424.90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sz w:val="21"/>
              </w:rPr>
              <w:t>19,266,333.23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688,074,397.01</w:t>
            </w:r>
          </w:p>
        </w:tc>
      </w:tr>
    </w:tbl>
    <w:p>
      <w:pPr>
        <w:spacing w:after="0" w:line="241" w:lineRule="exact"/>
        <w:jc w:val="right"/>
        <w:rPr>
          <w:rFonts w:ascii="宋体" w:hAnsi="宋体" w:cs="宋体" w:eastAsia="宋体" w:hint="default"/>
          <w:sz w:val="21"/>
          <w:szCs w:val="21"/>
        </w:rPr>
        <w:sectPr>
          <w:type w:val="continuous"/>
          <w:pgSz w:w="16850" w:h="11910" w:orient="landscape"/>
          <w:pgMar w:top="1120" w:bottom="1380" w:left="9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296"/>
        <w:gridCol w:w="2269"/>
        <w:gridCol w:w="2127"/>
        <w:gridCol w:w="2125"/>
        <w:gridCol w:w="1985"/>
        <w:gridCol w:w="2693"/>
      </w:tblGrid>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11,619,910.04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36,064,112.26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1,072,824.90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13,582,383.23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62,339,230.43</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）在建工程转入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230,944,972.14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511,500.10</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231,456,472.24</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3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280,557,900.00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103,730,100.00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1,211,600.00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5,683,950.00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391,183,550.00</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）其他增加</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3,095,144.34</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3,095,144.34</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144,536,315.72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26,791,338.25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776,643.37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1,575,000.63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173,679,297.97</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1,347,062.85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26,791,338.25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776,643.37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1,575,000.63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30,490,045.10</w:t>
            </w:r>
          </w:p>
        </w:tc>
      </w:tr>
      <w:tr>
        <w:trPr>
          <w:trHeight w:val="28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143,189,252.87</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143,189,252.87</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1,076,121,301.69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392,018,848.15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32,815,091.73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52,832,396.47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1,553,787,638.04</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104,897,505.82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117,345,073.78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16,971,579.24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22,155,717.95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261,369,876.79</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44,056,765.62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39,895,609.04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3,747,854.11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5,880,531.36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93,580,760.13</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44,056,765.62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39,895,609.04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3,747,854.11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5,880,531.36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93,580,760.13</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15,190,259.20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20,782,550.77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657,860.71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1,169,929.36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37,800,600.04</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929,312.09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20,782,550.77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657,860.71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1,169,929.36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23,539,652.93</w:t>
            </w: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14,260,947.11</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14,260,947.11</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133,764,012.24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136,458,132.05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20,061,572.64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26,866,319.95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317,150,036.88</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942,357,289.45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255,560,716.10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12,753,519.09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25,966,076.52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1,236,637,601.16</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589,542,185.07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161,159,400.26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14,335,730.96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12,985,345.92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778,022,662.21</w:t>
            </w:r>
          </w:p>
        </w:tc>
      </w:tr>
    </w:tbl>
    <w:p>
      <w:pPr>
        <w:spacing w:after="0" w:line="241" w:lineRule="exact"/>
        <w:jc w:val="right"/>
        <w:rPr>
          <w:rFonts w:ascii="宋体" w:hAnsi="宋体" w:cs="宋体" w:eastAsia="宋体" w:hint="default"/>
          <w:sz w:val="21"/>
          <w:szCs w:val="21"/>
        </w:rPr>
        <w:sectPr>
          <w:footerReference w:type="default" r:id="rId58"/>
          <w:pgSz w:w="16850" w:h="11910" w:orient="landscape"/>
          <w:pgMar w:footer="939" w:header="762" w:top="1000" w:bottom="1120" w:left="980" w:right="1000"/>
        </w:sectPr>
      </w:pPr>
    </w:p>
    <w:p>
      <w:pPr>
        <w:pStyle w:val="Heading5"/>
        <w:spacing w:line="240" w:lineRule="auto" w:before="93"/>
        <w:ind w:left="212" w:right="-18"/>
        <w:jc w:val="left"/>
        <w:rPr>
          <w:b w:val="0"/>
          <w:bCs w:val="0"/>
        </w:rPr>
      </w:pPr>
      <w:r>
        <w:rPr>
          <w:rFonts w:ascii="宋体" w:hAnsi="宋体" w:cs="宋体" w:eastAsia="宋体" w:hint="default"/>
        </w:rPr>
        <w:t>(3).</w:t>
      </w:r>
      <w:r>
        <w:rPr>
          <w:rFonts w:ascii="宋体" w:hAnsi="宋体" w:cs="宋体" w:eastAsia="宋体" w:hint="default"/>
          <w:spacing w:val="59"/>
        </w:rPr>
        <w:t> </w:t>
      </w:r>
      <w:r>
        <w:rPr/>
        <w:t>暂时闲置的固定资产情况</w:t>
      </w:r>
      <w:r>
        <w:rPr>
          <w:b w:val="0"/>
          <w:bCs w:val="0"/>
        </w:rPr>
      </w:r>
    </w:p>
    <w:p>
      <w:pPr>
        <w:pStyle w:val="BodyText"/>
        <w:spacing w:line="240" w:lineRule="auto" w:before="59"/>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3" w:val="left" w:leader="none"/>
        </w:tabs>
        <w:spacing w:line="240" w:lineRule="auto" w:before="175"/>
        <w:ind w:right="0"/>
        <w:jc w:val="left"/>
      </w:pPr>
      <w:r>
        <w:rPr>
          <w:spacing w:val="-1"/>
        </w:rPr>
        <w:t>单位：元</w:t>
        <w:tab/>
        <w:t>币种：人民币</w:t>
      </w:r>
    </w:p>
    <w:p>
      <w:pPr>
        <w:spacing w:after="0" w:line="240" w:lineRule="auto"/>
        <w:jc w:val="left"/>
        <w:sectPr>
          <w:headerReference w:type="default" r:id="rId59"/>
          <w:footerReference w:type="default" r:id="rId60"/>
          <w:pgSz w:w="11910" w:h="16850"/>
          <w:pgMar w:header="762" w:footer="941" w:top="1000" w:bottom="1140" w:left="920" w:right="1680"/>
          <w:pgNumType w:start="116"/>
          <w:cols w:num="2" w:equalWidth="0">
            <w:col w:w="3123" w:space="3356"/>
            <w:col w:w="2831"/>
          </w:cols>
        </w:sectPr>
      </w:pPr>
    </w:p>
    <w:p>
      <w:pPr>
        <w:spacing w:line="240" w:lineRule="auto" w:before="7"/>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1311"/>
        <w:gridCol w:w="1481"/>
        <w:gridCol w:w="1399"/>
        <w:gridCol w:w="1440"/>
        <w:gridCol w:w="1474"/>
        <w:gridCol w:w="1815"/>
      </w:tblGrid>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26,152,278.5</w:t>
            </w:r>
          </w:p>
          <w:p>
            <w:pPr>
              <w:pStyle w:val="TableParagraph"/>
              <w:spacing w:line="273" w:lineRule="exact"/>
              <w:ind w:right="99"/>
              <w:jc w:val="right"/>
              <w:rPr>
                <w:rFonts w:ascii="宋体" w:hAnsi="宋体" w:cs="宋体" w:eastAsia="宋体" w:hint="default"/>
                <w:sz w:val="21"/>
                <w:szCs w:val="21"/>
              </w:rPr>
            </w:pPr>
            <w:r>
              <w:rPr>
                <w:rFonts w:ascii="宋体"/>
                <w:w w:val="100"/>
                <w:sz w:val="21"/>
              </w:rPr>
              <w:t>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2,554,530.0</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23,597,748.</w:t>
            </w:r>
          </w:p>
          <w:p>
            <w:pPr>
              <w:pStyle w:val="TableParagraph"/>
              <w:spacing w:line="273" w:lineRule="exact"/>
              <w:ind w:right="98"/>
              <w:jc w:val="right"/>
              <w:rPr>
                <w:rFonts w:ascii="宋体" w:hAnsi="宋体" w:cs="宋体" w:eastAsia="宋体" w:hint="default"/>
                <w:sz w:val="21"/>
                <w:szCs w:val="21"/>
              </w:rPr>
            </w:pPr>
            <w:r>
              <w:rPr>
                <w:rFonts w:ascii="宋体"/>
                <w:sz w:val="21"/>
              </w:rPr>
              <w:t>57</w:t>
            </w:r>
          </w:p>
        </w:tc>
        <w:tc>
          <w:tcPr>
            <w:tcW w:w="18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20" w:right="1680"/>
        </w:sectPr>
      </w:pPr>
    </w:p>
    <w:p>
      <w:pPr>
        <w:pStyle w:val="Heading5"/>
        <w:spacing w:line="240" w:lineRule="auto" w:before="36"/>
        <w:ind w:left="212" w:right="-16"/>
        <w:jc w:val="left"/>
        <w:rPr>
          <w:b w:val="0"/>
          <w:bCs w:val="0"/>
        </w:rPr>
      </w:pPr>
      <w:r>
        <w:rPr>
          <w:rFonts w:ascii="宋体" w:hAnsi="宋体" w:cs="宋体" w:eastAsia="宋体" w:hint="default"/>
        </w:rPr>
        <w:t>(4).</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right="-16"/>
        <w:jc w:val="left"/>
      </w:pPr>
      <w:r>
        <w:rPr/>
        <w:t>□适用 √不适用</w:t>
      </w:r>
    </w:p>
    <w:p>
      <w:pPr>
        <w:pStyle w:val="Heading5"/>
        <w:spacing w:line="240" w:lineRule="auto" w:before="56"/>
        <w:ind w:left="212" w:right="-16"/>
        <w:jc w:val="left"/>
        <w:rPr>
          <w:b w:val="0"/>
          <w:bCs w:val="0"/>
        </w:rPr>
      </w:pPr>
      <w:r>
        <w:rPr>
          <w:rFonts w:ascii="宋体" w:hAnsi="宋体" w:cs="宋体" w:eastAsia="宋体" w:hint="default"/>
        </w:rPr>
        <w:t>(5).</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965" w:space="2514"/>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37"/>
        <w:gridCol w:w="5070"/>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Arial Narrow" w:hAnsi="Arial Narrow" w:cs="Arial Narrow" w:eastAsia="Arial Narrow" w:hint="default"/>
                <w:sz w:val="24"/>
                <w:szCs w:val="24"/>
              </w:rPr>
            </w:pPr>
            <w:r>
              <w:rPr>
                <w:rFonts w:ascii="Arial Narrow"/>
                <w:spacing w:val="-1"/>
                <w:sz w:val="24"/>
              </w:rPr>
              <w:t>4,029,957.26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(6).</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754" w:space="2725"/>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36"/>
        <w:gridCol w:w="1709"/>
        <w:gridCol w:w="4362"/>
      </w:tblGrid>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6"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828"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营销网络建设项目</w:t>
            </w:r>
            <w:r>
              <w:rPr>
                <w:rFonts w:ascii="宋体" w:hAnsi="宋体" w:cs="宋体" w:eastAsia="宋体" w:hint="default"/>
                <w:sz w:val="21"/>
                <w:szCs w:val="21"/>
              </w:rPr>
              <w:t>-</w:t>
            </w:r>
            <w:r>
              <w:rPr>
                <w:rFonts w:ascii="宋体" w:hAnsi="宋体" w:cs="宋体" w:eastAsia="宋体" w:hint="default"/>
                <w:sz w:val="21"/>
                <w:szCs w:val="21"/>
              </w:rPr>
              <w:t>工程产品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展示房（</w:t>
            </w:r>
            <w:r>
              <w:rPr>
                <w:rFonts w:ascii="宋体" w:hAnsi="宋体" w:cs="宋体" w:eastAsia="宋体" w:hint="default"/>
                <w:sz w:val="21"/>
                <w:szCs w:val="21"/>
              </w:rPr>
              <w:t>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三亚</w:t>
            </w:r>
            <w:r>
              <w:rPr>
                <w:rFonts w:ascii="宋体" w:hAnsi="宋体" w:cs="宋体" w:eastAsia="宋体" w:hint="default"/>
                <w:sz w:val="21"/>
                <w:szCs w:val="21"/>
              </w:rPr>
              <w:t>/</w:t>
            </w:r>
            <w:r>
              <w:rPr>
                <w:rFonts w:ascii="宋体" w:hAnsi="宋体" w:cs="宋体" w:eastAsia="宋体" w:hint="default"/>
                <w:sz w:val="21"/>
                <w:szCs w:val="21"/>
              </w:rPr>
              <w:t>砖混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/428.39</w:t>
            </w:r>
            <w:r>
              <w:rPr>
                <w:rFonts w:ascii="宋体" w:hAnsi="宋体" w:cs="宋体" w:eastAsia="宋体" w:hint="default"/>
                <w:spacing w:val="-50"/>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9,508,970.03</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开发商项目局部未通过验收暂不能办证</w:t>
            </w:r>
          </w:p>
        </w:tc>
      </w:tr>
      <w:tr>
        <w:trPr>
          <w:trHeight w:val="555"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揽海听涛商住楼</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宋体" w:hAnsi="宋体" w:cs="宋体" w:eastAsia="宋体" w:hint="default"/>
                <w:sz w:val="21"/>
                <w:szCs w:val="21"/>
              </w:rPr>
              <w:t>202</w:t>
            </w:r>
            <w:r>
              <w:rPr>
                <w:rFonts w:ascii="宋体" w:hAnsi="宋体" w:cs="宋体" w:eastAsia="宋体" w:hint="default"/>
                <w:spacing w:val="-55"/>
                <w:sz w:val="21"/>
                <w:szCs w:val="21"/>
              </w:rPr>
              <w:t> </w:t>
            </w:r>
            <w:r>
              <w:rPr>
                <w:rFonts w:ascii="宋体" w:hAnsi="宋体" w:cs="宋体" w:eastAsia="宋体" w:hint="default"/>
                <w:sz w:val="21"/>
                <w:szCs w:val="21"/>
              </w:rPr>
              <w:t>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/120.76</w:t>
            </w:r>
            <w:r>
              <w:rPr>
                <w:rFonts w:ascii="宋体" w:hAnsi="宋体" w:cs="宋体" w:eastAsia="宋体" w:hint="default"/>
                <w:spacing w:val="-50"/>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1,419,027.75</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开发商项目局部未通过验收暂不能办证</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九龙城市乐园</w:t>
            </w:r>
            <w:r>
              <w:rPr>
                <w:rFonts w:ascii="宋体" w:hAnsi="宋体" w:cs="宋体" w:eastAsia="宋体" w:hint="default"/>
                <w:sz w:val="21"/>
                <w:szCs w:val="21"/>
              </w:rPr>
              <w:t>-59#1</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/23.26</w:t>
            </w:r>
            <w:r>
              <w:rPr>
                <w:rFonts w:ascii="宋体" w:hAnsi="宋体" w:cs="宋体" w:eastAsia="宋体" w:hint="default"/>
                <w:spacing w:val="-51"/>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212,163.64</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小门面房，前五年使用权归物业暂不能办理过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年办理</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九龙城市乐园</w:t>
            </w:r>
            <w:r>
              <w:rPr>
                <w:rFonts w:ascii="宋体" w:hAnsi="宋体" w:cs="宋体" w:eastAsia="宋体" w:hint="default"/>
                <w:sz w:val="21"/>
                <w:szCs w:val="21"/>
              </w:rPr>
              <w:t>-59#1</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/15.6</w:t>
            </w:r>
            <w:r>
              <w:rPr>
                <w:rFonts w:ascii="宋体" w:hAnsi="宋体" w:cs="宋体" w:eastAsia="宋体" w:hint="default"/>
                <w:spacing w:val="-51"/>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118,788.55</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小门面房，前五年使用权归物业暂不能办理过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年办理</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营销网络建设</w:t>
            </w:r>
            <w:r>
              <w:rPr>
                <w:rFonts w:ascii="宋体" w:hAnsi="宋体" w:cs="宋体" w:eastAsia="宋体" w:hint="default"/>
                <w:sz w:val="21"/>
                <w:szCs w:val="21"/>
              </w:rPr>
              <w:t>-</w:t>
            </w:r>
            <w:r>
              <w:rPr>
                <w:rFonts w:ascii="宋体" w:hAnsi="宋体" w:cs="宋体" w:eastAsia="宋体" w:hint="default"/>
                <w:sz w:val="21"/>
                <w:szCs w:val="21"/>
              </w:rPr>
              <w:t>西安蔚蓝青城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5-10102 </w:t>
            </w:r>
            <w:r>
              <w:rPr>
                <w:rFonts w:ascii="宋体" w:hAnsi="宋体" w:cs="宋体" w:eastAsia="宋体" w:hint="default"/>
                <w:sz w:val="21"/>
                <w:szCs w:val="21"/>
              </w:rPr>
              <w:t>（</w:t>
            </w:r>
            <w:r>
              <w:rPr>
                <w:rFonts w:ascii="宋体" w:hAnsi="宋体" w:cs="宋体" w:eastAsia="宋体" w:hint="default"/>
                <w:sz w:val="21"/>
                <w:szCs w:val="21"/>
              </w:rPr>
              <w:t>725.49</w:t>
            </w:r>
            <w:r>
              <w:rPr>
                <w:rFonts w:ascii="宋体" w:hAnsi="宋体" w:cs="宋体" w:eastAsia="宋体" w:hint="default"/>
                <w:spacing w:val="-53"/>
                <w:sz w:val="21"/>
                <w:szCs w:val="21"/>
              </w:rPr>
              <w:t> </w:t>
            </w:r>
            <w:r>
              <w:rPr>
                <w:rFonts w:ascii="宋体" w:hAnsi="宋体" w:cs="宋体" w:eastAsia="宋体" w:hint="default"/>
                <w:sz w:val="21"/>
                <w:szCs w:val="21"/>
              </w:rPr>
              <w:t>平）</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14,757,838.50</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828"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营销网络建设</w:t>
            </w:r>
            <w:r>
              <w:rPr>
                <w:rFonts w:ascii="宋体" w:hAnsi="宋体" w:cs="宋体" w:eastAsia="宋体" w:hint="default"/>
                <w:sz w:val="21"/>
                <w:szCs w:val="21"/>
              </w:rPr>
              <w:t>-</w:t>
            </w:r>
            <w:r>
              <w:rPr>
                <w:rFonts w:ascii="宋体" w:hAnsi="宋体" w:cs="宋体" w:eastAsia="宋体" w:hint="default"/>
                <w:sz w:val="21"/>
                <w:szCs w:val="21"/>
              </w:rPr>
              <w:t>龙城优山美郡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太原市尖草坪区和平北路</w:t>
            </w:r>
            <w:r>
              <w:rPr>
                <w:rFonts w:ascii="宋体" w:hAnsi="宋体" w:cs="宋体" w:eastAsia="宋体" w:hint="default"/>
                <w:spacing w:val="-55"/>
                <w:sz w:val="21"/>
                <w:szCs w:val="21"/>
              </w:rPr>
              <w:t> </w:t>
            </w:r>
            <w:r>
              <w:rPr>
                <w:rFonts w:ascii="宋体" w:hAnsi="宋体" w:cs="宋体" w:eastAsia="宋体" w:hint="default"/>
                <w:sz w:val="21"/>
                <w:szCs w:val="21"/>
              </w:rPr>
              <w:t>361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1005</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5,177,589.16</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826"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营销网络建设</w:t>
            </w:r>
            <w:r>
              <w:rPr>
                <w:rFonts w:ascii="宋体" w:hAnsi="宋体" w:cs="宋体" w:eastAsia="宋体" w:hint="default"/>
                <w:sz w:val="21"/>
                <w:szCs w:val="21"/>
              </w:rPr>
              <w:t>-</w:t>
            </w:r>
            <w:r>
              <w:rPr>
                <w:rFonts w:ascii="宋体" w:hAnsi="宋体" w:cs="宋体" w:eastAsia="宋体" w:hint="default"/>
                <w:sz w:val="21"/>
                <w:szCs w:val="21"/>
              </w:rPr>
              <w:t>龙城优山美郡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太原市尖草坪区和平北路</w:t>
            </w:r>
            <w:r>
              <w:rPr>
                <w:rFonts w:ascii="宋体" w:hAnsi="宋体" w:cs="宋体" w:eastAsia="宋体" w:hint="default"/>
                <w:spacing w:val="-55"/>
                <w:sz w:val="21"/>
                <w:szCs w:val="21"/>
              </w:rPr>
              <w:t> </w:t>
            </w:r>
            <w:r>
              <w:rPr>
                <w:rFonts w:ascii="宋体" w:hAnsi="宋体" w:cs="宋体" w:eastAsia="宋体" w:hint="default"/>
                <w:sz w:val="21"/>
                <w:szCs w:val="21"/>
              </w:rPr>
              <w:t>361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1006</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5,312,241.16</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高效反渗透净水机项目</w:t>
            </w:r>
            <w:r>
              <w:rPr>
                <w:rFonts w:ascii="宋体" w:hAnsi="宋体" w:cs="宋体" w:eastAsia="宋体" w:hint="default"/>
                <w:sz w:val="21"/>
                <w:szCs w:val="21"/>
              </w:rPr>
              <w:t>-2#</w:t>
            </w:r>
            <w:r>
              <w:rPr>
                <w:rFonts w:ascii="宋体" w:hAnsi="宋体" w:cs="宋体" w:eastAsia="宋体" w:hint="default"/>
                <w:sz w:val="21"/>
                <w:szCs w:val="21"/>
              </w:rPr>
              <w:t>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水厂房</w:t>
            </w:r>
            <w:r>
              <w:rPr>
                <w:rFonts w:ascii="宋体" w:hAnsi="宋体" w:cs="宋体" w:eastAsia="宋体" w:hint="default"/>
                <w:sz w:val="21"/>
                <w:szCs w:val="21"/>
              </w:rPr>
              <w:t>/53500</w:t>
            </w:r>
            <w:r>
              <w:rPr>
                <w:rFonts w:ascii="宋体" w:hAnsi="宋体" w:cs="宋体" w:eastAsia="宋体" w:hint="default"/>
                <w:spacing w:val="-52"/>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68,299,778.44</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研发中心建设项目</w:t>
            </w:r>
            <w:r>
              <w:rPr>
                <w:rFonts w:ascii="宋体" w:hAnsi="宋体" w:cs="宋体" w:eastAsia="宋体" w:hint="default"/>
                <w:sz w:val="21"/>
                <w:szCs w:val="21"/>
              </w:rPr>
              <w:t>-</w:t>
            </w:r>
            <w:r>
              <w:rPr>
                <w:rFonts w:ascii="宋体" w:hAnsi="宋体" w:cs="宋体" w:eastAsia="宋体" w:hint="default"/>
                <w:sz w:val="21"/>
                <w:szCs w:val="21"/>
              </w:rPr>
              <w:t>新项目实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验室</w:t>
            </w:r>
            <w:r>
              <w:rPr>
                <w:rFonts w:ascii="宋体" w:hAnsi="宋体" w:cs="宋体" w:eastAsia="宋体" w:hint="default"/>
                <w:sz w:val="21"/>
                <w:szCs w:val="21"/>
              </w:rPr>
              <w:t>/3240</w:t>
            </w:r>
            <w:r>
              <w:rPr>
                <w:rFonts w:ascii="宋体" w:hAnsi="宋体" w:cs="宋体" w:eastAsia="宋体" w:hint="default"/>
                <w:spacing w:val="-52"/>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5,220,389.22</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7"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建筑一体化太阳能热水器项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宿舍楼</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42,645,164.67</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建筑一体化太阳能热水器项</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目</w:t>
            </w:r>
            <w:r>
              <w:rPr>
                <w:rFonts w:ascii="宋体" w:hAnsi="宋体" w:cs="宋体" w:eastAsia="宋体" w:hint="default"/>
                <w:spacing w:val="-2"/>
                <w:sz w:val="21"/>
                <w:szCs w:val="21"/>
              </w:rPr>
              <w:t>-5#</w:t>
            </w:r>
            <w:r>
              <w:rPr>
                <w:rFonts w:ascii="宋体" w:hAnsi="宋体" w:cs="宋体" w:eastAsia="宋体" w:hint="default"/>
                <w:spacing w:val="-2"/>
                <w:sz w:val="21"/>
                <w:szCs w:val="21"/>
              </w:rPr>
              <w:t>厂房（培训与健身中心）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37,744,325.95</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826"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连云港生产基地年产</w:t>
            </w:r>
            <w:r>
              <w:rPr>
                <w:rFonts w:ascii="宋体" w:hAnsi="宋体" w:cs="宋体" w:eastAsia="宋体" w:hint="default"/>
                <w:spacing w:val="-57"/>
                <w:sz w:val="21"/>
                <w:szCs w:val="21"/>
              </w:rPr>
              <w:t> </w:t>
            </w:r>
            <w:r>
              <w:rPr>
                <w:rFonts w:ascii="宋体" w:hAnsi="宋体" w:cs="宋体" w:eastAsia="宋体" w:hint="default"/>
                <w:sz w:val="21"/>
                <w:szCs w:val="21"/>
              </w:rPr>
              <w:t>160</w:t>
            </w:r>
            <w:r>
              <w:rPr>
                <w:rFonts w:ascii="宋体" w:hAnsi="宋体" w:cs="宋体" w:eastAsia="宋体" w:hint="default"/>
                <w:spacing w:val="-60"/>
                <w:sz w:val="21"/>
                <w:szCs w:val="21"/>
              </w:rPr>
              <w:t> </w:t>
            </w:r>
            <w:r>
              <w:rPr>
                <w:rFonts w:ascii="宋体" w:hAnsi="宋体" w:cs="宋体" w:eastAsia="宋体" w:hint="default"/>
                <w:sz w:val="21"/>
                <w:szCs w:val="21"/>
              </w:rPr>
              <w:t>万台</w:t>
            </w:r>
          </w:p>
          <w:p>
            <w:pPr>
              <w:pStyle w:val="TableParagraph"/>
              <w:spacing w:line="240" w:lineRule="auto"/>
              <w:ind w:left="103" w:right="195"/>
              <w:jc w:val="left"/>
              <w:rPr>
                <w:rFonts w:ascii="宋体" w:hAnsi="宋体" w:cs="宋体" w:eastAsia="宋体" w:hint="default"/>
                <w:sz w:val="21"/>
                <w:szCs w:val="21"/>
              </w:rPr>
            </w:pPr>
            <w:r>
              <w:rPr>
                <w:rFonts w:ascii="宋体" w:hAnsi="宋体" w:cs="宋体" w:eastAsia="宋体" w:hint="default"/>
                <w:spacing w:val="-2"/>
                <w:sz w:val="21"/>
                <w:szCs w:val="21"/>
              </w:rPr>
              <w:t>太阳能热水器建设项目</w:t>
            </w:r>
            <w:r>
              <w:rPr>
                <w:rFonts w:ascii="宋体" w:hAnsi="宋体" w:cs="宋体" w:eastAsia="宋体" w:hint="default"/>
                <w:spacing w:val="-2"/>
                <w:sz w:val="21"/>
                <w:szCs w:val="21"/>
              </w:rPr>
              <w:t>-1#</w:t>
            </w:r>
            <w:r>
              <w:rPr>
                <w:rFonts w:ascii="宋体" w:hAnsi="宋体" w:cs="宋体" w:eastAsia="宋体" w:hint="default"/>
                <w:spacing w:val="-2"/>
                <w:sz w:val="21"/>
                <w:szCs w:val="21"/>
              </w:rPr>
              <w:t>厂</w:t>
            </w:r>
            <w:r>
              <w:rPr>
                <w:rFonts w:ascii="宋体" w:hAnsi="宋体" w:cs="宋体" w:eastAsia="宋体" w:hint="default"/>
                <w:spacing w:val="-80"/>
                <w:sz w:val="21"/>
                <w:szCs w:val="21"/>
              </w:rPr>
              <w:t> </w:t>
            </w:r>
            <w:r>
              <w:rPr>
                <w:rFonts w:ascii="宋体" w:hAnsi="宋体" w:cs="宋体" w:eastAsia="宋体" w:hint="default"/>
                <w:sz w:val="21"/>
                <w:szCs w:val="21"/>
              </w:rPr>
              <w:t>房</w:t>
            </w:r>
            <w:r>
              <w:rPr>
                <w:rFonts w:ascii="宋体" w:hAnsi="宋体" w:cs="宋体" w:eastAsia="宋体" w:hint="default"/>
                <w:sz w:val="21"/>
                <w:szCs w:val="21"/>
              </w:rPr>
              <w:t>/37000</w:t>
            </w:r>
            <w:r>
              <w:rPr>
                <w:rFonts w:ascii="宋体" w:hAnsi="宋体" w:cs="宋体" w:eastAsia="宋体" w:hint="default"/>
                <w:spacing w:val="-52"/>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47,385,542.74</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太阳雨临时办公室（远程控制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室旁</w:t>
            </w:r>
            <w:r>
              <w:rPr>
                <w:rFonts w:ascii="宋体" w:hAnsi="宋体" w:cs="宋体" w:eastAsia="宋体" w:hint="default"/>
                <w:sz w:val="21"/>
                <w:szCs w:val="21"/>
              </w:rPr>
              <w:t>/2160</w:t>
            </w:r>
            <w:r>
              <w:rPr>
                <w:rFonts w:ascii="宋体" w:hAnsi="宋体" w:cs="宋体" w:eastAsia="宋体" w:hint="default"/>
                <w:spacing w:val="-51"/>
                <w:sz w:val="21"/>
                <w:szCs w:val="21"/>
              </w:rPr>
              <w:t> </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1,883,665.44</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239,685,485.25</w:t>
            </w:r>
          </w:p>
        </w:tc>
        <w:tc>
          <w:tcPr>
            <w:tcW w:w="436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120" w:bottom="1380" w:left="920" w:right="1680"/>
        </w:sectPr>
      </w:pPr>
    </w:p>
    <w:p>
      <w:pPr>
        <w:spacing w:line="240" w:lineRule="auto" w:before="4"/>
        <w:rPr>
          <w:rFonts w:ascii="宋体" w:hAnsi="宋体" w:cs="宋体" w:eastAsia="宋体" w:hint="default"/>
          <w:sz w:val="25"/>
          <w:szCs w:val="25"/>
        </w:rPr>
      </w:pPr>
    </w:p>
    <w:p>
      <w:pPr>
        <w:pStyle w:val="BodyText"/>
        <w:spacing w:line="273" w:lineRule="exact" w:before="36"/>
        <w:ind w:left="152" w:right="7399"/>
        <w:jc w:val="left"/>
      </w:pPr>
      <w:r>
        <w:rPr/>
        <w:t>其他说明：</w:t>
      </w:r>
    </w:p>
    <w:p>
      <w:pPr>
        <w:pStyle w:val="BodyText"/>
        <w:spacing w:line="272" w:lineRule="exact"/>
        <w:ind w:left="152" w:right="7399"/>
        <w:jc w:val="left"/>
      </w:pPr>
      <w:r>
        <w:rPr/>
        <w:t>√适用 □不适用</w:t>
      </w:r>
    </w:p>
    <w:p>
      <w:pPr>
        <w:pStyle w:val="BodyText"/>
        <w:spacing w:line="272" w:lineRule="exact" w:before="27"/>
        <w:ind w:left="152" w:right="296" w:firstLine="420"/>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日，账面原值为</w:t>
      </w:r>
      <w:r>
        <w:rPr>
          <w:spacing w:val="-53"/>
        </w:rPr>
        <w:t> </w:t>
      </w:r>
      <w:r>
        <w:rPr>
          <w:rFonts w:ascii="宋体" w:hAnsi="宋体" w:cs="宋体" w:eastAsia="宋体" w:hint="default"/>
        </w:rPr>
        <w:t>192,816,257.47</w:t>
      </w:r>
      <w:r>
        <w:rPr>
          <w:rFonts w:ascii="宋体" w:hAnsi="宋体" w:cs="宋体" w:eastAsia="宋体" w:hint="default"/>
          <w:spacing w:val="-54"/>
        </w:rPr>
        <w:t> </w:t>
      </w:r>
      <w:r>
        <w:rPr/>
        <w:t>元，账面价值为</w:t>
      </w:r>
      <w:r>
        <w:rPr>
          <w:spacing w:val="-54"/>
        </w:rPr>
        <w:t> </w:t>
      </w:r>
      <w:r>
        <w:rPr>
          <w:rFonts w:ascii="宋体" w:hAnsi="宋体" w:cs="宋体" w:eastAsia="宋体" w:hint="default"/>
        </w:rPr>
        <w:t>167,363,632.14</w:t>
      </w:r>
      <w:r>
        <w:rPr>
          <w:rFonts w:ascii="宋体" w:hAnsi="宋体" w:cs="宋体" w:eastAsia="宋体" w:hint="default"/>
          <w:spacing w:val="-56"/>
        </w:rPr>
        <w:t> </w:t>
      </w:r>
      <w:r>
        <w:rPr/>
        <w:t>元</w:t>
      </w:r>
      <w:r>
        <w:rPr>
          <w:w w:val="100"/>
        </w:rPr>
        <w:t> </w:t>
      </w:r>
      <w:r>
        <w:rPr/>
        <w:t>的房屋及建筑物用于借款抵押，详见附注七、</w:t>
      </w:r>
      <w:r>
        <w:rPr>
          <w:rFonts w:ascii="宋体" w:hAnsi="宋体" w:cs="宋体" w:eastAsia="宋体" w:hint="default"/>
        </w:rPr>
        <w:t>76</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762" w:footer="941" w:top="1000" w:bottom="1140" w:left="980" w:right="1680"/>
        </w:sectPr>
      </w:pPr>
    </w:p>
    <w:p>
      <w:pPr>
        <w:pStyle w:val="Heading5"/>
        <w:spacing w:line="240" w:lineRule="auto" w:before="36"/>
        <w:ind w:left="152" w:right="-19"/>
        <w:jc w:val="left"/>
        <w:rPr>
          <w:b w:val="0"/>
          <w:bCs w:val="0"/>
        </w:rPr>
      </w:pPr>
      <w:r>
        <w:rPr>
          <w:rFonts w:ascii="宋体" w:hAnsi="宋体" w:cs="宋体" w:eastAsia="宋体" w:hint="default"/>
        </w:rPr>
        <w:t>20</w:t>
      </w:r>
      <w:r>
        <w:rPr/>
        <w:t>、</w:t>
      </w:r>
      <w:r>
        <w:rPr>
          <w:spacing w:val="-24"/>
        </w:rPr>
        <w:t> </w:t>
      </w:r>
      <w:r>
        <w:rPr/>
        <w:t>在建工程</w:t>
      </w:r>
      <w:r>
        <w:rPr>
          <w:b w:val="0"/>
          <w:bCs w:val="0"/>
        </w:rPr>
      </w:r>
    </w:p>
    <w:p>
      <w:pPr>
        <w:pStyle w:val="Heading5"/>
        <w:spacing w:line="240" w:lineRule="auto" w:before="58"/>
        <w:ind w:left="152" w:right="-19"/>
        <w:jc w:val="left"/>
        <w:rPr>
          <w:b w:val="0"/>
          <w:bCs w:val="0"/>
        </w:rPr>
      </w:pPr>
      <w:r>
        <w:rPr>
          <w:rFonts w:ascii="宋体" w:hAnsi="宋体" w:cs="宋体" w:eastAsia="宋体" w:hint="default"/>
        </w:rPr>
        <w:t>(1).</w:t>
      </w:r>
      <w:r>
        <w:rPr>
          <w:rFonts w:ascii="宋体" w:hAnsi="宋体" w:cs="宋体" w:eastAsia="宋体" w:hint="default"/>
          <w:spacing w:val="61"/>
        </w:rPr>
        <w:t> </w:t>
      </w:r>
      <w:r>
        <w:rPr/>
        <w:t>在建工程情况</w:t>
      </w:r>
      <w:r>
        <w:rPr>
          <w:b w:val="0"/>
          <w:bCs w:val="0"/>
        </w:rPr>
      </w:r>
    </w:p>
    <w:p>
      <w:pPr>
        <w:pStyle w:val="BodyText"/>
        <w:spacing w:line="240" w:lineRule="auto" w:before="56"/>
        <w:ind w:left="15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2009" w:space="4470"/>
            <w:col w:w="277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637"/>
        <w:gridCol w:w="1337"/>
        <w:gridCol w:w="1034"/>
        <w:gridCol w:w="1306"/>
        <w:gridCol w:w="1322"/>
        <w:gridCol w:w="893"/>
        <w:gridCol w:w="1323"/>
      </w:tblGrid>
      <w:tr>
        <w:trPr>
          <w:trHeight w:val="245" w:hRule="exact"/>
        </w:trPr>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637"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建筑一体化太阳能</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热水器项目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28"/>
              <w:jc w:val="right"/>
              <w:rPr>
                <w:rFonts w:ascii="宋体" w:hAnsi="宋体" w:cs="宋体" w:eastAsia="宋体" w:hint="default"/>
                <w:sz w:val="18"/>
                <w:szCs w:val="18"/>
              </w:rPr>
            </w:pPr>
            <w:r>
              <w:rPr>
                <w:rFonts w:ascii="宋体"/>
                <w:spacing w:val="-1"/>
                <w:sz w:val="18"/>
              </w:rPr>
              <w:t>14,205,131.09</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4"/>
              <w:jc w:val="right"/>
              <w:rPr>
                <w:rFonts w:ascii="宋体" w:hAnsi="宋体" w:cs="宋体" w:eastAsia="宋体" w:hint="default"/>
                <w:sz w:val="18"/>
                <w:szCs w:val="18"/>
              </w:rPr>
            </w:pPr>
            <w:r>
              <w:rPr>
                <w:rFonts w:ascii="宋体"/>
                <w:spacing w:val="-1"/>
                <w:sz w:val="18"/>
              </w:rPr>
              <w:t>14,205,131.09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34,741,974.58</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34,741,974.58</w:t>
            </w:r>
          </w:p>
        </w:tc>
      </w:tr>
      <w:tr>
        <w:trPr>
          <w:trHeight w:val="2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13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86,528,242.03</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86,528,242.03</w:t>
            </w:r>
          </w:p>
        </w:tc>
      </w:tr>
      <w:tr>
        <w:trPr>
          <w:trHeight w:val="47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营销网络门店装修</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3,593,592.23</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3,593,592.23</w:t>
            </w:r>
          </w:p>
        </w:tc>
      </w:tr>
      <w:tr>
        <w:trPr>
          <w:trHeight w:val="47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洛阳基地厂房及配</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套工程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174,630.43</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174,630.43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174,630.43</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174,630.43</w:t>
            </w:r>
          </w:p>
        </w:tc>
      </w:tr>
      <w:tr>
        <w:trPr>
          <w:trHeight w:val="2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广东空气能新厂房</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290,223.77</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290,223.77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85,377,911.67</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85,377,911.67</w:t>
            </w:r>
          </w:p>
        </w:tc>
      </w:tr>
      <w:tr>
        <w:trPr>
          <w:trHeight w:val="24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洛阳基地综合项目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
              <w:jc w:val="right"/>
              <w:rPr>
                <w:rFonts w:ascii="宋体" w:hAnsi="宋体" w:cs="宋体" w:eastAsia="宋体" w:hint="default"/>
                <w:sz w:val="18"/>
                <w:szCs w:val="18"/>
              </w:rPr>
            </w:pPr>
            <w:r>
              <w:rPr>
                <w:rFonts w:ascii="宋体"/>
                <w:spacing w:val="-1"/>
                <w:sz w:val="18"/>
              </w:rPr>
              <w:t>3,669,269.84</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3,669,269.84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1,178,320.28</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1,178,320.28</w:t>
            </w:r>
          </w:p>
        </w:tc>
      </w:tr>
      <w:tr>
        <w:trPr>
          <w:trHeight w:val="47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连云港基地改扩建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3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1,000,834.00</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1,000,834.00</w:t>
            </w:r>
          </w:p>
        </w:tc>
      </w:tr>
      <w:tr>
        <w:trPr>
          <w:trHeight w:val="24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机器设备调试安装</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
              <w:jc w:val="right"/>
              <w:rPr>
                <w:rFonts w:ascii="宋体" w:hAnsi="宋体" w:cs="宋体" w:eastAsia="宋体" w:hint="default"/>
                <w:sz w:val="18"/>
                <w:szCs w:val="18"/>
              </w:rPr>
            </w:pPr>
            <w:r>
              <w:rPr>
                <w:rFonts w:ascii="宋体"/>
                <w:spacing w:val="-1"/>
                <w:sz w:val="18"/>
              </w:rPr>
              <w:t>6,329,989.44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
              <w:jc w:val="center"/>
              <w:rPr>
                <w:rFonts w:ascii="宋体" w:hAnsi="宋体" w:cs="宋体" w:eastAsia="宋体" w:hint="default"/>
                <w:sz w:val="18"/>
                <w:szCs w:val="18"/>
              </w:rPr>
            </w:pPr>
            <w:r>
              <w:rPr>
                <w:rFonts w:ascii="宋体"/>
                <w:sz w:val="18"/>
              </w:rPr>
              <w:t>353,504.11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5,976,485.33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2,331,386.54</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2,331,386.54</w:t>
            </w:r>
          </w:p>
        </w:tc>
      </w:tr>
      <w:tr>
        <w:trPr>
          <w:trHeight w:val="47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帅康电气员工宿舍</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
              <w:jc w:val="right"/>
              <w:rPr>
                <w:rFonts w:ascii="宋体" w:hAnsi="宋体" w:cs="宋体" w:eastAsia="宋体" w:hint="default"/>
                <w:sz w:val="18"/>
                <w:szCs w:val="18"/>
              </w:rPr>
            </w:pPr>
            <w:r>
              <w:rPr>
                <w:rFonts w:ascii="宋体"/>
                <w:spacing w:val="-1"/>
                <w:sz w:val="18"/>
              </w:rPr>
              <w:t>15,882,066.08</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15,882,066.08</w:t>
            </w:r>
          </w:p>
        </w:tc>
        <w:tc>
          <w:tcPr>
            <w:tcW w:w="132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234,660.20</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234,660.20</w:t>
            </w:r>
          </w:p>
        </w:tc>
      </w:tr>
      <w:tr>
        <w:trPr>
          <w:trHeight w:val="2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8"/>
              <w:jc w:val="right"/>
              <w:rPr>
                <w:rFonts w:ascii="宋体" w:hAnsi="宋体" w:cs="宋体" w:eastAsia="宋体" w:hint="default"/>
                <w:sz w:val="18"/>
                <w:szCs w:val="18"/>
              </w:rPr>
            </w:pPr>
            <w:r>
              <w:rPr>
                <w:rFonts w:ascii="宋体"/>
                <w:spacing w:val="-1"/>
                <w:sz w:val="18"/>
              </w:rPr>
              <w:t>40,551,310.65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9"/>
              <w:jc w:val="center"/>
              <w:rPr>
                <w:rFonts w:ascii="宋体" w:hAnsi="宋体" w:cs="宋体" w:eastAsia="宋体" w:hint="default"/>
                <w:sz w:val="18"/>
                <w:szCs w:val="18"/>
              </w:rPr>
            </w:pPr>
            <w:r>
              <w:rPr>
                <w:rFonts w:ascii="宋体"/>
                <w:sz w:val="18"/>
              </w:rPr>
              <w:t>353,504.11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40,197,806.54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215,161,551.96</w:t>
            </w:r>
          </w:p>
        </w:tc>
        <w:tc>
          <w:tcPr>
            <w:tcW w:w="893"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215,161,551.96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50"/>
          <w:pgMar w:top="1120" w:bottom="1380" w:left="980" w:right="1680"/>
        </w:sectPr>
      </w:pPr>
    </w:p>
    <w:p>
      <w:pPr>
        <w:pStyle w:val="Heading5"/>
        <w:spacing w:line="240" w:lineRule="auto" w:before="36"/>
        <w:ind w:left="152" w:right="-18"/>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6"/>
        <w:ind w:left="152"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3694" w:space="2785"/>
            <w:col w:w="277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1112"/>
        <w:gridCol w:w="1428"/>
        <w:gridCol w:w="1325"/>
        <w:gridCol w:w="1303"/>
        <w:gridCol w:w="1397"/>
        <w:gridCol w:w="1143"/>
        <w:gridCol w:w="1231"/>
        <w:gridCol w:w="956"/>
        <w:gridCol w:w="1478"/>
        <w:gridCol w:w="710"/>
        <w:gridCol w:w="850"/>
        <w:gridCol w:w="766"/>
        <w:gridCol w:w="938"/>
      </w:tblGrid>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7" w:right="52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8" w:right="96"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9" w:right="151"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31" w:right="427"/>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工程累计</w:t>
            </w:r>
          </w:p>
          <w:p>
            <w:pPr>
              <w:pStyle w:val="TableParagraph"/>
              <w:spacing w:line="232" w:lineRule="exact" w:before="23"/>
              <w:ind w:left="69" w:right="62" w:firstLine="45"/>
              <w:jc w:val="left"/>
              <w:rPr>
                <w:rFonts w:ascii="宋体" w:hAnsi="宋体" w:cs="宋体" w:eastAsia="宋体" w:hint="default"/>
                <w:sz w:val="18"/>
                <w:szCs w:val="18"/>
              </w:rPr>
            </w:pPr>
            <w:r>
              <w:rPr>
                <w:rFonts w:ascii="宋体" w:hAnsi="宋体" w:cs="宋体" w:eastAsia="宋体" w:hint="default"/>
                <w:sz w:val="18"/>
                <w:szCs w:val="18"/>
              </w:rPr>
              <w:t>投入占预 算比例</w:t>
            </w:r>
            <w:r>
              <w:rPr>
                <w:rFonts w:ascii="宋体" w:hAnsi="宋体" w:cs="宋体" w:eastAsia="宋体"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利息资</w:t>
            </w:r>
          </w:p>
          <w:p>
            <w:pPr>
              <w:pStyle w:val="TableParagraph"/>
              <w:spacing w:line="232" w:lineRule="exact" w:before="23"/>
              <w:ind w:left="79" w:right="79"/>
              <w:jc w:val="left"/>
              <w:rPr>
                <w:rFonts w:ascii="宋体" w:hAnsi="宋体" w:cs="宋体" w:eastAsia="宋体" w:hint="default"/>
                <w:sz w:val="18"/>
                <w:szCs w:val="18"/>
              </w:rPr>
            </w:pPr>
            <w:r>
              <w:rPr>
                <w:rFonts w:ascii="宋体" w:hAnsi="宋体" w:cs="宋体" w:eastAsia="宋体" w:hint="default"/>
                <w:sz w:val="18"/>
                <w:szCs w:val="18"/>
              </w:rPr>
              <w:t>本化累 计金额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9" w:right="0"/>
              <w:jc w:val="left"/>
              <w:rPr>
                <w:rFonts w:ascii="宋体" w:hAnsi="宋体" w:cs="宋体" w:eastAsia="宋体" w:hint="default"/>
                <w:sz w:val="18"/>
                <w:szCs w:val="18"/>
              </w:rPr>
            </w:pPr>
            <w:r>
              <w:rPr>
                <w:rFonts w:ascii="宋体" w:hAnsi="宋体" w:cs="宋体" w:eastAsia="宋体" w:hint="default"/>
                <w:sz w:val="18"/>
                <w:szCs w:val="18"/>
              </w:rPr>
              <w:t>其中：本</w:t>
            </w:r>
          </w:p>
          <w:p>
            <w:pPr>
              <w:pStyle w:val="TableParagraph"/>
              <w:spacing w:line="232" w:lineRule="exact" w:before="23"/>
              <w:ind w:left="59" w:right="58"/>
              <w:jc w:val="left"/>
              <w:rPr>
                <w:rFonts w:ascii="宋体" w:hAnsi="宋体" w:cs="宋体" w:eastAsia="宋体" w:hint="default"/>
                <w:sz w:val="18"/>
                <w:szCs w:val="18"/>
              </w:rPr>
            </w:pPr>
            <w:r>
              <w:rPr>
                <w:rFonts w:ascii="宋体" w:hAnsi="宋体" w:cs="宋体" w:eastAsia="宋体" w:hint="default"/>
                <w:sz w:val="18"/>
                <w:szCs w:val="18"/>
              </w:rPr>
              <w:t>期利息资 本化金额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本期利</w:t>
            </w:r>
          </w:p>
          <w:p>
            <w:pPr>
              <w:pStyle w:val="TableParagraph"/>
              <w:spacing w:line="232" w:lineRule="exact" w:before="23"/>
              <w:ind w:left="62" w:right="59" w:firstLine="45"/>
              <w:jc w:val="left"/>
              <w:rPr>
                <w:rFonts w:ascii="宋体" w:hAnsi="宋体" w:cs="宋体" w:eastAsia="宋体" w:hint="default"/>
                <w:sz w:val="18"/>
                <w:szCs w:val="18"/>
              </w:rPr>
            </w:pPr>
            <w:r>
              <w:rPr>
                <w:rFonts w:ascii="宋体" w:hAnsi="宋体" w:cs="宋体" w:eastAsia="宋体" w:hint="default"/>
                <w:sz w:val="18"/>
                <w:szCs w:val="18"/>
              </w:rPr>
              <w:t>息资本 化率</w:t>
            </w:r>
            <w:r>
              <w:rPr>
                <w:rFonts w:ascii="宋体" w:hAnsi="宋体" w:cs="宋体" w:eastAsia="宋体"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177"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建筑一体化</w:t>
            </w:r>
          </w:p>
          <w:p>
            <w:pPr>
              <w:pStyle w:val="TableParagraph"/>
              <w:spacing w:line="232" w:lineRule="exact" w:before="23"/>
              <w:ind w:left="26" w:right="173"/>
              <w:jc w:val="left"/>
              <w:rPr>
                <w:rFonts w:ascii="宋体" w:hAnsi="宋体" w:cs="宋体" w:eastAsia="宋体" w:hint="default"/>
                <w:sz w:val="18"/>
                <w:szCs w:val="18"/>
              </w:rPr>
            </w:pPr>
            <w:r>
              <w:rPr>
                <w:rFonts w:ascii="宋体" w:hAnsi="宋体" w:cs="宋体" w:eastAsia="宋体" w:hint="default"/>
                <w:sz w:val="18"/>
                <w:szCs w:val="18"/>
              </w:rPr>
              <w:t>太阳能热水 器项目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300,000,000.00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34,741,974.58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20,526,152.50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39,818,279.18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1,244,716.81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14,205,131.09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sz w:val="18"/>
              </w:rPr>
              <w:t>82.03%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1"/>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厂房、</w:t>
            </w:r>
            <w:r>
              <w:rPr>
                <w:rFonts w:ascii="宋体" w:hAnsi="宋体" w:cs="宋体" w:eastAsia="宋体" w:hint="default"/>
                <w:spacing w:val="-3"/>
                <w:sz w:val="18"/>
                <w:szCs w:val="18"/>
              </w:rPr>
              <w:t>2#</w:t>
            </w:r>
            <w:r>
              <w:rPr>
                <w:rFonts w:ascii="宋体" w:hAnsi="宋体" w:cs="宋体" w:eastAsia="宋体" w:hint="default"/>
                <w:spacing w:val="-3"/>
                <w:sz w:val="18"/>
                <w:szCs w:val="18"/>
              </w:rPr>
              <w:t>净水厂</w:t>
            </w:r>
          </w:p>
          <w:p>
            <w:pPr>
              <w:pStyle w:val="TableParagraph"/>
              <w:spacing w:line="237" w:lineRule="auto"/>
              <w:ind w:left="26" w:right="-1"/>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z w:val="18"/>
                <w:szCs w:val="18"/>
              </w:rPr>
              <w:t>1#2#</w:t>
            </w:r>
            <w:r>
              <w:rPr>
                <w:rFonts w:ascii="宋体" w:hAnsi="宋体" w:cs="宋体" w:eastAsia="宋体" w:hint="default"/>
                <w:sz w:val="18"/>
                <w:szCs w:val="18"/>
              </w:rPr>
              <w:t>宿舍楼、 </w:t>
            </w:r>
            <w:r>
              <w:rPr>
                <w:rFonts w:ascii="宋体" w:hAnsi="宋体" w:cs="宋体" w:eastAsia="宋体" w:hint="default"/>
                <w:sz w:val="18"/>
                <w:szCs w:val="18"/>
              </w:rPr>
              <w:t>5#</w:t>
            </w:r>
            <w:r>
              <w:rPr>
                <w:rFonts w:ascii="宋体" w:hAnsi="宋体" w:cs="宋体" w:eastAsia="宋体" w:hint="default"/>
                <w:sz w:val="18"/>
                <w:szCs w:val="18"/>
              </w:rPr>
              <w:t>厂房（活动中 </w:t>
            </w:r>
            <w:r>
              <w:rPr>
                <w:rFonts w:ascii="宋体" w:hAnsi="宋体" w:cs="宋体" w:eastAsia="宋体" w:hint="default"/>
                <w:spacing w:val="-4"/>
                <w:sz w:val="18"/>
                <w:szCs w:val="18"/>
              </w:rPr>
              <w:t>心）、道路工程已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完工</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研发中心建</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120,000,000.00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86,528,242.03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11,314,279.52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95,788,467.49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2,054,054.06</w:t>
            </w:r>
          </w:p>
        </w:tc>
        <w:tc>
          <w:tcPr>
            <w:tcW w:w="123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sz w:val="18"/>
              </w:rPr>
              <w:t>83.15%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7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广东空气能</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新厂房</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151,588,000.00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85,377,911.67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9,404,211.45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94,491,899.35</w:t>
            </w:r>
          </w:p>
        </w:tc>
        <w:tc>
          <w:tcPr>
            <w:tcW w:w="114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290,223.77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sz w:val="18"/>
              </w:rPr>
              <w:t>89.38%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主体工程已经完</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工</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营销网络门</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店装修项目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7"/>
              <w:jc w:val="right"/>
              <w:rPr>
                <w:rFonts w:ascii="宋体" w:hAnsi="宋体" w:cs="宋体" w:eastAsia="宋体" w:hint="default"/>
                <w:sz w:val="18"/>
                <w:szCs w:val="18"/>
              </w:rPr>
            </w:pPr>
            <w:r>
              <w:rPr>
                <w:rFonts w:ascii="宋体"/>
                <w:spacing w:val="-1"/>
                <w:sz w:val="18"/>
              </w:rPr>
              <w:t>14,180,000.00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1" w:right="0"/>
              <w:jc w:val="center"/>
              <w:rPr>
                <w:rFonts w:ascii="宋体" w:hAnsi="宋体" w:cs="宋体" w:eastAsia="宋体" w:hint="default"/>
                <w:sz w:val="18"/>
                <w:szCs w:val="18"/>
              </w:rPr>
            </w:pPr>
            <w:r>
              <w:rPr>
                <w:rFonts w:ascii="宋体"/>
                <w:sz w:val="18"/>
              </w:rPr>
              <w:t>3,593,592.23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234,975.42</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3,828,567.65</w:t>
            </w:r>
          </w:p>
        </w:tc>
        <w:tc>
          <w:tcPr>
            <w:tcW w:w="123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sz w:val="18"/>
              </w:rPr>
              <w:t>37.09%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部分展厅装修完</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毕</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4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spacing w:val="-1"/>
                <w:sz w:val="18"/>
              </w:rPr>
              <w:t>585,768,000.00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210,241,720.51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41,479,618.89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7"/>
              <w:jc w:val="center"/>
              <w:rPr>
                <w:rFonts w:ascii="宋体" w:hAnsi="宋体" w:cs="宋体" w:eastAsia="宋体" w:hint="default"/>
                <w:sz w:val="18"/>
                <w:szCs w:val="18"/>
              </w:rPr>
            </w:pPr>
            <w:r>
              <w:rPr>
                <w:rFonts w:ascii="宋体"/>
                <w:sz w:val="18"/>
              </w:rPr>
              <w:t>230,098,646.02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7,127,338.52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14,495,354.86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0" w:right="0"/>
              <w:jc w:val="left"/>
              <w:rPr>
                <w:rFonts w:ascii="宋体" w:hAnsi="宋体" w:cs="宋体" w:eastAsia="宋体" w:hint="default"/>
                <w:sz w:val="18"/>
                <w:szCs w:val="18"/>
              </w:rPr>
            </w:pPr>
            <w:r>
              <w:rPr>
                <w:rFonts w:ascii="宋体"/>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2"/>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9"/>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1"/>
          <w:footerReference w:type="default" r:id="rId62"/>
          <w:pgSz w:w="16850" w:h="11910" w:orient="landscape"/>
          <w:pgMar w:header="762" w:footer="939" w:top="1000" w:bottom="1120" w:left="980" w:right="980"/>
          <w:pgNumType w:start="118"/>
        </w:sectPr>
      </w:pPr>
    </w:p>
    <w:p>
      <w:pPr>
        <w:pStyle w:val="Heading5"/>
        <w:spacing w:line="240" w:lineRule="auto" w:before="36"/>
        <w:ind w:left="152" w:right="-17"/>
        <w:jc w:val="left"/>
        <w:rPr>
          <w:b w:val="0"/>
          <w:bCs w:val="0"/>
        </w:rPr>
      </w:pPr>
      <w:r>
        <w:rPr>
          <w:rFonts w:ascii="宋体" w:hAnsi="宋体" w:cs="宋体" w:eastAsia="宋体" w:hint="default"/>
        </w:rPr>
        <w:t>(3).</w:t>
      </w:r>
      <w:r>
        <w:rPr>
          <w:rFonts w:ascii="宋体" w:hAnsi="宋体" w:cs="宋体" w:eastAsia="宋体" w:hint="default"/>
          <w:spacing w:val="58"/>
        </w:rPr>
        <w:t> </w:t>
      </w:r>
      <w:r>
        <w:rPr/>
        <w:t>本期计提在建工程减值准备情况：</w:t>
      </w:r>
      <w:r>
        <w:rPr>
          <w:b w:val="0"/>
          <w:bCs w:val="0"/>
        </w:rPr>
      </w:r>
    </w:p>
    <w:p>
      <w:pPr>
        <w:pStyle w:val="BodyText"/>
        <w:spacing w:line="240" w:lineRule="auto" w:before="56"/>
        <w:ind w:left="152"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1204" w:val="left" w:leader="none"/>
        </w:tabs>
        <w:spacing w:line="240" w:lineRule="auto"/>
        <w:ind w:left="152" w:right="0"/>
        <w:jc w:val="left"/>
      </w:pPr>
      <w:r>
        <w:rPr>
          <w:spacing w:val="-1"/>
        </w:rPr>
        <w:t>单位：元</w:t>
        <w:tab/>
      </w:r>
      <w:r>
        <w:rPr>
          <w:spacing w:val="-2"/>
        </w:rPr>
        <w:t>币种：人民币</w:t>
      </w:r>
    </w:p>
    <w:p>
      <w:pPr>
        <w:spacing w:after="0" w:line="240" w:lineRule="auto"/>
        <w:jc w:val="left"/>
        <w:sectPr>
          <w:type w:val="continuous"/>
          <w:pgSz w:w="16850" w:h="11910" w:orient="landscape"/>
          <w:pgMar w:top="1120" w:bottom="1380" w:left="980" w:right="980"/>
          <w:cols w:num="2" w:equalWidth="0">
            <w:col w:w="3905" w:space="8358"/>
            <w:col w:w="2627"/>
          </w:cols>
        </w:sectPr>
      </w:pPr>
    </w:p>
    <w:p>
      <w:pPr>
        <w:spacing w:line="240" w:lineRule="auto" w:before="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863"/>
        <w:gridCol w:w="5100"/>
        <w:gridCol w:w="5247"/>
      </w:tblGrid>
      <w:tr>
        <w:trPr>
          <w:trHeight w:val="283" w:hRule="exact"/>
        </w:trPr>
        <w:tc>
          <w:tcPr>
            <w:tcW w:w="3863"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1718"/>
              <w:jc w:val="right"/>
              <w:rPr>
                <w:rFonts w:ascii="宋体" w:hAnsi="宋体" w:cs="宋体" w:eastAsia="宋体" w:hint="default"/>
                <w:sz w:val="21"/>
                <w:szCs w:val="21"/>
              </w:rPr>
            </w:pPr>
            <w:r>
              <w:rPr>
                <w:rFonts w:ascii="宋体" w:hAnsi="宋体" w:cs="宋体" w:eastAsia="宋体" w:hint="default"/>
                <w:sz w:val="21"/>
                <w:szCs w:val="21"/>
              </w:rPr>
              <w:t>项目</w:t>
            </w:r>
          </w:p>
        </w:tc>
        <w:tc>
          <w:tcPr>
            <w:tcW w:w="5100"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本期计提金额</w:t>
            </w:r>
          </w:p>
        </w:tc>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550" w:hRule="exact"/>
        </w:trPr>
        <w:tc>
          <w:tcPr>
            <w:tcW w:w="386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机器设备调试安装</w:t>
            </w:r>
          </w:p>
        </w:tc>
        <w:tc>
          <w:tcPr>
            <w:tcW w:w="510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353,504.11</w:t>
            </w:r>
          </w:p>
        </w:tc>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3"/>
                <w:sz w:val="21"/>
                <w:szCs w:val="21"/>
              </w:rPr>
              <w:t>生产线由于无法达到预期使用状态，故暂按</w:t>
            </w:r>
            <w:r>
              <w:rPr>
                <w:rFonts w:ascii="宋体" w:hAnsi="宋体" w:cs="宋体" w:eastAsia="宋体" w:hint="default"/>
                <w:spacing w:val="-18"/>
                <w:sz w:val="21"/>
                <w:szCs w:val="21"/>
              </w:rPr>
              <w:t> </w:t>
            </w:r>
            <w:r>
              <w:rPr>
                <w:rFonts w:ascii="宋体" w:hAnsi="宋体" w:cs="宋体" w:eastAsia="宋体" w:hint="default"/>
                <w:sz w:val="21"/>
                <w:szCs w:val="21"/>
              </w:rPr>
              <w:t>20%</w:t>
            </w:r>
            <w:r>
              <w:rPr>
                <w:rFonts w:ascii="宋体" w:hAnsi="宋体" w:cs="宋体" w:eastAsia="宋体" w:hint="default"/>
                <w:sz w:val="21"/>
                <w:szCs w:val="21"/>
              </w:rPr>
              <w:t>计提减值</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278" w:hRule="exact"/>
        </w:trPr>
        <w:tc>
          <w:tcPr>
            <w:tcW w:w="3863" w:type="dxa"/>
            <w:tcBorders>
              <w:top w:val="single" w:sz="2" w:space="0" w:color="000000"/>
              <w:left w:val="single" w:sz="2" w:space="0" w:color="000000"/>
              <w:bottom w:val="single" w:sz="2" w:space="0" w:color="000000"/>
              <w:right w:val="single" w:sz="2" w:space="0" w:color="000000"/>
            </w:tcBorders>
          </w:tcPr>
          <w:p>
            <w:pPr/>
          </w:p>
        </w:tc>
        <w:tc>
          <w:tcPr>
            <w:tcW w:w="5100" w:type="dxa"/>
            <w:tcBorders>
              <w:top w:val="single" w:sz="2" w:space="0" w:color="000000"/>
              <w:left w:val="single" w:sz="2" w:space="0" w:color="000000"/>
              <w:bottom w:val="single" w:sz="2" w:space="0" w:color="000000"/>
              <w:right w:val="single" w:sz="2" w:space="0" w:color="000000"/>
            </w:tcBorders>
          </w:tcPr>
          <w:p>
            <w:pPr/>
          </w:p>
        </w:tc>
        <w:tc>
          <w:tcPr>
            <w:tcW w:w="5247" w:type="dxa"/>
            <w:tcBorders>
              <w:top w:val="single" w:sz="2" w:space="0" w:color="000000"/>
              <w:left w:val="single" w:sz="2" w:space="0" w:color="000000"/>
              <w:bottom w:val="single" w:sz="2" w:space="0" w:color="000000"/>
              <w:right w:val="single" w:sz="2" w:space="0" w:color="000000"/>
            </w:tcBorders>
          </w:tcPr>
          <w:p>
            <w:pPr/>
          </w:p>
        </w:tc>
      </w:tr>
      <w:tr>
        <w:trPr>
          <w:trHeight w:val="278" w:hRule="exact"/>
        </w:trPr>
        <w:tc>
          <w:tcPr>
            <w:tcW w:w="3863"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718"/>
              <w:jc w:val="right"/>
              <w:rPr>
                <w:rFonts w:ascii="宋体" w:hAnsi="宋体" w:cs="宋体" w:eastAsia="宋体" w:hint="default"/>
                <w:sz w:val="21"/>
                <w:szCs w:val="21"/>
              </w:rPr>
            </w:pPr>
            <w:r>
              <w:rPr>
                <w:rFonts w:ascii="宋体" w:hAnsi="宋体" w:cs="宋体" w:eastAsia="宋体" w:hint="default"/>
                <w:sz w:val="21"/>
                <w:szCs w:val="21"/>
              </w:rPr>
              <w:t>合计</w:t>
            </w:r>
          </w:p>
        </w:tc>
        <w:tc>
          <w:tcPr>
            <w:tcW w:w="510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353,504.11</w:t>
            </w:r>
          </w:p>
        </w:tc>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152" w:right="12508"/>
        <w:jc w:val="left"/>
      </w:pPr>
      <w:r>
        <w:rPr/>
        <w:t>其他说明</w:t>
      </w:r>
    </w:p>
    <w:p>
      <w:pPr>
        <w:pStyle w:val="BodyText"/>
        <w:spacing w:line="274" w:lineRule="exact"/>
        <w:ind w:left="152" w:right="12508"/>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152" w:right="12508"/>
        <w:jc w:val="left"/>
        <w:rPr>
          <w:b w:val="0"/>
          <w:bCs w:val="0"/>
        </w:rPr>
      </w:pPr>
      <w:r>
        <w:rPr>
          <w:rFonts w:ascii="宋体" w:hAnsi="宋体" w:cs="宋体" w:eastAsia="宋体" w:hint="default"/>
        </w:rPr>
        <w:t>21</w:t>
      </w:r>
      <w:r>
        <w:rPr/>
        <w:t>、</w:t>
      </w:r>
      <w:r>
        <w:rPr>
          <w:spacing w:val="-23"/>
        </w:rPr>
        <w:t> </w:t>
      </w:r>
      <w:r>
        <w:rPr/>
        <w:t>工程物资</w:t>
      </w:r>
      <w:r>
        <w:rPr>
          <w:b w:val="0"/>
          <w:bCs w:val="0"/>
        </w:rPr>
      </w:r>
    </w:p>
    <w:p>
      <w:pPr>
        <w:pStyle w:val="BodyText"/>
        <w:spacing w:line="240" w:lineRule="auto" w:before="56"/>
        <w:ind w:left="152" w:right="12508"/>
        <w:jc w:val="left"/>
      </w:pPr>
      <w:r>
        <w:rPr/>
        <w:t>□适用 √不适用</w:t>
      </w:r>
    </w:p>
    <w:p>
      <w:pPr>
        <w:spacing w:after="0" w:line="240" w:lineRule="auto"/>
        <w:jc w:val="left"/>
        <w:sectPr>
          <w:type w:val="continuous"/>
          <w:pgSz w:w="16850" w:h="11910" w:orient="landscape"/>
          <w:pgMar w:top="112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5"/>
        <w:spacing w:line="240" w:lineRule="auto" w:before="36"/>
        <w:ind w:left="212" w:right="0"/>
        <w:jc w:val="left"/>
        <w:rPr>
          <w:b w:val="0"/>
          <w:bCs w:val="0"/>
        </w:rPr>
      </w:pPr>
      <w:r>
        <w:rPr>
          <w:rFonts w:ascii="宋体" w:hAnsi="宋体" w:cs="宋体" w:eastAsia="宋体" w:hint="default"/>
        </w:rPr>
        <w:t>22</w:t>
      </w:r>
      <w:r>
        <w:rPr/>
        <w:t>、</w:t>
      </w:r>
      <w:r>
        <w:rPr>
          <w:spacing w:val="-23"/>
        </w:rPr>
        <w:t> </w:t>
      </w:r>
      <w:r>
        <w:rPr/>
        <w:t>固定资产清理</w:t>
      </w:r>
      <w:r>
        <w:rPr>
          <w:b w:val="0"/>
          <w:bCs w:val="0"/>
        </w:rPr>
      </w:r>
    </w:p>
    <w:p>
      <w:pPr>
        <w:pStyle w:val="BodyText"/>
        <w:spacing w:line="240" w:lineRule="auto" w:before="58"/>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0"/>
        <w:jc w:val="left"/>
        <w:rPr>
          <w:b w:val="0"/>
          <w:bCs w:val="0"/>
        </w:rPr>
      </w:pPr>
      <w:r>
        <w:rPr>
          <w:rFonts w:ascii="宋体" w:hAnsi="宋体" w:cs="宋体" w:eastAsia="宋体" w:hint="default"/>
        </w:rPr>
        <w:t>23</w:t>
      </w:r>
      <w:r>
        <w:rPr/>
        <w:t>、</w:t>
      </w:r>
      <w:r>
        <w:rPr>
          <w:spacing w:val="-22"/>
        </w:rPr>
        <w:t> </w:t>
      </w:r>
      <w:r>
        <w:rPr/>
        <w:t>生产性生物资产</w:t>
      </w:r>
      <w:r>
        <w:rPr>
          <w:b w:val="0"/>
          <w:bCs w:val="0"/>
        </w:rPr>
      </w:r>
    </w:p>
    <w:p>
      <w:pPr>
        <w:pStyle w:val="Heading5"/>
        <w:spacing w:line="240" w:lineRule="auto" w:before="56"/>
        <w:ind w:left="212" w:right="0"/>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right="0"/>
        <w:jc w:val="left"/>
      </w:pPr>
      <w:r>
        <w:rPr/>
        <w:t>□适用 √不适用</w:t>
      </w:r>
    </w:p>
    <w:p>
      <w:pPr>
        <w:pStyle w:val="Heading5"/>
        <w:spacing w:line="240" w:lineRule="auto" w:before="59"/>
        <w:ind w:left="212" w:right="0"/>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right="13113"/>
        <w:jc w:val="left"/>
      </w:pPr>
      <w:r>
        <w:rPr/>
        <w:t>□适用 √不适用</w:t>
      </w:r>
      <w:r>
        <w:rPr>
          <w:w w:val="100"/>
        </w:rPr>
        <w:t> </w:t>
      </w:r>
      <w:r>
        <w:rPr/>
        <w:t>其他说明</w:t>
      </w:r>
    </w:p>
    <w:p>
      <w:pPr>
        <w:pStyle w:val="BodyText"/>
        <w:spacing w:line="271" w:lineRule="exact"/>
        <w:ind w:right="0"/>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0"/>
        <w:jc w:val="left"/>
        <w:rPr>
          <w:b w:val="0"/>
          <w:bCs w:val="0"/>
        </w:rPr>
      </w:pPr>
      <w:r>
        <w:rPr>
          <w:rFonts w:ascii="宋体" w:hAnsi="宋体" w:cs="宋体" w:eastAsia="宋体" w:hint="default"/>
        </w:rPr>
        <w:t>24</w:t>
      </w:r>
      <w:r>
        <w:rPr/>
        <w:t>、</w:t>
      </w:r>
      <w:r>
        <w:rPr>
          <w:spacing w:val="-23"/>
        </w:rPr>
        <w:t> </w:t>
      </w:r>
      <w:r>
        <w:rPr/>
        <w:t>油气资产</w:t>
      </w:r>
      <w:r>
        <w:rPr>
          <w:b w:val="0"/>
          <w:bCs w:val="0"/>
        </w:rPr>
      </w:r>
    </w:p>
    <w:p>
      <w:pPr>
        <w:pStyle w:val="BodyText"/>
        <w:spacing w:line="240" w:lineRule="auto" w:before="58"/>
        <w:ind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50" w:h="11910" w:orient="landscape"/>
          <w:pgMar w:header="762" w:footer="939" w:top="1000" w:bottom="1120" w:left="920" w:right="1000"/>
        </w:sectPr>
      </w:pPr>
    </w:p>
    <w:p>
      <w:pPr>
        <w:pStyle w:val="Heading5"/>
        <w:spacing w:line="240" w:lineRule="auto" w:before="36"/>
        <w:ind w:left="212" w:right="-19"/>
        <w:jc w:val="left"/>
        <w:rPr>
          <w:b w:val="0"/>
          <w:bCs w:val="0"/>
        </w:rPr>
      </w:pPr>
      <w:r>
        <w:rPr>
          <w:rFonts w:ascii="宋体" w:hAnsi="宋体" w:cs="宋体" w:eastAsia="宋体" w:hint="default"/>
        </w:rPr>
        <w:t>25</w:t>
      </w:r>
      <w:r>
        <w:rPr/>
        <w:t>、</w:t>
      </w:r>
      <w:r>
        <w:rPr>
          <w:spacing w:val="-23"/>
        </w:rPr>
        <w:t> </w:t>
      </w:r>
      <w:r>
        <w:rPr/>
        <w:t>无形资产</w:t>
      </w:r>
      <w:r>
        <w:rPr>
          <w:b w:val="0"/>
          <w:bCs w:val="0"/>
        </w:rPr>
      </w:r>
    </w:p>
    <w:p>
      <w:pPr>
        <w:pStyle w:val="Heading5"/>
        <w:spacing w:line="240" w:lineRule="auto" w:before="56"/>
        <w:ind w:left="212" w:right="-19"/>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55" w:val="left" w:leader="none"/>
        </w:tabs>
        <w:spacing w:line="240" w:lineRule="auto" w:before="58"/>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4"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6850" w:h="11910" w:orient="landscape"/>
          <w:pgMar w:top="1120" w:bottom="1380" w:left="920" w:right="1000"/>
          <w:cols w:num="2" w:equalWidth="0">
            <w:col w:w="2083" w:space="10180"/>
            <w:col w:w="266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01"/>
        <w:gridCol w:w="2132"/>
        <w:gridCol w:w="1980"/>
        <w:gridCol w:w="1846"/>
        <w:gridCol w:w="2065"/>
        <w:gridCol w:w="1618"/>
        <w:gridCol w:w="2127"/>
      </w:tblGrid>
      <w:tr>
        <w:trPr>
          <w:trHeight w:val="34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1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5"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232,087,723.59</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25,666,511.75</w:t>
            </w: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258,154,235.34</w:t>
            </w:r>
          </w:p>
        </w:tc>
      </w:tr>
      <w:tr>
        <w:trPr>
          <w:trHeight w:val="35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113,809,200.00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sz w:val="18"/>
              </w:rPr>
              <w:t>31,935,800.00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7,577,600.00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826,008.89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158,359,600.00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312,508,208.89</w:t>
            </w: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7,577,600.00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471,308.89</w:t>
            </w: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8,048,908.89</w:t>
            </w:r>
          </w:p>
        </w:tc>
      </w:tr>
      <w:tr>
        <w:trPr>
          <w:trHeight w:val="47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113,809,200.00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sz w:val="18"/>
              </w:rPr>
              <w:t>31,935,800.00</w:t>
            </w: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354,700.00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158,359,600.00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304,459,300.00</w:t>
            </w:r>
          </w:p>
        </w:tc>
      </w:tr>
      <w:tr>
        <w:trPr>
          <w:trHeight w:val="245"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50" w:h="11910" w:orient="landscape"/>
          <w:pgMar w:top="1120" w:bottom="1380" w:left="9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801"/>
        <w:gridCol w:w="2132"/>
        <w:gridCol w:w="1980"/>
        <w:gridCol w:w="1846"/>
        <w:gridCol w:w="2065"/>
        <w:gridCol w:w="1618"/>
        <w:gridCol w:w="2127"/>
      </w:tblGrid>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345,896,923.59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31,935,800.00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7,977,600.00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26,492,520.64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158,359,600.00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570,662,444.23</w:t>
            </w: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27,694,730.42</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18,948,516.85</w:t>
            </w: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47,043,247.27</w:t>
            </w:r>
          </w:p>
        </w:tc>
      </w:tr>
      <w:tr>
        <w:trPr>
          <w:trHeight w:val="35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6,533,099.14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2,395,185.03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631,466.67</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2,831,086.78</w:t>
            </w: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12,390,837.62</w:t>
            </w: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6,533,099.14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2,395,185.03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631,466.67</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2,831,086.78</w:t>
            </w: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12,390,837.62</w:t>
            </w:r>
          </w:p>
        </w:tc>
      </w:tr>
      <w:tr>
        <w:trPr>
          <w:trHeight w:val="242"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34,227,829.56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2,395,185.03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1,031,466.67</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21,779,603.63</w:t>
            </w: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59,434,084.89</w:t>
            </w: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1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3"/>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期末账面价值</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311,669,094.03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29,540,614.97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6,946,133.33</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4,712,917.01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158,359,600.00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511,228,359.34</w:t>
            </w:r>
          </w:p>
        </w:tc>
      </w:tr>
      <w:tr>
        <w:trPr>
          <w:trHeight w:val="35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3"/>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期初账面价值</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204,392,993.17</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6,717,994.90</w:t>
            </w:r>
          </w:p>
        </w:tc>
        <w:tc>
          <w:tcPr>
            <w:tcW w:w="16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211,110,988.07</w:t>
            </w:r>
          </w:p>
        </w:tc>
      </w:tr>
    </w:tbl>
    <w:p>
      <w:pPr>
        <w:spacing w:line="240" w:lineRule="auto" w:before="7"/>
        <w:rPr>
          <w:rFonts w:ascii="宋体" w:hAnsi="宋体" w:cs="宋体" w:eastAsia="宋体" w:hint="default"/>
          <w:sz w:val="15"/>
          <w:szCs w:val="15"/>
        </w:rPr>
      </w:pPr>
    </w:p>
    <w:p>
      <w:pPr>
        <w:pStyle w:val="BodyText"/>
        <w:spacing w:line="240" w:lineRule="auto" w:before="36"/>
        <w:ind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after="0" w:line="240" w:lineRule="auto"/>
        <w:jc w:val="left"/>
        <w:rPr>
          <w:rFonts w:ascii="宋体" w:hAnsi="宋体" w:cs="宋体" w:eastAsia="宋体" w:hint="default"/>
        </w:rPr>
        <w:sectPr>
          <w:footerReference w:type="default" r:id="rId63"/>
          <w:pgSz w:w="16850" w:h="11910" w:orient="landscape"/>
          <w:pgMar w:footer="939" w:header="762" w:top="1000" w:bottom="1120" w:left="920" w:right="1000"/>
        </w:sectPr>
      </w:pPr>
    </w:p>
    <w:p>
      <w:pPr>
        <w:spacing w:line="240" w:lineRule="auto" w:before="11"/>
        <w:rPr>
          <w:rFonts w:ascii="宋体" w:hAnsi="宋体" w:cs="宋体" w:eastAsia="宋体" w:hint="default"/>
          <w:sz w:val="29"/>
          <w:szCs w:val="29"/>
        </w:rPr>
      </w:pPr>
    </w:p>
    <w:p>
      <w:pPr>
        <w:pStyle w:val="Heading5"/>
        <w:spacing w:line="240" w:lineRule="auto" w:before="36"/>
        <w:ind w:left="212" w:right="25"/>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right="7499"/>
        <w:jc w:val="left"/>
      </w:pPr>
      <w:r>
        <w:rPr/>
        <w:t>□适用 √不适用</w:t>
      </w:r>
      <w:r>
        <w:rPr>
          <w:w w:val="100"/>
        </w:rPr>
        <w:t> </w:t>
      </w:r>
      <w:r>
        <w:rPr/>
        <w:t>其他说明：</w:t>
      </w:r>
    </w:p>
    <w:p>
      <w:pPr>
        <w:pStyle w:val="BodyText"/>
        <w:spacing w:line="271" w:lineRule="exact"/>
        <w:ind w:right="25"/>
        <w:jc w:val="left"/>
      </w:pPr>
      <w:r>
        <w:rPr/>
        <w:t>√适用 □不适用</w:t>
      </w:r>
    </w:p>
    <w:p>
      <w:pPr>
        <w:pStyle w:val="BodyText"/>
        <w:spacing w:line="272" w:lineRule="exact" w:before="27"/>
        <w:ind w:right="25"/>
        <w:jc w:val="left"/>
      </w:pPr>
      <w:r>
        <w:rPr/>
        <w:t>截至</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日，账面原值为</w:t>
      </w:r>
      <w:r>
        <w:rPr>
          <w:spacing w:val="-53"/>
        </w:rPr>
        <w:t> </w:t>
      </w:r>
      <w:r>
        <w:rPr>
          <w:rFonts w:ascii="宋体" w:hAnsi="宋体" w:cs="宋体" w:eastAsia="宋体" w:hint="default"/>
        </w:rPr>
        <w:t>76,085,263.57</w:t>
      </w:r>
      <w:r>
        <w:rPr>
          <w:rFonts w:ascii="宋体" w:hAnsi="宋体" w:cs="宋体" w:eastAsia="宋体" w:hint="default"/>
          <w:spacing w:val="-54"/>
        </w:rPr>
        <w:t> </w:t>
      </w:r>
      <w:r>
        <w:rPr/>
        <w:t>元，账面价值为</w:t>
      </w:r>
      <w:r>
        <w:rPr>
          <w:spacing w:val="-54"/>
        </w:rPr>
        <w:t> </w:t>
      </w:r>
      <w:r>
        <w:rPr>
          <w:rFonts w:ascii="宋体" w:hAnsi="宋体" w:cs="宋体" w:eastAsia="宋体" w:hint="default"/>
        </w:rPr>
        <w:t>64,163,451.79</w:t>
      </w:r>
      <w:r>
        <w:rPr>
          <w:rFonts w:ascii="宋体" w:hAnsi="宋体" w:cs="宋体" w:eastAsia="宋体" w:hint="default"/>
          <w:spacing w:val="-53"/>
        </w:rPr>
        <w:t> </w:t>
      </w:r>
      <w:r>
        <w:rPr/>
        <w:t>元的土地</w:t>
      </w:r>
      <w:r>
        <w:rPr>
          <w:w w:val="100"/>
        </w:rPr>
        <w:t> </w:t>
      </w:r>
      <w:r>
        <w:rPr/>
        <w:t>使用权用于借款抵押，详见附注七、</w:t>
      </w:r>
      <w:r>
        <w:rPr>
          <w:rFonts w:ascii="宋体" w:hAnsi="宋体" w:cs="宋体" w:eastAsia="宋体" w:hint="default"/>
        </w:rPr>
        <w:t>76</w:t>
      </w:r>
      <w:r>
        <w:rPr/>
        <w:t>。</w:t>
      </w:r>
    </w:p>
    <w:p>
      <w:pPr>
        <w:spacing w:line="240" w:lineRule="auto" w:before="4"/>
        <w:rPr>
          <w:rFonts w:ascii="宋体" w:hAnsi="宋体" w:cs="宋体" w:eastAsia="宋体" w:hint="default"/>
          <w:sz w:val="23"/>
          <w:szCs w:val="23"/>
        </w:rPr>
      </w:pPr>
    </w:p>
    <w:p>
      <w:pPr>
        <w:pStyle w:val="Heading5"/>
        <w:spacing w:line="240" w:lineRule="auto"/>
        <w:ind w:left="212" w:right="25"/>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4"/>
          <w:footerReference w:type="default" r:id="rId65"/>
          <w:pgSz w:w="11910" w:h="16850"/>
          <w:pgMar w:header="762" w:footer="941" w:top="1000" w:bottom="1140" w:left="920" w:right="1680"/>
          <w:pgNumType w:start="121"/>
        </w:sectPr>
      </w:pPr>
    </w:p>
    <w:p>
      <w:pPr>
        <w:pStyle w:val="Heading5"/>
        <w:spacing w:line="240" w:lineRule="auto" w:before="36"/>
        <w:ind w:left="212" w:right="-19"/>
        <w:jc w:val="left"/>
        <w:rPr>
          <w:b w:val="0"/>
          <w:bCs w:val="0"/>
        </w:rPr>
      </w:pPr>
      <w:r>
        <w:rPr>
          <w:rFonts w:ascii="宋体" w:hAnsi="宋体" w:cs="宋体" w:eastAsia="宋体" w:hint="default"/>
        </w:rPr>
        <w:t>27</w:t>
      </w:r>
      <w:r>
        <w:rPr/>
        <w:t>、</w:t>
      </w:r>
      <w:r>
        <w:rPr>
          <w:spacing w:val="-25"/>
        </w:rPr>
        <w:t> </w:t>
      </w:r>
      <w:r>
        <w:rPr/>
        <w:t>商誉</w:t>
      </w:r>
      <w:r>
        <w:rPr>
          <w:b w:val="0"/>
          <w:bCs w:val="0"/>
        </w:rPr>
      </w:r>
    </w:p>
    <w:p>
      <w:pPr>
        <w:pStyle w:val="Heading5"/>
        <w:spacing w:line="240" w:lineRule="auto" w:before="56"/>
        <w:ind w:left="212" w:right="-19"/>
        <w:jc w:val="left"/>
        <w:rPr>
          <w:b w:val="0"/>
          <w:bCs w:val="0"/>
        </w:rPr>
      </w:pPr>
      <w:r>
        <w:rPr>
          <w:rFonts w:ascii="宋体" w:hAnsi="宋体" w:cs="宋体" w:eastAsia="宋体" w:hint="default"/>
        </w:rPr>
        <w:t>(1).</w:t>
      </w:r>
      <w:r>
        <w:rPr>
          <w:rFonts w:ascii="宋体" w:hAnsi="宋体" w:cs="宋体" w:eastAsia="宋体" w:hint="default"/>
          <w:spacing w:val="61"/>
        </w:rPr>
        <w:t> </w:t>
      </w:r>
      <w:r>
        <w:rPr/>
        <w:t>商誉账面原值</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069" w:space="4410"/>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1"/>
        <w:gridCol w:w="1417"/>
        <w:gridCol w:w="1558"/>
        <w:gridCol w:w="852"/>
        <w:gridCol w:w="994"/>
        <w:gridCol w:w="989"/>
        <w:gridCol w:w="1527"/>
      </w:tblGrid>
      <w:tr>
        <w:trPr>
          <w:trHeight w:val="293" w:hRule="exact"/>
        </w:trPr>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149"/>
              <w:ind w:left="199" w:right="108"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1671"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89" w:type="dxa"/>
            <w:tcBorders>
              <w:top w:val="single" w:sz="4" w:space="0" w:color="000000"/>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r>
      <w:tr>
        <w:trPr>
          <w:trHeight w:val="257"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center"/>
              <w:rPr>
                <w:rFonts w:ascii="宋体" w:hAnsi="宋体" w:cs="宋体" w:eastAsia="宋体" w:hint="default"/>
                <w:sz w:val="18"/>
                <w:szCs w:val="18"/>
              </w:rPr>
            </w:pPr>
            <w:r>
              <w:rPr>
                <w:rFonts w:ascii="宋体"/>
                <w:sz w:val="18"/>
              </w:rPr>
              <w:t>Naturaquell</w:t>
            </w:r>
            <w:r>
              <w:rPr>
                <w:rFonts w:ascii="宋体"/>
                <w:spacing w:val="-6"/>
                <w:sz w:val="18"/>
              </w:rPr>
              <w:t> </w:t>
            </w:r>
            <w:r>
              <w:rPr>
                <w:rFonts w:ascii="宋体"/>
                <w:sz w:val="18"/>
              </w:rPr>
              <w:t>GmbH</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1,843,194.14</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1,843,194.14</w:t>
            </w:r>
          </w:p>
        </w:tc>
      </w:tr>
      <w:tr>
        <w:trPr>
          <w:trHeight w:val="478"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浙江帅康电气股份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497,877,184.63</w:t>
            </w: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497,877,184.63</w:t>
            </w:r>
          </w:p>
        </w:tc>
      </w:tr>
      <w:tr>
        <w:trPr>
          <w:trHeight w:val="30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1,843,194.14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497,877,184.63</w:t>
            </w: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499,720,378.77</w:t>
            </w:r>
          </w:p>
        </w:tc>
      </w:tr>
    </w:tbl>
    <w:p>
      <w:pPr>
        <w:spacing w:line="240" w:lineRule="auto" w:before="2"/>
        <w:rPr>
          <w:rFonts w:ascii="宋体" w:hAnsi="宋体" w:cs="宋体" w:eastAsia="宋体" w:hint="default"/>
          <w:sz w:val="20"/>
          <w:szCs w:val="20"/>
        </w:rPr>
      </w:pPr>
    </w:p>
    <w:p>
      <w:pPr>
        <w:pStyle w:val="Heading5"/>
        <w:spacing w:line="240" w:lineRule="auto" w:before="36"/>
        <w:ind w:left="212" w:right="25"/>
        <w:jc w:val="left"/>
        <w:rPr>
          <w:b w:val="0"/>
          <w:bCs w:val="0"/>
        </w:rPr>
      </w:pPr>
      <w:r>
        <w:rPr>
          <w:rFonts w:ascii="宋体" w:hAnsi="宋体" w:cs="宋体" w:eastAsia="宋体" w:hint="default"/>
        </w:rPr>
        <w:t>(2).</w:t>
      </w:r>
      <w:r>
        <w:rPr>
          <w:rFonts w:ascii="宋体" w:hAnsi="宋体" w:cs="宋体" w:eastAsia="宋体" w:hint="default"/>
          <w:spacing w:val="61"/>
        </w:rPr>
        <w:t> </w:t>
      </w:r>
      <w:r>
        <w:rPr/>
        <w:t>商誉减值准备</w:t>
      </w:r>
      <w:r>
        <w:rPr>
          <w:b w:val="0"/>
          <w:bCs w:val="0"/>
        </w:rPr>
      </w:r>
    </w:p>
    <w:p>
      <w:pPr>
        <w:pStyle w:val="BodyText"/>
        <w:spacing w:line="240" w:lineRule="auto" w:before="56"/>
        <w:ind w:right="3407"/>
        <w:jc w:val="left"/>
      </w:pPr>
      <w:r>
        <w:rPr/>
        <w:t>□适用</w:t>
      </w:r>
      <w:r>
        <w:rPr>
          <w:spacing w:val="-2"/>
        </w:rPr>
        <w:t> </w:t>
      </w:r>
      <w:r>
        <w:rPr/>
        <w:t>√不适用</w:t>
      </w:r>
      <w:r>
        <w:rPr>
          <w:spacing w:val="-103"/>
        </w:rPr>
        <w:t> </w:t>
      </w:r>
      <w:r>
        <w:rPr>
          <w:spacing w:val="-103"/>
        </w:rPr>
      </w:r>
      <w:r>
        <w:rPr>
          <w:spacing w:val="-2"/>
        </w:rPr>
        <w:t>说明商誉减值测试过程、参数及商誉减值损失的确认方法</w:t>
      </w:r>
    </w:p>
    <w:p>
      <w:pPr>
        <w:pStyle w:val="BodyText"/>
        <w:spacing w:line="237" w:lineRule="auto"/>
        <w:ind w:right="25"/>
        <w:jc w:val="left"/>
      </w:pPr>
      <w:r>
        <w:rPr/>
        <w:t>√适用</w:t>
      </w:r>
      <w:r>
        <w:rPr>
          <w:spacing w:val="-2"/>
        </w:rPr>
        <w:t> </w:t>
      </w:r>
      <w:r>
        <w:rPr/>
        <w:t>□不适用</w:t>
      </w:r>
      <w:r>
        <w:rPr>
          <w:spacing w:val="-103"/>
        </w:rPr>
        <w:t> </w:t>
      </w:r>
      <w:r>
        <w:rPr>
          <w:spacing w:val="-103"/>
        </w:rPr>
      </w:r>
      <w:r>
        <w:rPr>
          <w:spacing w:val="-3"/>
        </w:rPr>
        <w:t>本公司采用预计未来现金流现值的方法计算资产组的可收回金额。本公司根据管理层批准的财务</w:t>
      </w:r>
      <w:r>
        <w:rPr>
          <w:spacing w:val="-18"/>
        </w:rPr>
        <w:t> </w:t>
      </w:r>
      <w:r>
        <w:rPr>
          <w:spacing w:val="-18"/>
        </w:rPr>
      </w:r>
      <w:r>
        <w:rPr/>
        <w:t>预算预计未来</w:t>
      </w:r>
      <w:r>
        <w:rPr>
          <w:spacing w:val="-31"/>
        </w:rPr>
        <w:t> </w:t>
      </w:r>
      <w:r>
        <w:rPr>
          <w:rFonts w:ascii="宋体" w:hAnsi="宋体" w:cs="宋体" w:eastAsia="宋体" w:hint="default"/>
        </w:rPr>
        <w:t>5</w:t>
      </w:r>
      <w:r>
        <w:rPr>
          <w:rFonts w:ascii="宋体" w:hAnsi="宋体" w:cs="宋体" w:eastAsia="宋体" w:hint="default"/>
          <w:spacing w:val="-36"/>
        </w:rPr>
        <w:t> </w:t>
      </w:r>
      <w:r>
        <w:rPr>
          <w:spacing w:val="-4"/>
        </w:rPr>
        <w:t>年内现金流量，其后年度采用的现金流量增长率预计为</w:t>
      </w:r>
      <w:r>
        <w:rPr>
          <w:spacing w:val="-31"/>
        </w:rPr>
        <w:t> </w:t>
      </w:r>
      <w:r>
        <w:rPr>
          <w:rFonts w:ascii="宋体" w:hAnsi="宋体" w:cs="宋体" w:eastAsia="宋体" w:hint="default"/>
          <w:spacing w:val="-5"/>
        </w:rPr>
        <w:t>2%</w:t>
      </w:r>
      <w:r>
        <w:rPr>
          <w:spacing w:val="-5"/>
        </w:rPr>
        <w:t>，不会超过资产组经营</w:t>
      </w:r>
      <w:r>
        <w:rPr>
          <w:spacing w:val="-98"/>
        </w:rPr>
        <w:t> </w:t>
      </w:r>
      <w:r>
        <w:rPr>
          <w:spacing w:val="-98"/>
        </w:rPr>
      </w:r>
      <w:r>
        <w:rPr>
          <w:spacing w:val="-3"/>
        </w:rPr>
        <w:t>业务的长期平均增长率。管理层根据过往表现及其对市场发展的预期编制上述财务预算。计算未</w:t>
      </w:r>
      <w:r>
        <w:rPr>
          <w:spacing w:val="-17"/>
        </w:rPr>
        <w:t> </w:t>
      </w:r>
      <w:r>
        <w:rPr>
          <w:spacing w:val="-17"/>
        </w:rPr>
      </w:r>
      <w:r>
        <w:rPr/>
        <w:t>来现金流现值所采用的税前折现率为</w:t>
      </w:r>
      <w:r>
        <w:rPr>
          <w:spacing w:val="-14"/>
        </w:rPr>
        <w:t> </w:t>
      </w:r>
      <w:r>
        <w:rPr>
          <w:rFonts w:ascii="宋体" w:hAnsi="宋体" w:cs="宋体" w:eastAsia="宋体" w:hint="default"/>
          <w:spacing w:val="-5"/>
        </w:rPr>
        <w:t>12.14%</w:t>
      </w:r>
      <w:r>
        <w:rPr>
          <w:spacing w:val="-5"/>
        </w:rPr>
        <w:t>，已反映了相对于有关分部的风险。根据减值测试的</w:t>
      </w:r>
      <w:r>
        <w:rPr>
          <w:spacing w:val="-91"/>
        </w:rPr>
        <w:t> </w:t>
      </w:r>
      <w:r>
        <w:rPr>
          <w:spacing w:val="-91"/>
        </w:rPr>
      </w:r>
      <w:r>
        <w:rPr/>
        <w:t>结果，本期商誉不存在减值，无需计提减值准备。</w:t>
      </w:r>
    </w:p>
    <w:p>
      <w:pPr>
        <w:spacing w:line="240" w:lineRule="auto" w:before="9"/>
        <w:rPr>
          <w:rFonts w:ascii="宋体" w:hAnsi="宋体" w:cs="宋体" w:eastAsia="宋体" w:hint="default"/>
          <w:sz w:val="20"/>
          <w:szCs w:val="20"/>
        </w:rPr>
      </w:pPr>
    </w:p>
    <w:p>
      <w:pPr>
        <w:pStyle w:val="BodyText"/>
        <w:spacing w:line="273" w:lineRule="exact"/>
        <w:ind w:right="25"/>
        <w:jc w:val="left"/>
      </w:pPr>
      <w:r>
        <w:rPr/>
        <w:t>其他说明</w:t>
      </w:r>
    </w:p>
    <w:p>
      <w:pPr>
        <w:pStyle w:val="BodyText"/>
        <w:spacing w:line="237" w:lineRule="auto"/>
        <w:ind w:right="314"/>
        <w:jc w:val="left"/>
      </w:pPr>
      <w:r>
        <w:rPr/>
        <w:t>√适用</w:t>
      </w:r>
      <w:r>
        <w:rPr>
          <w:spacing w:val="-2"/>
        </w:rPr>
        <w:t> </w:t>
      </w:r>
      <w:r>
        <w:rPr/>
        <w:t>□不适用</w:t>
      </w:r>
      <w:r>
        <w:rPr>
          <w:spacing w:val="-103"/>
        </w:rPr>
        <w:t> </w:t>
      </w:r>
      <w:r>
        <w:rPr>
          <w:spacing w:val="-103"/>
        </w:rPr>
      </w:r>
      <w:r>
        <w:rPr/>
        <w:t>本年新增商誉系本公司在本年通过非同一控制企业合并浙江帅康电气股份有限公司，支付对价</w:t>
      </w:r>
      <w:r>
        <w:rPr>
          <w:w w:val="100"/>
        </w:rPr>
        <w:t> </w:t>
      </w:r>
      <w:r>
        <w:rPr>
          <w:rFonts w:ascii="宋体" w:hAnsi="宋体" w:cs="宋体" w:eastAsia="宋体" w:hint="default"/>
        </w:rPr>
        <w:t>73,500.00</w:t>
      </w:r>
      <w:r>
        <w:rPr>
          <w:rFonts w:ascii="宋体" w:hAnsi="宋体" w:cs="宋体" w:eastAsia="宋体" w:hint="default"/>
          <w:spacing w:val="-55"/>
        </w:rPr>
        <w:t> </w:t>
      </w:r>
      <w:r>
        <w:rPr/>
        <w:t>万元与享有的浙江帅康电气股份有限公司购买日净资产公允价值</w:t>
      </w:r>
      <w:r>
        <w:rPr>
          <w:spacing w:val="-55"/>
        </w:rPr>
        <w:t> </w:t>
      </w:r>
      <w:r>
        <w:rPr>
          <w:rFonts w:ascii="宋体" w:hAnsi="宋体" w:cs="宋体" w:eastAsia="宋体" w:hint="default"/>
        </w:rPr>
        <w:t>23,712.28</w:t>
      </w:r>
      <w:r>
        <w:rPr>
          <w:rFonts w:ascii="宋体" w:hAnsi="宋体" w:cs="宋体" w:eastAsia="宋体" w:hint="default"/>
          <w:spacing w:val="-55"/>
        </w:rPr>
        <w:t> </w:t>
      </w:r>
      <w:r>
        <w:rPr/>
        <w:t>万元的差</w:t>
      </w:r>
      <w:r>
        <w:rPr>
          <w:w w:val="100"/>
        </w:rPr>
        <w:t> </w:t>
      </w:r>
      <w:r>
        <w:rPr/>
        <w:t>额，详见附注八、</w:t>
      </w:r>
      <w:r>
        <w:rPr>
          <w:rFonts w:ascii="宋体" w:hAnsi="宋体" w:cs="宋体" w:eastAsia="宋体" w:hint="default"/>
        </w:rPr>
        <w:t>1</w:t>
      </w:r>
      <w:r>
        <w:rPr/>
        <w:t>。</w:t>
      </w:r>
    </w:p>
    <w:p>
      <w:pPr>
        <w:pStyle w:val="Heading5"/>
        <w:spacing w:line="240" w:lineRule="auto" w:before="59"/>
        <w:ind w:left="212" w:right="25"/>
        <w:jc w:val="left"/>
        <w:rPr>
          <w:b w:val="0"/>
          <w:bCs w:val="0"/>
        </w:rPr>
      </w:pPr>
      <w:r>
        <w:rPr>
          <w:rFonts w:ascii="宋体" w:hAnsi="宋体" w:cs="宋体" w:eastAsia="宋体" w:hint="default"/>
        </w:rPr>
        <w:t>28</w:t>
      </w:r>
      <w:r>
        <w:rPr/>
        <w:t>、</w:t>
      </w:r>
      <w:r>
        <w:rPr>
          <w:spacing w:val="-23"/>
        </w:rPr>
        <w:t> </w:t>
      </w:r>
      <w:r>
        <w:rPr/>
        <w:t>长期待摊费用</w:t>
      </w:r>
      <w:r>
        <w:rPr>
          <w:b w:val="0"/>
          <w:bCs w:val="0"/>
        </w:rPr>
      </w:r>
    </w:p>
    <w:p>
      <w:pPr>
        <w:pStyle w:val="BodyText"/>
        <w:spacing w:line="240" w:lineRule="auto" w:before="56"/>
        <w:ind w:right="25"/>
        <w:jc w:val="left"/>
      </w:pPr>
      <w:r>
        <w:rPr/>
        <w:t>√适用 □不适用</w:t>
      </w:r>
    </w:p>
    <w:p>
      <w:pPr>
        <w:pStyle w:val="BodyText"/>
        <w:tabs>
          <w:tab w:pos="1051" w:val="left" w:leader="none"/>
        </w:tabs>
        <w:spacing w:line="274" w:lineRule="exact"/>
        <w:ind w:left="0" w:right="298"/>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40"/>
        <w:gridCol w:w="1491"/>
        <w:gridCol w:w="1488"/>
        <w:gridCol w:w="1491"/>
        <w:gridCol w:w="1430"/>
        <w:gridCol w:w="1666"/>
      </w:tblGrid>
      <w:tr>
        <w:trPr>
          <w:trHeight w:val="24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租入固定资产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1,077,100.42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682,882.88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354,067.74</w:t>
            </w:r>
          </w:p>
        </w:tc>
        <w:tc>
          <w:tcPr>
            <w:tcW w:w="143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sz w:val="18"/>
              </w:rPr>
              <w:t>1,405,915.56</w:t>
            </w:r>
          </w:p>
        </w:tc>
      </w:tr>
      <w:tr>
        <w:trPr>
          <w:trHeight w:val="47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中江信托金融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959,444.44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959,444.44</w:t>
            </w:r>
          </w:p>
        </w:tc>
        <w:tc>
          <w:tcPr>
            <w:tcW w:w="143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营销网络门店</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3,828,567.65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63,809.46</w:t>
            </w:r>
          </w:p>
        </w:tc>
        <w:tc>
          <w:tcPr>
            <w:tcW w:w="143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sz w:val="18"/>
              </w:rPr>
              <w:t>3,764,758.19</w:t>
            </w:r>
          </w:p>
        </w:tc>
      </w:tr>
      <w:tr>
        <w:trPr>
          <w:trHeight w:val="47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房屋建筑物维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1,525,065.65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1,830,718.79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1,207,420.94</w:t>
            </w:r>
          </w:p>
        </w:tc>
        <w:tc>
          <w:tcPr>
            <w:tcW w:w="143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sz w:val="18"/>
              </w:rPr>
              <w:t>2,148,363.50</w:t>
            </w:r>
          </w:p>
        </w:tc>
      </w:tr>
      <w:tr>
        <w:trPr>
          <w:trHeight w:val="24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2,602,166.07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7,301,613.76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2,584,742.58</w:t>
            </w:r>
          </w:p>
        </w:tc>
        <w:tc>
          <w:tcPr>
            <w:tcW w:w="143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sz w:val="18"/>
              </w:rPr>
              <w:t>7,319,037.25</w:t>
            </w:r>
          </w:p>
        </w:tc>
      </w:tr>
    </w:tbl>
    <w:p>
      <w:pPr>
        <w:spacing w:after="0" w:line="205" w:lineRule="exact"/>
        <w:jc w:val="left"/>
        <w:rPr>
          <w:rFonts w:ascii="宋体" w:hAnsi="宋体" w:cs="宋体" w:eastAsia="宋体" w:hint="default"/>
          <w:sz w:val="18"/>
          <w:szCs w:val="18"/>
        </w:rPr>
        <w:sectPr>
          <w:type w:val="continuous"/>
          <w:pgSz w:w="11910" w:h="16850"/>
          <w:pgMar w:top="1120" w:bottom="1380" w:left="920" w:right="1680"/>
        </w:sectPr>
      </w:pPr>
    </w:p>
    <w:p>
      <w:pPr>
        <w:pStyle w:val="BodyText"/>
        <w:spacing w:line="240" w:lineRule="auto" w:before="93"/>
        <w:ind w:right="8024"/>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50"/>
          <w:pgMar w:header="762" w:footer="941" w:top="1000" w:bottom="1140" w:left="920" w:right="1680"/>
        </w:sectPr>
      </w:pPr>
    </w:p>
    <w:p>
      <w:pPr>
        <w:pStyle w:val="Heading5"/>
        <w:spacing w:line="290" w:lineRule="auto" w:before="36"/>
        <w:ind w:left="212" w:right="-16"/>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rFonts w:ascii="宋体" w:hAnsi="宋体" w:cs="宋体" w:eastAsia="宋体" w:hint="default"/>
          <w:spacing w:val="57"/>
        </w:rPr>
        <w:t> </w:t>
      </w:r>
      <w:r>
        <w:rPr/>
        <w:t>未经抵销的递延所得税资产</w:t>
      </w:r>
      <w:r>
        <w:rPr>
          <w:b w:val="0"/>
          <w:bCs w:val="0"/>
        </w:rPr>
      </w:r>
    </w:p>
    <w:p>
      <w:pPr>
        <w:pStyle w:val="BodyText"/>
        <w:spacing w:line="240" w:lineRule="auto" w:before="14"/>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883" w:space="2596"/>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96"/>
        <w:gridCol w:w="1844"/>
        <w:gridCol w:w="1779"/>
        <w:gridCol w:w="1654"/>
        <w:gridCol w:w="1637"/>
      </w:tblGrid>
      <w:tr>
        <w:trPr>
          <w:trHeight w:val="295"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5" w:hRule="exact"/>
        </w:trPr>
        <w:tc>
          <w:tcPr>
            <w:tcW w:w="2096"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异</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r>
      <w:tr>
        <w:trPr>
          <w:trHeight w:val="29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255,248,287.17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41,003,566.00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217,553,565.41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33,689,433.10</w:t>
            </w:r>
          </w:p>
        </w:tc>
      </w:tr>
      <w:tr>
        <w:trPr>
          <w:trHeight w:val="29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68,047,317.84</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17,011,829.47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69,642,540.96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16,758,235.79</w:t>
            </w:r>
          </w:p>
        </w:tc>
      </w:tr>
      <w:tr>
        <w:trPr>
          <w:trHeight w:val="29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售后服务保证金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13,580,829.32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2,530,062.29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17,872,501.15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2,689,531.61</w:t>
            </w:r>
          </w:p>
        </w:tc>
      </w:tr>
      <w:tr>
        <w:trPr>
          <w:trHeight w:val="29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w:t>
            </w:r>
            <w:r>
              <w:rPr>
                <w:rFonts w:ascii="宋体" w:hAnsi="宋体" w:cs="宋体" w:eastAsia="宋体" w:hint="default"/>
                <w:sz w:val="18"/>
                <w:szCs w:val="18"/>
              </w:rPr>
              <w:t>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35,230,611.55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5,284,591.73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31,737,233.99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4,760,585.10</w:t>
            </w:r>
          </w:p>
        </w:tc>
      </w:tr>
      <w:tr>
        <w:trPr>
          <w:trHeight w:val="29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372,107,045.88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65,830,049.49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336,805,841.51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57,897,785.60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(2).</w:t>
      </w:r>
      <w:r>
        <w:rPr>
          <w:rFonts w:ascii="宋体" w:hAnsi="宋体" w:cs="宋体" w:eastAsia="宋体" w:hint="default"/>
          <w:spacing w:val="57"/>
        </w:rPr>
        <w:t> </w:t>
      </w:r>
      <w:r>
        <w:rPr/>
        <w:t>未经抵销的递延所得税负债</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332" w:space="3147"/>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7"/>
        <w:gridCol w:w="1688"/>
        <w:gridCol w:w="1652"/>
        <w:gridCol w:w="1644"/>
        <w:gridCol w:w="1666"/>
      </w:tblGrid>
      <w:tr>
        <w:trPr>
          <w:trHeight w:val="295" w:hRule="exact"/>
        </w:trPr>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57"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217,562,457.32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32,634,368.60</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15,570,094.91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2,473,815.66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13,032,108.05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2,023,847.83</w:t>
            </w:r>
          </w:p>
        </w:tc>
      </w:tr>
      <w:tr>
        <w:trPr>
          <w:trHeight w:val="828"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固定资产税务加速折旧</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pacing w:val="-2"/>
                <w:sz w:val="21"/>
                <w:szCs w:val="21"/>
              </w:rPr>
              <w:t>一次性扣除产生的暂时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性差异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1,792,220.45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268,833.07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2,390,906.03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358,635.90</w:t>
            </w:r>
          </w:p>
        </w:tc>
      </w:tr>
      <w:tr>
        <w:trPr>
          <w:trHeight w:val="295"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234,924,772.68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35,377,017.33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15,423,014.08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2,382,483.73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(3).</w:t>
      </w:r>
      <w:r>
        <w:rPr>
          <w:rFonts w:ascii="宋体" w:hAnsi="宋体" w:cs="宋体" w:eastAsia="宋体" w:hint="default"/>
          <w:spacing w:val="60"/>
        </w:rPr>
        <w:t> </w:t>
      </w:r>
      <w:r>
        <w:rPr/>
        <w:t>以抵销后净额列示的递延所得税资产或负债：</w:t>
      </w:r>
      <w:r>
        <w:rPr>
          <w:b w:val="0"/>
          <w:bCs w:val="0"/>
        </w:rPr>
      </w:r>
    </w:p>
    <w:p>
      <w:pPr>
        <w:pStyle w:val="BodyText"/>
        <w:spacing w:line="240" w:lineRule="auto" w:before="59"/>
        <w:ind w:right="-17"/>
        <w:jc w:val="left"/>
      </w:pPr>
      <w:r>
        <w:rPr/>
        <w:t>□适用 √不适用</w:t>
      </w:r>
    </w:p>
    <w:p>
      <w:pPr>
        <w:pStyle w:val="Heading5"/>
        <w:spacing w:line="240" w:lineRule="auto" w:before="56"/>
        <w:ind w:left="212"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5021" w:space="1458"/>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76"/>
        <w:gridCol w:w="3065"/>
        <w:gridCol w:w="3065"/>
      </w:tblGrid>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3,483,012.14</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91,167.01</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26,654,534.99</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3,250,211.20</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76"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30,137,547.13</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3,341,378.21</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20" w:right="1680"/>
        </w:sectPr>
      </w:pPr>
    </w:p>
    <w:p>
      <w:pPr>
        <w:pStyle w:val="Heading5"/>
        <w:spacing w:line="240" w:lineRule="auto" w:before="36"/>
        <w:ind w:left="212" w:right="-16"/>
        <w:jc w:val="left"/>
        <w:rPr>
          <w:b w:val="0"/>
          <w:bCs w:val="0"/>
        </w:rPr>
      </w:pPr>
      <w:r>
        <w:rPr>
          <w:rFonts w:ascii="宋体" w:hAnsi="宋体" w:cs="宋体" w:eastAsia="宋体" w:hint="default"/>
        </w:rPr>
        <w:t>(5).</w:t>
      </w:r>
      <w:r>
        <w:rPr>
          <w:rFonts w:ascii="宋体" w:hAnsi="宋体" w:cs="宋体" w:eastAsia="宋体" w:hint="default"/>
          <w:spacing w:val="56"/>
        </w:rPr>
        <w:t> </w:t>
      </w:r>
      <w:r>
        <w:rPr/>
        <w:t>未确认递延所得税资产的可抵扣亏损将于以下年度到期</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5861" w:space="560"/>
            <w:col w:w="288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76"/>
        <w:gridCol w:w="2273"/>
        <w:gridCol w:w="2312"/>
        <w:gridCol w:w="2345"/>
      </w:tblGrid>
      <w:tr>
        <w:trPr>
          <w:trHeight w:val="295"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0"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3"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076"/>
        <w:gridCol w:w="2273"/>
        <w:gridCol w:w="2312"/>
        <w:gridCol w:w="2345"/>
      </w:tblGrid>
      <w:tr>
        <w:trPr>
          <w:trHeight w:val="283"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571,465.32</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248,363.22</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1,932,525.29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2,177,532.44</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5,163,734.76</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824,315.54</w:t>
            </w: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18,986,809.62</w:t>
            </w:r>
          </w:p>
        </w:tc>
        <w:tc>
          <w:tcPr>
            <w:tcW w:w="231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26,654,534.99</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3,250,211.20</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right="25"/>
        <w:jc w:val="left"/>
      </w:pPr>
      <w:r>
        <w:rPr/>
        <w:t>其他说明：</w:t>
      </w:r>
    </w:p>
    <w:p>
      <w:pPr>
        <w:pStyle w:val="BodyText"/>
        <w:spacing w:line="237" w:lineRule="auto" w:before="2"/>
        <w:ind w:right="25"/>
        <w:jc w:val="left"/>
      </w:pPr>
      <w:r>
        <w:rPr/>
        <w:t>√适用</w:t>
      </w:r>
      <w:r>
        <w:rPr>
          <w:spacing w:val="-2"/>
        </w:rPr>
        <w:t> </w:t>
      </w:r>
      <w:r>
        <w:rPr/>
        <w:t>□不适用</w:t>
      </w:r>
      <w:r>
        <w:rPr>
          <w:spacing w:val="-103"/>
        </w:rPr>
        <w:t> </w:t>
      </w:r>
      <w:r>
        <w:rPr>
          <w:spacing w:val="-103"/>
        </w:rPr>
      </w:r>
      <w:r>
        <w:rPr/>
        <w:t>可弥补亏损年末数主要系子公司的亏损，由于未来能否获得足够的应纳税所得额具有不确定性，</w:t>
      </w:r>
      <w:r>
        <w:rPr>
          <w:spacing w:val="-40"/>
        </w:rPr>
        <w:t> </w:t>
      </w:r>
      <w:r>
        <w:rPr>
          <w:spacing w:val="-40"/>
        </w:rPr>
      </w:r>
      <w:r>
        <w:rPr/>
        <w:t>因此没有确认为递延所得税资产。</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50"/>
          <w:pgMar w:header="762" w:footer="941" w:top="1000" w:bottom="1140" w:left="920" w:right="1680"/>
        </w:sectPr>
      </w:pPr>
    </w:p>
    <w:p>
      <w:pPr>
        <w:pStyle w:val="Heading5"/>
        <w:spacing w:line="240" w:lineRule="auto" w:before="36"/>
        <w:ind w:left="212"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196" w:space="4283"/>
            <w:col w:w="2831"/>
          </w:cols>
        </w:sectPr>
      </w:pP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2804"/>
        <w:gridCol w:w="3063"/>
        <w:gridCol w:w="2984"/>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基金及信托理财产品</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80,000,000.00</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120,000,000.00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预付工程款</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357,579.04</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1,667,062.86</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预付房屋、设备款</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61,398,189.63</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12,706,113.21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无形资产预付款</w:t>
            </w:r>
          </w:p>
        </w:tc>
        <w:tc>
          <w:tcPr>
            <w:tcW w:w="3063" w:type="dxa"/>
            <w:tcBorders>
              <w:top w:val="single" w:sz="4" w:space="0" w:color="000000"/>
              <w:left w:val="single" w:sz="4" w:space="0" w:color="000000"/>
              <w:bottom w:val="single" w:sz="4" w:space="0" w:color="000000"/>
              <w:right w:val="single" w:sz="4" w:space="0" w:color="000000"/>
            </w:tcBorders>
          </w:tcPr>
          <w:p>
            <w:pP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5,896,450.00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141,755,768.67</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140,269,626.07</w:t>
            </w:r>
          </w:p>
        </w:tc>
      </w:tr>
    </w:tbl>
    <w:p>
      <w:pPr>
        <w:spacing w:line="240" w:lineRule="auto" w:before="5"/>
        <w:rPr>
          <w:rFonts w:ascii="宋体" w:hAnsi="宋体" w:cs="宋体" w:eastAsia="宋体" w:hint="default"/>
          <w:sz w:val="15"/>
          <w:szCs w:val="15"/>
        </w:rPr>
      </w:pPr>
    </w:p>
    <w:p>
      <w:pPr>
        <w:pStyle w:val="BodyText"/>
        <w:spacing w:line="343" w:lineRule="auto" w:before="36"/>
        <w:ind w:left="210" w:right="7195" w:firstLine="2"/>
        <w:jc w:val="left"/>
      </w:pPr>
      <w:r>
        <w:rPr/>
        <w:t>其他说明：</w:t>
      </w:r>
      <w:r>
        <w:rPr>
          <w:w w:val="100"/>
        </w:rPr>
        <w:t> </w:t>
      </w:r>
      <w:r>
        <w:rPr>
          <w:spacing w:val="-1"/>
        </w:rPr>
        <w:t>基金及信托理财产品</w:t>
      </w:r>
    </w:p>
    <w:p>
      <w:pPr>
        <w:spacing w:line="240" w:lineRule="auto" w:before="10"/>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532"/>
        <w:gridCol w:w="1689"/>
        <w:gridCol w:w="2330"/>
        <w:gridCol w:w="1362"/>
      </w:tblGrid>
      <w:tr>
        <w:trPr>
          <w:trHeight w:val="562" w:hRule="exact"/>
        </w:trPr>
        <w:tc>
          <w:tcPr>
            <w:tcW w:w="3532"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6"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689"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62"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30"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8"/>
              <w:jc w:val="center"/>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362"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82" w:right="0"/>
              <w:jc w:val="left"/>
              <w:rPr>
                <w:rFonts w:ascii="宋体" w:hAnsi="宋体" w:cs="宋体" w:eastAsia="宋体" w:hint="default"/>
                <w:sz w:val="21"/>
                <w:szCs w:val="21"/>
              </w:rPr>
            </w:pPr>
            <w:r>
              <w:rPr>
                <w:rFonts w:ascii="宋体" w:hAnsi="宋体" w:cs="宋体" w:eastAsia="宋体" w:hint="default"/>
                <w:b/>
                <w:bCs/>
                <w:sz w:val="21"/>
                <w:szCs w:val="21"/>
              </w:rPr>
              <w:t>预期年化</w:t>
            </w:r>
            <w:r>
              <w:rPr>
                <w:rFonts w:ascii="宋体" w:hAnsi="宋体" w:cs="宋体" w:eastAsia="宋体" w:hint="default"/>
                <w:sz w:val="21"/>
                <w:szCs w:val="21"/>
              </w:rPr>
            </w:r>
          </w:p>
          <w:p>
            <w:pPr>
              <w:pStyle w:val="TableParagraph"/>
              <w:spacing w:line="273" w:lineRule="exact"/>
              <w:ind w:left="82" w:right="0"/>
              <w:jc w:val="left"/>
              <w:rPr>
                <w:rFonts w:ascii="宋体" w:hAnsi="宋体" w:cs="宋体" w:eastAsia="宋体" w:hint="default"/>
                <w:sz w:val="21"/>
                <w:szCs w:val="21"/>
              </w:rPr>
            </w:pPr>
            <w:r>
              <w:rPr>
                <w:rFonts w:ascii="宋体" w:hAnsi="宋体" w:cs="宋体" w:eastAsia="宋体" w:hint="default"/>
                <w:b/>
                <w:bCs/>
                <w:sz w:val="21"/>
                <w:szCs w:val="21"/>
              </w:rPr>
              <w:t>收益率</w:t>
            </w:r>
            <w:r>
              <w:rPr>
                <w:rFonts w:ascii="宋体" w:hAnsi="宋体" w:cs="宋体" w:eastAsia="宋体" w:hint="default"/>
                <w:sz w:val="21"/>
                <w:szCs w:val="21"/>
              </w:rPr>
            </w:r>
          </w:p>
        </w:tc>
      </w:tr>
      <w:tr>
        <w:trPr>
          <w:trHeight w:val="607" w:hRule="exact"/>
        </w:trPr>
        <w:tc>
          <w:tcPr>
            <w:tcW w:w="3532" w:type="dxa"/>
            <w:tcBorders>
              <w:top w:val="single" w:sz="4" w:space="0" w:color="000000"/>
              <w:left w:val="nil" w:sz="6" w:space="0" w:color="auto"/>
              <w:bottom w:val="nil" w:sz="6" w:space="0" w:color="auto"/>
              <w:right w:val="nil" w:sz="6" w:space="0" w:color="auto"/>
            </w:tcBorders>
          </w:tcPr>
          <w:p>
            <w:pPr>
              <w:pStyle w:val="TableParagraph"/>
              <w:spacing w:line="239" w:lineRule="exact"/>
              <w:ind w:left="16" w:right="0"/>
              <w:jc w:val="left"/>
              <w:rPr>
                <w:rFonts w:ascii="宋体" w:hAnsi="宋体" w:cs="宋体" w:eastAsia="宋体" w:hint="default"/>
                <w:sz w:val="21"/>
                <w:szCs w:val="21"/>
              </w:rPr>
            </w:pPr>
            <w:r>
              <w:rPr>
                <w:rFonts w:ascii="宋体" w:hAnsi="宋体" w:cs="宋体" w:eastAsia="宋体" w:hint="default"/>
                <w:sz w:val="21"/>
                <w:szCs w:val="21"/>
              </w:rPr>
              <w:t>首誉光控</w:t>
            </w:r>
            <w:r>
              <w:rPr>
                <w:rFonts w:ascii="宋体" w:hAnsi="宋体" w:cs="宋体" w:eastAsia="宋体" w:hint="default"/>
                <w:sz w:val="21"/>
                <w:szCs w:val="21"/>
              </w:rPr>
              <w:t>-</w:t>
            </w:r>
            <w:r>
              <w:rPr>
                <w:rFonts w:ascii="宋体" w:hAnsi="宋体" w:cs="宋体" w:eastAsia="宋体" w:hint="default"/>
                <w:sz w:val="21"/>
                <w:szCs w:val="21"/>
              </w:rPr>
              <w:t>瑞丰</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号专项资产管理计</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215" w:right="0"/>
              <w:jc w:val="center"/>
              <w:rPr>
                <w:rFonts w:ascii="宋体" w:hAnsi="宋体" w:cs="宋体" w:eastAsia="宋体" w:hint="default"/>
                <w:sz w:val="21"/>
                <w:szCs w:val="21"/>
              </w:rPr>
            </w:pPr>
            <w:r>
              <w:rPr>
                <w:rFonts w:ascii="宋体"/>
                <w:sz w:val="21"/>
              </w:rPr>
              <w:t>50,000,000.00</w:t>
            </w:r>
          </w:p>
        </w:tc>
        <w:tc>
          <w:tcPr>
            <w:tcW w:w="2330" w:type="dxa"/>
            <w:tcBorders>
              <w:top w:val="single" w:sz="4" w:space="0" w:color="000000"/>
              <w:left w:val="nil" w:sz="6" w:space="0" w:color="auto"/>
              <w:bottom w:val="nil" w:sz="6" w:space="0" w:color="auto"/>
              <w:right w:val="nil" w:sz="6" w:space="0" w:color="auto"/>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2014/12/24-2019/12/2</w:t>
            </w:r>
          </w:p>
          <w:p>
            <w:pPr>
              <w:pStyle w:val="TableParagraph"/>
              <w:spacing w:line="273" w:lineRule="exact"/>
              <w:ind w:left="52" w:right="0"/>
              <w:jc w:val="left"/>
              <w:rPr>
                <w:rFonts w:ascii="宋体" w:hAnsi="宋体" w:cs="宋体" w:eastAsia="宋体" w:hint="default"/>
                <w:sz w:val="21"/>
                <w:szCs w:val="21"/>
              </w:rPr>
            </w:pPr>
            <w:r>
              <w:rPr>
                <w:rFonts w:ascii="宋体"/>
                <w:w w:val="100"/>
                <w:sz w:val="21"/>
              </w:rPr>
              <w:t>3</w:t>
            </w:r>
          </w:p>
        </w:tc>
        <w:tc>
          <w:tcPr>
            <w:tcW w:w="136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分红</w:t>
            </w:r>
          </w:p>
        </w:tc>
      </w:tr>
      <w:tr>
        <w:trPr>
          <w:trHeight w:val="456" w:hRule="exact"/>
        </w:trPr>
        <w:tc>
          <w:tcPr>
            <w:tcW w:w="353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中云当代一号私募股权投资基金</w:t>
            </w: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15" w:right="0"/>
              <w:jc w:val="center"/>
              <w:rPr>
                <w:rFonts w:ascii="宋体" w:hAnsi="宋体" w:cs="宋体" w:eastAsia="宋体" w:hint="default"/>
                <w:sz w:val="21"/>
                <w:szCs w:val="21"/>
              </w:rPr>
            </w:pPr>
            <w:r>
              <w:rPr>
                <w:rFonts w:ascii="宋体"/>
                <w:sz w:val="21"/>
              </w:rPr>
              <w:t>30,000,000.00</w:t>
            </w:r>
          </w:p>
        </w:tc>
        <w:tc>
          <w:tcPr>
            <w:tcW w:w="233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2"/>
              <w:jc w:val="center"/>
              <w:rPr>
                <w:rFonts w:ascii="宋体" w:hAnsi="宋体" w:cs="宋体" w:eastAsia="宋体" w:hint="default"/>
                <w:sz w:val="21"/>
                <w:szCs w:val="21"/>
              </w:rPr>
            </w:pPr>
            <w:r>
              <w:rPr>
                <w:rFonts w:ascii="宋体"/>
                <w:sz w:val="21"/>
              </w:rPr>
              <w:t>2017/8/10-2019/2/10</w:t>
            </w:r>
          </w:p>
        </w:tc>
        <w:tc>
          <w:tcPr>
            <w:tcW w:w="136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8.00%</w:t>
            </w:r>
          </w:p>
        </w:tc>
      </w:tr>
      <w:tr>
        <w:trPr>
          <w:trHeight w:val="593" w:hRule="exact"/>
        </w:trPr>
        <w:tc>
          <w:tcPr>
            <w:tcW w:w="3532" w:type="dxa"/>
            <w:tcBorders>
              <w:top w:val="single" w:sz="4" w:space="0" w:color="000000"/>
              <w:left w:val="nil" w:sz="6" w:space="0" w:color="auto"/>
              <w:bottom w:val="single" w:sz="8" w:space="0" w:color="000000"/>
              <w:right w:val="nil" w:sz="6" w:space="0" w:color="auto"/>
            </w:tcBorders>
          </w:tcPr>
          <w:p>
            <w:pPr>
              <w:pStyle w:val="TableParagraph"/>
              <w:tabs>
                <w:tab w:pos="439" w:val="left" w:leader="none"/>
              </w:tabs>
              <w:spacing w:line="240" w:lineRule="auto" w:before="119"/>
              <w:ind w:left="16"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689" w:type="dxa"/>
            <w:tcBorders>
              <w:top w:val="single" w:sz="4" w:space="0" w:color="000000"/>
              <w:left w:val="nil" w:sz="6" w:space="0" w:color="auto"/>
              <w:bottom w:val="single" w:sz="8" w:space="0" w:color="000000"/>
              <w:right w:val="nil" w:sz="6" w:space="0" w:color="auto"/>
            </w:tcBorders>
          </w:tcPr>
          <w:p>
            <w:pPr>
              <w:pStyle w:val="TableParagraph"/>
              <w:spacing w:line="240" w:lineRule="auto" w:before="119"/>
              <w:ind w:left="202" w:right="0"/>
              <w:jc w:val="center"/>
              <w:rPr>
                <w:rFonts w:ascii="宋体" w:hAnsi="宋体" w:cs="宋体" w:eastAsia="宋体" w:hint="default"/>
                <w:sz w:val="21"/>
                <w:szCs w:val="21"/>
              </w:rPr>
            </w:pPr>
            <w:r>
              <w:rPr>
                <w:rFonts w:ascii="宋体"/>
                <w:b/>
                <w:sz w:val="21"/>
              </w:rPr>
              <w:t>80,000,000.00</w:t>
            </w:r>
            <w:r>
              <w:rPr>
                <w:rFonts w:ascii="宋体"/>
                <w:sz w:val="21"/>
              </w:rPr>
            </w:r>
          </w:p>
        </w:tc>
        <w:tc>
          <w:tcPr>
            <w:tcW w:w="2330" w:type="dxa"/>
            <w:tcBorders>
              <w:top w:val="single" w:sz="4" w:space="0" w:color="000000"/>
              <w:left w:val="nil" w:sz="6" w:space="0" w:color="auto"/>
              <w:bottom w:val="single" w:sz="8" w:space="0" w:color="000000"/>
              <w:right w:val="nil" w:sz="6" w:space="0" w:color="auto"/>
            </w:tcBorders>
          </w:tcPr>
          <w:p>
            <w:pPr/>
          </w:p>
        </w:tc>
        <w:tc>
          <w:tcPr>
            <w:tcW w:w="1362"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8"/>
        <w:jc w:val="left"/>
        <w:rPr>
          <w:b w:val="0"/>
          <w:bCs w:val="0"/>
        </w:rPr>
      </w:pPr>
      <w:r>
        <w:rPr>
          <w:rFonts w:ascii="宋体" w:hAnsi="宋体" w:cs="宋体" w:eastAsia="宋体" w:hint="default"/>
        </w:rPr>
        <w:t>31</w:t>
      </w:r>
      <w:r>
        <w:rPr/>
        <w:t>、</w:t>
      </w:r>
      <w:r>
        <w:rPr>
          <w:spacing w:val="-24"/>
        </w:rPr>
        <w:t> </w:t>
      </w:r>
      <w:r>
        <w:rPr/>
        <w:t>短期借款</w:t>
      </w:r>
      <w:r>
        <w:rPr>
          <w:b w:val="0"/>
          <w:bCs w:val="0"/>
        </w:rPr>
      </w:r>
    </w:p>
    <w:p>
      <w:pPr>
        <w:pStyle w:val="Heading5"/>
        <w:tabs>
          <w:tab w:pos="844" w:val="left" w:leader="none"/>
        </w:tabs>
        <w:spacing w:line="240" w:lineRule="auto" w:before="56"/>
        <w:ind w:left="212"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112" w:space="4367"/>
            <w:col w:w="2831"/>
          </w:cols>
        </w:sectPr>
      </w:pP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2857"/>
        <w:gridCol w:w="2988"/>
        <w:gridCol w:w="3005"/>
      </w:tblGrid>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0"/>
              <w:jc w:val="right"/>
              <w:rPr>
                <w:rFonts w:ascii="宋体" w:hAnsi="宋体" w:cs="宋体" w:eastAsia="宋体" w:hint="default"/>
                <w:sz w:val="21"/>
                <w:szCs w:val="21"/>
              </w:rPr>
            </w:pPr>
            <w:r>
              <w:rPr>
                <w:rFonts w:ascii="宋体" w:hAnsi="宋体" w:cs="宋体" w:eastAsia="宋体" w:hint="default"/>
                <w:sz w:val="21"/>
                <w:szCs w:val="21"/>
              </w:rPr>
              <w:t>项目</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88"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88"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128,500,000.00</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195,000,000.00</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0"/>
              <w:jc w:val="right"/>
              <w:rPr>
                <w:rFonts w:ascii="宋体" w:hAnsi="宋体" w:cs="宋体" w:eastAsia="宋体" w:hint="default"/>
                <w:sz w:val="21"/>
                <w:szCs w:val="21"/>
              </w:rPr>
            </w:pPr>
            <w:r>
              <w:rPr>
                <w:rFonts w:ascii="宋体"/>
                <w:spacing w:val="-1"/>
                <w:sz w:val="21"/>
              </w:rPr>
              <w:t>250,000,000.00</w:t>
            </w:r>
          </w:p>
        </w:tc>
      </w:tr>
      <w:tr>
        <w:trPr>
          <w:trHeight w:val="284"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281,150,000.00</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0"/>
              <w:jc w:val="right"/>
              <w:rPr>
                <w:rFonts w:ascii="宋体" w:hAnsi="宋体" w:cs="宋体" w:eastAsia="宋体" w:hint="default"/>
                <w:sz w:val="21"/>
                <w:szCs w:val="21"/>
              </w:rPr>
            </w:pPr>
            <w:r>
              <w:rPr>
                <w:rFonts w:ascii="宋体" w:hAnsi="宋体" w:cs="宋体" w:eastAsia="宋体" w:hint="default"/>
                <w:sz w:val="21"/>
                <w:szCs w:val="21"/>
              </w:rPr>
              <w:t>合计</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604,650,000.00</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250,000,000.00</w:t>
            </w:r>
          </w:p>
        </w:tc>
      </w:tr>
    </w:tbl>
    <w:p>
      <w:pPr>
        <w:spacing w:line="240" w:lineRule="auto" w:before="7"/>
        <w:rPr>
          <w:rFonts w:ascii="宋体" w:hAnsi="宋体" w:cs="宋体" w:eastAsia="宋体" w:hint="default"/>
          <w:sz w:val="15"/>
          <w:szCs w:val="15"/>
        </w:rPr>
      </w:pPr>
    </w:p>
    <w:p>
      <w:pPr>
        <w:pStyle w:val="BodyText"/>
        <w:spacing w:line="240" w:lineRule="auto" w:before="36"/>
        <w:ind w:right="25"/>
        <w:jc w:val="left"/>
      </w:pPr>
      <w:r>
        <w:rPr/>
        <w:t>短期借款分类的说明：</w:t>
      </w:r>
    </w:p>
    <w:p>
      <w:pPr>
        <w:pStyle w:val="BodyText"/>
        <w:spacing w:line="240" w:lineRule="auto" w:before="116"/>
        <w:ind w:right="25"/>
        <w:jc w:val="left"/>
      </w:pPr>
      <w:r>
        <w:rPr/>
        <w:t>（</w:t>
      </w:r>
      <w:r>
        <w:rPr>
          <w:rFonts w:ascii="宋体" w:hAnsi="宋体" w:cs="宋体" w:eastAsia="宋体" w:hint="default"/>
        </w:rPr>
        <w:t>1</w:t>
      </w:r>
      <w:r>
        <w:rPr/>
        <w:t>）期末，本公司不存在逾期未偿还的借款。</w:t>
      </w:r>
    </w:p>
    <w:p>
      <w:pPr>
        <w:spacing w:after="0" w:line="240" w:lineRule="auto"/>
        <w:jc w:val="left"/>
        <w:sectPr>
          <w:type w:val="continuous"/>
          <w:pgSz w:w="11910" w:h="16850"/>
          <w:pgMar w:top="1120" w:bottom="1380" w:left="920" w:right="1680"/>
        </w:sectPr>
      </w:pPr>
    </w:p>
    <w:p>
      <w:pPr>
        <w:pStyle w:val="BodyText"/>
        <w:spacing w:line="240" w:lineRule="auto" w:before="93"/>
        <w:ind w:right="25"/>
        <w:jc w:val="left"/>
      </w:pPr>
      <w:r>
        <w:rPr/>
        <w:t>（</w:t>
      </w:r>
      <w:r>
        <w:rPr>
          <w:rFonts w:ascii="宋体" w:hAnsi="宋体" w:cs="宋体" w:eastAsia="宋体" w:hint="default"/>
        </w:rPr>
        <w:t>2</w:t>
      </w:r>
      <w:r>
        <w:rPr/>
        <w:t>）抵押</w:t>
      </w:r>
      <w:r>
        <w:rPr>
          <w:rFonts w:ascii="宋体" w:hAnsi="宋体" w:cs="宋体" w:eastAsia="宋体" w:hint="default"/>
        </w:rPr>
        <w:t>+</w:t>
      </w:r>
      <w:r>
        <w:rPr/>
        <w:t>保证借款年末余额</w:t>
      </w:r>
      <w:r>
        <w:rPr>
          <w:spacing w:val="-55"/>
        </w:rPr>
        <w:t> </w:t>
      </w:r>
      <w:r>
        <w:rPr>
          <w:rFonts w:ascii="宋体" w:hAnsi="宋体" w:cs="宋体" w:eastAsia="宋体" w:hint="default"/>
        </w:rPr>
        <w:t>281,150,000.00</w:t>
      </w:r>
      <w:r>
        <w:rPr>
          <w:rFonts w:ascii="宋体" w:hAnsi="宋体" w:cs="宋体" w:eastAsia="宋体" w:hint="default"/>
          <w:spacing w:val="-56"/>
        </w:rPr>
        <w:t> </w:t>
      </w:r>
      <w:r>
        <w:rPr/>
        <w:t>元，担保明细列示如下：</w:t>
      </w:r>
    </w:p>
    <w:p>
      <w:pPr>
        <w:spacing w:line="240" w:lineRule="auto" w:before="1"/>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1723"/>
        <w:gridCol w:w="1513"/>
        <w:gridCol w:w="2157"/>
        <w:gridCol w:w="1968"/>
        <w:gridCol w:w="1552"/>
      </w:tblGrid>
      <w:tr>
        <w:trPr>
          <w:trHeight w:val="413" w:hRule="exact"/>
        </w:trPr>
        <w:tc>
          <w:tcPr>
            <w:tcW w:w="172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b/>
                <w:bCs/>
                <w:sz w:val="18"/>
                <w:szCs w:val="18"/>
              </w:rPr>
              <w:t>借款银行</w:t>
            </w:r>
            <w:r>
              <w:rPr>
                <w:rFonts w:ascii="宋体" w:hAnsi="宋体" w:cs="宋体" w:eastAsia="宋体" w:hint="default"/>
                <w:sz w:val="18"/>
                <w:szCs w:val="18"/>
              </w:rPr>
            </w:r>
          </w:p>
        </w:tc>
        <w:tc>
          <w:tcPr>
            <w:tcW w:w="151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b/>
                <w:bCs/>
                <w:sz w:val="18"/>
                <w:szCs w:val="18"/>
              </w:rPr>
              <w:t>借款余额</w:t>
            </w:r>
            <w:r>
              <w:rPr>
                <w:rFonts w:ascii="宋体" w:hAnsi="宋体" w:cs="宋体" w:eastAsia="宋体" w:hint="default"/>
                <w:sz w:val="18"/>
                <w:szCs w:val="18"/>
              </w:rPr>
            </w:r>
          </w:p>
        </w:tc>
        <w:tc>
          <w:tcPr>
            <w:tcW w:w="215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保证担保方</w:t>
            </w:r>
            <w:r>
              <w:rPr>
                <w:rFonts w:ascii="宋体" w:hAnsi="宋体" w:cs="宋体" w:eastAsia="宋体" w:hint="default"/>
                <w:sz w:val="18"/>
                <w:szCs w:val="18"/>
              </w:rPr>
            </w:r>
          </w:p>
        </w:tc>
        <w:tc>
          <w:tcPr>
            <w:tcW w:w="196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b/>
                <w:bCs/>
                <w:sz w:val="18"/>
                <w:szCs w:val="18"/>
              </w:rPr>
              <w:t>抵押担保方</w:t>
            </w:r>
            <w:r>
              <w:rPr>
                <w:rFonts w:ascii="宋体" w:hAnsi="宋体" w:cs="宋体" w:eastAsia="宋体" w:hint="default"/>
                <w:sz w:val="18"/>
                <w:szCs w:val="18"/>
              </w:rPr>
            </w:r>
          </w:p>
        </w:tc>
        <w:tc>
          <w:tcPr>
            <w:tcW w:w="155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b/>
                <w:bCs/>
                <w:sz w:val="18"/>
                <w:szCs w:val="18"/>
              </w:rPr>
              <w:t>抵押担保物</w:t>
            </w:r>
            <w:r>
              <w:rPr>
                <w:rFonts w:ascii="宋体" w:hAnsi="宋体" w:cs="宋体" w:eastAsia="宋体" w:hint="default"/>
                <w:sz w:val="18"/>
                <w:szCs w:val="18"/>
              </w:rPr>
            </w:r>
          </w:p>
        </w:tc>
      </w:tr>
      <w:tr>
        <w:trPr>
          <w:trHeight w:val="703" w:hRule="exact"/>
        </w:trPr>
        <w:tc>
          <w:tcPr>
            <w:tcW w:w="1723" w:type="dxa"/>
            <w:tcBorders>
              <w:top w:val="single" w:sz="4" w:space="0" w:color="000000"/>
              <w:left w:val="nil" w:sz="6" w:space="0" w:color="auto"/>
              <w:bottom w:val="nil" w:sz="6" w:space="0" w:color="auto"/>
              <w:right w:val="nil" w:sz="6" w:space="0" w:color="auto"/>
            </w:tcBorders>
          </w:tcPr>
          <w:p>
            <w:pPr>
              <w:pStyle w:val="TableParagraph"/>
              <w:spacing w:line="232" w:lineRule="exact" w:before="112"/>
              <w:ind w:left="16" w:right="99"/>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股份</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公司宁波余姚支行</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宋体"/>
                <w:spacing w:val="-1"/>
                <w:sz w:val="18"/>
              </w:rPr>
              <w:t>100,000,000.00</w:t>
            </w:r>
          </w:p>
        </w:tc>
        <w:tc>
          <w:tcPr>
            <w:tcW w:w="2157" w:type="dxa"/>
            <w:tcBorders>
              <w:top w:val="single" w:sz="4" w:space="0" w:color="000000"/>
              <w:left w:val="nil" w:sz="6" w:space="0" w:color="auto"/>
              <w:bottom w:val="nil" w:sz="6" w:space="0" w:color="auto"/>
              <w:right w:val="nil" w:sz="6" w:space="0" w:color="auto"/>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浙江帅康营销有限公司、</w:t>
            </w:r>
          </w:p>
          <w:p>
            <w:pPr>
              <w:pStyle w:val="TableParagraph"/>
              <w:spacing w:line="232" w:lineRule="exact" w:before="23"/>
              <w:ind w:left="141" w:right="68"/>
              <w:jc w:val="left"/>
              <w:rPr>
                <w:rFonts w:ascii="宋体" w:hAnsi="宋体" w:cs="宋体" w:eastAsia="宋体" w:hint="default"/>
                <w:sz w:val="18"/>
                <w:szCs w:val="18"/>
              </w:rPr>
            </w:pPr>
            <w:r>
              <w:rPr>
                <w:rFonts w:ascii="宋体" w:hAnsi="宋体" w:cs="宋体" w:eastAsia="宋体" w:hint="default"/>
                <w:spacing w:val="14"/>
                <w:sz w:val="18"/>
                <w:szCs w:val="18"/>
              </w:rPr>
              <w:t>宁波帅康热水器有限公</w:t>
            </w:r>
            <w:r>
              <w:rPr>
                <w:rFonts w:ascii="宋体" w:hAnsi="宋体" w:cs="宋体" w:eastAsia="宋体" w:hint="default"/>
                <w:sz w:val="18"/>
                <w:szCs w:val="18"/>
              </w:rPr>
              <w:t> 司</w:t>
            </w:r>
          </w:p>
        </w:tc>
        <w:tc>
          <w:tcPr>
            <w:tcW w:w="1968" w:type="dxa"/>
            <w:tcBorders>
              <w:top w:val="single" w:sz="4" w:space="0" w:color="000000"/>
              <w:left w:val="nil" w:sz="6" w:space="0" w:color="auto"/>
              <w:bottom w:val="nil" w:sz="6" w:space="0" w:color="auto"/>
              <w:right w:val="nil" w:sz="6" w:space="0" w:color="auto"/>
            </w:tcBorders>
          </w:tcPr>
          <w:p>
            <w:pPr>
              <w:pStyle w:val="TableParagraph"/>
              <w:spacing w:line="232" w:lineRule="exact" w:before="112"/>
              <w:ind w:left="34" w:right="51"/>
              <w:jc w:val="left"/>
              <w:rPr>
                <w:rFonts w:ascii="宋体" w:hAnsi="宋体" w:cs="宋体" w:eastAsia="宋体" w:hint="default"/>
                <w:sz w:val="18"/>
                <w:szCs w:val="18"/>
              </w:rPr>
            </w:pPr>
            <w:r>
              <w:rPr>
                <w:rFonts w:ascii="宋体" w:hAnsi="宋体" w:cs="宋体" w:eastAsia="宋体" w:hint="default"/>
                <w:spacing w:val="7"/>
                <w:sz w:val="18"/>
                <w:szCs w:val="18"/>
              </w:rPr>
              <w:t>浙江帅康电气股份有限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32" w:lineRule="exact" w:before="112"/>
              <w:ind w:left="53" w:right="84"/>
              <w:jc w:val="left"/>
              <w:rPr>
                <w:rFonts w:ascii="宋体" w:hAnsi="宋体" w:cs="宋体" w:eastAsia="宋体" w:hint="default"/>
                <w:sz w:val="18"/>
                <w:szCs w:val="18"/>
              </w:rPr>
            </w:pPr>
            <w:r>
              <w:rPr>
                <w:rFonts w:ascii="宋体" w:hAnsi="宋体" w:cs="宋体" w:eastAsia="宋体" w:hint="default"/>
                <w:spacing w:val="18"/>
                <w:sz w:val="18"/>
                <w:szCs w:val="18"/>
              </w:rPr>
              <w:t>国有土地使用权</w:t>
            </w:r>
            <w:r>
              <w:rPr>
                <w:rFonts w:ascii="宋体" w:hAnsi="宋体" w:cs="宋体" w:eastAsia="宋体" w:hint="default"/>
                <w:spacing w:val="-69"/>
                <w:sz w:val="18"/>
                <w:szCs w:val="18"/>
              </w:rPr>
              <w:t> </w:t>
            </w:r>
            <w:r>
              <w:rPr>
                <w:rFonts w:ascii="宋体" w:hAnsi="宋体" w:cs="宋体" w:eastAsia="宋体" w:hint="default"/>
                <w:sz w:val="18"/>
                <w:szCs w:val="18"/>
              </w:rPr>
              <w:t>和房产</w:t>
            </w:r>
          </w:p>
        </w:tc>
      </w:tr>
      <w:tr>
        <w:trPr>
          <w:trHeight w:val="700"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 w:right="99"/>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股份</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公司宁波余姚支行</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宋体"/>
                <w:spacing w:val="-1"/>
                <w:sz w:val="18"/>
              </w:rPr>
              <w:t>30,000,000.00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06" w:lineRule="exact"/>
              <w:ind w:left="141" w:right="0"/>
              <w:jc w:val="left"/>
              <w:rPr>
                <w:rFonts w:ascii="宋体" w:hAnsi="宋体" w:cs="宋体" w:eastAsia="宋体" w:hint="default"/>
                <w:sz w:val="18"/>
                <w:szCs w:val="18"/>
              </w:rPr>
            </w:pPr>
            <w:r>
              <w:rPr>
                <w:rFonts w:ascii="宋体" w:hAnsi="宋体" w:cs="宋体" w:eastAsia="宋体" w:hint="default"/>
                <w:sz w:val="18"/>
                <w:szCs w:val="18"/>
              </w:rPr>
              <w:t>浙江帅康营销有限公司、</w:t>
            </w:r>
          </w:p>
          <w:p>
            <w:pPr>
              <w:pStyle w:val="TableParagraph"/>
              <w:spacing w:line="232" w:lineRule="exact" w:before="23"/>
              <w:ind w:left="141" w:right="68"/>
              <w:jc w:val="left"/>
              <w:rPr>
                <w:rFonts w:ascii="宋体" w:hAnsi="宋体" w:cs="宋体" w:eastAsia="宋体" w:hint="default"/>
                <w:sz w:val="18"/>
                <w:szCs w:val="18"/>
              </w:rPr>
            </w:pPr>
            <w:r>
              <w:rPr>
                <w:rFonts w:ascii="宋体" w:hAnsi="宋体" w:cs="宋体" w:eastAsia="宋体" w:hint="default"/>
                <w:spacing w:val="14"/>
                <w:sz w:val="18"/>
                <w:szCs w:val="18"/>
              </w:rPr>
              <w:t>宁波帅康热水器有限公</w:t>
            </w:r>
            <w:r>
              <w:rPr>
                <w:rFonts w:ascii="宋体" w:hAnsi="宋体" w:cs="宋体" w:eastAsia="宋体" w:hint="default"/>
                <w:sz w:val="18"/>
                <w:szCs w:val="18"/>
              </w:rPr>
              <w:t> 司</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4" w:right="51"/>
              <w:jc w:val="left"/>
              <w:rPr>
                <w:rFonts w:ascii="宋体" w:hAnsi="宋体" w:cs="宋体" w:eastAsia="宋体" w:hint="default"/>
                <w:sz w:val="18"/>
                <w:szCs w:val="18"/>
              </w:rPr>
            </w:pPr>
            <w:r>
              <w:rPr>
                <w:rFonts w:ascii="宋体" w:hAnsi="宋体" w:cs="宋体" w:eastAsia="宋体" w:hint="default"/>
                <w:spacing w:val="7"/>
                <w:sz w:val="18"/>
                <w:szCs w:val="18"/>
              </w:rPr>
              <w:t>浙江帅康电气股份有限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3" w:right="84"/>
              <w:jc w:val="left"/>
              <w:rPr>
                <w:rFonts w:ascii="宋体" w:hAnsi="宋体" w:cs="宋体" w:eastAsia="宋体" w:hint="default"/>
                <w:sz w:val="18"/>
                <w:szCs w:val="18"/>
              </w:rPr>
            </w:pPr>
            <w:r>
              <w:rPr>
                <w:rFonts w:ascii="宋体" w:hAnsi="宋体" w:cs="宋体" w:eastAsia="宋体" w:hint="default"/>
                <w:spacing w:val="18"/>
                <w:sz w:val="18"/>
                <w:szCs w:val="18"/>
              </w:rPr>
              <w:t>国有土地使用权</w:t>
            </w:r>
            <w:r>
              <w:rPr>
                <w:rFonts w:ascii="宋体" w:hAnsi="宋体" w:cs="宋体" w:eastAsia="宋体" w:hint="default"/>
                <w:spacing w:val="-69"/>
                <w:sz w:val="18"/>
                <w:szCs w:val="18"/>
              </w:rPr>
              <w:t> </w:t>
            </w:r>
            <w:r>
              <w:rPr>
                <w:rFonts w:ascii="宋体" w:hAnsi="宋体" w:cs="宋体" w:eastAsia="宋体" w:hint="default"/>
                <w:sz w:val="18"/>
                <w:szCs w:val="18"/>
              </w:rPr>
              <w:t>和房产</w:t>
            </w:r>
          </w:p>
        </w:tc>
      </w:tr>
      <w:tr>
        <w:trPr>
          <w:trHeight w:val="701"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6" w:right="99"/>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股份</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公司宁波余姚支行</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宋体"/>
                <w:spacing w:val="-1"/>
                <w:sz w:val="18"/>
              </w:rPr>
              <w:t>32,000,000.00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06" w:lineRule="exact"/>
              <w:ind w:left="141" w:right="0"/>
              <w:jc w:val="left"/>
              <w:rPr>
                <w:rFonts w:ascii="宋体" w:hAnsi="宋体" w:cs="宋体" w:eastAsia="宋体" w:hint="default"/>
                <w:sz w:val="18"/>
                <w:szCs w:val="18"/>
              </w:rPr>
            </w:pPr>
            <w:r>
              <w:rPr>
                <w:rFonts w:ascii="宋体" w:hAnsi="宋体" w:cs="宋体" w:eastAsia="宋体" w:hint="default"/>
                <w:sz w:val="18"/>
                <w:szCs w:val="18"/>
              </w:rPr>
              <w:t>浙江帅康营销有限公司、</w:t>
            </w:r>
          </w:p>
          <w:p>
            <w:pPr>
              <w:pStyle w:val="TableParagraph"/>
              <w:spacing w:line="232" w:lineRule="exact" w:before="24"/>
              <w:ind w:left="141" w:right="68"/>
              <w:jc w:val="left"/>
              <w:rPr>
                <w:rFonts w:ascii="宋体" w:hAnsi="宋体" w:cs="宋体" w:eastAsia="宋体" w:hint="default"/>
                <w:sz w:val="18"/>
                <w:szCs w:val="18"/>
              </w:rPr>
            </w:pPr>
            <w:r>
              <w:rPr>
                <w:rFonts w:ascii="宋体" w:hAnsi="宋体" w:cs="宋体" w:eastAsia="宋体" w:hint="default"/>
                <w:spacing w:val="14"/>
                <w:sz w:val="18"/>
                <w:szCs w:val="18"/>
              </w:rPr>
              <w:t>宁波帅康热水器有限公</w:t>
            </w:r>
            <w:r>
              <w:rPr>
                <w:rFonts w:ascii="宋体" w:hAnsi="宋体" w:cs="宋体" w:eastAsia="宋体" w:hint="default"/>
                <w:sz w:val="18"/>
                <w:szCs w:val="18"/>
              </w:rPr>
              <w:t> 司</w:t>
            </w:r>
          </w:p>
        </w:tc>
        <w:tc>
          <w:tcPr>
            <w:tcW w:w="1968"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4" w:right="51"/>
              <w:jc w:val="left"/>
              <w:rPr>
                <w:rFonts w:ascii="宋体" w:hAnsi="宋体" w:cs="宋体" w:eastAsia="宋体" w:hint="default"/>
                <w:sz w:val="18"/>
                <w:szCs w:val="18"/>
              </w:rPr>
            </w:pPr>
            <w:r>
              <w:rPr>
                <w:rFonts w:ascii="宋体" w:hAnsi="宋体" w:cs="宋体" w:eastAsia="宋体" w:hint="default"/>
                <w:spacing w:val="7"/>
                <w:sz w:val="18"/>
                <w:szCs w:val="18"/>
              </w:rPr>
              <w:t>浙江帅康电气股份有限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552"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53" w:right="84"/>
              <w:jc w:val="left"/>
              <w:rPr>
                <w:rFonts w:ascii="宋体" w:hAnsi="宋体" w:cs="宋体" w:eastAsia="宋体" w:hint="default"/>
                <w:sz w:val="18"/>
                <w:szCs w:val="18"/>
              </w:rPr>
            </w:pPr>
            <w:r>
              <w:rPr>
                <w:rFonts w:ascii="宋体" w:hAnsi="宋体" w:cs="宋体" w:eastAsia="宋体" w:hint="default"/>
                <w:spacing w:val="18"/>
                <w:sz w:val="18"/>
                <w:szCs w:val="18"/>
              </w:rPr>
              <w:t>国有土地使用权</w:t>
            </w:r>
            <w:r>
              <w:rPr>
                <w:rFonts w:ascii="宋体" w:hAnsi="宋体" w:cs="宋体" w:eastAsia="宋体" w:hint="default"/>
                <w:spacing w:val="-69"/>
                <w:sz w:val="18"/>
                <w:szCs w:val="18"/>
              </w:rPr>
              <w:t> </w:t>
            </w:r>
            <w:r>
              <w:rPr>
                <w:rFonts w:ascii="宋体" w:hAnsi="宋体" w:cs="宋体" w:eastAsia="宋体" w:hint="default"/>
                <w:sz w:val="18"/>
                <w:szCs w:val="18"/>
              </w:rPr>
              <w:t>和房产</w:t>
            </w:r>
          </w:p>
        </w:tc>
      </w:tr>
      <w:tr>
        <w:trPr>
          <w:trHeight w:val="468"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06" w:lineRule="exact"/>
              <w:ind w:left="16"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股份</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公司宁波余姚支行</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宋体" w:hAnsi="宋体" w:cs="宋体" w:eastAsia="宋体" w:hint="default"/>
                <w:sz w:val="18"/>
                <w:szCs w:val="18"/>
              </w:rPr>
            </w:pPr>
            <w:r>
              <w:rPr>
                <w:rFonts w:ascii="宋体"/>
                <w:spacing w:val="-1"/>
                <w:sz w:val="18"/>
              </w:rPr>
              <w:t>80,000,000.00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06" w:lineRule="exact"/>
              <w:ind w:left="141" w:right="0"/>
              <w:jc w:val="left"/>
              <w:rPr>
                <w:rFonts w:ascii="宋体" w:hAnsi="宋体" w:cs="宋体" w:eastAsia="宋体" w:hint="default"/>
                <w:sz w:val="18"/>
                <w:szCs w:val="18"/>
              </w:rPr>
            </w:pPr>
            <w:r>
              <w:rPr>
                <w:rFonts w:ascii="宋体" w:hAnsi="宋体" w:cs="宋体" w:eastAsia="宋体" w:hint="default"/>
                <w:spacing w:val="14"/>
                <w:sz w:val="18"/>
                <w:szCs w:val="18"/>
              </w:rPr>
              <w:t>日出东方太阳能股份有</w:t>
            </w: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68" w:type="dxa"/>
            <w:tcBorders>
              <w:top w:val="nil" w:sz="6" w:space="0" w:color="auto"/>
              <w:left w:val="nil" w:sz="6" w:space="0" w:color="auto"/>
              <w:bottom w:val="nil" w:sz="6" w:space="0" w:color="auto"/>
              <w:right w:val="nil" w:sz="6" w:space="0" w:color="auto"/>
            </w:tcBorders>
          </w:tcPr>
          <w:p>
            <w:pPr>
              <w:pStyle w:val="TableParagraph"/>
              <w:spacing w:line="206" w:lineRule="exact"/>
              <w:ind w:left="34" w:right="0"/>
              <w:jc w:val="left"/>
              <w:rPr>
                <w:rFonts w:ascii="宋体" w:hAnsi="宋体" w:cs="宋体" w:eastAsia="宋体" w:hint="default"/>
                <w:sz w:val="18"/>
                <w:szCs w:val="18"/>
              </w:rPr>
            </w:pPr>
            <w:r>
              <w:rPr>
                <w:rFonts w:ascii="宋体" w:hAnsi="宋体" w:cs="宋体" w:eastAsia="宋体" w:hint="default"/>
                <w:spacing w:val="7"/>
                <w:sz w:val="18"/>
                <w:szCs w:val="18"/>
              </w:rPr>
              <w:t>浙江帅康电气股份有限</w:t>
            </w: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2" w:type="dxa"/>
            <w:tcBorders>
              <w:top w:val="nil" w:sz="6" w:space="0" w:color="auto"/>
              <w:left w:val="nil" w:sz="6" w:space="0" w:color="auto"/>
              <w:bottom w:val="nil" w:sz="6" w:space="0" w:color="auto"/>
              <w:right w:val="nil" w:sz="6" w:space="0" w:color="auto"/>
            </w:tcBorders>
          </w:tcPr>
          <w:p>
            <w:pPr>
              <w:pStyle w:val="TableParagraph"/>
              <w:spacing w:line="206" w:lineRule="exact"/>
              <w:ind w:left="53" w:right="0"/>
              <w:jc w:val="left"/>
              <w:rPr>
                <w:rFonts w:ascii="宋体" w:hAnsi="宋体" w:cs="宋体" w:eastAsia="宋体" w:hint="default"/>
                <w:sz w:val="18"/>
                <w:szCs w:val="18"/>
              </w:rPr>
            </w:pPr>
            <w:r>
              <w:rPr>
                <w:rFonts w:ascii="宋体" w:hAnsi="宋体" w:cs="宋体" w:eastAsia="宋体" w:hint="default"/>
                <w:spacing w:val="18"/>
                <w:sz w:val="18"/>
                <w:szCs w:val="18"/>
              </w:rPr>
              <w:t>国有土地使用权</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和房产</w:t>
            </w:r>
          </w:p>
        </w:tc>
      </w:tr>
      <w:tr>
        <w:trPr>
          <w:trHeight w:val="472" w:hRule="exact"/>
        </w:trPr>
        <w:tc>
          <w:tcPr>
            <w:tcW w:w="1723" w:type="dxa"/>
            <w:tcBorders>
              <w:top w:val="nil" w:sz="6" w:space="0" w:color="auto"/>
              <w:left w:val="nil" w:sz="6" w:space="0" w:color="auto"/>
              <w:bottom w:val="single" w:sz="4" w:space="0" w:color="000000"/>
              <w:right w:val="nil" w:sz="6" w:space="0" w:color="auto"/>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7"/>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股份</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公司宁波余姚支行</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39"/>
              <w:jc w:val="right"/>
              <w:rPr>
                <w:rFonts w:ascii="宋体" w:hAnsi="宋体" w:cs="宋体" w:eastAsia="宋体" w:hint="default"/>
                <w:sz w:val="18"/>
                <w:szCs w:val="18"/>
              </w:rPr>
            </w:pPr>
            <w:r>
              <w:rPr>
                <w:rFonts w:ascii="宋体"/>
                <w:spacing w:val="-1"/>
                <w:sz w:val="18"/>
              </w:rPr>
              <w:t>39,150,000.00</w:t>
            </w:r>
          </w:p>
        </w:tc>
        <w:tc>
          <w:tcPr>
            <w:tcW w:w="2157" w:type="dxa"/>
            <w:tcBorders>
              <w:top w:val="nil" w:sz="6" w:space="0" w:color="auto"/>
              <w:left w:val="nil" w:sz="6" w:space="0" w:color="auto"/>
              <w:bottom w:val="single" w:sz="4" w:space="0" w:color="000000"/>
              <w:right w:val="nil" w:sz="6" w:space="0" w:color="auto"/>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pacing w:val="14"/>
                <w:sz w:val="18"/>
                <w:szCs w:val="18"/>
              </w:rPr>
              <w:t>日出东方太阳能股份有</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68" w:type="dxa"/>
            <w:tcBorders>
              <w:top w:val="nil" w:sz="6" w:space="0" w:color="auto"/>
              <w:left w:val="nil" w:sz="6" w:space="0" w:color="auto"/>
              <w:bottom w:val="single" w:sz="4" w:space="0" w:color="000000"/>
              <w:right w:val="nil" w:sz="6" w:space="0" w:color="auto"/>
            </w:tcBorders>
          </w:tcPr>
          <w:p>
            <w:pPr>
              <w:pStyle w:val="TableParagraph"/>
              <w:spacing w:line="205" w:lineRule="exact"/>
              <w:ind w:left="34" w:right="0"/>
              <w:jc w:val="left"/>
              <w:rPr>
                <w:rFonts w:ascii="宋体" w:hAnsi="宋体" w:cs="宋体" w:eastAsia="宋体" w:hint="default"/>
                <w:sz w:val="18"/>
                <w:szCs w:val="18"/>
              </w:rPr>
            </w:pPr>
            <w:r>
              <w:rPr>
                <w:rFonts w:ascii="宋体" w:hAnsi="宋体" w:cs="宋体" w:eastAsia="宋体" w:hint="default"/>
                <w:spacing w:val="7"/>
                <w:sz w:val="18"/>
                <w:szCs w:val="18"/>
              </w:rPr>
              <w:t>浙江帅康电气股份有限</w:t>
            </w:r>
          </w:p>
          <w:p>
            <w:pPr>
              <w:pStyle w:val="TableParagraph"/>
              <w:spacing w:line="234" w:lineRule="exact"/>
              <w:ind w:left="3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05" w:lineRule="exact"/>
              <w:ind w:left="53" w:right="0"/>
              <w:jc w:val="left"/>
              <w:rPr>
                <w:rFonts w:ascii="宋体" w:hAnsi="宋体" w:cs="宋体" w:eastAsia="宋体" w:hint="default"/>
                <w:sz w:val="18"/>
                <w:szCs w:val="18"/>
              </w:rPr>
            </w:pPr>
            <w:r>
              <w:rPr>
                <w:rFonts w:ascii="宋体" w:hAnsi="宋体" w:cs="宋体" w:eastAsia="宋体" w:hint="default"/>
                <w:spacing w:val="18"/>
                <w:sz w:val="18"/>
                <w:szCs w:val="18"/>
              </w:rPr>
              <w:t>国有土地使用权</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53" w:right="0"/>
              <w:jc w:val="left"/>
              <w:rPr>
                <w:rFonts w:ascii="宋体" w:hAnsi="宋体" w:cs="宋体" w:eastAsia="宋体" w:hint="default"/>
                <w:sz w:val="18"/>
                <w:szCs w:val="18"/>
              </w:rPr>
            </w:pPr>
            <w:r>
              <w:rPr>
                <w:rFonts w:ascii="宋体" w:hAnsi="宋体" w:cs="宋体" w:eastAsia="宋体" w:hint="default"/>
                <w:sz w:val="18"/>
                <w:szCs w:val="18"/>
              </w:rPr>
              <w:t>和房产</w:t>
            </w:r>
          </w:p>
        </w:tc>
      </w:tr>
      <w:tr>
        <w:trPr>
          <w:trHeight w:val="413" w:hRule="exact"/>
        </w:trPr>
        <w:tc>
          <w:tcPr>
            <w:tcW w:w="1723"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3"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40"/>
              <w:jc w:val="right"/>
              <w:rPr>
                <w:rFonts w:ascii="宋体" w:hAnsi="宋体" w:cs="宋体" w:eastAsia="宋体" w:hint="default"/>
                <w:sz w:val="18"/>
                <w:szCs w:val="18"/>
              </w:rPr>
            </w:pPr>
            <w:r>
              <w:rPr>
                <w:rFonts w:ascii="宋体"/>
                <w:b/>
                <w:w w:val="95"/>
                <w:sz w:val="18"/>
              </w:rPr>
              <w:t>281,150,000.00</w:t>
            </w:r>
            <w:r>
              <w:rPr>
                <w:rFonts w:ascii="宋体"/>
                <w:sz w:val="18"/>
              </w:rPr>
            </w:r>
          </w:p>
        </w:tc>
        <w:tc>
          <w:tcPr>
            <w:tcW w:w="2157" w:type="dxa"/>
            <w:tcBorders>
              <w:top w:val="single" w:sz="4" w:space="0" w:color="000000"/>
              <w:left w:val="nil" w:sz="6" w:space="0" w:color="auto"/>
              <w:bottom w:val="single" w:sz="8" w:space="0" w:color="000000"/>
              <w:right w:val="nil" w:sz="6" w:space="0" w:color="auto"/>
            </w:tcBorders>
          </w:tcPr>
          <w:p>
            <w:pPr/>
          </w:p>
        </w:tc>
        <w:tc>
          <w:tcPr>
            <w:tcW w:w="1968" w:type="dxa"/>
            <w:tcBorders>
              <w:top w:val="single" w:sz="4" w:space="0" w:color="000000"/>
              <w:left w:val="nil" w:sz="6" w:space="0" w:color="auto"/>
              <w:bottom w:val="single" w:sz="8" w:space="0" w:color="000000"/>
              <w:right w:val="nil" w:sz="6" w:space="0" w:color="auto"/>
            </w:tcBorders>
          </w:tcPr>
          <w:p>
            <w:pPr/>
          </w:p>
        </w:tc>
        <w:tc>
          <w:tcPr>
            <w:tcW w:w="1552"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844" w:val="left" w:leader="none"/>
        </w:tabs>
        <w:spacing w:line="240" w:lineRule="auto" w:before="36"/>
        <w:ind w:left="212" w:right="25"/>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8"/>
        <w:ind w:right="2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5"/>
        <w:jc w:val="left"/>
      </w:pPr>
      <w:r>
        <w:rPr/>
        <w:t>其中重要的已逾期未偿还的短期借款情况如下：</w:t>
      </w:r>
    </w:p>
    <w:p>
      <w:pPr>
        <w:pStyle w:val="BodyText"/>
        <w:spacing w:line="240" w:lineRule="auto"/>
        <w:ind w:right="7499"/>
        <w:jc w:val="left"/>
      </w:pPr>
      <w:r>
        <w:rPr/>
        <w:t>□适用 √不适用</w:t>
      </w:r>
      <w:r>
        <w:rPr>
          <w:w w:val="100"/>
        </w:rPr>
        <w:t> </w:t>
      </w:r>
      <w:r>
        <w:rPr/>
        <w:t>其他说明</w:t>
      </w:r>
    </w:p>
    <w:p>
      <w:pPr>
        <w:pStyle w:val="BodyText"/>
        <w:spacing w:line="271" w:lineRule="exact"/>
        <w:ind w:right="25"/>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8"/>
        <w:ind w:right="25"/>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50"/>
          <w:pgMar w:header="762" w:footer="941" w:top="1000" w:bottom="1140" w:left="920" w:right="1680"/>
        </w:sectPr>
      </w:pPr>
    </w:p>
    <w:p>
      <w:pPr>
        <w:pStyle w:val="Heading5"/>
        <w:spacing w:line="240" w:lineRule="auto" w:before="36"/>
        <w:ind w:left="212" w:right="-17"/>
        <w:jc w:val="left"/>
        <w:rPr>
          <w:b w:val="0"/>
          <w:bCs w:val="0"/>
        </w:rPr>
      </w:pPr>
      <w:r>
        <w:rPr>
          <w:rFonts w:ascii="宋体" w:hAnsi="宋体" w:cs="宋体" w:eastAsia="宋体" w:hint="default"/>
        </w:rPr>
        <w:t>34</w:t>
      </w:r>
      <w:r>
        <w:rPr/>
        <w:t>、</w:t>
      </w:r>
      <w:r>
        <w:rPr>
          <w:spacing w:val="-24"/>
        </w:rPr>
        <w:t> </w:t>
      </w:r>
      <w:r>
        <w:rPr/>
        <w:t>应付票据</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791" w:space="4688"/>
            <w:col w:w="2831"/>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2300"/>
        <w:gridCol w:w="3323"/>
        <w:gridCol w:w="3229"/>
      </w:tblGrid>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1"/>
              <w:jc w:val="right"/>
              <w:rPr>
                <w:rFonts w:ascii="宋体" w:hAnsi="宋体" w:cs="宋体" w:eastAsia="宋体" w:hint="default"/>
                <w:sz w:val="21"/>
                <w:szCs w:val="21"/>
              </w:rPr>
            </w:pPr>
            <w:r>
              <w:rPr>
                <w:rFonts w:ascii="宋体" w:hAnsi="宋体" w:cs="宋体" w:eastAsia="宋体" w:hint="default"/>
                <w:sz w:val="21"/>
                <w:szCs w:val="21"/>
              </w:rPr>
              <w:t>种类</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23" w:type="dxa"/>
            <w:tcBorders>
              <w:top w:val="single" w:sz="4" w:space="0" w:color="000000"/>
              <w:left w:val="single" w:sz="4" w:space="0" w:color="000000"/>
              <w:bottom w:val="single" w:sz="4" w:space="0" w:color="000000"/>
              <w:right w:val="single" w:sz="4" w:space="0" w:color="000000"/>
            </w:tcBorders>
          </w:tcPr>
          <w:p>
            <w:pPr/>
          </w:p>
        </w:tc>
        <w:tc>
          <w:tcPr>
            <w:tcW w:w="32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226,130,000.00</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156,340,000.00</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1"/>
              <w:jc w:val="right"/>
              <w:rPr>
                <w:rFonts w:ascii="宋体" w:hAnsi="宋体" w:cs="宋体" w:eastAsia="宋体" w:hint="default"/>
                <w:sz w:val="21"/>
                <w:szCs w:val="21"/>
              </w:rPr>
            </w:pPr>
            <w:r>
              <w:rPr>
                <w:rFonts w:ascii="宋体" w:hAnsi="宋体" w:cs="宋体" w:eastAsia="宋体" w:hint="default"/>
                <w:sz w:val="21"/>
                <w:szCs w:val="21"/>
              </w:rPr>
              <w:t>合计</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226,130,000.00</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156,340,000.00</w:t>
            </w:r>
          </w:p>
        </w:tc>
      </w:tr>
    </w:tbl>
    <w:p>
      <w:pPr>
        <w:spacing w:line="240" w:lineRule="auto" w:before="5"/>
        <w:rPr>
          <w:rFonts w:ascii="宋体" w:hAnsi="宋体" w:cs="宋体" w:eastAsia="宋体" w:hint="default"/>
          <w:sz w:val="15"/>
          <w:szCs w:val="15"/>
        </w:rPr>
      </w:pPr>
    </w:p>
    <w:p>
      <w:pPr>
        <w:pStyle w:val="BodyText"/>
        <w:spacing w:line="240" w:lineRule="auto" w:before="36"/>
        <w:ind w:right="25"/>
        <w:jc w:val="left"/>
      </w:pPr>
      <w:r>
        <w:rPr/>
        <w:t>本期末已到期未支付的应付票据总额为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20" w:right="1680"/>
        </w:sectPr>
      </w:pPr>
    </w:p>
    <w:p>
      <w:pPr>
        <w:pStyle w:val="Heading5"/>
        <w:spacing w:line="240" w:lineRule="auto" w:before="36"/>
        <w:ind w:left="212"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5"/>
        <w:spacing w:line="240" w:lineRule="auto" w:before="58"/>
        <w:ind w:left="212" w:right="-19"/>
        <w:jc w:val="left"/>
        <w:rPr>
          <w:b w:val="0"/>
          <w:bCs w:val="0"/>
        </w:rPr>
      </w:pPr>
      <w:r>
        <w:rPr>
          <w:rFonts w:ascii="宋体" w:hAnsi="宋体" w:cs="宋体" w:eastAsia="宋体" w:hint="default"/>
        </w:rPr>
        <w:t>(1).</w:t>
      </w:r>
      <w:r>
        <w:rPr>
          <w:rFonts w:ascii="宋体" w:hAnsi="宋体" w:cs="宋体" w:eastAsia="宋体" w:hint="default"/>
          <w:spacing w:val="61"/>
        </w:rPr>
        <w:t> </w:t>
      </w:r>
      <w:r>
        <w:rPr/>
        <w:t>应付账款列示</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069" w:space="4410"/>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28"/>
        <w:gridCol w:w="2854"/>
        <w:gridCol w:w="3325"/>
      </w:tblGrid>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9" w:right="0"/>
              <w:jc w:val="left"/>
              <w:rPr>
                <w:rFonts w:ascii="宋体" w:hAnsi="宋体" w:cs="宋体" w:eastAsia="宋体" w:hint="default"/>
                <w:sz w:val="21"/>
                <w:szCs w:val="21"/>
              </w:rPr>
            </w:pPr>
            <w:r>
              <w:rPr>
                <w:rFonts w:ascii="宋体"/>
                <w:sz w:val="21"/>
              </w:rPr>
              <w:t>284,998,116.44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9" w:right="0"/>
              <w:jc w:val="left"/>
              <w:rPr>
                <w:rFonts w:ascii="宋体" w:hAnsi="宋体" w:cs="宋体" w:eastAsia="宋体" w:hint="default"/>
                <w:sz w:val="21"/>
                <w:szCs w:val="21"/>
              </w:rPr>
            </w:pPr>
            <w:r>
              <w:rPr>
                <w:rFonts w:ascii="宋体"/>
                <w:sz w:val="21"/>
              </w:rPr>
              <w:t>171,500,192.98</w:t>
            </w:r>
          </w:p>
        </w:tc>
      </w:tr>
    </w:tbl>
    <w:p>
      <w:pPr>
        <w:spacing w:after="0" w:line="241" w:lineRule="exact"/>
        <w:jc w:val="left"/>
        <w:rPr>
          <w:rFonts w:ascii="宋体" w:hAnsi="宋体" w:cs="宋体" w:eastAsia="宋体" w:hint="default"/>
          <w:sz w:val="21"/>
          <w:szCs w:val="21"/>
        </w:rPr>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28"/>
        <w:gridCol w:w="2854"/>
        <w:gridCol w:w="3325"/>
      </w:tblGrid>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14,245,699.19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22,825,442.44</w:t>
            </w:r>
          </w:p>
        </w:tc>
      </w:tr>
      <w:tr>
        <w:trPr>
          <w:trHeight w:val="28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工程设备款及其他</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109,887,478.11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112,620,656.75</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409,131,293.74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306,946,292.17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212" w:right="25"/>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10"/>
        </w:rPr>
        <w:t> </w:t>
      </w:r>
      <w:r>
        <w:rPr/>
        <w:t>年的重要应付账款</w:t>
      </w:r>
      <w:r>
        <w:rPr>
          <w:b w:val="0"/>
          <w:bCs w:val="0"/>
        </w:rPr>
      </w:r>
    </w:p>
    <w:p>
      <w:pPr>
        <w:pStyle w:val="BodyText"/>
        <w:spacing w:line="240" w:lineRule="auto" w:before="39"/>
        <w:ind w:right="7499"/>
        <w:jc w:val="left"/>
      </w:pPr>
      <w:r>
        <w:rPr/>
        <w:t>□适用 √不适用</w:t>
      </w:r>
      <w:r>
        <w:rPr>
          <w:w w:val="100"/>
        </w:rPr>
        <w:t> </w:t>
      </w:r>
      <w:r>
        <w:rPr/>
        <w:t>其他说明</w:t>
      </w:r>
    </w:p>
    <w:p>
      <w:pPr>
        <w:pStyle w:val="BodyText"/>
        <w:spacing w:line="271" w:lineRule="exact"/>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50"/>
          <w:pgMar w:header="762" w:footer="941" w:top="1000" w:bottom="1140" w:left="920" w:right="1680"/>
        </w:sectPr>
      </w:pPr>
    </w:p>
    <w:p>
      <w:pPr>
        <w:pStyle w:val="Heading5"/>
        <w:spacing w:line="240" w:lineRule="auto" w:before="36"/>
        <w:ind w:left="212" w:right="-19"/>
        <w:jc w:val="left"/>
        <w:rPr>
          <w:b w:val="0"/>
          <w:bCs w:val="0"/>
        </w:rPr>
      </w:pPr>
      <w:r>
        <w:rPr>
          <w:rFonts w:ascii="宋体" w:hAnsi="宋体" w:cs="宋体" w:eastAsia="宋体" w:hint="default"/>
        </w:rPr>
        <w:t>36</w:t>
      </w:r>
      <w:r>
        <w:rPr/>
        <w:t>、</w:t>
      </w:r>
      <w:r>
        <w:rPr>
          <w:spacing w:val="-24"/>
        </w:rPr>
        <w:t> </w:t>
      </w:r>
      <w:r>
        <w:rPr/>
        <w:t>预收款项</w:t>
      </w:r>
      <w:r>
        <w:rPr>
          <w:b w:val="0"/>
          <w:bCs w:val="0"/>
        </w:rPr>
      </w:r>
    </w:p>
    <w:p>
      <w:pPr>
        <w:pStyle w:val="Heading5"/>
        <w:spacing w:line="240" w:lineRule="auto" w:before="56"/>
        <w:ind w:left="212" w:right="-19"/>
        <w:jc w:val="left"/>
        <w:rPr>
          <w:b w:val="0"/>
          <w:bCs w:val="0"/>
        </w:rPr>
      </w:pPr>
      <w:r>
        <w:rPr>
          <w:rFonts w:ascii="宋体" w:hAnsi="宋体" w:cs="宋体" w:eastAsia="宋体" w:hint="default"/>
        </w:rPr>
        <w:t>(1).</w:t>
      </w:r>
      <w:r>
        <w:rPr>
          <w:rFonts w:ascii="宋体" w:hAnsi="宋体" w:cs="宋体" w:eastAsia="宋体" w:hint="default"/>
          <w:spacing w:val="1"/>
        </w:rPr>
        <w:t> </w:t>
      </w:r>
      <w:r>
        <w:rPr/>
        <w:t>预收账款项列示</w:t>
      </w:r>
      <w:r>
        <w:rPr>
          <w:b w:val="0"/>
          <w:bCs w:val="0"/>
        </w:rPr>
      </w:r>
    </w:p>
    <w:p>
      <w:pPr>
        <w:pStyle w:val="BodyText"/>
        <w:spacing w:line="240" w:lineRule="auto" w:before="59"/>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220" w:space="4259"/>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83"/>
        <w:gridCol w:w="3065"/>
        <w:gridCol w:w="3058"/>
      </w:tblGrid>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z w:val="21"/>
                <w:szCs w:val="21"/>
              </w:rPr>
              <w:t>项目</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401,115,088.38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402,093,244.15</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z w:val="21"/>
                <w:szCs w:val="21"/>
              </w:rPr>
              <w:t>合计</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401,115,088.38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402,093,244.15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212" w:right="25"/>
        <w:jc w:val="left"/>
        <w:rPr>
          <w:b w:val="0"/>
          <w:bCs w:val="0"/>
        </w:rPr>
      </w:pPr>
      <w:r>
        <w:rPr>
          <w:rFonts w:ascii="宋体" w:hAnsi="宋体" w:cs="宋体" w:eastAsia="宋体" w:hint="default"/>
        </w:rPr>
        <w:t>(2).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25"/>
        <w:jc w:val="left"/>
      </w:pPr>
      <w:r>
        <w:rPr/>
        <w:t>□适用 √不适用</w:t>
      </w:r>
    </w:p>
    <w:p>
      <w:pPr>
        <w:pStyle w:val="Heading5"/>
        <w:spacing w:line="240" w:lineRule="auto" w:before="58"/>
        <w:ind w:left="212" w:right="25"/>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7499"/>
        <w:jc w:val="left"/>
      </w:pPr>
      <w:r>
        <w:rPr/>
        <w:t>□适用 √不适用</w:t>
      </w:r>
      <w:r>
        <w:rPr>
          <w:w w:val="100"/>
        </w:rPr>
        <w:t> </w:t>
      </w:r>
      <w:r>
        <w:rPr/>
        <w:t>其他说明</w:t>
      </w:r>
    </w:p>
    <w:p>
      <w:pPr>
        <w:pStyle w:val="BodyText"/>
        <w:spacing w:line="271" w:lineRule="exact"/>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20" w:right="1680"/>
        </w:sectPr>
      </w:pPr>
    </w:p>
    <w:p>
      <w:pPr>
        <w:pStyle w:val="Heading5"/>
        <w:spacing w:line="290" w:lineRule="auto" w:before="36"/>
        <w:ind w:left="212" w:right="-14"/>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539" w:space="3940"/>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93"/>
        <w:gridCol w:w="1702"/>
        <w:gridCol w:w="1841"/>
        <w:gridCol w:w="1757"/>
        <w:gridCol w:w="1613"/>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61,022,384.06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452,328,334.46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443,118,881.68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70,231,836.84</w:t>
            </w: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28,800.00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30,611,395.92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29,847,968.28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792,227.64</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3,370,607.17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3,370,607.17</w:t>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61,051,184.06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486,310,337.55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476,337,457.13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71,024,064.48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5"/>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9"/>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3"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50"/>
          <w:pgMar w:top="1120" w:bottom="1380" w:left="920" w:right="1680"/>
          <w:cols w:num="2" w:equalWidth="0">
            <w:col w:w="2117" w:space="4468"/>
            <w:col w:w="2725"/>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37"/>
        <w:gridCol w:w="1700"/>
        <w:gridCol w:w="1702"/>
        <w:gridCol w:w="1757"/>
        <w:gridCol w:w="1611"/>
      </w:tblGrid>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sz w:val="21"/>
              </w:rPr>
              <w:t>61,022,384.06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417,311,836.47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408,847,170.59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69,487,049.94</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11,597,213.22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11,405,613.11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191,600.11</w:t>
            </w:r>
          </w:p>
        </w:tc>
      </w:tr>
    </w:tbl>
    <w:p>
      <w:pPr>
        <w:spacing w:after="0" w:line="241" w:lineRule="exact"/>
        <w:jc w:val="right"/>
        <w:rPr>
          <w:rFonts w:ascii="宋体" w:hAnsi="宋体" w:cs="宋体" w:eastAsia="宋体" w:hint="default"/>
          <w:sz w:val="21"/>
          <w:szCs w:val="21"/>
        </w:rPr>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237"/>
        <w:gridCol w:w="1700"/>
        <w:gridCol w:w="1702"/>
        <w:gridCol w:w="1757"/>
        <w:gridCol w:w="1611"/>
      </w:tblGrid>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14,361,489.67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13,836,800.30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524,689.37</w:t>
            </w:r>
          </w:p>
        </w:tc>
      </w:tr>
      <w:tr>
        <w:trPr>
          <w:trHeight w:val="28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12,124,248.50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11,669,503.33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454,745.17</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1,164,312.53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1,126,115.23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38,197.30</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1,072,928.64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1,041,181.74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31,746.90</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6,110,473.54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6,086,268.04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24,205.50</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2,242,351.84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2,238,059.92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4,291.92</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七、短期利润分享计划</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八、商业保险</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216,749.48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216,749.48</w:t>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九、其他短期薪酬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488,220.24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488,220.24</w:t>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61,022,384.06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452,328,334.46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443,118,881.68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70,231,836.84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762" w:footer="941" w:top="1000" w:bottom="1140" w:left="900" w:right="1680"/>
        </w:sectPr>
      </w:pPr>
    </w:p>
    <w:p>
      <w:pPr>
        <w:pStyle w:val="Heading5"/>
        <w:spacing w:line="240" w:lineRule="auto" w:before="36"/>
        <w:ind w:left="232" w:right="-15"/>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3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2" w:right="0"/>
        <w:jc w:val="left"/>
      </w:pPr>
      <w:r>
        <w:rPr>
          <w:spacing w:val="-1"/>
        </w:rPr>
        <w:t>单位：元</w:t>
        <w:tab/>
        <w:t>币种：人民币</w:t>
      </w:r>
    </w:p>
    <w:p>
      <w:pPr>
        <w:spacing w:after="0" w:line="240" w:lineRule="auto"/>
        <w:jc w:val="left"/>
        <w:sectPr>
          <w:type w:val="continuous"/>
          <w:pgSz w:w="11910" w:h="16850"/>
          <w:pgMar w:top="1120" w:bottom="1380" w:left="900" w:right="1680"/>
          <w:cols w:num="2" w:equalWidth="0">
            <w:col w:w="2348" w:space="4131"/>
            <w:col w:w="2851"/>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372"/>
        <w:gridCol w:w="1705"/>
        <w:gridCol w:w="1714"/>
        <w:gridCol w:w="1630"/>
        <w:gridCol w:w="1587"/>
      </w:tblGrid>
      <w:tr>
        <w:trPr>
          <w:trHeight w:val="288"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705" w:type="dxa"/>
            <w:tcBorders>
              <w:top w:val="single" w:sz="6" w:space="0" w:color="000000"/>
              <w:left w:val="single" w:sz="6" w:space="0" w:color="000000"/>
              <w:bottom w:val="single" w:sz="4" w:space="0" w:color="000000"/>
              <w:right w:val="single" w:sz="4" w:space="0" w:color="000000"/>
            </w:tcBorders>
          </w:tcPr>
          <w:p>
            <w:pPr/>
          </w:p>
        </w:tc>
        <w:tc>
          <w:tcPr>
            <w:tcW w:w="171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28,528,151.69</w:t>
            </w:r>
          </w:p>
        </w:tc>
        <w:tc>
          <w:tcPr>
            <w:tcW w:w="163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27,762,919.06</w:t>
            </w:r>
          </w:p>
        </w:tc>
        <w:tc>
          <w:tcPr>
            <w:tcW w:w="158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765,232.63</w:t>
            </w:r>
          </w:p>
        </w:tc>
      </w:tr>
      <w:tr>
        <w:trPr>
          <w:trHeight w:val="288"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705"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28,800.00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2,083,244.23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2,085,049.22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26,995.01</w:t>
            </w:r>
          </w:p>
        </w:tc>
      </w:tr>
      <w:tr>
        <w:trPr>
          <w:trHeight w:val="288"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705" w:type="dxa"/>
            <w:tcBorders>
              <w:top w:val="single" w:sz="4" w:space="0" w:color="000000"/>
              <w:left w:val="single" w:sz="6"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372"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4" w:space="0" w:color="000000"/>
              <w:left w:val="single" w:sz="6"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72"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4" w:space="0" w:color="000000"/>
              <w:left w:val="single" w:sz="6"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30,611,395.92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29,847,968.28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792,227.64</w:t>
            </w:r>
          </w:p>
        </w:tc>
      </w:tr>
    </w:tbl>
    <w:p>
      <w:pPr>
        <w:spacing w:line="240" w:lineRule="auto" w:before="7"/>
        <w:rPr>
          <w:rFonts w:ascii="宋体" w:hAnsi="宋体" w:cs="宋体" w:eastAsia="宋体" w:hint="default"/>
          <w:sz w:val="15"/>
          <w:szCs w:val="15"/>
        </w:rPr>
      </w:pPr>
    </w:p>
    <w:p>
      <w:pPr>
        <w:pStyle w:val="BodyText"/>
        <w:spacing w:line="273" w:lineRule="exact" w:before="36"/>
        <w:ind w:left="232" w:right="0"/>
        <w:jc w:val="left"/>
      </w:pPr>
      <w:r>
        <w:rPr/>
        <w:t>其他说明：</w:t>
      </w:r>
    </w:p>
    <w:p>
      <w:pPr>
        <w:pStyle w:val="BodyText"/>
        <w:spacing w:line="273" w:lineRule="exact"/>
        <w:ind w:left="232"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00" w:right="1680"/>
        </w:sectPr>
      </w:pPr>
    </w:p>
    <w:p>
      <w:pPr>
        <w:pStyle w:val="Heading5"/>
        <w:spacing w:line="240" w:lineRule="auto" w:before="36"/>
        <w:ind w:left="232" w:right="-17"/>
        <w:jc w:val="left"/>
        <w:rPr>
          <w:b w:val="0"/>
          <w:bCs w:val="0"/>
        </w:rPr>
      </w:pPr>
      <w:r>
        <w:rPr>
          <w:rFonts w:ascii="宋体" w:hAnsi="宋体" w:cs="宋体" w:eastAsia="宋体" w:hint="default"/>
        </w:rPr>
        <w:t>38</w:t>
      </w:r>
      <w:r>
        <w:rPr/>
        <w:t>、</w:t>
      </w:r>
      <w:r>
        <w:rPr>
          <w:spacing w:val="-24"/>
        </w:rPr>
        <w:t> </w:t>
      </w:r>
      <w:r>
        <w:rPr/>
        <w:t>应交税费</w:t>
      </w:r>
      <w:r>
        <w:rPr>
          <w:b w:val="0"/>
          <w:bCs w:val="0"/>
        </w:rPr>
      </w:r>
    </w:p>
    <w:p>
      <w:pPr>
        <w:pStyle w:val="BodyText"/>
        <w:spacing w:line="240" w:lineRule="auto" w:before="58"/>
        <w:ind w:left="232"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2" w:right="0"/>
        <w:jc w:val="left"/>
      </w:pPr>
      <w:r>
        <w:rPr>
          <w:spacing w:val="-1"/>
        </w:rPr>
        <w:t>单位：元</w:t>
        <w:tab/>
        <w:t>币种：人民币</w:t>
      </w:r>
    </w:p>
    <w:p>
      <w:pPr>
        <w:spacing w:after="0" w:line="240" w:lineRule="auto"/>
        <w:jc w:val="left"/>
        <w:sectPr>
          <w:type w:val="continuous"/>
          <w:pgSz w:w="11910" w:h="16850"/>
          <w:pgMar w:top="1120" w:bottom="1380" w:left="900" w:right="1680"/>
          <w:cols w:num="2" w:equalWidth="0">
            <w:col w:w="1811" w:space="4668"/>
            <w:col w:w="2851"/>
          </w:cols>
        </w:sectPr>
      </w:pP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967"/>
        <w:gridCol w:w="2940"/>
        <w:gridCol w:w="2945"/>
      </w:tblGrid>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22,470,016.43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14,378,876.29</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40"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6,766,023.89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5,314,647.80</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3,494,407.78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3,158,066.13</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1,699,751.33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1,222,915.52</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1,377,481.63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874,824.80</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1,491,585.42</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919,225.89</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2,697,463.46</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1,515,097.00</w:t>
            </w: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308,285.33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257,483.61</w:t>
            </w:r>
          </w:p>
        </w:tc>
      </w:tr>
      <w:tr>
        <w:trPr>
          <w:trHeight w:val="28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残疾人就业保障金</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27,920.00</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40,332,935.27</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27,641,137.04</w:t>
            </w:r>
          </w:p>
        </w:tc>
      </w:tr>
    </w:tbl>
    <w:p>
      <w:pPr>
        <w:spacing w:line="240" w:lineRule="auto" w:before="7"/>
        <w:rPr>
          <w:rFonts w:ascii="宋体" w:hAnsi="宋体" w:cs="宋体" w:eastAsia="宋体" w:hint="default"/>
          <w:sz w:val="15"/>
          <w:szCs w:val="15"/>
        </w:rPr>
      </w:pPr>
    </w:p>
    <w:p>
      <w:pPr>
        <w:pStyle w:val="BodyText"/>
        <w:spacing w:line="240" w:lineRule="auto" w:before="36"/>
        <w:ind w:left="232" w:right="0"/>
        <w:jc w:val="left"/>
      </w:pPr>
      <w:r>
        <w:rPr/>
        <w:t>其他说明：无</w:t>
      </w:r>
    </w:p>
    <w:p>
      <w:pPr>
        <w:spacing w:after="0" w:line="240" w:lineRule="auto"/>
        <w:jc w:val="left"/>
        <w:sectPr>
          <w:type w:val="continuous"/>
          <w:pgSz w:w="11910" w:h="16850"/>
          <w:pgMar w:top="1120" w:bottom="1380" w:left="900" w:right="1680"/>
        </w:sectPr>
      </w:pPr>
    </w:p>
    <w:p>
      <w:pPr>
        <w:pStyle w:val="Heading5"/>
        <w:spacing w:line="240" w:lineRule="auto" w:before="93"/>
        <w:ind w:left="212" w:right="-17"/>
        <w:jc w:val="left"/>
        <w:rPr>
          <w:b w:val="0"/>
          <w:bCs w:val="0"/>
        </w:rPr>
      </w:pPr>
      <w:r>
        <w:rPr>
          <w:rFonts w:ascii="宋体" w:hAnsi="宋体" w:cs="宋体" w:eastAsia="宋体" w:hint="default"/>
        </w:rPr>
        <w:t>39</w:t>
      </w:r>
      <w:r>
        <w:rPr/>
        <w:t>、</w:t>
      </w:r>
      <w:r>
        <w:rPr>
          <w:spacing w:val="-24"/>
        </w:rPr>
        <w:t> </w:t>
      </w:r>
      <w:r>
        <w:rPr/>
        <w:t>应付利息</w:t>
      </w:r>
      <w:r>
        <w:rPr>
          <w:b w:val="0"/>
          <w:bCs w:val="0"/>
        </w:rPr>
      </w:r>
    </w:p>
    <w:p>
      <w:pPr>
        <w:pStyle w:val="BodyText"/>
        <w:spacing w:line="240" w:lineRule="auto" w:before="59"/>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3" w:val="left" w:leader="none"/>
        </w:tabs>
        <w:spacing w:line="240" w:lineRule="auto" w:before="175"/>
        <w:ind w:right="0"/>
        <w:jc w:val="left"/>
      </w:pPr>
      <w:r>
        <w:rPr>
          <w:spacing w:val="-1"/>
        </w:rPr>
        <w:t>单位：元</w:t>
        <w:tab/>
        <w:t>币种：人民币</w:t>
      </w:r>
    </w:p>
    <w:p>
      <w:pPr>
        <w:spacing w:after="0" w:line="240" w:lineRule="auto"/>
        <w:jc w:val="left"/>
        <w:sectPr>
          <w:pgSz w:w="11910" w:h="16850"/>
          <w:pgMar w:header="762" w:footer="941" w:top="1000" w:bottom="1140" w:left="920" w:right="1680"/>
          <w:cols w:num="2" w:equalWidth="0">
            <w:col w:w="1791" w:space="4688"/>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99"/>
        <w:gridCol w:w="2573"/>
        <w:gridCol w:w="3034"/>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730,023.65</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302,083.33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730,023.65</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302,083.33</w:t>
            </w:r>
          </w:p>
        </w:tc>
      </w:tr>
    </w:tbl>
    <w:p>
      <w:pPr>
        <w:spacing w:line="240" w:lineRule="auto" w:before="7"/>
        <w:rPr>
          <w:rFonts w:ascii="宋体" w:hAnsi="宋体" w:cs="宋体" w:eastAsia="宋体" w:hint="default"/>
          <w:sz w:val="15"/>
          <w:szCs w:val="15"/>
        </w:rPr>
      </w:pPr>
    </w:p>
    <w:p>
      <w:pPr>
        <w:pStyle w:val="BodyText"/>
        <w:spacing w:line="273" w:lineRule="exact" w:before="36"/>
        <w:ind w:right="25"/>
        <w:jc w:val="left"/>
      </w:pPr>
      <w:r>
        <w:rPr/>
        <w:t>重要的已逾期未支付的利息情况：</w:t>
      </w:r>
    </w:p>
    <w:p>
      <w:pPr>
        <w:pStyle w:val="BodyText"/>
        <w:spacing w:line="290" w:lineRule="auto"/>
        <w:ind w:right="7499"/>
        <w:jc w:val="left"/>
      </w:pPr>
      <w:r>
        <w:rPr/>
        <w:t>□适用 √不适用</w:t>
      </w:r>
      <w:r>
        <w:rPr>
          <w:w w:val="100"/>
        </w:rPr>
        <w:t> </w:t>
      </w:r>
      <w:r>
        <w:rPr/>
        <w:t>其他说明：</w:t>
      </w:r>
    </w:p>
    <w:p>
      <w:pPr>
        <w:pStyle w:val="BodyText"/>
        <w:spacing w:line="240" w:lineRule="auto" w:before="12"/>
        <w:ind w:right="25"/>
        <w:jc w:val="left"/>
      </w:pPr>
      <w:r>
        <w:rPr/>
        <w:t>□适用 √不适用</w:t>
      </w:r>
    </w:p>
    <w:p>
      <w:pPr>
        <w:spacing w:line="240" w:lineRule="auto" w:before="11"/>
        <w:rPr>
          <w:rFonts w:ascii="宋体" w:hAnsi="宋体" w:cs="宋体" w:eastAsia="宋体" w:hint="default"/>
          <w:sz w:val="29"/>
          <w:szCs w:val="29"/>
        </w:rPr>
      </w:pPr>
    </w:p>
    <w:p>
      <w:pPr>
        <w:pStyle w:val="Heading5"/>
        <w:spacing w:line="240" w:lineRule="auto"/>
        <w:ind w:left="212" w:right="25"/>
        <w:jc w:val="left"/>
        <w:rPr>
          <w:b w:val="0"/>
          <w:bCs w:val="0"/>
        </w:rPr>
      </w:pPr>
      <w:r>
        <w:rPr>
          <w:rFonts w:ascii="宋体" w:hAnsi="宋体" w:cs="宋体" w:eastAsia="宋体" w:hint="default"/>
        </w:rPr>
        <w:t>40</w:t>
      </w:r>
      <w:r>
        <w:rPr/>
        <w:t>、</w:t>
      </w:r>
      <w:r>
        <w:rPr>
          <w:spacing w:val="-24"/>
        </w:rPr>
        <w:t> </w:t>
      </w:r>
      <w:r>
        <w:rPr/>
        <w:t>应付股利</w:t>
      </w:r>
      <w:r>
        <w:rPr>
          <w:b w:val="0"/>
          <w:bCs w:val="0"/>
        </w:rPr>
      </w:r>
    </w:p>
    <w:p>
      <w:pPr>
        <w:pStyle w:val="BodyText"/>
        <w:spacing w:line="240" w:lineRule="auto" w:before="58"/>
        <w:ind w:right="2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41</w:t>
      </w:r>
      <w:r>
        <w:rPr/>
        <w:t>、</w:t>
      </w:r>
      <w:r>
        <w:rPr>
          <w:spacing w:val="-24"/>
        </w:rPr>
        <w:t> </w:t>
      </w:r>
      <w:r>
        <w:rPr/>
        <w:t>其他应付款</w:t>
      </w:r>
      <w:r>
        <w:rPr>
          <w:b w:val="0"/>
          <w:bCs w:val="0"/>
        </w:rPr>
      </w:r>
    </w:p>
    <w:p>
      <w:pPr>
        <w:pStyle w:val="Heading5"/>
        <w:spacing w:line="240" w:lineRule="auto" w:before="58"/>
        <w:ind w:left="212" w:right="-17"/>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272" w:space="3207"/>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10"/>
        <w:gridCol w:w="2984"/>
        <w:gridCol w:w="3113"/>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146,974,584.02</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101,046,449.47</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代收经销商购车款</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4,896,959.80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8,780,840.80</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用途未确定的政府往来款</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12,359,684.79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12,222,512.05</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464,175,000.00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3,855,000.00</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差旅费及其他</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25,724,928.40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25,442,723.14</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654,131,157.01</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151,347,525.46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20" w:right="1680"/>
        </w:sectPr>
      </w:pPr>
    </w:p>
    <w:p>
      <w:pPr>
        <w:pStyle w:val="Heading5"/>
        <w:spacing w:line="240" w:lineRule="auto" w:before="36"/>
        <w:ind w:left="212" w:right="-15"/>
        <w:jc w:val="left"/>
        <w:rPr>
          <w:b w:val="0"/>
          <w:bCs w:val="0"/>
        </w:rPr>
      </w:pPr>
      <w:r>
        <w:rPr>
          <w:rFonts w:ascii="宋体" w:hAnsi="宋体" w:cs="宋体" w:eastAsia="宋体" w:hint="default"/>
        </w:rPr>
        <w:t>(2).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2"/>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713" w:space="2766"/>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95"/>
        <w:gridCol w:w="3012"/>
        <w:gridCol w:w="3099"/>
      </w:tblGrid>
      <w:tr>
        <w:trPr>
          <w:trHeight w:val="281"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92,235,509.13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合作期间内的保证金</w:t>
            </w:r>
          </w:p>
        </w:tc>
      </w:tr>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92,235,509.13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25"/>
        <w:jc w:val="left"/>
      </w:pPr>
      <w:r>
        <w:rPr/>
        <w:t>其他说明</w:t>
      </w:r>
    </w:p>
    <w:p>
      <w:pPr>
        <w:pStyle w:val="BodyText"/>
        <w:spacing w:line="274" w:lineRule="exact"/>
        <w:ind w:right="25"/>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6"/>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988" w:space="3491"/>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95"/>
        <w:gridCol w:w="3022"/>
        <w:gridCol w:w="3089"/>
      </w:tblGrid>
      <w:tr>
        <w:trPr>
          <w:trHeight w:val="281"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95"/>
        <w:gridCol w:w="3022"/>
        <w:gridCol w:w="3089"/>
      </w:tblGrid>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年内到期的长期借款</w:t>
            </w:r>
          </w:p>
        </w:tc>
        <w:tc>
          <w:tcPr>
            <w:tcW w:w="3022" w:type="dxa"/>
            <w:tcBorders>
              <w:top w:val="single" w:sz="4" w:space="0" w:color="000000"/>
              <w:left w:val="single" w:sz="4" w:space="0" w:color="000000"/>
              <w:bottom w:val="single" w:sz="4" w:space="0" w:color="000000"/>
              <w:right w:val="single" w:sz="4" w:space="0" w:color="000000"/>
            </w:tcBorders>
          </w:tcPr>
          <w:p>
            <w:pP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年内到期的应付债券</w:t>
            </w:r>
          </w:p>
        </w:tc>
        <w:tc>
          <w:tcPr>
            <w:tcW w:w="3022" w:type="dxa"/>
            <w:tcBorders>
              <w:top w:val="single" w:sz="4" w:space="0" w:color="000000"/>
              <w:left w:val="single" w:sz="4" w:space="0" w:color="000000"/>
              <w:bottom w:val="single" w:sz="4" w:space="0" w:color="000000"/>
              <w:right w:val="single" w:sz="4" w:space="0" w:color="000000"/>
            </w:tcBorders>
          </w:tcPr>
          <w:p>
            <w:pP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年内到期的长期应付款</w:t>
            </w:r>
          </w:p>
        </w:tc>
        <w:tc>
          <w:tcPr>
            <w:tcW w:w="3022" w:type="dxa"/>
            <w:tcBorders>
              <w:top w:val="single" w:sz="4" w:space="0" w:color="000000"/>
              <w:left w:val="single" w:sz="4" w:space="0" w:color="000000"/>
              <w:bottom w:val="single" w:sz="4" w:space="0" w:color="000000"/>
              <w:right w:val="single" w:sz="4" w:space="0" w:color="000000"/>
            </w:tcBorders>
          </w:tcPr>
          <w:p>
            <w:pP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3022" w:type="dxa"/>
            <w:tcBorders>
              <w:top w:val="single" w:sz="4" w:space="0" w:color="000000"/>
              <w:left w:val="single" w:sz="4" w:space="0" w:color="000000"/>
              <w:bottom w:val="single" w:sz="4" w:space="0" w:color="000000"/>
              <w:right w:val="single" w:sz="4" w:space="0" w:color="000000"/>
            </w:tcBorders>
          </w:tcPr>
          <w:p>
            <w:pP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2,960,424.74</w:t>
            </w:r>
          </w:p>
        </w:tc>
      </w:tr>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single" w:sz="4" w:space="0" w:color="000000"/>
            </w:tcBorders>
          </w:tcPr>
          <w:p>
            <w:pP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4" w:space="0" w:color="000000"/>
              <w:left w:val="single" w:sz="4" w:space="0" w:color="000000"/>
              <w:bottom w:val="single" w:sz="4" w:space="0" w:color="000000"/>
              <w:right w:val="single" w:sz="4" w:space="0" w:color="000000"/>
            </w:tcBorders>
          </w:tcPr>
          <w:p>
            <w:pP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2,960,424.74</w:t>
            </w:r>
          </w:p>
        </w:tc>
      </w:tr>
    </w:tbl>
    <w:p>
      <w:pPr>
        <w:spacing w:after="0" w:line="241" w:lineRule="exact"/>
        <w:jc w:val="right"/>
        <w:rPr>
          <w:rFonts w:ascii="宋体" w:hAnsi="宋体" w:cs="宋体" w:eastAsia="宋体" w:hint="default"/>
          <w:sz w:val="21"/>
          <w:szCs w:val="21"/>
        </w:rPr>
        <w:sectPr>
          <w:pgSz w:w="11910" w:h="16850"/>
          <w:pgMar w:header="762" w:footer="941" w:top="1000" w:bottom="1140" w:left="920" w:right="1680"/>
        </w:sectPr>
      </w:pPr>
    </w:p>
    <w:p>
      <w:pPr>
        <w:spacing w:line="290" w:lineRule="auto" w:before="26"/>
        <w:ind w:left="212" w:right="0" w:firstLine="0"/>
        <w:jc w:val="left"/>
        <w:rPr>
          <w:rFonts w:ascii="宋体" w:hAnsi="宋体" w:cs="宋体" w:eastAsia="宋体" w:hint="default"/>
          <w:sz w:val="21"/>
          <w:szCs w:val="21"/>
        </w:rPr>
      </w:pPr>
      <w:r>
        <w:rPr>
          <w:rFonts w:ascii="宋体" w:hAnsi="宋体" w:cs="宋体" w:eastAsia="宋体" w:hint="default"/>
          <w:sz w:val="21"/>
          <w:szCs w:val="21"/>
        </w:rPr>
        <w:t>其他说明：无</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他流动负债</w:t>
      </w:r>
      <w:r>
        <w:rPr>
          <w:rFonts w:ascii="宋体" w:hAnsi="宋体" w:cs="宋体" w:eastAsia="宋体" w:hint="default"/>
          <w:b/>
          <w:bCs/>
          <w:w w:val="100"/>
          <w:sz w:val="21"/>
          <w:szCs w:val="21"/>
        </w:rPr>
        <w:t> </w:t>
      </w:r>
      <w:r>
        <w:rPr>
          <w:rFonts w:ascii="宋体" w:hAnsi="宋体" w:cs="宋体" w:eastAsia="宋体" w:hint="default"/>
          <w:spacing w:val="-2"/>
          <w:sz w:val="21"/>
          <w:szCs w:val="21"/>
        </w:rPr>
        <w:t>其他流动负债情况</w:t>
      </w:r>
    </w:p>
    <w:p>
      <w:pPr>
        <w:pStyle w:val="BodyText"/>
        <w:tabs>
          <w:tab w:pos="1055" w:val="left" w:leader="none"/>
        </w:tabs>
        <w:spacing w:line="229" w:lineRule="exact"/>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896" w:space="4583"/>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87"/>
        <w:gridCol w:w="3104"/>
        <w:gridCol w:w="3116"/>
      </w:tblGrid>
      <w:tr>
        <w:trPr>
          <w:trHeight w:val="28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9"/>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04" w:type="dxa"/>
            <w:tcBorders>
              <w:top w:val="single" w:sz="4" w:space="0" w:color="000000"/>
              <w:left w:val="single" w:sz="4" w:space="0" w:color="000000"/>
              <w:bottom w:val="single" w:sz="4" w:space="0" w:color="000000"/>
              <w:right w:val="single" w:sz="4" w:space="0" w:color="000000"/>
            </w:tcBorders>
          </w:tcPr>
          <w:p>
            <w:pPr/>
          </w:p>
        </w:tc>
        <w:tc>
          <w:tcPr>
            <w:tcW w:w="31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公司境外优先股杠杆借款</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13,094,900.00</w:t>
            </w:r>
          </w:p>
        </w:tc>
        <w:tc>
          <w:tcPr>
            <w:tcW w:w="31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13,094,900.00</w:t>
            </w:r>
          </w:p>
        </w:tc>
        <w:tc>
          <w:tcPr>
            <w:tcW w:w="31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5"/>
        <w:jc w:val="left"/>
      </w:pPr>
      <w:r>
        <w:rPr/>
        <w:t>短期应付债券的增减变动：</w:t>
      </w:r>
    </w:p>
    <w:p>
      <w:pPr>
        <w:pStyle w:val="BodyText"/>
        <w:spacing w:line="290" w:lineRule="auto"/>
        <w:ind w:right="7499"/>
        <w:jc w:val="left"/>
      </w:pPr>
      <w:r>
        <w:rPr/>
        <w:t>□适用 √不适用</w:t>
      </w:r>
      <w:r>
        <w:rPr>
          <w:w w:val="100"/>
        </w:rPr>
        <w:t> </w:t>
      </w:r>
      <w:r>
        <w:rPr/>
        <w:t>其他说明：</w:t>
      </w:r>
    </w:p>
    <w:p>
      <w:pPr>
        <w:pStyle w:val="BodyText"/>
        <w:spacing w:line="240" w:lineRule="auto" w:before="12"/>
        <w:ind w:right="25"/>
        <w:jc w:val="left"/>
      </w:pPr>
      <w:r>
        <w:rPr/>
        <w:t>□适用 √不适用</w:t>
      </w:r>
    </w:p>
    <w:p>
      <w:pPr>
        <w:spacing w:line="240" w:lineRule="auto" w:before="11"/>
        <w:rPr>
          <w:rFonts w:ascii="宋体" w:hAnsi="宋体" w:cs="宋体" w:eastAsia="宋体" w:hint="default"/>
          <w:sz w:val="29"/>
          <w:szCs w:val="29"/>
        </w:rPr>
      </w:pPr>
    </w:p>
    <w:p>
      <w:pPr>
        <w:pStyle w:val="Heading5"/>
        <w:spacing w:line="240" w:lineRule="auto"/>
        <w:ind w:left="212" w:right="25"/>
        <w:jc w:val="left"/>
        <w:rPr>
          <w:b w:val="0"/>
          <w:bCs w:val="0"/>
        </w:rPr>
      </w:pPr>
      <w:r>
        <w:rPr>
          <w:rFonts w:ascii="宋体" w:hAnsi="宋体" w:cs="宋体" w:eastAsia="宋体" w:hint="default"/>
        </w:rPr>
        <w:t>45</w:t>
      </w:r>
      <w:r>
        <w:rPr/>
        <w:t>、</w:t>
      </w:r>
      <w:r>
        <w:rPr>
          <w:spacing w:val="-24"/>
        </w:rPr>
        <w:t> </w:t>
      </w:r>
      <w:r>
        <w:rPr/>
        <w:t>长期借款</w:t>
      </w:r>
      <w:r>
        <w:rPr>
          <w:b w:val="0"/>
          <w:bCs w:val="0"/>
        </w:rPr>
      </w:r>
    </w:p>
    <w:p>
      <w:pPr>
        <w:pStyle w:val="Heading5"/>
        <w:tabs>
          <w:tab w:pos="844" w:val="left" w:leader="none"/>
        </w:tabs>
        <w:spacing w:line="240" w:lineRule="auto" w:before="56"/>
        <w:ind w:left="212" w:right="25"/>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right="2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5"/>
        <w:jc w:val="left"/>
      </w:pPr>
      <w:r>
        <w:rPr/>
        <w:t>其他说明，包括利率区间：</w:t>
      </w:r>
    </w:p>
    <w:p>
      <w:pPr>
        <w:pStyle w:val="BodyText"/>
        <w:spacing w:line="273" w:lineRule="exact"/>
        <w:ind w:right="25"/>
        <w:jc w:val="left"/>
      </w:pPr>
      <w:r>
        <w:rPr/>
        <w:t>□适用 √不适用</w:t>
      </w:r>
    </w:p>
    <w:p>
      <w:pPr>
        <w:spacing w:line="240" w:lineRule="auto" w:before="3"/>
        <w:rPr>
          <w:rFonts w:ascii="宋体" w:hAnsi="宋体" w:cs="宋体" w:eastAsia="宋体" w:hint="default"/>
          <w:sz w:val="25"/>
          <w:szCs w:val="25"/>
        </w:rPr>
      </w:pPr>
    </w:p>
    <w:p>
      <w:pPr>
        <w:pStyle w:val="Heading5"/>
        <w:tabs>
          <w:tab w:pos="885" w:val="left" w:leader="none"/>
        </w:tabs>
        <w:spacing w:line="290" w:lineRule="auto"/>
        <w:ind w:left="212" w:right="7574"/>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right="25"/>
        <w:jc w:val="left"/>
      </w:pPr>
      <w:r>
        <w:rPr/>
        <w:t>□适用 √不适用</w:t>
      </w:r>
    </w:p>
    <w:p>
      <w:pPr>
        <w:pStyle w:val="Heading5"/>
        <w:tabs>
          <w:tab w:pos="885" w:val="left" w:leader="none"/>
        </w:tabs>
        <w:spacing w:line="240" w:lineRule="auto" w:before="59"/>
        <w:ind w:left="212" w:right="25"/>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right="25"/>
        <w:jc w:val="left"/>
      </w:pPr>
      <w:r>
        <w:rPr/>
        <w:t>□适用 √不适用</w:t>
      </w:r>
    </w:p>
    <w:p>
      <w:pPr>
        <w:pStyle w:val="Heading5"/>
        <w:tabs>
          <w:tab w:pos="885" w:val="left" w:leader="none"/>
        </w:tabs>
        <w:spacing w:line="240" w:lineRule="auto" w:before="58"/>
        <w:ind w:left="212" w:right="25"/>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55" w:val="left" w:leader="none"/>
        </w:tabs>
        <w:spacing w:line="240" w:lineRule="auto" w:before="56"/>
        <w:ind w:right="25"/>
        <w:jc w:val="left"/>
      </w:pPr>
      <w:r>
        <w:rPr/>
        <w:t>□适用</w:t>
        <w:tab/>
        <w:t>√不适用</w:t>
      </w:r>
    </w:p>
    <w:p>
      <w:pPr>
        <w:spacing w:line="240" w:lineRule="auto" w:before="11"/>
        <w:rPr>
          <w:rFonts w:ascii="宋体" w:hAnsi="宋体" w:cs="宋体" w:eastAsia="宋体" w:hint="default"/>
          <w:sz w:val="29"/>
          <w:szCs w:val="29"/>
        </w:rPr>
      </w:pPr>
    </w:p>
    <w:p>
      <w:pPr>
        <w:tabs>
          <w:tab w:pos="885" w:val="left" w:leader="none"/>
        </w:tabs>
        <w:spacing w:line="290" w:lineRule="auto" w:before="0"/>
        <w:ind w:left="212" w:right="3834"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right="25"/>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25"/>
        <w:jc w:val="left"/>
      </w:pPr>
      <w:r>
        <w:rPr/>
        <w:t>期末发行在外的优先股、永续债等金融工具变动情况表</w:t>
      </w:r>
    </w:p>
    <w:p>
      <w:pPr>
        <w:pStyle w:val="BodyText"/>
        <w:spacing w:line="290" w:lineRule="auto"/>
        <w:ind w:right="4013"/>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2"/>
        <w:ind w:right="25"/>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right="25"/>
        <w:jc w:val="left"/>
      </w:pPr>
      <w:r>
        <w:rPr/>
        <w:t>其他说明：</w:t>
      </w:r>
    </w:p>
    <w:p>
      <w:pPr>
        <w:spacing w:after="0" w:line="240" w:lineRule="auto"/>
        <w:jc w:val="left"/>
        <w:sectPr>
          <w:type w:val="continuous"/>
          <w:pgSz w:w="11910" w:h="16850"/>
          <w:pgMar w:top="1120" w:bottom="1380" w:left="920" w:right="1680"/>
        </w:sectPr>
      </w:pPr>
    </w:p>
    <w:p>
      <w:pPr>
        <w:pStyle w:val="BodyText"/>
        <w:spacing w:line="240" w:lineRule="auto" w:before="93"/>
        <w:ind w:left="152" w:right="7399"/>
        <w:jc w:val="left"/>
      </w:pPr>
      <w:r>
        <w:rPr/>
        <w:t>□适用 √不适用</w:t>
      </w:r>
    </w:p>
    <w:p>
      <w:pPr>
        <w:spacing w:line="240" w:lineRule="auto" w:before="11"/>
        <w:rPr>
          <w:rFonts w:ascii="宋体" w:hAnsi="宋体" w:cs="宋体" w:eastAsia="宋体" w:hint="default"/>
          <w:sz w:val="29"/>
          <w:szCs w:val="29"/>
        </w:rPr>
      </w:pPr>
    </w:p>
    <w:p>
      <w:pPr>
        <w:pStyle w:val="Heading5"/>
        <w:spacing w:line="240" w:lineRule="auto"/>
        <w:ind w:left="152" w:right="739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5"/>
        <w:spacing w:line="273" w:lineRule="exact" w:before="58"/>
        <w:ind w:left="152" w:right="296"/>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3" w:lineRule="exact"/>
        <w:ind w:left="152" w:right="739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left="152" w:right="296"/>
        <w:jc w:val="left"/>
        <w:rPr>
          <w:b w:val="0"/>
          <w:bCs w:val="0"/>
        </w:rPr>
      </w:pPr>
      <w:r>
        <w:rPr>
          <w:rFonts w:ascii="宋体" w:hAnsi="宋体" w:cs="宋体" w:eastAsia="宋体" w:hint="default"/>
        </w:rPr>
        <w:t>48</w:t>
      </w:r>
      <w:r>
        <w:rPr/>
        <w:t>、</w:t>
      </w:r>
      <w:r>
        <w:rPr>
          <w:spacing w:val="-23"/>
        </w:rPr>
        <w:t> </w:t>
      </w:r>
      <w:r>
        <w:rPr/>
        <w:t>长期应付职工薪酬</w:t>
      </w:r>
      <w:r>
        <w:rPr>
          <w:b w:val="0"/>
          <w:bCs w:val="0"/>
        </w:rPr>
      </w:r>
    </w:p>
    <w:p>
      <w:pPr>
        <w:pStyle w:val="BodyText"/>
        <w:spacing w:line="240" w:lineRule="auto" w:before="56"/>
        <w:ind w:left="152" w:right="739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left="152" w:right="7399"/>
        <w:jc w:val="left"/>
        <w:rPr>
          <w:b w:val="0"/>
          <w:bCs w:val="0"/>
        </w:rPr>
      </w:pPr>
      <w:r>
        <w:rPr>
          <w:rFonts w:ascii="宋体" w:hAnsi="宋体" w:cs="宋体" w:eastAsia="宋体" w:hint="default"/>
        </w:rPr>
        <w:t>49</w:t>
      </w:r>
      <w:r>
        <w:rPr/>
        <w:t>、</w:t>
      </w:r>
      <w:r>
        <w:rPr>
          <w:spacing w:val="-24"/>
        </w:rPr>
        <w:t> </w:t>
      </w:r>
      <w:r>
        <w:rPr/>
        <w:t>专项应付款</w:t>
      </w:r>
      <w:r>
        <w:rPr>
          <w:b w:val="0"/>
          <w:bCs w:val="0"/>
        </w:rPr>
      </w:r>
    </w:p>
    <w:p>
      <w:pPr>
        <w:pStyle w:val="BodyText"/>
        <w:spacing w:line="240" w:lineRule="auto" w:before="56"/>
        <w:ind w:left="152" w:right="7399"/>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6"/>
          <w:pgSz w:w="11910" w:h="16850"/>
          <w:pgMar w:footer="941" w:header="762" w:top="1000" w:bottom="1140" w:left="980" w:right="1680"/>
          <w:pgNumType w:start="12"/>
        </w:sectPr>
      </w:pPr>
    </w:p>
    <w:p>
      <w:pPr>
        <w:pStyle w:val="Heading5"/>
        <w:spacing w:line="240" w:lineRule="auto" w:before="36"/>
        <w:ind w:left="152" w:right="-17"/>
        <w:jc w:val="left"/>
        <w:rPr>
          <w:b w:val="0"/>
          <w:bCs w:val="0"/>
        </w:rPr>
      </w:pPr>
      <w:r>
        <w:rPr>
          <w:rFonts w:ascii="宋体" w:hAnsi="宋体" w:cs="宋体" w:eastAsia="宋体" w:hint="default"/>
        </w:rPr>
        <w:t>50</w:t>
      </w:r>
      <w:r>
        <w:rPr/>
        <w:t>、</w:t>
      </w:r>
      <w:r>
        <w:rPr>
          <w:spacing w:val="-24"/>
        </w:rPr>
        <w:t> </w:t>
      </w:r>
      <w:r>
        <w:rPr/>
        <w:t>预计负债</w:t>
      </w:r>
      <w:r>
        <w:rPr>
          <w:b w:val="0"/>
          <w:bCs w:val="0"/>
        </w:rPr>
      </w:r>
    </w:p>
    <w:p>
      <w:pPr>
        <w:pStyle w:val="BodyText"/>
        <w:spacing w:line="240" w:lineRule="auto" w:before="56"/>
        <w:ind w:left="152"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1731" w:space="4748"/>
            <w:col w:w="277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13"/>
        <w:gridCol w:w="2211"/>
        <w:gridCol w:w="2216"/>
        <w:gridCol w:w="2213"/>
      </w:tblGrid>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17,872,501.15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13,580,829.32</w:t>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17,872,501.15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13,580,829.32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52" w:right="296"/>
        <w:jc w:val="left"/>
      </w:pPr>
      <w:r>
        <w:rPr/>
        <w:t>其他说明，包括重要预计负债的相关重要假设、估计说明：</w:t>
      </w:r>
    </w:p>
    <w:p>
      <w:pPr>
        <w:pStyle w:val="BodyText"/>
        <w:spacing w:line="240" w:lineRule="auto" w:before="56"/>
        <w:ind w:left="152" w:right="296"/>
        <w:jc w:val="left"/>
      </w:pPr>
      <w:r>
        <w:rPr>
          <w:spacing w:val="-2"/>
        </w:rPr>
        <w:t>本公司对产品在质保期内提供免费维修或更换服务，质保期一般为</w:t>
      </w:r>
      <w:r>
        <w:rPr>
          <w:rFonts w:ascii="宋体" w:hAnsi="宋体" w:cs="宋体" w:eastAsia="宋体" w:hint="default"/>
          <w:spacing w:val="-2"/>
        </w:rPr>
        <w:t>3</w:t>
      </w:r>
      <w:r>
        <w:rPr>
          <w:spacing w:val="-2"/>
        </w:rPr>
        <w:t>年。报告期内，本公司对不</w:t>
      </w:r>
      <w:r>
        <w:rPr>
          <w:spacing w:val="-27"/>
        </w:rPr>
        <w:t> </w:t>
      </w:r>
      <w:r>
        <w:rPr>
          <w:spacing w:val="-27"/>
        </w:rPr>
      </w:r>
      <w:r>
        <w:rPr/>
        <w:t>同产品按其销售收入的3‰或6‰计提售后服务保证金。</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80" w:right="1680"/>
        </w:sectPr>
      </w:pPr>
    </w:p>
    <w:p>
      <w:pPr>
        <w:spacing w:line="290" w:lineRule="auto" w:before="36"/>
        <w:ind w:left="152" w:right="316"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95" w:val="left" w:leader="none"/>
        </w:tabs>
        <w:spacing w:line="229" w:lineRule="exact"/>
        <w:ind w:left="152"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1836" w:space="4643"/>
            <w:col w:w="277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96"/>
        <w:gridCol w:w="1436"/>
        <w:gridCol w:w="1450"/>
        <w:gridCol w:w="1433"/>
        <w:gridCol w:w="1478"/>
        <w:gridCol w:w="1558"/>
      </w:tblGrid>
      <w:tr>
        <w:trPr>
          <w:trHeight w:val="34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28"/>
              <w:jc w:val="right"/>
              <w:rPr>
                <w:rFonts w:ascii="宋体" w:hAnsi="宋体" w:cs="宋体" w:eastAsia="宋体" w:hint="default"/>
                <w:sz w:val="21"/>
                <w:szCs w:val="21"/>
              </w:rPr>
            </w:pPr>
            <w:r>
              <w:rPr>
                <w:rFonts w:ascii="宋体" w:hAnsi="宋体" w:cs="宋体" w:eastAsia="宋体" w:hint="default"/>
                <w:sz w:val="21"/>
                <w:szCs w:val="21"/>
              </w:rPr>
              <w:t>项目</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sz w:val="21"/>
              </w:rPr>
              <w:t>62,336,461.43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5,037,080.00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3,566,334.73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center"/>
              <w:rPr>
                <w:rFonts w:ascii="宋体" w:hAnsi="宋体" w:cs="宋体" w:eastAsia="宋体" w:hint="default"/>
                <w:sz w:val="21"/>
                <w:szCs w:val="21"/>
              </w:rPr>
            </w:pPr>
            <w:r>
              <w:rPr>
                <w:rFonts w:ascii="宋体"/>
                <w:sz w:val="21"/>
              </w:rPr>
              <w:t>63,807,206.70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年内到期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的递延收益</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-2,960,424.74</w:t>
            </w:r>
          </w:p>
        </w:tc>
        <w:tc>
          <w:tcPr>
            <w:tcW w:w="14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-2,960,424.74</w:t>
            </w:r>
          </w:p>
        </w:tc>
        <w:tc>
          <w:tcPr>
            <w:tcW w:w="1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8"/>
              <w:jc w:val="right"/>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59,376,036.69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5,037,080.00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605,909.99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63,807,206.70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152" w:right="296"/>
        <w:jc w:val="left"/>
      </w:pPr>
      <w:r>
        <w:rPr/>
        <w:t>涉及政府补助的项目：</w:t>
      </w:r>
    </w:p>
    <w:p>
      <w:pPr>
        <w:pStyle w:val="BodyText"/>
        <w:spacing w:line="290" w:lineRule="auto" w:before="56"/>
        <w:ind w:left="152" w:right="7499"/>
        <w:jc w:val="left"/>
      </w:pPr>
      <w:r>
        <w:rPr/>
        <w:t>□适用 √不适用</w:t>
      </w:r>
      <w:r>
        <w:rPr>
          <w:w w:val="100"/>
        </w:rPr>
        <w:t> </w:t>
      </w:r>
      <w:r>
        <w:rPr/>
        <w:t>其他说明：</w:t>
      </w:r>
    </w:p>
    <w:p>
      <w:pPr>
        <w:pStyle w:val="BodyText"/>
        <w:spacing w:line="290" w:lineRule="auto" w:before="12"/>
        <w:ind w:left="152" w:right="3834"/>
        <w:jc w:val="left"/>
      </w:pPr>
      <w:r>
        <w:rPr/>
        <w:t>√适用</w:t>
      </w:r>
      <w:r>
        <w:rPr>
          <w:spacing w:val="-2"/>
        </w:rPr>
        <w:t> </w:t>
      </w:r>
      <w:r>
        <w:rPr/>
        <w:t>□不适用</w:t>
      </w:r>
      <w:r>
        <w:rPr>
          <w:spacing w:val="-103"/>
        </w:rPr>
        <w:t> </w:t>
      </w:r>
      <w:r>
        <w:rPr>
          <w:spacing w:val="-103"/>
        </w:rPr>
      </w:r>
      <w:r>
        <w:rPr>
          <w:spacing w:val="-2"/>
        </w:rPr>
        <w:t>计入递延收益的政府补助详见附注七、</w:t>
      </w:r>
      <w:r>
        <w:rPr>
          <w:rFonts w:ascii="宋体" w:hAnsi="宋体" w:cs="宋体" w:eastAsia="宋体" w:hint="default"/>
          <w:spacing w:val="-2"/>
        </w:rPr>
        <w:t>79</w:t>
      </w:r>
      <w:r>
        <w:rPr>
          <w:spacing w:val="-2"/>
        </w:rPr>
        <w:t>、政府补助。</w:t>
      </w:r>
    </w:p>
    <w:p>
      <w:pPr>
        <w:spacing w:after="0" w:line="290" w:lineRule="auto"/>
        <w:jc w:val="left"/>
        <w:sectPr>
          <w:type w:val="continuous"/>
          <w:pgSz w:w="11910" w:h="16850"/>
          <w:pgMar w:top="1120" w:bottom="1380" w:left="980" w:right="1680"/>
        </w:sectPr>
      </w:pPr>
    </w:p>
    <w:p>
      <w:pPr>
        <w:spacing w:line="240" w:lineRule="auto" w:before="11"/>
        <w:rPr>
          <w:rFonts w:ascii="宋体" w:hAnsi="宋体" w:cs="宋体" w:eastAsia="宋体" w:hint="default"/>
          <w:sz w:val="29"/>
          <w:szCs w:val="29"/>
        </w:rPr>
      </w:pPr>
    </w:p>
    <w:p>
      <w:pPr>
        <w:pStyle w:val="Heading5"/>
        <w:spacing w:line="240" w:lineRule="auto" w:before="36"/>
        <w:ind w:left="212" w:right="25"/>
        <w:jc w:val="left"/>
        <w:rPr>
          <w:b w:val="0"/>
          <w:bCs w:val="0"/>
        </w:rPr>
      </w:pPr>
      <w:r>
        <w:rPr>
          <w:rFonts w:ascii="宋体" w:hAnsi="宋体" w:cs="宋体" w:eastAsia="宋体" w:hint="default"/>
        </w:rPr>
        <w:t>52</w:t>
      </w:r>
      <w:r>
        <w:rPr/>
        <w:t>、</w:t>
      </w:r>
      <w:r>
        <w:rPr>
          <w:spacing w:val="-23"/>
        </w:rPr>
        <w:t> </w:t>
      </w:r>
      <w:r>
        <w:rPr/>
        <w:t>其他非流动负债</w:t>
      </w:r>
      <w:r>
        <w:rPr>
          <w:b w:val="0"/>
          <w:bCs w:val="0"/>
        </w:rPr>
      </w:r>
    </w:p>
    <w:p>
      <w:pPr>
        <w:pStyle w:val="BodyText"/>
        <w:spacing w:line="240" w:lineRule="auto" w:before="56"/>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50"/>
          <w:pgMar w:header="762" w:footer="941" w:top="1000" w:bottom="1140" w:left="920" w:right="1680"/>
        </w:sectPr>
      </w:pPr>
    </w:p>
    <w:p>
      <w:pPr>
        <w:pStyle w:val="Heading5"/>
        <w:spacing w:line="240" w:lineRule="auto" w:before="36"/>
        <w:ind w:left="212" w:right="-17"/>
        <w:jc w:val="left"/>
        <w:rPr>
          <w:b w:val="0"/>
          <w:bCs w:val="0"/>
        </w:rPr>
      </w:pPr>
      <w:r>
        <w:rPr>
          <w:rFonts w:ascii="宋体" w:hAnsi="宋体" w:cs="宋体" w:eastAsia="宋体" w:hint="default"/>
        </w:rPr>
        <w:t>53</w:t>
      </w:r>
      <w:r>
        <w:rPr/>
        <w:t>、</w:t>
      </w:r>
      <w:r>
        <w:rPr>
          <w:spacing w:val="-25"/>
        </w:rPr>
        <w:t> </w:t>
      </w:r>
      <w:r>
        <w:rPr/>
        <w:t>股本</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5"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50"/>
          <w:pgMar w:top="1120" w:bottom="1380" w:left="920" w:right="1680"/>
          <w:cols w:num="2" w:equalWidth="0">
            <w:col w:w="1791" w:space="4477"/>
            <w:col w:w="304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52"/>
        <w:gridCol w:w="1310"/>
        <w:gridCol w:w="997"/>
        <w:gridCol w:w="996"/>
        <w:gridCol w:w="1066"/>
        <w:gridCol w:w="1080"/>
        <w:gridCol w:w="1054"/>
        <w:gridCol w:w="1352"/>
      </w:tblGrid>
      <w:tr>
        <w:trPr>
          <w:trHeight w:val="283" w:hRule="exact"/>
        </w:trPr>
        <w:tc>
          <w:tcPr>
            <w:tcW w:w="1152" w:type="dxa"/>
            <w:vMerge w:val="restart"/>
            <w:tcBorders>
              <w:top w:val="single" w:sz="4" w:space="0" w:color="000000"/>
              <w:left w:val="single" w:sz="4" w:space="0" w:color="000000"/>
              <w:right w:val="single" w:sz="4" w:space="0" w:color="000000"/>
            </w:tcBorders>
          </w:tcPr>
          <w:p>
            <w:pP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1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52" w:type="dxa"/>
            <w:vMerge/>
            <w:tcBorders>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52" w:type="dxa"/>
            <w:vMerge/>
            <w:tcBorders>
              <w:left w:val="single" w:sz="4" w:space="0" w:color="000000"/>
              <w:bottom w:val="single" w:sz="4" w:space="0" w:color="000000"/>
              <w:right w:val="single" w:sz="4" w:space="0" w:color="000000"/>
            </w:tcBorders>
          </w:tcPr>
          <w:p>
            <w:pPr/>
          </w:p>
        </w:tc>
      </w:tr>
      <w:tr>
        <w:trPr>
          <w:trHeight w:val="28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80,000.00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sz w:val="21"/>
              </w:rPr>
              <w:t>80,000.00</w:t>
            </w:r>
          </w:p>
        </w:tc>
      </w:tr>
    </w:tbl>
    <w:p>
      <w:pPr>
        <w:pStyle w:val="BodyText"/>
        <w:spacing w:line="240" w:lineRule="auto" w:before="26"/>
        <w:ind w:right="25"/>
        <w:jc w:val="left"/>
      </w:pPr>
      <w:r>
        <w:rPr/>
        <w:t>其他说明：</w:t>
      </w:r>
    </w:p>
    <w:p>
      <w:pPr>
        <w:spacing w:line="240" w:lineRule="auto" w:before="11"/>
        <w:rPr>
          <w:rFonts w:ascii="宋体" w:hAnsi="宋体" w:cs="宋体" w:eastAsia="宋体" w:hint="default"/>
          <w:sz w:val="29"/>
          <w:szCs w:val="29"/>
        </w:rPr>
      </w:pPr>
    </w:p>
    <w:p>
      <w:pPr>
        <w:pStyle w:val="Heading5"/>
        <w:spacing w:line="240" w:lineRule="auto"/>
        <w:ind w:left="212" w:right="25"/>
        <w:jc w:val="left"/>
        <w:rPr>
          <w:b w:val="0"/>
          <w:bCs w:val="0"/>
        </w:rPr>
      </w:pPr>
      <w:r>
        <w:rPr>
          <w:rFonts w:ascii="宋体" w:hAnsi="宋体" w:cs="宋体" w:eastAsia="宋体" w:hint="default"/>
        </w:rPr>
        <w:t>54</w:t>
      </w:r>
      <w:r>
        <w:rPr/>
        <w:t>、</w:t>
      </w:r>
      <w:r>
        <w:rPr>
          <w:spacing w:val="-23"/>
        </w:rPr>
        <w:t> </w:t>
      </w:r>
      <w:r>
        <w:rPr/>
        <w:t>其他权益工具</w:t>
      </w:r>
      <w:r>
        <w:rPr>
          <w:b w:val="0"/>
          <w:bCs w:val="0"/>
        </w:rPr>
      </w:r>
    </w:p>
    <w:p>
      <w:pPr>
        <w:pStyle w:val="Heading5"/>
        <w:spacing w:line="240" w:lineRule="auto" w:before="56"/>
        <w:ind w:left="212" w:right="25"/>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8"/>
        <w:ind w:right="25"/>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(2)</w:t>
      </w:r>
      <w:r>
        <w:rPr>
          <w:rFonts w:ascii="宋体" w:hAnsi="宋体" w:cs="宋体" w:eastAsia="宋体" w:hint="default"/>
          <w:spacing w:val="-3"/>
        </w:rPr>
        <w:t> </w:t>
      </w:r>
      <w:r>
        <w:rPr/>
        <w:t>期末发行在外的优先股、永续债等金融工具变动情况表</w:t>
      </w:r>
      <w:r>
        <w:rPr>
          <w:b w:val="0"/>
          <w:bCs w:val="0"/>
        </w:rPr>
      </w:r>
    </w:p>
    <w:p>
      <w:pPr>
        <w:pStyle w:val="BodyText"/>
        <w:spacing w:line="240" w:lineRule="auto" w:before="56"/>
        <w:ind w:right="1424"/>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2" w:lineRule="exact"/>
        <w:ind w:right="25"/>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25"/>
        <w:jc w:val="left"/>
        <w:rPr>
          <w:rFonts w:ascii="宋体" w:hAnsi="宋体" w:cs="宋体" w:eastAsia="宋体" w:hint="default"/>
        </w:rPr>
      </w:pPr>
      <w:r>
        <w:rPr/>
        <w:t>其他说明</w:t>
      </w:r>
      <w:r>
        <w:rPr>
          <w:rFonts w:ascii="宋体" w:hAnsi="宋体" w:cs="宋体" w:eastAsia="宋体" w:hint="default"/>
        </w:rPr>
        <w:t>:</w:t>
      </w:r>
    </w:p>
    <w:p>
      <w:pPr>
        <w:pStyle w:val="BodyText"/>
        <w:spacing w:line="274" w:lineRule="exact"/>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55</w:t>
      </w:r>
      <w:r>
        <w:rPr/>
        <w:t>、</w:t>
      </w:r>
      <w:r>
        <w:rPr>
          <w:spacing w:val="-24"/>
        </w:rPr>
        <w:t> </w:t>
      </w:r>
      <w:r>
        <w:rPr/>
        <w:t>资本公积</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791" w:space="4688"/>
            <w:col w:w="2831"/>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1671"/>
        <w:gridCol w:w="1777"/>
        <w:gridCol w:w="1812"/>
        <w:gridCol w:w="1798"/>
        <w:gridCol w:w="1793"/>
      </w:tblGrid>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1,919,348,906.83</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1,919,348,906.83</w:t>
            </w:r>
          </w:p>
        </w:tc>
      </w:tr>
      <w:tr>
        <w:trPr>
          <w:trHeight w:val="281"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1,919,348,906.83</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1,919,348,906.83</w:t>
            </w:r>
          </w:p>
        </w:tc>
      </w:tr>
    </w:tbl>
    <w:p>
      <w:pPr>
        <w:pStyle w:val="BodyText"/>
        <w:spacing w:line="240" w:lineRule="exact"/>
        <w:ind w:right="25"/>
        <w:jc w:val="left"/>
      </w:pPr>
      <w:r>
        <w:rPr/>
        <w:t>其他说明，包括本期增减变动情况、变动原因说明：</w:t>
      </w:r>
    </w:p>
    <w:p>
      <w:pPr>
        <w:pStyle w:val="BodyText"/>
        <w:spacing w:line="274" w:lineRule="exact"/>
        <w:ind w:right="25"/>
        <w:jc w:val="left"/>
      </w:pPr>
      <w:r>
        <w:rPr>
          <w:w w:val="100"/>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56</w:t>
      </w:r>
      <w:r>
        <w:rPr/>
        <w:t>、</w:t>
      </w:r>
      <w:r>
        <w:rPr>
          <w:spacing w:val="-24"/>
        </w:rPr>
        <w:t> </w:t>
      </w:r>
      <w:r>
        <w:rPr/>
        <w:t>库存股</w:t>
      </w:r>
      <w:r>
        <w:rPr>
          <w:b w:val="0"/>
          <w:bCs w:val="0"/>
        </w:rPr>
      </w:r>
    </w:p>
    <w:p>
      <w:pPr>
        <w:pStyle w:val="BodyText"/>
        <w:spacing w:line="240" w:lineRule="auto" w:before="58"/>
        <w:ind w:right="25"/>
        <w:jc w:val="left"/>
      </w:pPr>
      <w:r>
        <w:rPr/>
        <w:t>□适用 √不适用</w:t>
      </w:r>
    </w:p>
    <w:p>
      <w:pPr>
        <w:spacing w:after="0" w:line="240" w:lineRule="auto"/>
        <w:jc w:val="left"/>
        <w:sectPr>
          <w:type w:val="continuous"/>
          <w:pgSz w:w="11910" w:h="16850"/>
          <w:pgMar w:top="1120" w:bottom="1380" w:left="920" w:right="1680"/>
        </w:sectPr>
      </w:pPr>
    </w:p>
    <w:p>
      <w:pPr>
        <w:spacing w:before="20"/>
        <w:ind w:left="6756" w:right="679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1.3pt;height:.75pt;mso-position-horizontal-relative:char;mso-position-vertical-relative:line" coordorigin="0,0" coordsize="14626,15">
            <v:group style="position:absolute;left:7;top:7;width:14612;height:2" coordorigin="7,7" coordsize="14612,2">
              <v:shape style="position:absolute;left:7;top:7;width:14612;height:2" coordorigin="7,7" coordsize="14612,0" path="m7,7l146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67"/>
          <w:footerReference w:type="default" r:id="rId68"/>
          <w:pgSz w:w="16850" w:h="11910" w:orient="landscape"/>
          <w:pgMar w:header="0" w:footer="0" w:top="680" w:bottom="280" w:left="980" w:right="960"/>
        </w:sectPr>
      </w:pPr>
    </w:p>
    <w:p>
      <w:pPr>
        <w:pStyle w:val="Heading5"/>
        <w:spacing w:line="240" w:lineRule="auto" w:before="36"/>
        <w:ind w:left="152" w:right="-19"/>
        <w:jc w:val="left"/>
        <w:rPr>
          <w:b w:val="0"/>
          <w:bCs w:val="0"/>
        </w:rPr>
      </w:pPr>
      <w:r>
        <w:rPr>
          <w:rFonts w:ascii="宋体" w:hAnsi="宋体" w:cs="宋体" w:eastAsia="宋体" w:hint="default"/>
        </w:rPr>
        <w:t>57</w:t>
      </w:r>
      <w:r>
        <w:rPr/>
        <w:t>、</w:t>
      </w:r>
      <w:r>
        <w:rPr>
          <w:spacing w:val="-22"/>
        </w:rPr>
        <w:t> </w:t>
      </w:r>
      <w:r>
        <w:rPr/>
        <w:t>其他综合收益</w:t>
      </w:r>
      <w:r>
        <w:rPr>
          <w:b w:val="0"/>
          <w:bCs w:val="0"/>
        </w:rPr>
      </w:r>
    </w:p>
    <w:p>
      <w:pPr>
        <w:pStyle w:val="BodyText"/>
        <w:spacing w:line="240" w:lineRule="auto" w:before="56"/>
        <w:ind w:left="15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4" w:val="left" w:leader="none"/>
        </w:tabs>
        <w:spacing w:line="240" w:lineRule="auto"/>
        <w:ind w:left="152" w:right="0"/>
        <w:jc w:val="left"/>
      </w:pPr>
      <w:r>
        <w:rPr>
          <w:spacing w:val="-1"/>
        </w:rPr>
        <w:t>单位：元</w:t>
        <w:tab/>
      </w:r>
      <w:r>
        <w:rPr>
          <w:spacing w:val="-2"/>
        </w:rPr>
        <w:t>币种：人民币</w:t>
      </w:r>
    </w:p>
    <w:p>
      <w:pPr>
        <w:spacing w:after="0" w:line="240" w:lineRule="auto"/>
        <w:jc w:val="left"/>
        <w:sectPr>
          <w:type w:val="continuous"/>
          <w:pgSz w:w="16850" w:h="11910" w:orient="landscape"/>
          <w:pgMar w:top="1120" w:bottom="1380" w:left="980" w:right="960"/>
          <w:cols w:num="2" w:equalWidth="0">
            <w:col w:w="1925" w:space="10339"/>
            <w:col w:w="264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97"/>
        <w:gridCol w:w="1561"/>
        <w:gridCol w:w="1558"/>
        <w:gridCol w:w="1985"/>
        <w:gridCol w:w="1702"/>
        <w:gridCol w:w="1844"/>
        <w:gridCol w:w="1988"/>
        <w:gridCol w:w="1728"/>
      </w:tblGrid>
      <w:tr>
        <w:trPr>
          <w:trHeight w:val="242" w:hRule="exact"/>
        </w:trPr>
        <w:tc>
          <w:tcPr>
            <w:tcW w:w="22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32" w:lineRule="exact" w:before="116"/>
              <w:ind w:left="595" w:right="593"/>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0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728" w:type="dxa"/>
            <w:vMerge w:val="restart"/>
            <w:tcBorders>
              <w:top w:val="single" w:sz="4" w:space="0" w:color="000000"/>
              <w:left w:val="single" w:sz="4" w:space="0" w:color="000000"/>
              <w:right w:val="single" w:sz="4" w:space="0" w:color="000000"/>
            </w:tcBorders>
          </w:tcPr>
          <w:p>
            <w:pPr>
              <w:pStyle w:val="TableParagraph"/>
              <w:spacing w:line="232" w:lineRule="exact" w:before="116"/>
              <w:ind w:left="681" w:right="674"/>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8" w:hRule="exact"/>
        </w:trPr>
        <w:tc>
          <w:tcPr>
            <w:tcW w:w="2297"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本期所得税前发</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spacing w:val="-4"/>
                <w:sz w:val="18"/>
                <w:szCs w:val="18"/>
              </w:rPr>
              <w:t>减：前期计入其他综合</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收益当期转入损益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税后归属于少数股东</w:t>
            </w:r>
          </w:p>
        </w:tc>
        <w:tc>
          <w:tcPr>
            <w:tcW w:w="1728" w:type="dxa"/>
            <w:vMerge/>
            <w:tcBorders>
              <w:left w:val="single" w:sz="4" w:space="0" w:color="000000"/>
              <w:bottom w:val="single" w:sz="4" w:space="0" w:color="000000"/>
              <w:right w:val="single" w:sz="4" w:space="0" w:color="000000"/>
            </w:tcBorders>
          </w:tcPr>
          <w:p>
            <w:pPr/>
          </w:p>
        </w:tc>
      </w:tr>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以后不能重分类进损益</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重新计算设定受益计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划净负债和净资产的变动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firstLine="182"/>
              <w:jc w:val="left"/>
              <w:rPr>
                <w:rFonts w:ascii="宋体" w:hAnsi="宋体" w:cs="宋体" w:eastAsia="宋体" w:hint="default"/>
                <w:sz w:val="18"/>
                <w:szCs w:val="18"/>
              </w:rPr>
            </w:pPr>
            <w:r>
              <w:rPr>
                <w:rFonts w:ascii="宋体" w:hAnsi="宋体" w:cs="宋体" w:eastAsia="宋体" w:hint="default"/>
                <w:sz w:val="18"/>
                <w:szCs w:val="18"/>
              </w:rPr>
              <w:t>权益法下在被投资单位</w:t>
            </w:r>
          </w:p>
          <w:p>
            <w:pPr>
              <w:pStyle w:val="TableParagraph"/>
              <w:spacing w:line="232" w:lineRule="exact" w:before="23"/>
              <w:ind w:left="105" w:right="201"/>
              <w:jc w:val="left"/>
              <w:rPr>
                <w:rFonts w:ascii="宋体" w:hAnsi="宋体" w:cs="宋体" w:eastAsia="宋体" w:hint="default"/>
                <w:sz w:val="18"/>
                <w:szCs w:val="18"/>
              </w:rPr>
            </w:pPr>
            <w:r>
              <w:rPr>
                <w:rFonts w:ascii="宋体" w:hAnsi="宋体" w:cs="宋体" w:eastAsia="宋体" w:hint="default"/>
                <w:sz w:val="18"/>
                <w:szCs w:val="18"/>
              </w:rPr>
              <w:t>不能重分类进损益的其他 综合收益中享有的份额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以后将重分类进损益的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10,984,629.54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3,086,732.05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420,159.94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449,967.83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2,216,604.28</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13,201,233.82</w:t>
            </w:r>
          </w:p>
        </w:tc>
      </w:tr>
      <w:tr>
        <w:trPr>
          <w:trHeight w:val="94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权益法下在被投资单</w:t>
            </w:r>
          </w:p>
          <w:p>
            <w:pPr>
              <w:pStyle w:val="TableParagraph"/>
              <w:spacing w:line="232" w:lineRule="exact" w:before="24"/>
              <w:ind w:left="105" w:right="201"/>
              <w:jc w:val="both"/>
              <w:rPr>
                <w:rFonts w:ascii="宋体" w:hAnsi="宋体" w:cs="宋体" w:eastAsia="宋体" w:hint="default"/>
                <w:sz w:val="18"/>
                <w:szCs w:val="18"/>
              </w:rPr>
            </w:pPr>
            <w:r>
              <w:rPr>
                <w:rFonts w:ascii="宋体" w:hAnsi="宋体" w:cs="宋体" w:eastAsia="宋体" w:hint="default"/>
                <w:sz w:val="18"/>
                <w:szCs w:val="18"/>
              </w:rPr>
              <w:t>位以后将重分类进损益的 其他综合收益中享有的份 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162,015.65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162,015.65</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162,015.65</w:t>
            </w:r>
          </w:p>
        </w:tc>
      </w:tr>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可供出售金融资产公允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11,008,260.22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2,958,146.80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420,159.94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449,967.83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2,088,019.03</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13,096,279.25</w:t>
            </w:r>
          </w:p>
        </w:tc>
      </w:tr>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持有至到期投资重分类</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8" w:right="0"/>
              <w:jc w:val="left"/>
              <w:rPr>
                <w:rFonts w:ascii="宋体" w:hAnsi="宋体" w:cs="宋体" w:eastAsia="宋体" w:hint="default"/>
                <w:sz w:val="18"/>
                <w:szCs w:val="18"/>
              </w:rPr>
            </w:pPr>
            <w:r>
              <w:rPr>
                <w:rFonts w:ascii="宋体" w:hAnsi="宋体" w:cs="宋体" w:eastAsia="宋体" w:hint="default"/>
                <w:sz w:val="18"/>
                <w:szCs w:val="18"/>
              </w:rPr>
              <w:t>现金流量套期损益的有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-23,630.68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-33,430.40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-33,430.40</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-57,061.08</w:t>
            </w:r>
          </w:p>
        </w:tc>
      </w:tr>
      <w:tr>
        <w:trPr>
          <w:trHeight w:val="245"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10,984,629.54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3,086,732.05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420,159.94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449,967.83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2,216,604.28</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13,201,233.82</w:t>
            </w:r>
          </w:p>
        </w:tc>
      </w:tr>
    </w:tbl>
    <w:p>
      <w:pPr>
        <w:spacing w:line="240" w:lineRule="auto" w:before="12"/>
        <w:rPr>
          <w:rFonts w:ascii="宋体" w:hAnsi="宋体" w:cs="宋体" w:eastAsia="宋体" w:hint="default"/>
          <w:sz w:val="19"/>
          <w:szCs w:val="19"/>
        </w:rPr>
      </w:pPr>
    </w:p>
    <w:p>
      <w:pPr>
        <w:pStyle w:val="BodyText"/>
        <w:spacing w:line="290" w:lineRule="auto" w:before="36"/>
        <w:ind w:left="152" w:right="6862"/>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63"/>
        <w:ind w:left="6756" w:right="6777" w:firstLine="0"/>
        <w:jc w:val="center"/>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175</w:t>
      </w:r>
      <w:r>
        <w:rPr>
          <w:rFonts w:ascii="Calibri"/>
          <w:sz w:val="18"/>
        </w:rPr>
      </w:r>
    </w:p>
    <w:p>
      <w:pPr>
        <w:spacing w:after="0"/>
        <w:jc w:val="center"/>
        <w:rPr>
          <w:rFonts w:ascii="Calibri" w:hAnsi="Calibri" w:cs="Calibri" w:eastAsia="Calibri" w:hint="default"/>
          <w:sz w:val="18"/>
          <w:szCs w:val="18"/>
        </w:rPr>
        <w:sectPr>
          <w:type w:val="continuous"/>
          <w:pgSz w:w="16850" w:h="11910" w:orient="landscape"/>
          <w:pgMar w:top="1120" w:bottom="1380" w:left="980" w:right="96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5"/>
        <w:spacing w:line="240" w:lineRule="auto"/>
        <w:ind w:left="152" w:right="7399"/>
        <w:jc w:val="left"/>
        <w:rPr>
          <w:b w:val="0"/>
          <w:bCs w:val="0"/>
        </w:rPr>
      </w:pPr>
      <w:r>
        <w:rPr>
          <w:rFonts w:ascii="宋体" w:hAnsi="宋体" w:cs="宋体" w:eastAsia="宋体" w:hint="default"/>
        </w:rPr>
        <w:t>58</w:t>
      </w:r>
      <w:r>
        <w:rPr/>
        <w:t>、</w:t>
      </w:r>
      <w:r>
        <w:rPr>
          <w:spacing w:val="-24"/>
        </w:rPr>
        <w:t> </w:t>
      </w:r>
      <w:r>
        <w:rPr/>
        <w:t>专项储备</w:t>
      </w:r>
      <w:r>
        <w:rPr>
          <w:b w:val="0"/>
          <w:bCs w:val="0"/>
        </w:rPr>
      </w:r>
    </w:p>
    <w:p>
      <w:pPr>
        <w:pStyle w:val="BodyText"/>
        <w:spacing w:line="240" w:lineRule="auto" w:before="56"/>
        <w:ind w:left="152" w:right="7399"/>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9"/>
          <w:pgSz w:w="11910" w:h="16850"/>
          <w:pgMar w:footer="941" w:header="0" w:top="1000" w:bottom="1140" w:left="980" w:right="1680"/>
          <w:pgNumType w:start="132"/>
        </w:sectPr>
      </w:pPr>
    </w:p>
    <w:p>
      <w:pPr>
        <w:pStyle w:val="Heading5"/>
        <w:spacing w:line="240" w:lineRule="auto" w:before="36"/>
        <w:ind w:left="152" w:right="-17"/>
        <w:jc w:val="left"/>
        <w:rPr>
          <w:b w:val="0"/>
          <w:bCs w:val="0"/>
        </w:rPr>
      </w:pPr>
      <w:r>
        <w:rPr>
          <w:rFonts w:ascii="宋体" w:hAnsi="宋体" w:cs="宋体" w:eastAsia="宋体" w:hint="default"/>
        </w:rPr>
        <w:t>59</w:t>
      </w:r>
      <w:r>
        <w:rPr/>
        <w:t>、</w:t>
      </w:r>
      <w:r>
        <w:rPr>
          <w:spacing w:val="-24"/>
        </w:rPr>
        <w:t> </w:t>
      </w:r>
      <w:r>
        <w:rPr/>
        <w:t>盈余公积</w:t>
      </w:r>
      <w:r>
        <w:rPr>
          <w:b w:val="0"/>
          <w:bCs w:val="0"/>
        </w:rPr>
      </w:r>
    </w:p>
    <w:p>
      <w:pPr>
        <w:pStyle w:val="BodyText"/>
        <w:spacing w:line="240" w:lineRule="auto" w:before="56"/>
        <w:ind w:left="152"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1731" w:space="4748"/>
            <w:col w:w="277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666"/>
        <w:gridCol w:w="1789"/>
        <w:gridCol w:w="1796"/>
        <w:gridCol w:w="1807"/>
        <w:gridCol w:w="1793"/>
      </w:tblGrid>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sz w:val="21"/>
              </w:rPr>
              <w:t>187,559,754.85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 w:right="0"/>
              <w:jc w:val="center"/>
              <w:rPr>
                <w:rFonts w:ascii="宋体" w:hAnsi="宋体" w:cs="宋体" w:eastAsia="宋体" w:hint="default"/>
                <w:sz w:val="21"/>
                <w:szCs w:val="21"/>
              </w:rPr>
            </w:pPr>
            <w:r>
              <w:rPr>
                <w:rFonts w:ascii="宋体"/>
                <w:sz w:val="21"/>
              </w:rPr>
              <w:t>1,509,128.20</w:t>
            </w:r>
          </w:p>
        </w:tc>
        <w:tc>
          <w:tcPr>
            <w:tcW w:w="1807"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189,068,883.05</w:t>
            </w:r>
          </w:p>
        </w:tc>
      </w:tr>
      <w:tr>
        <w:trPr>
          <w:trHeight w:val="281"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9"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sz w:val="21"/>
              </w:rPr>
              <w:t>187,559,754.85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 w:right="0"/>
              <w:jc w:val="center"/>
              <w:rPr>
                <w:rFonts w:ascii="宋体" w:hAnsi="宋体" w:cs="宋体" w:eastAsia="宋体" w:hint="default"/>
                <w:sz w:val="21"/>
                <w:szCs w:val="21"/>
              </w:rPr>
            </w:pPr>
            <w:r>
              <w:rPr>
                <w:rFonts w:ascii="宋体"/>
                <w:sz w:val="21"/>
              </w:rPr>
              <w:t>1,509,128.20</w:t>
            </w:r>
          </w:p>
        </w:tc>
        <w:tc>
          <w:tcPr>
            <w:tcW w:w="1807"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189,068,883.05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80" w:right="1680"/>
        </w:sectPr>
      </w:pPr>
    </w:p>
    <w:p>
      <w:pPr>
        <w:pStyle w:val="BodyText"/>
        <w:spacing w:line="290" w:lineRule="auto" w:before="36"/>
        <w:ind w:left="152" w:right="0"/>
        <w:jc w:val="left"/>
      </w:pPr>
      <w:r>
        <w:rPr>
          <w:spacing w:val="-2"/>
        </w:rPr>
        <w:t>盈余公积说明，包括本期增减变动情况、变动原因说明：</w:t>
      </w:r>
      <w:r>
        <w:rPr>
          <w:spacing w:val="-55"/>
        </w:rPr>
        <w:t> </w:t>
      </w:r>
      <w:r>
        <w:rPr>
          <w:spacing w:val="-55"/>
        </w:rPr>
      </w:r>
      <w:r>
        <w:rPr/>
        <w:t>无</w:t>
      </w:r>
    </w:p>
    <w:p>
      <w:pPr>
        <w:pStyle w:val="Heading5"/>
        <w:spacing w:line="240" w:lineRule="auto" w:before="12"/>
        <w:ind w:left="152" w:right="0"/>
        <w:jc w:val="left"/>
        <w:rPr>
          <w:b w:val="0"/>
          <w:bCs w:val="0"/>
        </w:rPr>
      </w:pPr>
      <w:r>
        <w:rPr>
          <w:rFonts w:ascii="宋体" w:hAnsi="宋体" w:cs="宋体" w:eastAsia="宋体" w:hint="default"/>
        </w:rPr>
        <w:t>60</w:t>
      </w:r>
      <w:r>
        <w:rPr/>
        <w:t>、</w:t>
      </w:r>
      <w:r>
        <w:rPr>
          <w:spacing w:val="-24"/>
        </w:rPr>
        <w:t> </w:t>
      </w:r>
      <w:r>
        <w:rPr/>
        <w:t>未分配利润</w:t>
      </w:r>
      <w:r>
        <w:rPr>
          <w:b w:val="0"/>
          <w:bCs w:val="0"/>
        </w:rPr>
      </w:r>
    </w:p>
    <w:p>
      <w:pPr>
        <w:pStyle w:val="BodyText"/>
        <w:spacing w:line="240" w:lineRule="auto" w:before="58"/>
        <w:ind w:left="152"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5410" w:space="1069"/>
            <w:col w:w="277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14"/>
        <w:gridCol w:w="2763"/>
        <w:gridCol w:w="2677"/>
      </w:tblGrid>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4"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
              <w:jc w:val="right"/>
              <w:rPr>
                <w:rFonts w:ascii="宋体" w:hAnsi="宋体" w:cs="宋体" w:eastAsia="宋体" w:hint="default"/>
                <w:sz w:val="21"/>
                <w:szCs w:val="21"/>
              </w:rPr>
            </w:pPr>
            <w:r>
              <w:rPr>
                <w:rFonts w:ascii="宋体"/>
                <w:spacing w:val="-1"/>
                <w:sz w:val="21"/>
              </w:rPr>
              <w:t>863,461,866.33</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799,309,838.47</w:t>
            </w:r>
          </w:p>
        </w:tc>
      </w:tr>
      <w:tr>
        <w:trPr>
          <w:trHeight w:val="554"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863,461,866.33</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799,309,838.47</w:t>
            </w:r>
          </w:p>
        </w:tc>
      </w:tr>
      <w:tr>
        <w:trPr>
          <w:trHeight w:val="554"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54,768,831.34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243,815,063.88</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1,509,128.20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19,663,036.02</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63"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63"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146,400,000.00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160,000,000.00</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63"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4"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770,321,569.47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863,461,866.33</w:t>
            </w:r>
          </w:p>
        </w:tc>
      </w:tr>
    </w:tbl>
    <w:p>
      <w:pPr>
        <w:spacing w:line="240" w:lineRule="auto" w:before="2"/>
        <w:rPr>
          <w:rFonts w:ascii="宋体" w:hAnsi="宋体" w:cs="宋体" w:eastAsia="宋体" w:hint="default"/>
          <w:sz w:val="20"/>
          <w:szCs w:val="20"/>
        </w:rPr>
      </w:pPr>
    </w:p>
    <w:p>
      <w:pPr>
        <w:pStyle w:val="BodyText"/>
        <w:spacing w:line="290" w:lineRule="auto" w:before="36"/>
        <w:ind w:left="152" w:right="842"/>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7"/>
        </w:rPr>
        <w:t> </w:t>
      </w:r>
      <w:r>
        <w:rPr>
          <w:spacing w:val="-3"/>
        </w:rPr>
        <w:t>元。</w:t>
      </w:r>
      <w:r>
        <w:rPr/>
      </w:r>
    </w:p>
    <w:p>
      <w:pPr>
        <w:pStyle w:val="BodyText"/>
        <w:spacing w:line="228" w:lineRule="exact"/>
        <w:ind w:left="152" w:right="296"/>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6"/>
        </w:rPr>
        <w:t> </w:t>
      </w:r>
      <w:r>
        <w:rPr/>
        <w:t>元。</w:t>
      </w:r>
    </w:p>
    <w:p>
      <w:pPr>
        <w:pStyle w:val="BodyText"/>
        <w:spacing w:line="272" w:lineRule="exact"/>
        <w:ind w:left="152" w:right="296"/>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
    </w:p>
    <w:p>
      <w:pPr>
        <w:pStyle w:val="BodyText"/>
        <w:spacing w:line="272" w:lineRule="exact"/>
        <w:ind w:left="152" w:right="296"/>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7"/>
        </w:rPr>
        <w:t> </w:t>
      </w:r>
      <w:r>
        <w:rPr/>
        <w:t>元。</w:t>
      </w:r>
    </w:p>
    <w:p>
      <w:pPr>
        <w:pStyle w:val="BodyText"/>
        <w:spacing w:line="273" w:lineRule="exact"/>
        <w:ind w:left="152" w:right="296"/>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80" w:right="1680"/>
        </w:sectPr>
      </w:pPr>
    </w:p>
    <w:p>
      <w:pPr>
        <w:pStyle w:val="Heading5"/>
        <w:spacing w:line="240" w:lineRule="auto" w:before="36"/>
        <w:ind w:left="152" w:right="-17"/>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152"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2559" w:space="3920"/>
            <w:col w:w="2771"/>
          </w:cols>
        </w:sectPr>
      </w:pPr>
    </w:p>
    <w:p>
      <w:pPr>
        <w:spacing w:line="240" w:lineRule="auto" w:before="7"/>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1299"/>
        <w:gridCol w:w="1897"/>
        <w:gridCol w:w="1896"/>
        <w:gridCol w:w="1896"/>
        <w:gridCol w:w="1897"/>
      </w:tblGrid>
      <w:tr>
        <w:trPr>
          <w:trHeight w:val="281" w:hRule="exact"/>
        </w:trPr>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299"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1" w:lineRule="exact"/>
        <w:jc w:val="center"/>
        <w:rPr>
          <w:rFonts w:ascii="宋体" w:hAnsi="宋体" w:cs="宋体" w:eastAsia="宋体" w:hint="default"/>
          <w:sz w:val="21"/>
          <w:szCs w:val="21"/>
        </w:rPr>
        <w:sectPr>
          <w:type w:val="continuous"/>
          <w:pgSz w:w="11910" w:h="16850"/>
          <w:pgMar w:top="1120" w:bottom="1380" w:left="980" w:right="1680"/>
        </w:sectPr>
      </w:pPr>
    </w:p>
    <w:p>
      <w:pPr>
        <w:spacing w:line="240" w:lineRule="auto" w:before="9"/>
        <w:rPr>
          <w:rFonts w:ascii="宋体" w:hAnsi="宋体" w:cs="宋体" w:eastAsia="宋体" w:hint="default"/>
          <w:sz w:val="9"/>
          <w:szCs w:val="9"/>
        </w:rPr>
      </w:pPr>
    </w:p>
    <w:tbl>
      <w:tblPr>
        <w:tblW w:w="0" w:type="auto"/>
        <w:jc w:val="left"/>
        <w:tblInd w:w="222" w:type="dxa"/>
        <w:tblLayout w:type="fixed"/>
        <w:tblCellMar>
          <w:top w:w="0" w:type="dxa"/>
          <w:left w:w="0" w:type="dxa"/>
          <w:bottom w:w="0" w:type="dxa"/>
          <w:right w:w="0" w:type="dxa"/>
        </w:tblCellMar>
        <w:tblLook w:val="01E0"/>
      </w:tblPr>
      <w:tblGrid>
        <w:gridCol w:w="1299"/>
        <w:gridCol w:w="1897"/>
        <w:gridCol w:w="1896"/>
        <w:gridCol w:w="1896"/>
        <w:gridCol w:w="1897"/>
      </w:tblGrid>
      <w:tr>
        <w:trPr>
          <w:trHeight w:val="283"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2,501,066,365.89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1,518,534,051.09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2,006,776,179.48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1,205,634,266.72</w:t>
            </w:r>
          </w:p>
        </w:tc>
      </w:tr>
      <w:tr>
        <w:trPr>
          <w:trHeight w:val="28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282,847,994.71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241,673,202.09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344,984,071.02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233,060,176.78</w:t>
            </w:r>
          </w:p>
        </w:tc>
      </w:tr>
      <w:tr>
        <w:trPr>
          <w:trHeight w:val="283"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2,783,914,360.60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1,760,207,253.18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2,351,760,250.50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1,438,694,443.50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41" w:top="1000" w:bottom="1140" w:left="920" w:right="1680"/>
        </w:sectPr>
      </w:pPr>
    </w:p>
    <w:p>
      <w:pPr>
        <w:pStyle w:val="Heading5"/>
        <w:spacing w:line="240" w:lineRule="auto" w:before="36"/>
        <w:ind w:left="212" w:right="-1"/>
        <w:jc w:val="left"/>
        <w:rPr>
          <w:b w:val="0"/>
          <w:bCs w:val="0"/>
        </w:rPr>
      </w:pPr>
      <w:r>
        <w:rPr>
          <w:rFonts w:ascii="宋体" w:hAnsi="宋体" w:cs="宋体" w:eastAsia="宋体" w:hint="default"/>
        </w:rPr>
        <w:t>62</w:t>
      </w:r>
      <w:r>
        <w:rPr/>
        <w:t>、</w:t>
      </w:r>
      <w:r>
        <w:rPr>
          <w:spacing w:val="-24"/>
        </w:rPr>
        <w:t> </w:t>
      </w:r>
      <w:r>
        <w:rPr/>
        <w:t>税金及附加</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791" w:space="4688"/>
            <w:col w:w="2831"/>
          </w:cols>
        </w:sectPr>
      </w:pPr>
    </w:p>
    <w:p>
      <w:pPr>
        <w:spacing w:line="240" w:lineRule="auto" w:before="4"/>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2845"/>
        <w:gridCol w:w="2715"/>
        <w:gridCol w:w="3121"/>
      </w:tblGrid>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2"/>
              <w:jc w:val="right"/>
              <w:rPr>
                <w:rFonts w:ascii="宋体" w:hAnsi="宋体" w:cs="宋体" w:eastAsia="宋体" w:hint="default"/>
                <w:sz w:val="21"/>
                <w:szCs w:val="21"/>
              </w:rPr>
            </w:pPr>
            <w:r>
              <w:rPr>
                <w:rFonts w:ascii="宋体" w:hAnsi="宋体" w:cs="宋体" w:eastAsia="宋体" w:hint="default"/>
                <w:sz w:val="21"/>
                <w:szCs w:val="21"/>
              </w:rPr>
              <w:t>项目</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715"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15"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1,463,372.73</w:t>
            </w: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9,973,211.88</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9,422,217.74</w:t>
            </w:r>
          </w:p>
        </w:tc>
      </w:tr>
      <w:tr>
        <w:trPr>
          <w:trHeight w:val="289"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7,894,962.25</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6,822,231.12</w:t>
            </w:r>
          </w:p>
        </w:tc>
      </w:tr>
      <w:tr>
        <w:trPr>
          <w:trHeight w:val="28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715"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
              <w:jc w:val="right"/>
              <w:rPr>
                <w:rFonts w:ascii="宋体" w:hAnsi="宋体" w:cs="宋体" w:eastAsia="宋体" w:hint="default"/>
                <w:sz w:val="21"/>
                <w:szCs w:val="21"/>
              </w:rPr>
            </w:pPr>
            <w:r>
              <w:rPr>
                <w:rFonts w:ascii="宋体"/>
                <w:spacing w:val="-1"/>
                <w:sz w:val="21"/>
              </w:rPr>
              <w:t>6,159,170.74</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2,740,787.28</w:t>
            </w: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4,394,179.91</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2,204,520.97</w:t>
            </w: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47,156.00</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13,823.40</w:t>
            </w:r>
          </w:p>
        </w:tc>
      </w:tr>
      <w:tr>
        <w:trPr>
          <w:trHeight w:val="28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1,588,100.52</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797,651.31</w:t>
            </w: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
        </w:tc>
        <w:tc>
          <w:tcPr>
            <w:tcW w:w="2715"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
        </w:tc>
        <w:tc>
          <w:tcPr>
            <w:tcW w:w="2715"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2"/>
              <w:jc w:val="right"/>
              <w:rPr>
                <w:rFonts w:ascii="宋体" w:hAnsi="宋体" w:cs="宋体" w:eastAsia="宋体" w:hint="default"/>
                <w:sz w:val="21"/>
                <w:szCs w:val="21"/>
              </w:rPr>
            </w:pPr>
            <w:r>
              <w:rPr>
                <w:rFonts w:ascii="宋体" w:hAnsi="宋体" w:cs="宋体" w:eastAsia="宋体" w:hint="default"/>
                <w:sz w:val="21"/>
                <w:szCs w:val="21"/>
              </w:rPr>
              <w:t>合计</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30,056,781.30</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23,464,604.55</w:t>
            </w:r>
          </w:p>
        </w:tc>
      </w:tr>
    </w:tbl>
    <w:p>
      <w:pPr>
        <w:spacing w:line="240" w:lineRule="auto" w:before="13"/>
        <w:rPr>
          <w:rFonts w:ascii="宋体" w:hAnsi="宋体" w:cs="宋体" w:eastAsia="宋体" w:hint="default"/>
          <w:sz w:val="19"/>
          <w:szCs w:val="19"/>
        </w:rPr>
      </w:pPr>
    </w:p>
    <w:p>
      <w:pPr>
        <w:pStyle w:val="BodyText"/>
        <w:spacing w:line="290" w:lineRule="auto" w:before="36"/>
        <w:ind w:right="4013"/>
        <w:jc w:val="left"/>
      </w:pPr>
      <w:r>
        <w:rPr/>
        <w:t>其他说明：</w:t>
      </w:r>
      <w:r>
        <w:rPr>
          <w:spacing w:val="-102"/>
        </w:rPr>
        <w:t> </w:t>
      </w:r>
      <w:r>
        <w:rPr>
          <w:spacing w:val="-102"/>
        </w:rPr>
      </w:r>
      <w:r>
        <w:rPr>
          <w:spacing w:val="-2"/>
        </w:rPr>
        <w:t>各项税金及附加的计缴标准详见附注六、税项。</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63</w:t>
      </w:r>
      <w:r>
        <w:rPr/>
        <w:t>、</w:t>
      </w:r>
      <w:r>
        <w:rPr>
          <w:spacing w:val="-24"/>
        </w:rPr>
        <w:t> </w:t>
      </w:r>
      <w:r>
        <w:rPr/>
        <w:t>销售费用</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791" w:space="4688"/>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43"/>
        <w:gridCol w:w="2696"/>
        <w:gridCol w:w="3118"/>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229,456,134.40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172,267,929.20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244,251,341.75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173,410,805.62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80,389,634.01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79,575,313.48</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22,511,044.03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14,569,182.23</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18,317,148.40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30,907,881.95</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9,604,145.92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8,455,071.46</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售后服务费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16,985,289.79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9,854,336.02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41,076,879.05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6,365,275.94</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32,040,981.77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25,113,596.88</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3"/>
              <w:jc w:val="right"/>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694,632,599.12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520,519,392.78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64</w:t>
      </w:r>
      <w:r>
        <w:rPr/>
        <w:t>、</w:t>
      </w:r>
      <w:r>
        <w:rPr>
          <w:spacing w:val="-24"/>
        </w:rPr>
        <w:t> </w:t>
      </w:r>
      <w:r>
        <w:rPr/>
        <w:t>管理费用</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791" w:space="4688"/>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43"/>
        <w:gridCol w:w="3634"/>
        <w:gridCol w:w="2429"/>
      </w:tblGrid>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87,267,789.86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84,020,231.67</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63,567,869.77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37,883,770.26</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40,071,620.06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29,636,072.15</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19,045,513.36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7,379,301.20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118,442.42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3,026,784.45</w:t>
            </w:r>
          </w:p>
        </w:tc>
      </w:tr>
    </w:tbl>
    <w:p>
      <w:pPr>
        <w:spacing w:after="0" w:line="243" w:lineRule="exact"/>
        <w:jc w:val="right"/>
        <w:rPr>
          <w:rFonts w:ascii="宋体" w:hAnsi="宋体" w:cs="宋体" w:eastAsia="宋体" w:hint="default"/>
          <w:sz w:val="21"/>
          <w:szCs w:val="21"/>
        </w:rPr>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943"/>
        <w:gridCol w:w="3634"/>
        <w:gridCol w:w="2429"/>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9,165,126.67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10,325,318.87</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9,557,966.58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2,399,257.89</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2,479,890.76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2,425,966.45</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3,524,303.90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2,294,975.91</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1,910,323.31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1,475,316.94</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培训费用</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3,478,159.15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1,485,549.89</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3634"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1,411,290.65</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停工费用</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2,505,910.55</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17,667,111.44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12,044,858.66</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260,360,027.83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195,808,694.99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41" w:top="1000" w:bottom="1140" w:left="920" w:right="1680"/>
        </w:sectPr>
      </w:pPr>
    </w:p>
    <w:p>
      <w:pPr>
        <w:pStyle w:val="Heading5"/>
        <w:spacing w:line="240" w:lineRule="auto" w:before="36"/>
        <w:ind w:left="212" w:right="-17"/>
        <w:jc w:val="left"/>
        <w:rPr>
          <w:b w:val="0"/>
          <w:bCs w:val="0"/>
        </w:rPr>
      </w:pPr>
      <w:r>
        <w:rPr>
          <w:rFonts w:ascii="宋体" w:hAnsi="宋体" w:cs="宋体" w:eastAsia="宋体" w:hint="default"/>
        </w:rPr>
        <w:t>65</w:t>
      </w:r>
      <w:r>
        <w:rPr/>
        <w:t>、</w:t>
      </w:r>
      <w:r>
        <w:rPr>
          <w:spacing w:val="-24"/>
        </w:rPr>
        <w:t> </w:t>
      </w:r>
      <w:r>
        <w:rPr/>
        <w:t>财务费用</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791" w:space="4688"/>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87"/>
        <w:gridCol w:w="2590"/>
        <w:gridCol w:w="2429"/>
      </w:tblGrid>
      <w:tr>
        <w:trPr>
          <w:trHeight w:val="283"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41,833,766.06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8,119,758.33</w:t>
            </w:r>
          </w:p>
        </w:tc>
      </w:tr>
      <w:tr>
        <w:trPr>
          <w:trHeight w:val="281"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-3,793,188.81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-1,530,652.46</w:t>
            </w:r>
          </w:p>
        </w:tc>
      </w:tr>
      <w:tr>
        <w:trPr>
          <w:trHeight w:val="283"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承兑汇票贴息</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121,622.94</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2,867,862.46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-4,433,949.85</w:t>
            </w:r>
          </w:p>
        </w:tc>
      </w:tr>
      <w:tr>
        <w:trPr>
          <w:trHeight w:val="281"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1,649,026.66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2,104,883.75</w:t>
            </w:r>
          </w:p>
        </w:tc>
      </w:tr>
      <w:tr>
        <w:trPr>
          <w:trHeight w:val="283"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42,679,089.31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4,260,039.77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40" w:lineRule="auto" w:before="36"/>
        <w:ind w:left="212" w:right="-18"/>
        <w:jc w:val="left"/>
        <w:rPr>
          <w:b w:val="0"/>
          <w:bCs w:val="0"/>
        </w:rPr>
      </w:pPr>
      <w:r>
        <w:rPr>
          <w:rFonts w:ascii="宋体" w:hAnsi="宋体" w:cs="宋体" w:eastAsia="宋体" w:hint="default"/>
        </w:rPr>
        <w:t>66</w:t>
      </w:r>
      <w:r>
        <w:rPr/>
        <w:t>、</w:t>
      </w:r>
      <w:r>
        <w:rPr>
          <w:spacing w:val="-23"/>
        </w:rPr>
        <w:t> </w:t>
      </w:r>
      <w:r>
        <w:rPr/>
        <w:t>资产减值损失</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985" w:space="4494"/>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83"/>
        <w:gridCol w:w="2561"/>
        <w:gridCol w:w="3063"/>
      </w:tblGrid>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17,752,769.94</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5,732,408.84</w:t>
            </w:r>
          </w:p>
        </w:tc>
      </w:tr>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611,771.95</w:t>
            </w: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11,029,000.00</w:t>
            </w: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Arial Narrow" w:hAnsi="Arial Narrow" w:cs="Arial Narrow" w:eastAsia="Arial Narrow" w:hint="default"/>
                <w:sz w:val="24"/>
                <w:szCs w:val="24"/>
              </w:rPr>
            </w:pPr>
            <w:r>
              <w:rPr>
                <w:rFonts w:ascii="Arial Narrow"/>
                <w:spacing w:val="-1"/>
                <w:sz w:val="24"/>
              </w:rPr>
              <w:t>353,504.11</w:t>
            </w: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29,747,046.00</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5,732,408.84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212" w:right="25"/>
        <w:jc w:val="left"/>
        <w:rPr>
          <w:b w:val="0"/>
          <w:bCs w:val="0"/>
        </w:rPr>
      </w:pPr>
      <w:r>
        <w:rPr>
          <w:rFonts w:ascii="宋体" w:hAnsi="宋体" w:cs="宋体" w:eastAsia="宋体" w:hint="default"/>
        </w:rPr>
        <w:t>67</w:t>
      </w:r>
      <w:r>
        <w:rPr/>
        <w:t>、</w:t>
      </w:r>
      <w:r>
        <w:rPr>
          <w:spacing w:val="-23"/>
        </w:rPr>
        <w:t> </w:t>
      </w:r>
      <w:r>
        <w:rPr/>
        <w:t>公允价值变动收益</w:t>
      </w:r>
      <w:r>
        <w:rPr>
          <w:b w:val="0"/>
          <w:bCs w:val="0"/>
        </w:rPr>
      </w:r>
    </w:p>
    <w:p>
      <w:pPr>
        <w:pStyle w:val="BodyText"/>
        <w:spacing w:line="240" w:lineRule="auto" w:before="58"/>
        <w:ind w:right="25"/>
        <w:jc w:val="left"/>
      </w:pPr>
      <w:r>
        <w:rPr/>
        <w:t>□适用 √不适用</w:t>
      </w:r>
    </w:p>
    <w:p>
      <w:pPr>
        <w:spacing w:after="0" w:line="240" w:lineRule="auto"/>
        <w:jc w:val="left"/>
        <w:sectPr>
          <w:type w:val="continuous"/>
          <w:pgSz w:w="11910" w:h="16850"/>
          <w:pgMar w:top="1120" w:bottom="1380" w:left="920" w:right="1680"/>
        </w:sectPr>
      </w:pPr>
    </w:p>
    <w:p>
      <w:pPr>
        <w:pStyle w:val="Heading5"/>
        <w:spacing w:line="240" w:lineRule="auto" w:before="93"/>
        <w:ind w:left="212" w:right="-17"/>
        <w:jc w:val="left"/>
        <w:rPr>
          <w:b w:val="0"/>
          <w:bCs w:val="0"/>
        </w:rPr>
      </w:pPr>
      <w:r>
        <w:rPr>
          <w:rFonts w:ascii="宋体" w:hAnsi="宋体" w:cs="宋体" w:eastAsia="宋体" w:hint="default"/>
        </w:rPr>
        <w:t>68</w:t>
      </w:r>
      <w:r>
        <w:rPr/>
        <w:t>、</w:t>
      </w:r>
      <w:r>
        <w:rPr>
          <w:spacing w:val="-24"/>
        </w:rPr>
        <w:t> </w:t>
      </w:r>
      <w:r>
        <w:rPr/>
        <w:t>投资收益</w:t>
      </w:r>
      <w:r>
        <w:rPr>
          <w:b w:val="0"/>
          <w:bCs w:val="0"/>
        </w:rPr>
      </w:r>
    </w:p>
    <w:p>
      <w:pPr>
        <w:pStyle w:val="BodyText"/>
        <w:spacing w:line="240" w:lineRule="auto" w:before="59"/>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3" w:val="left" w:leader="none"/>
        </w:tabs>
        <w:spacing w:line="240" w:lineRule="auto" w:before="175"/>
        <w:ind w:right="0"/>
        <w:jc w:val="left"/>
      </w:pPr>
      <w:r>
        <w:rPr>
          <w:spacing w:val="-1"/>
        </w:rPr>
        <w:t>单位：元</w:t>
        <w:tab/>
        <w:t>币种：人民币</w:t>
      </w:r>
    </w:p>
    <w:p>
      <w:pPr>
        <w:spacing w:after="0" w:line="240" w:lineRule="auto"/>
        <w:jc w:val="left"/>
        <w:sectPr>
          <w:pgSz w:w="11910" w:h="16850"/>
          <w:pgMar w:header="0" w:footer="941" w:top="1000" w:bottom="1140" w:left="920" w:right="1680"/>
          <w:cols w:num="2" w:equalWidth="0">
            <w:col w:w="1791" w:space="4688"/>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83"/>
        <w:gridCol w:w="2561"/>
        <w:gridCol w:w="3063"/>
      </w:tblGrid>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2,713,235.23</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-3,396,636.47</w:t>
            </w: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649,316.13</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-872,991.19</w:t>
            </w:r>
          </w:p>
        </w:tc>
      </w:tr>
      <w:tr>
        <w:trPr>
          <w:trHeight w:val="826"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19,322,524.08</w:t>
            </w: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1,165,216.35</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55,000.00</w:t>
            </w:r>
          </w:p>
        </w:tc>
      </w:tr>
      <w:tr>
        <w:trPr>
          <w:trHeight w:val="554"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16,828,265.33</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407,692.53</w:t>
            </w:r>
          </w:p>
        </w:tc>
      </w:tr>
      <w:tr>
        <w:trPr>
          <w:trHeight w:val="557"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57,922,297.87</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123,835,115.55</w:t>
            </w: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私募债券收益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2,205,496.00</w:t>
            </w:r>
          </w:p>
        </w:tc>
      </w:tr>
      <w:tr>
        <w:trPr>
          <w:trHeight w:val="28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98,600,854.99</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122,233,676.42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spacing w:line="290" w:lineRule="auto" w:before="36"/>
        <w:ind w:left="212" w:right="106"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55" w:val="left" w:leader="none"/>
        </w:tabs>
        <w:spacing w:line="230" w:lineRule="exact"/>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896" w:space="4583"/>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03"/>
        <w:gridCol w:w="2295"/>
        <w:gridCol w:w="2302"/>
        <w:gridCol w:w="2307"/>
      </w:tblGrid>
      <w:tr>
        <w:trPr>
          <w:trHeight w:val="557"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554"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得合计</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置利得</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67,018.00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13,201,644.28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67,018.00</w:t>
            </w:r>
          </w:p>
        </w:tc>
      </w:tr>
      <w:tr>
        <w:trPr>
          <w:trHeight w:val="283"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1,351,585.66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2,453,247.24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1,351,585.66</w:t>
            </w:r>
          </w:p>
        </w:tc>
      </w:tr>
      <w:tr>
        <w:trPr>
          <w:trHeight w:val="281" w:hRule="exact"/>
        </w:trPr>
        <w:tc>
          <w:tcPr>
            <w:tcW w:w="210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1,418,603.66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15,654,891.52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1,418,603.66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50"/>
          <w:pgMar w:top="1120" w:bottom="1380" w:left="920" w:right="168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63"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50"/>
          <w:pgMar w:top="1120" w:bottom="1380" w:left="920" w:right="1680"/>
          <w:cols w:num="2" w:equalWidth="0">
            <w:col w:w="2527" w:space="3954"/>
            <w:col w:w="2829"/>
          </w:cols>
        </w:sectPr>
      </w:pPr>
    </w:p>
    <w:p>
      <w:pPr>
        <w:spacing w:line="240" w:lineRule="auto" w:before="9"/>
        <w:rPr>
          <w:rFonts w:ascii="宋体" w:hAnsi="宋体" w:cs="宋体" w:eastAsia="宋体" w:hint="default"/>
          <w:sz w:val="9"/>
          <w:szCs w:val="9"/>
        </w:rPr>
      </w:pPr>
    </w:p>
    <w:tbl>
      <w:tblPr>
        <w:tblW w:w="0" w:type="auto"/>
        <w:jc w:val="left"/>
        <w:tblInd w:w="176" w:type="dxa"/>
        <w:tblLayout w:type="fixed"/>
        <w:tblCellMar>
          <w:top w:w="0" w:type="dxa"/>
          <w:left w:w="0" w:type="dxa"/>
          <w:bottom w:w="0" w:type="dxa"/>
          <w:right w:w="0" w:type="dxa"/>
        </w:tblCellMar>
        <w:tblLook w:val="01E0"/>
      </w:tblPr>
      <w:tblGrid>
        <w:gridCol w:w="2050"/>
        <w:gridCol w:w="2266"/>
        <w:gridCol w:w="2266"/>
        <w:gridCol w:w="2269"/>
      </w:tblGrid>
      <w:tr>
        <w:trPr>
          <w:trHeight w:val="567"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0"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9"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9"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就业见习经费</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47,018.00</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示范工会奖励</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13,201,644.28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67,018.00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13,201,644.28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25"/>
          <w:szCs w:val="25"/>
        </w:rPr>
      </w:pPr>
    </w:p>
    <w:p>
      <w:pPr>
        <w:pStyle w:val="BodyText"/>
        <w:spacing w:line="240" w:lineRule="auto" w:before="36"/>
        <w:ind w:right="25"/>
        <w:jc w:val="left"/>
      </w:pPr>
      <w:r>
        <w:rPr/>
        <w:t>其他说明：</w:t>
      </w:r>
    </w:p>
    <w:p>
      <w:pPr>
        <w:pStyle w:val="BodyText"/>
        <w:spacing w:line="240" w:lineRule="auto" w:before="145"/>
        <w:ind w:right="25"/>
        <w:jc w:val="left"/>
      </w:pPr>
      <w:r>
        <w:rPr/>
        <w:t>□适用 √不适用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50"/>
          <w:pgMar w:header="0" w:footer="941" w:top="1000" w:bottom="1140" w:left="920" w:right="1680"/>
        </w:sectPr>
      </w:pPr>
    </w:p>
    <w:p>
      <w:pPr>
        <w:pStyle w:val="Heading5"/>
        <w:spacing w:line="240" w:lineRule="auto" w:before="36"/>
        <w:ind w:left="212" w:right="-12"/>
        <w:jc w:val="left"/>
        <w:rPr>
          <w:b w:val="0"/>
          <w:bCs w:val="0"/>
        </w:rPr>
      </w:pPr>
      <w:r>
        <w:rPr>
          <w:rFonts w:ascii="宋体" w:hAnsi="宋体" w:cs="宋体" w:eastAsia="宋体" w:hint="default"/>
        </w:rPr>
        <w:t>70</w:t>
      </w:r>
      <w:r>
        <w:rPr/>
        <w:t>、</w:t>
      </w:r>
      <w:r>
        <w:rPr>
          <w:spacing w:val="-24"/>
        </w:rPr>
        <w:t> </w:t>
      </w:r>
      <w:r>
        <w:rPr/>
        <w:t>营业外支出</w:t>
      </w:r>
      <w:r>
        <w:rPr>
          <w:b w:val="0"/>
          <w:bCs w:val="0"/>
        </w:rPr>
      </w:r>
    </w:p>
    <w:p>
      <w:pPr>
        <w:pStyle w:val="BodyText"/>
        <w:tabs>
          <w:tab w:pos="1055" w:val="left" w:leader="none"/>
        </w:tabs>
        <w:spacing w:line="240" w:lineRule="auto" w:before="59"/>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896" w:space="4583"/>
            <w:col w:w="283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16"/>
        <w:gridCol w:w="2365"/>
        <w:gridCol w:w="2319"/>
        <w:gridCol w:w="2307"/>
      </w:tblGrid>
      <w:tr>
        <w:trPr>
          <w:trHeight w:val="55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6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6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6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6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65"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3,858,519.93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4,336,634.63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3,858,519.93</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3,028,670.04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3,491,267.23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3,028,670.04</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283,852.50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229,320.79</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283,852.50</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2,152,211.66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330,888.03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2,152,211.66</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9,323,254.13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8,388,110.68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9,323,254.13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120" w:bottom="1380" w:left="920" w:right="1680"/>
        </w:sectPr>
      </w:pPr>
    </w:p>
    <w:p>
      <w:pPr>
        <w:pStyle w:val="Heading5"/>
        <w:spacing w:line="290" w:lineRule="auto" w:before="36"/>
        <w:ind w:left="212" w:right="-18"/>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1906" w:space="4573"/>
            <w:col w:w="2831"/>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3143"/>
        <w:gridCol w:w="2866"/>
        <w:gridCol w:w="2845"/>
      </w:tblGrid>
      <w:tr>
        <w:trPr>
          <w:trHeight w:val="290"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19,449,512.69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47,018,240.97</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44,872.15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-1,222,598.26</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19,494,384.84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45,795,642.71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(2) </w:t>
      </w:r>
      <w:r>
        <w:rPr/>
        <w:t>会计利润与所得税费用调整过程：</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802" w:space="2677"/>
            <w:col w:w="2831"/>
          </w:cols>
        </w:sectPr>
      </w:pP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4280"/>
        <w:gridCol w:w="4568"/>
      </w:tblGrid>
      <w:tr>
        <w:trPr>
          <w:trHeight w:val="281"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6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68"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77,682,371.25</w:t>
            </w:r>
          </w:p>
        </w:tc>
      </w:tr>
      <w:tr>
        <w:trPr>
          <w:trHeight w:val="288"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11,652,355.69</w:t>
            </w:r>
          </w:p>
        </w:tc>
      </w:tr>
      <w:tr>
        <w:trPr>
          <w:trHeight w:val="288"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-2,510,111.09</w:t>
            </w:r>
          </w:p>
        </w:tc>
      </w:tr>
      <w:tr>
        <w:trPr>
          <w:trHeight w:val="288"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3,981,053.84</w:t>
            </w:r>
          </w:p>
        </w:tc>
      </w:tr>
    </w:tbl>
    <w:p>
      <w:pPr>
        <w:spacing w:after="0" w:line="241" w:lineRule="exact"/>
        <w:jc w:val="right"/>
        <w:rPr>
          <w:rFonts w:ascii="宋体" w:hAnsi="宋体" w:cs="宋体" w:eastAsia="宋体" w:hint="default"/>
          <w:sz w:val="21"/>
          <w:szCs w:val="21"/>
        </w:rPr>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4280"/>
        <w:gridCol w:w="4568"/>
      </w:tblGrid>
      <w:tr>
        <w:trPr>
          <w:trHeight w:val="288"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-895,480.58</w:t>
            </w:r>
          </w:p>
        </w:tc>
      </w:tr>
      <w:tr>
        <w:trPr>
          <w:trHeight w:val="288"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5,976,153.39</w:t>
            </w:r>
          </w:p>
        </w:tc>
      </w:tr>
      <w:tr>
        <w:trPr>
          <w:trHeight w:val="559"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-958,184.39</w:t>
            </w:r>
          </w:p>
        </w:tc>
      </w:tr>
      <w:tr>
        <w:trPr>
          <w:trHeight w:val="559"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6,571,956.82</w:t>
            </w:r>
          </w:p>
        </w:tc>
      </w:tr>
      <w:tr>
        <w:trPr>
          <w:trHeight w:val="288" w:hRule="exact"/>
        </w:trPr>
        <w:tc>
          <w:tcPr>
            <w:tcW w:w="4280"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权益法核算的联营企业损益</w:t>
            </w:r>
          </w:p>
        </w:tc>
        <w:tc>
          <w:tcPr>
            <w:tcW w:w="4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434,765.54</w:t>
            </w:r>
          </w:p>
        </w:tc>
      </w:tr>
      <w:tr>
        <w:trPr>
          <w:trHeight w:val="559"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研究开发费加成扣除的纳税影响（以“</w:t>
            </w:r>
            <w:r>
              <w:rPr>
                <w:rFonts w:ascii="宋体" w:hAnsi="宋体" w:cs="宋体" w:eastAsia="宋体" w:hint="default"/>
                <w:sz w:val="21"/>
                <w:szCs w:val="21"/>
              </w:rPr>
              <w:t>-</w:t>
            </w:r>
            <w:r>
              <w:rPr>
                <w:rFonts w:ascii="宋体" w:hAnsi="宋体" w:cs="宋体" w:eastAsia="宋体" w:hint="default"/>
                <w:sz w:val="21"/>
                <w:szCs w:val="21"/>
              </w:rPr>
              <w:t>”填</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列）</w:t>
            </w:r>
          </w:p>
        </w:tc>
        <w:tc>
          <w:tcPr>
            <w:tcW w:w="4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-4,251,962.13</w:t>
            </w:r>
          </w:p>
        </w:tc>
      </w:tr>
      <w:tr>
        <w:trPr>
          <w:trHeight w:val="288" w:hRule="exact"/>
        </w:trPr>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-506,162.25</w:t>
            </w:r>
          </w:p>
        </w:tc>
      </w:tr>
      <w:tr>
        <w:trPr>
          <w:trHeight w:val="288" w:hRule="exact"/>
        </w:trPr>
        <w:tc>
          <w:tcPr>
            <w:tcW w:w="428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19,494,384.84</w:t>
            </w:r>
          </w:p>
        </w:tc>
      </w:tr>
    </w:tbl>
    <w:p>
      <w:pPr>
        <w:spacing w:line="240" w:lineRule="auto" w:before="13"/>
        <w:rPr>
          <w:rFonts w:ascii="宋体" w:hAnsi="宋体" w:cs="宋体" w:eastAsia="宋体" w:hint="default"/>
          <w:sz w:val="19"/>
          <w:szCs w:val="19"/>
        </w:rPr>
      </w:pPr>
    </w:p>
    <w:p>
      <w:pPr>
        <w:pStyle w:val="BodyText"/>
        <w:spacing w:line="240" w:lineRule="auto" w:before="36"/>
        <w:ind w:left="152" w:right="7399"/>
        <w:jc w:val="left"/>
      </w:pPr>
      <w:r>
        <w:rPr/>
        <w:t>其他说明：</w:t>
      </w:r>
    </w:p>
    <w:p>
      <w:pPr>
        <w:pStyle w:val="BodyText"/>
        <w:spacing w:line="240" w:lineRule="auto" w:before="58"/>
        <w:ind w:left="152" w:right="7399"/>
        <w:jc w:val="left"/>
      </w:pPr>
      <w:r>
        <w:rPr/>
        <w:t>□适用 √不适用</w:t>
      </w:r>
    </w:p>
    <w:p>
      <w:pPr>
        <w:spacing w:line="240" w:lineRule="auto" w:before="11"/>
        <w:rPr>
          <w:rFonts w:ascii="宋体" w:hAnsi="宋体" w:cs="宋体" w:eastAsia="宋体" w:hint="default"/>
          <w:sz w:val="29"/>
          <w:szCs w:val="29"/>
        </w:rPr>
      </w:pPr>
    </w:p>
    <w:p>
      <w:pPr>
        <w:pStyle w:val="Heading5"/>
        <w:spacing w:line="240" w:lineRule="auto"/>
        <w:ind w:left="152" w:right="296"/>
        <w:jc w:val="left"/>
        <w:rPr>
          <w:b w:val="0"/>
          <w:bCs w:val="0"/>
        </w:rPr>
      </w:pPr>
      <w:r>
        <w:rPr>
          <w:rFonts w:ascii="宋体" w:hAnsi="宋体" w:cs="宋体" w:eastAsia="宋体" w:hint="default"/>
        </w:rPr>
        <w:t>72</w:t>
      </w:r>
      <w:r>
        <w:rPr/>
        <w:t>、</w:t>
      </w:r>
      <w:r>
        <w:rPr>
          <w:spacing w:val="-23"/>
        </w:rPr>
        <w:t> </w:t>
      </w:r>
      <w:r>
        <w:rPr/>
        <w:t>其他综合收益</w:t>
      </w:r>
      <w:r>
        <w:rPr>
          <w:b w:val="0"/>
          <w:bCs w:val="0"/>
        </w:rPr>
      </w:r>
    </w:p>
    <w:p>
      <w:pPr>
        <w:pStyle w:val="BodyText"/>
        <w:spacing w:line="240" w:lineRule="auto" w:before="56"/>
        <w:ind w:left="152" w:right="7499"/>
        <w:jc w:val="left"/>
      </w:pPr>
      <w:r>
        <w:rPr/>
        <w:t>√适用 □不适用</w:t>
      </w:r>
      <w:r>
        <w:rPr>
          <w:w w:val="100"/>
        </w:rPr>
        <w:t> </w:t>
      </w:r>
      <w:r>
        <w:rPr/>
        <w:t>详见附注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50"/>
          <w:pgMar w:header="0" w:footer="941" w:top="1000" w:bottom="1140" w:left="980" w:right="1680"/>
        </w:sectPr>
      </w:pPr>
    </w:p>
    <w:p>
      <w:pPr>
        <w:pStyle w:val="Heading5"/>
        <w:spacing w:line="240" w:lineRule="auto" w:before="36"/>
        <w:ind w:left="152" w:right="-2"/>
        <w:jc w:val="left"/>
        <w:rPr>
          <w:b w:val="0"/>
          <w:bCs w:val="0"/>
        </w:rPr>
      </w:pPr>
      <w:r>
        <w:rPr>
          <w:rFonts w:ascii="宋体" w:hAnsi="宋体" w:cs="宋体" w:eastAsia="宋体" w:hint="default"/>
        </w:rPr>
        <w:t>73</w:t>
      </w:r>
      <w:r>
        <w:rPr/>
        <w:t>、</w:t>
      </w:r>
      <w:r>
        <w:rPr>
          <w:spacing w:val="-23"/>
        </w:rPr>
        <w:t> </w:t>
      </w:r>
      <w:r>
        <w:rPr/>
        <w:t>现金流量表项目</w:t>
      </w:r>
      <w:r>
        <w:rPr>
          <w:b w:val="0"/>
          <w:bCs w:val="0"/>
        </w:rPr>
      </w:r>
    </w:p>
    <w:p>
      <w:pPr>
        <w:pStyle w:val="Heading5"/>
        <w:tabs>
          <w:tab w:pos="853" w:val="left" w:leader="none"/>
        </w:tabs>
        <w:spacing w:line="240" w:lineRule="auto" w:before="56"/>
        <w:ind w:left="152"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52"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4229" w:space="2250"/>
            <w:col w:w="277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332"/>
        <w:gridCol w:w="2765"/>
        <w:gridCol w:w="2753"/>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收到的政府补助款</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17,294,471.37</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10,906,384.92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3,793,188.81</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1,533,138.76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收到经销商及供应商保证金</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29,115,142.04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15,796,403.48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收到的银行承兑汇票保证金</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158,405,379.06</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员工备用金收回</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1,513,860.56</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1,223,436.98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收到其他单位往来款</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9,049,547.20</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9,657,025.05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收回的经销商借款</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8,067,607.71</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收回的个人借款</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817,067.00</w:t>
            </w: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930,267.49</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699,788.84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228,986,531.24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39,816,178.03</w:t>
            </w:r>
          </w:p>
        </w:tc>
      </w:tr>
    </w:tbl>
    <w:p>
      <w:pPr>
        <w:spacing w:line="240" w:lineRule="auto" w:before="12"/>
        <w:rPr>
          <w:rFonts w:ascii="宋体" w:hAnsi="宋体" w:cs="宋体" w:eastAsia="宋体" w:hint="default"/>
          <w:sz w:val="19"/>
          <w:szCs w:val="19"/>
        </w:rPr>
      </w:pPr>
    </w:p>
    <w:p>
      <w:pPr>
        <w:pStyle w:val="BodyText"/>
        <w:spacing w:line="290" w:lineRule="auto" w:before="36"/>
        <w:ind w:left="152" w:right="5306"/>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120" w:bottom="1380" w:left="980" w:right="1680"/>
        </w:sectPr>
      </w:pPr>
    </w:p>
    <w:p>
      <w:pPr>
        <w:pStyle w:val="Heading5"/>
        <w:tabs>
          <w:tab w:pos="853" w:val="left" w:leader="none"/>
        </w:tabs>
        <w:spacing w:line="240" w:lineRule="auto" w:before="36"/>
        <w:ind w:left="152"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6"/>
        <w:ind w:left="152"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3" w:val="left" w:leader="none"/>
        </w:tabs>
        <w:spacing w:line="240" w:lineRule="auto"/>
        <w:ind w:left="152" w:right="0"/>
        <w:jc w:val="left"/>
      </w:pPr>
      <w:r>
        <w:rPr>
          <w:spacing w:val="-1"/>
        </w:rPr>
        <w:t>单位：元</w:t>
        <w:tab/>
        <w:t>币种：人民币</w:t>
      </w:r>
    </w:p>
    <w:p>
      <w:pPr>
        <w:spacing w:after="0" w:line="240" w:lineRule="auto"/>
        <w:jc w:val="left"/>
        <w:sectPr>
          <w:type w:val="continuous"/>
          <w:pgSz w:w="11910" w:h="16850"/>
          <w:pgMar w:top="1120" w:bottom="1380" w:left="980" w:right="1680"/>
          <w:cols w:num="2" w:equalWidth="0">
            <w:col w:w="4229" w:space="2250"/>
            <w:col w:w="277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332"/>
        <w:gridCol w:w="2746"/>
        <w:gridCol w:w="2773"/>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支付的广告宣传费</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227,551,227.76</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172,487,748.55</w:t>
            </w:r>
          </w:p>
        </w:tc>
      </w:tr>
      <w:tr>
        <w:trPr>
          <w:trHeight w:val="55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管理</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中</w:t>
            </w:r>
            <w:r>
              <w:rPr>
                <w:rFonts w:ascii="宋体" w:hAnsi="宋体" w:cs="宋体" w:eastAsia="宋体" w:hint="default"/>
                <w:w w:val="100"/>
                <w:sz w:val="21"/>
                <w:szCs w:val="21"/>
              </w:rPr>
              <w:t>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他付</w:t>
            </w:r>
            <w:r>
              <w:rPr>
                <w:rFonts w:ascii="宋体" w:hAnsi="宋体" w:cs="宋体" w:eastAsia="宋体" w:hint="default"/>
                <w:spacing w:val="-3"/>
                <w:w w:val="100"/>
                <w:sz w:val="21"/>
                <w:szCs w:val="21"/>
              </w:rPr>
              <w:t>现</w:t>
            </w:r>
            <w:r>
              <w:rPr>
                <w:rFonts w:ascii="宋体" w:hAnsi="宋体" w:cs="宋体" w:eastAsia="宋体" w:hint="default"/>
                <w:w w:val="100"/>
                <w:sz w:val="21"/>
                <w:szCs w:val="21"/>
              </w:rPr>
              <w:t>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248,632,000.01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186,215,912.86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支付的差旅费</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60,082,846.89</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46,557,055.23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代经销商支付的购车款</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3,957,669.00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1,195,200.00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支付的履约保证金</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15,377,716.84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15,002,979.72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支付的银行承兑汇票保证金</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27,700,380.00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33,103,000.00</w:t>
            </w:r>
          </w:p>
        </w:tc>
      </w:tr>
    </w:tbl>
    <w:p>
      <w:pPr>
        <w:spacing w:after="0" w:line="241" w:lineRule="exact"/>
        <w:jc w:val="right"/>
        <w:rPr>
          <w:rFonts w:ascii="宋体" w:hAnsi="宋体" w:cs="宋体" w:eastAsia="宋体" w:hint="default"/>
          <w:sz w:val="21"/>
          <w:szCs w:val="21"/>
        </w:rPr>
        <w:sectPr>
          <w:type w:val="continuous"/>
          <w:pgSz w:w="11910" w:h="16850"/>
          <w:pgMar w:top="1120" w:bottom="1380" w:left="980" w:right="1680"/>
        </w:sectPr>
      </w:pPr>
    </w:p>
    <w:p>
      <w:pPr>
        <w:spacing w:line="240" w:lineRule="auto" w:before="9"/>
        <w:rPr>
          <w:rFonts w:ascii="宋体" w:hAnsi="宋体" w:cs="宋体" w:eastAsia="宋体" w:hint="default"/>
          <w:sz w:val="9"/>
          <w:szCs w:val="9"/>
        </w:rPr>
      </w:pPr>
    </w:p>
    <w:tbl>
      <w:tblPr>
        <w:tblW w:w="0" w:type="auto"/>
        <w:jc w:val="left"/>
        <w:tblInd w:w="176" w:type="dxa"/>
        <w:tblLayout w:type="fixed"/>
        <w:tblCellMar>
          <w:top w:w="0" w:type="dxa"/>
          <w:left w:w="0" w:type="dxa"/>
          <w:bottom w:w="0" w:type="dxa"/>
          <w:right w:w="0" w:type="dxa"/>
        </w:tblCellMar>
        <w:tblLook w:val="01E0"/>
      </w:tblPr>
      <w:tblGrid>
        <w:gridCol w:w="3332"/>
        <w:gridCol w:w="2746"/>
        <w:gridCol w:w="2773"/>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支付其他单位往来款</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1,839,548.63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7,571,088.25</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3,858,519.93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4,404,201.81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1,715,629.41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1,425,427.58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支付员工备用金</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4,967,747.33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2,038,886.42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支付的经销商借款</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2,885,681.72</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支付的个人借款</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13,288,849.97</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4,766,058.06</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224,518.85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616,623,875.55</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470,226,019.27</w:t>
            </w:r>
          </w:p>
        </w:tc>
      </w:tr>
    </w:tbl>
    <w:p>
      <w:pPr>
        <w:spacing w:line="240" w:lineRule="auto" w:before="12"/>
        <w:rPr>
          <w:rFonts w:ascii="宋体" w:hAnsi="宋体" w:cs="宋体" w:eastAsia="宋体" w:hint="default"/>
          <w:sz w:val="19"/>
          <w:szCs w:val="19"/>
        </w:rPr>
      </w:pPr>
    </w:p>
    <w:p>
      <w:pPr>
        <w:pStyle w:val="BodyText"/>
        <w:spacing w:line="290" w:lineRule="auto" w:before="36"/>
        <w:ind w:right="5160"/>
        <w:jc w:val="left"/>
      </w:pPr>
      <w:r>
        <w:rPr>
          <w:spacing w:val="-2"/>
        </w:rPr>
        <w:t>支付的其他与经营活动有关的现金说明：</w:t>
      </w:r>
      <w:r>
        <w:rPr>
          <w:spacing w:val="-69"/>
        </w:rPr>
        <w:t> </w:t>
      </w:r>
      <w:r>
        <w:rPr>
          <w:spacing w:val="-69"/>
        </w:rPr>
      </w:r>
      <w:r>
        <w:rPr/>
        <w:t>无</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50"/>
          <w:pgMar w:header="0" w:footer="941" w:top="1000" w:bottom="1140" w:left="920" w:right="1680"/>
        </w:sectPr>
      </w:pPr>
    </w:p>
    <w:p>
      <w:pPr>
        <w:pStyle w:val="Heading5"/>
        <w:tabs>
          <w:tab w:pos="940" w:val="left" w:leader="none"/>
        </w:tabs>
        <w:spacing w:line="240" w:lineRule="auto" w:before="36"/>
        <w:ind w:left="212"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50"/>
          <w:pgMar w:top="1120" w:bottom="1380" w:left="920" w:right="1680"/>
          <w:cols w:num="2" w:equalWidth="0">
            <w:col w:w="4104" w:space="2480"/>
            <w:col w:w="2726"/>
          </w:cols>
        </w:sectPr>
      </w:pP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3332"/>
        <w:gridCol w:w="2849"/>
        <w:gridCol w:w="2669"/>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849"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11,505,245.00</w:t>
            </w:r>
          </w:p>
        </w:tc>
      </w:tr>
      <w:tr>
        <w:trPr>
          <w:trHeight w:val="55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2849"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162,508.13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9"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11,667,753.13</w:t>
            </w:r>
          </w:p>
        </w:tc>
      </w:tr>
    </w:tbl>
    <w:p>
      <w:pPr>
        <w:spacing w:line="240" w:lineRule="auto" w:before="12"/>
        <w:rPr>
          <w:rFonts w:ascii="宋体" w:hAnsi="宋体" w:cs="宋体" w:eastAsia="宋体" w:hint="default"/>
          <w:sz w:val="19"/>
          <w:szCs w:val="19"/>
        </w:rPr>
      </w:pPr>
    </w:p>
    <w:p>
      <w:pPr>
        <w:pStyle w:val="BodyText"/>
        <w:spacing w:line="292" w:lineRule="auto" w:before="36"/>
        <w:ind w:right="5160"/>
        <w:jc w:val="left"/>
      </w:pPr>
      <w:r>
        <w:rPr>
          <w:spacing w:val="-2"/>
        </w:rPr>
        <w:t>收到的其他与投资活动有关的现金说明：</w:t>
      </w:r>
      <w:r>
        <w:rPr>
          <w:spacing w:val="-69"/>
        </w:rPr>
        <w:t> </w:t>
      </w:r>
      <w:r>
        <w:rPr>
          <w:spacing w:val="-69"/>
        </w:rPr>
      </w:r>
      <w:r>
        <w:rPr/>
        <w:t>无</w:t>
      </w:r>
    </w:p>
    <w:p>
      <w:pPr>
        <w:spacing w:line="240" w:lineRule="auto" w:before="9"/>
        <w:rPr>
          <w:rFonts w:ascii="宋体" w:hAnsi="宋体" w:cs="宋体" w:eastAsia="宋体" w:hint="default"/>
          <w:sz w:val="21"/>
          <w:szCs w:val="21"/>
        </w:rPr>
      </w:pPr>
    </w:p>
    <w:p>
      <w:pPr>
        <w:pStyle w:val="Heading5"/>
        <w:tabs>
          <w:tab w:pos="940" w:val="left" w:leader="none"/>
        </w:tabs>
        <w:spacing w:line="240" w:lineRule="auto"/>
        <w:ind w:left="212" w:right="25"/>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6"/>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50"/>
          <w:pgMar w:top="1120" w:bottom="1380" w:left="920" w:right="1680"/>
        </w:sectPr>
      </w:pPr>
    </w:p>
    <w:p>
      <w:pPr>
        <w:pStyle w:val="Heading5"/>
        <w:tabs>
          <w:tab w:pos="1053" w:val="left" w:leader="none"/>
        </w:tabs>
        <w:spacing w:line="240" w:lineRule="auto" w:before="36"/>
        <w:ind w:left="212" w:right="-4"/>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4217" w:space="2262"/>
            <w:col w:w="2831"/>
          </w:cols>
        </w:sectPr>
      </w:pP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3332"/>
        <w:gridCol w:w="2849"/>
        <w:gridCol w:w="2669"/>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5"/>
              <w:jc w:val="right"/>
              <w:rPr>
                <w:rFonts w:ascii="宋体" w:hAnsi="宋体" w:cs="宋体" w:eastAsia="宋体" w:hint="default"/>
                <w:sz w:val="21"/>
                <w:szCs w:val="21"/>
              </w:rPr>
            </w:pPr>
            <w:r>
              <w:rPr>
                <w:rFonts w:ascii="宋体" w:hAnsi="宋体" w:cs="宋体" w:eastAsia="宋体" w:hint="default"/>
                <w:sz w:val="21"/>
                <w:szCs w:val="21"/>
              </w:rPr>
              <w:t>项目</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0"/>
              <w:jc w:val="right"/>
              <w:rPr>
                <w:rFonts w:ascii="宋体" w:hAnsi="宋体" w:cs="宋体" w:eastAsia="宋体" w:hint="default"/>
                <w:sz w:val="21"/>
                <w:szCs w:val="21"/>
              </w:rPr>
            </w:pPr>
            <w:r>
              <w:rPr>
                <w:rFonts w:ascii="宋体" w:hAnsi="宋体" w:cs="宋体" w:eastAsia="宋体" w:hint="default"/>
                <w:spacing w:val="-1"/>
                <w:sz w:val="21"/>
                <w:szCs w:val="21"/>
              </w:rPr>
              <w:t>收到太阳雨控股借款</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464,000,000.00</w:t>
            </w:r>
          </w:p>
        </w:tc>
        <w:tc>
          <w:tcPr>
            <w:tcW w:w="26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外优先股杠杆借款</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13,094,900.00</w:t>
            </w:r>
          </w:p>
        </w:tc>
        <w:tc>
          <w:tcPr>
            <w:tcW w:w="26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5"/>
              <w:jc w:val="right"/>
              <w:rPr>
                <w:rFonts w:ascii="宋体" w:hAnsi="宋体" w:cs="宋体" w:eastAsia="宋体" w:hint="default"/>
                <w:sz w:val="21"/>
                <w:szCs w:val="21"/>
              </w:rPr>
            </w:pPr>
            <w:r>
              <w:rPr>
                <w:rFonts w:ascii="宋体" w:hAnsi="宋体" w:cs="宋体" w:eastAsia="宋体" w:hint="default"/>
                <w:sz w:val="21"/>
                <w:szCs w:val="21"/>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477,094,900.00</w:t>
            </w:r>
          </w:p>
        </w:tc>
        <w:tc>
          <w:tcPr>
            <w:tcW w:w="26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90" w:lineRule="auto" w:before="36"/>
        <w:ind w:right="5160"/>
        <w:jc w:val="left"/>
      </w:pPr>
      <w:r>
        <w:rPr>
          <w:spacing w:val="-2"/>
        </w:rPr>
        <w:t>收到的其他与筹资活动有关的现金说明：</w:t>
      </w:r>
      <w:r>
        <w:rPr>
          <w:spacing w:val="-69"/>
        </w:rPr>
        <w:t> </w:t>
      </w:r>
      <w:r>
        <w:rPr>
          <w:spacing w:val="-69"/>
        </w:rPr>
      </w:r>
      <w:r>
        <w:rPr/>
        <w:t>无</w:t>
      </w:r>
    </w:p>
    <w:p>
      <w:pPr>
        <w:pStyle w:val="Heading5"/>
        <w:tabs>
          <w:tab w:pos="1053" w:val="left" w:leader="none"/>
        </w:tabs>
        <w:spacing w:line="240" w:lineRule="auto" w:before="14"/>
        <w:ind w:left="212" w:right="25"/>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spacing w:line="240" w:lineRule="auto" w:before="56"/>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50"/>
          <w:pgMar w:top="1120" w:bottom="1380" w:left="920" w:right="1680"/>
        </w:sectPr>
      </w:pPr>
    </w:p>
    <w:p>
      <w:pPr>
        <w:pStyle w:val="Heading5"/>
        <w:spacing w:line="290" w:lineRule="auto" w:before="36"/>
        <w:ind w:left="212" w:right="-17"/>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55" w:val="left" w:leader="none"/>
        </w:tabs>
        <w:spacing w:line="240" w:lineRule="auto" w:before="14"/>
        <w:ind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619" w:space="3860"/>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67"/>
        <w:gridCol w:w="2787"/>
        <w:gridCol w:w="2753"/>
      </w:tblGrid>
      <w:tr>
        <w:trPr>
          <w:trHeight w:val="281"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bl>
    <w:p>
      <w:pPr>
        <w:spacing w:after="0" w:line="241" w:lineRule="exact"/>
        <w:jc w:val="center"/>
        <w:rPr>
          <w:rFonts w:ascii="宋体" w:hAnsi="宋体" w:cs="宋体" w:eastAsia="宋体" w:hint="default"/>
          <w:sz w:val="21"/>
          <w:szCs w:val="21"/>
        </w:rPr>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467"/>
        <w:gridCol w:w="2787"/>
        <w:gridCol w:w="2753"/>
      </w:tblGrid>
      <w:tr>
        <w:trPr>
          <w:trHeight w:val="560"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787" w:type="dxa"/>
            <w:tcBorders>
              <w:top w:val="single" w:sz="4" w:space="0" w:color="000000"/>
              <w:left w:val="single" w:sz="4" w:space="0" w:color="000000"/>
              <w:bottom w:val="single" w:sz="6" w:space="0" w:color="000000"/>
              <w:right w:val="single" w:sz="6" w:space="0" w:color="000000"/>
            </w:tcBorders>
          </w:tcPr>
          <w:p>
            <w:pPr/>
          </w:p>
        </w:tc>
        <w:tc>
          <w:tcPr>
            <w:tcW w:w="2753"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58,187,986.41</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244,036,519.23</w:t>
            </w: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27,263,261.49</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5,732,408.84</w:t>
            </w:r>
          </w:p>
        </w:tc>
      </w:tr>
      <w:tr>
        <w:trPr>
          <w:trHeight w:val="559"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产性生物资产折旧</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99,233,281.34</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65,941,000.57</w:t>
            </w: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12,390,837.62</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8,426,712.38</w:t>
            </w: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2,584,742.58</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4,476,479.59</w:t>
            </w:r>
          </w:p>
        </w:tc>
      </w:tr>
      <w:tr>
        <w:trPr>
          <w:trHeight w:val="830"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40" w:lineRule="auto"/>
              <w:ind w:left="103" w:right="199"/>
              <w:jc w:val="left"/>
              <w:rPr>
                <w:rFonts w:ascii="宋体" w:hAnsi="宋体" w:cs="宋体" w:eastAsia="宋体" w:hint="default"/>
                <w:sz w:val="21"/>
                <w:szCs w:val="21"/>
              </w:rPr>
            </w:pPr>
            <w:r>
              <w:rPr>
                <w:rFonts w:ascii="宋体" w:hAnsi="宋体" w:cs="宋体" w:eastAsia="宋体" w:hint="default"/>
                <w:spacing w:val="-2"/>
                <w:sz w:val="21"/>
                <w:szCs w:val="21"/>
              </w:rPr>
              <w:t>期资产的损失（收益以“－”号填</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16,203.23</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2,948,961.39</w:t>
            </w:r>
          </w:p>
        </w:tc>
      </w:tr>
      <w:tr>
        <w:trPr>
          <w:trHeight w:val="562"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3,028,670.04</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3,386,302.64</w:t>
            </w:r>
          </w:p>
        </w:tc>
      </w:tr>
      <w:tr>
        <w:trPr>
          <w:trHeight w:val="559"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43,502,265.07</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3,697,549.93</w:t>
            </w:r>
          </w:p>
        </w:tc>
      </w:tr>
      <w:tr>
        <w:trPr>
          <w:trHeight w:val="286"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-98,600,854.99</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-122,233,676.42</w:t>
            </w:r>
          </w:p>
        </w:tc>
      </w:tr>
      <w:tr>
        <w:trPr>
          <w:trHeight w:val="559"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640,837.23</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-1,081,779.21</w:t>
            </w:r>
          </w:p>
        </w:tc>
      </w:tr>
      <w:tr>
        <w:trPr>
          <w:trHeight w:val="562"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-595,965.08</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-140,819.05</w:t>
            </w:r>
          </w:p>
        </w:tc>
      </w:tr>
      <w:tr>
        <w:trPr>
          <w:trHeight w:val="286"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-71,068,308.06</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-7,432,148.07</w:t>
            </w:r>
          </w:p>
        </w:tc>
      </w:tr>
      <w:tr>
        <w:trPr>
          <w:trHeight w:val="562"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268,295,831.01</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-90,551,099.87</w:t>
            </w:r>
          </w:p>
        </w:tc>
      </w:tr>
      <w:tr>
        <w:trPr>
          <w:trHeight w:val="559"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-245,395,113.20</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82,417,022.20</w:t>
            </w: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99,483,674.69</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199,623,434.15</w:t>
            </w:r>
          </w:p>
        </w:tc>
      </w:tr>
      <w:tr>
        <w:trPr>
          <w:trHeight w:val="559"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243,104,550.26</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776,541,629.08</w:t>
            </w: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776,541,629.08</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122,886,232.54</w:t>
            </w: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787" w:type="dxa"/>
            <w:tcBorders>
              <w:top w:val="single" w:sz="6" w:space="0" w:color="000000"/>
              <w:left w:val="single" w:sz="4" w:space="0" w:color="000000"/>
              <w:bottom w:val="single" w:sz="6" w:space="0" w:color="000000"/>
              <w:right w:val="single" w:sz="6" w:space="0" w:color="000000"/>
            </w:tcBorders>
          </w:tcPr>
          <w:p>
            <w:pPr/>
          </w:p>
        </w:tc>
        <w:tc>
          <w:tcPr>
            <w:tcW w:w="275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7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-533,437,078.82</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653,655,396.54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41" w:top="1000" w:bottom="1140" w:left="920" w:right="1680"/>
        </w:sectPr>
      </w:pPr>
    </w:p>
    <w:p>
      <w:pPr>
        <w:pStyle w:val="Heading5"/>
        <w:spacing w:line="240" w:lineRule="auto" w:before="36"/>
        <w:ind w:left="212" w:right="-17"/>
        <w:jc w:val="left"/>
        <w:rPr>
          <w:b w:val="0"/>
          <w:bCs w:val="0"/>
        </w:rPr>
      </w:pPr>
      <w:r>
        <w:rPr>
          <w:rFonts w:ascii="宋体" w:hAnsi="宋体" w:cs="宋体" w:eastAsia="宋体" w:hint="default"/>
        </w:rPr>
        <w:t>(2) </w:t>
      </w:r>
      <w:r>
        <w:rPr/>
        <w:t>本期支付的取得子公司的现金净额</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802" w:space="2677"/>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889"/>
        <w:gridCol w:w="3118"/>
      </w:tblGrid>
      <w:tr>
        <w:trPr>
          <w:trHeight w:val="281" w:hRule="exact"/>
        </w:trPr>
        <w:tc>
          <w:tcPr>
            <w:tcW w:w="588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735,000,000.00</w:t>
            </w:r>
          </w:p>
        </w:tc>
      </w:tr>
      <w:tr>
        <w:trPr>
          <w:trHeight w:val="283" w:hRule="exact"/>
        </w:trPr>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其中：本期支付的现金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735,000,000.00</w:t>
            </w:r>
          </w:p>
        </w:tc>
      </w:tr>
      <w:tr>
        <w:trPr>
          <w:trHeight w:val="281" w:hRule="exact"/>
        </w:trPr>
        <w:tc>
          <w:tcPr>
            <w:tcW w:w="588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151,504,638.59</w:t>
            </w:r>
          </w:p>
        </w:tc>
      </w:tr>
      <w:tr>
        <w:trPr>
          <w:trHeight w:val="281" w:hRule="exact"/>
        </w:trPr>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其中：购买日子公司持有的现金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151,504,638.59</w:t>
            </w:r>
          </w:p>
        </w:tc>
      </w:tr>
      <w:tr>
        <w:trPr>
          <w:trHeight w:val="283" w:hRule="exact"/>
        </w:trPr>
        <w:tc>
          <w:tcPr>
            <w:tcW w:w="588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5889"/>
        <w:gridCol w:w="3118"/>
      </w:tblGrid>
      <w:tr>
        <w:trPr>
          <w:trHeight w:val="283" w:hRule="exact"/>
        </w:trPr>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w:t>
            </w:r>
          </w:p>
        </w:tc>
      </w:tr>
      <w:tr>
        <w:trPr>
          <w:trHeight w:val="284" w:hRule="exact"/>
        </w:trPr>
        <w:tc>
          <w:tcPr>
            <w:tcW w:w="588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89"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583,495,361.41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5"/>
        <w:spacing w:line="240" w:lineRule="auto" w:before="36"/>
        <w:ind w:left="212" w:right="25"/>
        <w:jc w:val="left"/>
        <w:rPr>
          <w:b w:val="0"/>
          <w:bCs w:val="0"/>
        </w:rPr>
      </w:pPr>
      <w:r>
        <w:rPr>
          <w:rFonts w:ascii="宋体" w:hAnsi="宋体" w:cs="宋体" w:eastAsia="宋体" w:hint="default"/>
        </w:rPr>
        <w:t>(3) </w:t>
      </w:r>
      <w:r>
        <w:rPr/>
        <w:t>本期收到的处置子公司的现金净额</w:t>
      </w:r>
      <w:r>
        <w:rPr>
          <w:b w:val="0"/>
          <w:bCs w:val="0"/>
        </w:rPr>
      </w:r>
    </w:p>
    <w:p>
      <w:pPr>
        <w:pStyle w:val="BodyText"/>
        <w:spacing w:line="240" w:lineRule="auto" w:before="56"/>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0"/>
          <w:pgSz w:w="11910" w:h="16850"/>
          <w:pgMar w:footer="941" w:header="0" w:top="1000" w:bottom="1140" w:left="920" w:right="1680"/>
        </w:sectPr>
      </w:pPr>
    </w:p>
    <w:p>
      <w:pPr>
        <w:pStyle w:val="Heading5"/>
        <w:spacing w:line="240" w:lineRule="auto" w:before="36"/>
        <w:ind w:left="212" w:right="-17"/>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959" w:space="3520"/>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8"/>
        <w:gridCol w:w="2907"/>
        <w:gridCol w:w="2722"/>
      </w:tblGrid>
      <w:tr>
        <w:trPr>
          <w:trHeight w:val="29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243,104,550.26</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776,541,629.08</w:t>
            </w: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208,381.44</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137,610.62</w:t>
            </w: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233,747,514.78</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771,599,072.33</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9,148,654.04</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4,804,946.13</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243,104,550.26</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776,541,629.08</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07"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5"/>
        <w:jc w:val="left"/>
      </w:pPr>
      <w:r>
        <w:rPr/>
        <w:t>其他说明：</w:t>
      </w:r>
    </w:p>
    <w:p>
      <w:pPr>
        <w:pStyle w:val="BodyText"/>
        <w:spacing w:line="240" w:lineRule="auto" w:before="56"/>
        <w:ind w:right="25"/>
        <w:jc w:val="left"/>
      </w:pPr>
      <w:r>
        <w:rPr/>
        <w:t>□适用 √不适用</w:t>
      </w:r>
    </w:p>
    <w:p>
      <w:pPr>
        <w:spacing w:line="240" w:lineRule="auto" w:before="11"/>
        <w:rPr>
          <w:rFonts w:ascii="宋体" w:hAnsi="宋体" w:cs="宋体" w:eastAsia="宋体" w:hint="default"/>
          <w:sz w:val="29"/>
          <w:szCs w:val="29"/>
        </w:rPr>
      </w:pPr>
    </w:p>
    <w:p>
      <w:pPr>
        <w:spacing w:line="290" w:lineRule="auto" w:before="0"/>
        <w:ind w:left="212" w:right="25"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right="2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76</w:t>
      </w:r>
      <w:r>
        <w:rPr/>
        <w:t>、</w:t>
      </w:r>
      <w:r>
        <w:rPr>
          <w:spacing w:val="-26"/>
        </w:rPr>
        <w:t> </w:t>
      </w:r>
      <w:r>
        <w:rPr/>
        <w:t>所有权或使用权受到限制的资产</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3670" w:space="2809"/>
            <w:col w:w="2831"/>
          </w:cols>
        </w:sectPr>
      </w:pPr>
    </w:p>
    <w:p>
      <w:pPr>
        <w:spacing w:line="240" w:lineRule="auto" w:before="4"/>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3140"/>
        <w:gridCol w:w="3032"/>
        <w:gridCol w:w="2679"/>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142,569,090.46</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、说明</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14,336,475.59</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票据质押，银行承兑保证金</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32" w:type="dxa"/>
            <w:tcBorders>
              <w:top w:val="single" w:sz="4" w:space="0" w:color="000000"/>
              <w:left w:val="single" w:sz="4" w:space="0" w:color="000000"/>
              <w:bottom w:val="single" w:sz="4" w:space="0" w:color="000000"/>
              <w:right w:val="single" w:sz="4" w:space="0" w:color="000000"/>
            </w:tcBorders>
          </w:tcPr>
          <w:p>
            <w:pPr/>
          </w:p>
        </w:tc>
        <w:tc>
          <w:tcPr>
            <w:tcW w:w="2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167,363,632.14</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283" w:hRule="exact"/>
        </w:trPr>
        <w:tc>
          <w:tcPr>
            <w:tcW w:w="3140"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32"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64,163,451.79</w:t>
            </w:r>
          </w:p>
        </w:tc>
        <w:tc>
          <w:tcPr>
            <w:tcW w:w="2679"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4"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76" w:type="dxa"/>
        <w:tblLayout w:type="fixed"/>
        <w:tblCellMar>
          <w:top w:w="0" w:type="dxa"/>
          <w:left w:w="0" w:type="dxa"/>
          <w:bottom w:w="0" w:type="dxa"/>
          <w:right w:w="0" w:type="dxa"/>
        </w:tblCellMar>
        <w:tblLook w:val="01E0"/>
      </w:tblPr>
      <w:tblGrid>
        <w:gridCol w:w="3140"/>
        <w:gridCol w:w="3032"/>
        <w:gridCol w:w="2679"/>
      </w:tblGrid>
      <w:tr>
        <w:trPr>
          <w:trHeight w:val="288"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1526" w:right="0"/>
              <w:jc w:val="left"/>
              <w:rPr>
                <w:rFonts w:ascii="宋体" w:hAnsi="宋体" w:cs="宋体" w:eastAsia="宋体" w:hint="default"/>
                <w:sz w:val="21"/>
                <w:szCs w:val="21"/>
              </w:rPr>
            </w:pPr>
            <w:r>
              <w:rPr>
                <w:rFonts w:ascii="宋体"/>
                <w:sz w:val="21"/>
              </w:rPr>
              <w:t>388,432,649.98</w:t>
            </w:r>
          </w:p>
        </w:tc>
        <w:tc>
          <w:tcPr>
            <w:tcW w:w="2679"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0"/>
        <w:jc w:val="both"/>
      </w:pPr>
      <w:r>
        <w:rPr/>
        <w:t>其他说明：</w:t>
      </w:r>
    </w:p>
    <w:p>
      <w:pPr>
        <w:pStyle w:val="BodyText"/>
        <w:spacing w:line="237" w:lineRule="auto" w:before="59"/>
        <w:ind w:right="298"/>
        <w:jc w:val="both"/>
      </w:pPr>
      <w:r>
        <w:rPr/>
        <w:t>说明</w:t>
      </w:r>
      <w:r>
        <w:rPr>
          <w:spacing w:val="-55"/>
        </w:rPr>
        <w:t> </w:t>
      </w:r>
      <w:r>
        <w:rPr>
          <w:rFonts w:ascii="宋体" w:hAnsi="宋体" w:cs="宋体" w:eastAsia="宋体" w:hint="default"/>
        </w:rPr>
        <w:t>1</w:t>
      </w:r>
      <w:r>
        <w:rPr/>
        <w:t>：子公司四季沐歌（洛阳）太阳能有限公司收到的洛阳国家高新区洛龙科技园区管委会往</w:t>
      </w:r>
      <w:r>
        <w:rPr>
          <w:w w:val="100"/>
        </w:rPr>
        <w:t> </w:t>
      </w:r>
      <w:r>
        <w:rPr>
          <w:spacing w:val="-3"/>
        </w:rPr>
        <w:t>来款项，根据双方在开户银行的约定，对该笔款项用途尚未明确之前，需要双方共同确认方可使</w:t>
      </w:r>
      <w:r>
        <w:rPr>
          <w:spacing w:val="-22"/>
        </w:rPr>
        <w:t> </w:t>
      </w:r>
      <w:r>
        <w:rPr>
          <w:spacing w:val="-22"/>
        </w:rPr>
      </w:r>
      <w:r>
        <w:rPr>
          <w:spacing w:val="-5"/>
        </w:rPr>
        <w:t>用，因此作为使用权受到限制的资金。截止</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5"/>
        </w:rPr>
        <w:t>日，该账户余额共计</w:t>
      </w:r>
      <w:r>
        <w:rPr>
          <w:spacing w:val="-47"/>
        </w:rPr>
        <w:t> </w:t>
      </w:r>
      <w:r>
        <w:rPr>
          <w:rFonts w:ascii="宋体" w:hAnsi="宋体" w:cs="宋体" w:eastAsia="宋体" w:hint="default"/>
        </w:rPr>
        <w:t>12,359,684.79</w:t>
      </w:r>
      <w:r>
        <w:rPr>
          <w:rFonts w:ascii="宋体" w:hAnsi="宋体" w:cs="宋体" w:eastAsia="宋体" w:hint="default"/>
          <w:spacing w:val="-102"/>
        </w:rPr>
        <w:t> </w:t>
      </w:r>
      <w:r>
        <w:rPr>
          <w:rFonts w:ascii="宋体" w:hAnsi="宋体" w:cs="宋体" w:eastAsia="宋体" w:hint="default"/>
          <w:spacing w:val="-102"/>
        </w:rPr>
      </w:r>
      <w:r>
        <w:rPr/>
        <w:t>元。</w:t>
      </w:r>
    </w:p>
    <w:p>
      <w:pPr>
        <w:pStyle w:val="BodyText"/>
        <w:spacing w:line="237" w:lineRule="auto"/>
        <w:ind w:right="298"/>
        <w:jc w:val="both"/>
      </w:pPr>
      <w:r>
        <w:rPr/>
        <w:t>说明</w:t>
      </w:r>
      <w:r>
        <w:rPr>
          <w:spacing w:val="-53"/>
        </w:rPr>
        <w:t> </w:t>
      </w:r>
      <w:r>
        <w:rPr>
          <w:rFonts w:ascii="宋体" w:hAnsi="宋体" w:cs="宋体" w:eastAsia="宋体" w:hint="default"/>
        </w:rPr>
        <w:t>2</w:t>
      </w:r>
      <w:r>
        <w:rPr/>
        <w:t>：截止至</w:t>
      </w:r>
      <w:r>
        <w:rPr>
          <w:spacing w:val="-56"/>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日，本公司其他货币资金期末余额中存在</w:t>
      </w:r>
      <w:r>
        <w:rPr>
          <w:spacing w:val="-54"/>
        </w:rPr>
        <w:t> </w:t>
      </w:r>
      <w:r>
        <w:rPr>
          <w:rFonts w:ascii="宋体" w:hAnsi="宋体" w:cs="宋体" w:eastAsia="宋体" w:hint="default"/>
        </w:rPr>
        <w:t>103,758,221.48</w:t>
      </w:r>
      <w:r>
        <w:rPr>
          <w:rFonts w:ascii="宋体" w:hAnsi="宋体" w:cs="宋体" w:eastAsia="宋体" w:hint="default"/>
          <w:spacing w:val="-56"/>
        </w:rPr>
        <w:t> </w:t>
      </w:r>
      <w:r>
        <w:rPr/>
        <w:t>元的</w:t>
      </w:r>
      <w:r>
        <w:rPr>
          <w:w w:val="100"/>
        </w:rPr>
        <w:t> </w:t>
      </w:r>
      <w:r>
        <w:rPr>
          <w:spacing w:val="-5"/>
        </w:rPr>
        <w:t>银行承兑汇票保证金、</w:t>
      </w:r>
      <w:r>
        <w:rPr>
          <w:rFonts w:ascii="宋体" w:hAnsi="宋体" w:cs="宋体" w:eastAsia="宋体" w:hint="default"/>
          <w:spacing w:val="-5"/>
        </w:rPr>
        <w:t>17,451,184.19</w:t>
      </w:r>
      <w:r>
        <w:rPr>
          <w:rFonts w:ascii="宋体" w:hAnsi="宋体" w:cs="宋体" w:eastAsia="宋体" w:hint="default"/>
          <w:spacing w:val="-48"/>
        </w:rPr>
        <w:t> </w:t>
      </w:r>
      <w:r>
        <w:rPr/>
        <w:t>元的工程项目履约保函保证金以及</w:t>
      </w:r>
      <w:r>
        <w:rPr>
          <w:spacing w:val="-45"/>
        </w:rPr>
        <w:t> </w:t>
      </w:r>
      <w:r>
        <w:rPr>
          <w:rFonts w:ascii="宋体" w:hAnsi="宋体" w:cs="宋体" w:eastAsia="宋体" w:hint="default"/>
        </w:rPr>
        <w:t>9,000,000.00</w:t>
      </w:r>
      <w:r>
        <w:rPr>
          <w:rFonts w:ascii="宋体" w:hAnsi="宋体" w:cs="宋体" w:eastAsia="宋体" w:hint="default"/>
          <w:spacing w:val="-48"/>
        </w:rPr>
        <w:t> </w:t>
      </w:r>
      <w:r>
        <w:rPr/>
        <w:t>元的期限</w:t>
      </w:r>
      <w:r>
        <w:rPr>
          <w:spacing w:val="-102"/>
        </w:rPr>
        <w:t> </w:t>
      </w:r>
      <w:r>
        <w:rPr>
          <w:spacing w:val="-102"/>
        </w:rPr>
      </w:r>
      <w:r>
        <w:rPr/>
        <w:t>在三个月以上的不可随意支取定期存款使用受到限制。</w:t>
      </w:r>
    </w:p>
    <w:p>
      <w:pPr>
        <w:pStyle w:val="BodyText"/>
        <w:spacing w:line="237" w:lineRule="auto" w:before="1"/>
        <w:ind w:right="25"/>
        <w:jc w:val="left"/>
      </w:pPr>
      <w:r>
        <w:rPr/>
        <w:t>说明</w:t>
      </w:r>
      <w:r>
        <w:rPr>
          <w:spacing w:val="-46"/>
        </w:rPr>
        <w:t> </w:t>
      </w:r>
      <w:r>
        <w:rPr>
          <w:rFonts w:ascii="宋体" w:hAnsi="宋体" w:cs="宋体" w:eastAsia="宋体" w:hint="default"/>
          <w:spacing w:val="-4"/>
        </w:rPr>
        <w:t>3</w:t>
      </w:r>
      <w:r>
        <w:rPr>
          <w:spacing w:val="-4"/>
        </w:rPr>
        <w:t>：子公司浙江帅康电气股份有限公司以其余房权证低塘街道字第</w:t>
      </w:r>
      <w:r>
        <w:rPr>
          <w:spacing w:val="-47"/>
        </w:rPr>
        <w:t> </w:t>
      </w:r>
      <w:r>
        <w:rPr>
          <w:rFonts w:ascii="宋体" w:hAnsi="宋体" w:cs="宋体" w:eastAsia="宋体" w:hint="default"/>
        </w:rPr>
        <w:t>A1518587</w:t>
      </w:r>
      <w:r>
        <w:rPr>
          <w:rFonts w:ascii="宋体" w:hAnsi="宋体" w:cs="宋体" w:eastAsia="宋体" w:hint="default"/>
          <w:spacing w:val="-47"/>
        </w:rPr>
        <w:t> </w:t>
      </w:r>
      <w:r>
        <w:rPr>
          <w:spacing w:val="-24"/>
        </w:rPr>
        <w:t>号、第</w:t>
      </w:r>
      <w:r>
        <w:rPr>
          <w:spacing w:val="-46"/>
        </w:rPr>
        <w:t> </w:t>
      </w:r>
      <w:r>
        <w:rPr>
          <w:rFonts w:ascii="宋体" w:hAnsi="宋体" w:cs="宋体" w:eastAsia="宋体" w:hint="default"/>
        </w:rPr>
        <w:t>A1518588</w:t>
      </w:r>
      <w:r>
        <w:rPr>
          <w:rFonts w:ascii="宋体" w:hAnsi="宋体" w:cs="宋体" w:eastAsia="宋体" w:hint="default"/>
          <w:spacing w:val="-89"/>
        </w:rPr>
        <w:t> </w:t>
      </w:r>
      <w:r>
        <w:rPr>
          <w:rFonts w:ascii="宋体" w:hAnsi="宋体" w:cs="宋体" w:eastAsia="宋体" w:hint="default"/>
          <w:spacing w:val="-89"/>
        </w:rPr>
      </w:r>
      <w:r>
        <w:rPr/>
        <w:t>号、第</w:t>
      </w:r>
      <w:r>
        <w:rPr>
          <w:spacing w:val="-46"/>
        </w:rPr>
        <w:t> </w:t>
      </w:r>
      <w:r>
        <w:rPr>
          <w:rFonts w:ascii="宋体" w:hAnsi="宋体" w:cs="宋体" w:eastAsia="宋体" w:hint="default"/>
        </w:rPr>
        <w:t>A1518590</w:t>
      </w:r>
      <w:r>
        <w:rPr>
          <w:rFonts w:ascii="宋体" w:hAnsi="宋体" w:cs="宋体" w:eastAsia="宋体" w:hint="default"/>
          <w:spacing w:val="-48"/>
        </w:rPr>
        <w:t> </w:t>
      </w:r>
      <w:r>
        <w:rPr/>
        <w:t>号、第</w:t>
      </w:r>
      <w:r>
        <w:rPr>
          <w:spacing w:val="-50"/>
        </w:rPr>
        <w:t> </w:t>
      </w:r>
      <w:r>
        <w:rPr>
          <w:rFonts w:ascii="宋体" w:hAnsi="宋体" w:cs="宋体" w:eastAsia="宋体" w:hint="default"/>
        </w:rPr>
        <w:t>A1518591</w:t>
      </w:r>
      <w:r>
        <w:rPr>
          <w:rFonts w:ascii="宋体" w:hAnsi="宋体" w:cs="宋体" w:eastAsia="宋体" w:hint="default"/>
          <w:spacing w:val="-46"/>
        </w:rPr>
        <w:t> </w:t>
      </w:r>
      <w:r>
        <w:rPr/>
        <w:t>号、第</w:t>
      </w:r>
      <w:r>
        <w:rPr>
          <w:spacing w:val="-48"/>
        </w:rPr>
        <w:t> </w:t>
      </w:r>
      <w:r>
        <w:rPr>
          <w:rFonts w:ascii="宋体" w:hAnsi="宋体" w:cs="宋体" w:eastAsia="宋体" w:hint="default"/>
        </w:rPr>
        <w:t>A1518592</w:t>
      </w:r>
      <w:r>
        <w:rPr>
          <w:rFonts w:ascii="宋体" w:hAnsi="宋体" w:cs="宋体" w:eastAsia="宋体" w:hint="default"/>
          <w:spacing w:val="-45"/>
        </w:rPr>
        <w:t> </w:t>
      </w:r>
      <w:r>
        <w:rPr/>
        <w:t>号房屋建筑物以及余国用</w:t>
      </w:r>
      <w:r>
        <w:rPr>
          <w:spacing w:val="-45"/>
        </w:rPr>
        <w:t> </w:t>
      </w:r>
      <w:r>
        <w:rPr>
          <w:rFonts w:ascii="宋体" w:hAnsi="宋体" w:cs="宋体" w:eastAsia="宋体" w:hint="default"/>
        </w:rPr>
        <w:t>2015</w:t>
      </w:r>
      <w:r>
        <w:rPr>
          <w:rFonts w:ascii="宋体" w:hAnsi="宋体" w:cs="宋体" w:eastAsia="宋体" w:hint="default"/>
          <w:spacing w:val="-48"/>
        </w:rPr>
        <w:t> </w:t>
      </w:r>
      <w:r>
        <w:rPr/>
        <w:t>第</w:t>
      </w:r>
      <w:r>
        <w:rPr>
          <w:spacing w:val="-44"/>
        </w:rPr>
        <w:t> </w:t>
      </w:r>
      <w:r>
        <w:rPr>
          <w:rFonts w:ascii="宋体" w:hAnsi="宋体" w:cs="宋体" w:eastAsia="宋体" w:hint="default"/>
        </w:rPr>
        <w:t>14791</w:t>
      </w:r>
      <w:r>
        <w:rPr>
          <w:rFonts w:ascii="宋体" w:hAnsi="宋体" w:cs="宋体" w:eastAsia="宋体" w:hint="default"/>
          <w:spacing w:val="-46"/>
        </w:rPr>
        <w:t> </w:t>
      </w:r>
      <w:r>
        <w:rPr/>
        <w:t>号、</w:t>
      </w:r>
      <w:r>
        <w:rPr>
          <w:spacing w:val="-103"/>
        </w:rPr>
        <w:t> </w:t>
      </w:r>
      <w:r>
        <w:rPr/>
        <w:t>第</w:t>
      </w:r>
      <w:r>
        <w:rPr>
          <w:spacing w:val="-53"/>
        </w:rPr>
        <w:t> </w:t>
      </w:r>
      <w:r>
        <w:rPr>
          <w:rFonts w:ascii="宋体" w:hAnsi="宋体" w:cs="宋体" w:eastAsia="宋体" w:hint="default"/>
        </w:rPr>
        <w:t>14793</w:t>
      </w:r>
      <w:r>
        <w:rPr>
          <w:rFonts w:ascii="宋体" w:hAnsi="宋体" w:cs="宋体" w:eastAsia="宋体" w:hint="default"/>
          <w:spacing w:val="-54"/>
        </w:rPr>
        <w:t> </w:t>
      </w:r>
      <w:r>
        <w:rPr/>
        <w:t>号、第</w:t>
      </w:r>
      <w:r>
        <w:rPr>
          <w:spacing w:val="-54"/>
        </w:rPr>
        <w:t> </w:t>
      </w:r>
      <w:r>
        <w:rPr>
          <w:rFonts w:ascii="宋体" w:hAnsi="宋体" w:cs="宋体" w:eastAsia="宋体" w:hint="default"/>
        </w:rPr>
        <w:t>14794</w:t>
      </w:r>
      <w:r>
        <w:rPr>
          <w:rFonts w:ascii="宋体" w:hAnsi="宋体" w:cs="宋体" w:eastAsia="宋体" w:hint="default"/>
          <w:spacing w:val="-54"/>
        </w:rPr>
        <w:t> </w:t>
      </w:r>
      <w:r>
        <w:rPr/>
        <w:t>号的土地使用权抵押借款。</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1"/>
          <w:pgSz w:w="11910" w:h="16850"/>
          <w:pgMar w:footer="941" w:header="0" w:top="1000" w:bottom="1140" w:left="920" w:right="1680"/>
          <w:pgNumType w:start="141"/>
        </w:sectPr>
      </w:pPr>
    </w:p>
    <w:p>
      <w:pPr>
        <w:pStyle w:val="Heading5"/>
        <w:tabs>
          <w:tab w:pos="913" w:val="left" w:leader="none"/>
        </w:tabs>
        <w:spacing w:line="290" w:lineRule="auto" w:before="36"/>
        <w:ind w:left="212"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4"/>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50"/>
          <w:pgMar w:top="1120" w:bottom="1380" w:left="920" w:right="1680"/>
          <w:cols w:num="2" w:equalWidth="0">
            <w:col w:w="2604" w:space="5347"/>
            <w:col w:w="135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83"/>
        <w:gridCol w:w="2038"/>
        <w:gridCol w:w="2050"/>
        <w:gridCol w:w="2036"/>
      </w:tblGrid>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0"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3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8,562,930.27</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1,051,647.01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6.5342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6,871,671.90</w:t>
            </w:r>
          </w:p>
        </w:tc>
      </w:tr>
      <w:tr>
        <w:trPr>
          <w:trHeight w:val="28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151,901.29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7.8023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1,185,179.44</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341,369.08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0.83591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285,353.82</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43,340.62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5.0928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220,725.11</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3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7,098,292.81</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911,521.82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6.5342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5,956,065.88</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224,282.70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5.0928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1,142,226.93</w:t>
            </w:r>
          </w:p>
        </w:tc>
      </w:tr>
    </w:tbl>
    <w:p>
      <w:pPr>
        <w:spacing w:line="240" w:lineRule="auto" w:before="12"/>
        <w:rPr>
          <w:rFonts w:ascii="宋体" w:hAnsi="宋体" w:cs="宋体" w:eastAsia="宋体" w:hint="default"/>
          <w:sz w:val="19"/>
          <w:szCs w:val="19"/>
        </w:rPr>
      </w:pPr>
    </w:p>
    <w:p>
      <w:pPr>
        <w:pStyle w:val="BodyText"/>
        <w:spacing w:line="290" w:lineRule="auto" w:before="36"/>
        <w:ind w:right="8024"/>
        <w:jc w:val="left"/>
      </w:pPr>
      <w:r>
        <w:rPr/>
        <w:t>其他说明：</w:t>
      </w:r>
      <w:r>
        <w:rPr>
          <w:spacing w:val="-102"/>
        </w:rPr>
        <w:t> </w:t>
      </w:r>
      <w:r>
        <w:rPr>
          <w:spacing w:val="-102"/>
        </w:rPr>
      </w:r>
      <w:r>
        <w:rPr/>
        <w:t>无</w:t>
      </w:r>
    </w:p>
    <w:p>
      <w:pPr>
        <w:spacing w:line="240" w:lineRule="auto" w:before="13"/>
        <w:rPr>
          <w:rFonts w:ascii="宋体" w:hAnsi="宋体" w:cs="宋体" w:eastAsia="宋体" w:hint="default"/>
          <w:sz w:val="23"/>
          <w:szCs w:val="23"/>
        </w:rPr>
      </w:pPr>
    </w:p>
    <w:p>
      <w:pPr>
        <w:pStyle w:val="Heading5"/>
        <w:tabs>
          <w:tab w:pos="913" w:val="left" w:leader="none"/>
        </w:tabs>
        <w:spacing w:line="272" w:lineRule="exact"/>
        <w:ind w:left="633" w:right="378" w:hanging="421"/>
        <w:jc w:val="left"/>
        <w:rPr>
          <w:b w:val="0"/>
          <w:bCs w:val="0"/>
        </w:rPr>
      </w:pPr>
      <w:r>
        <w:rPr>
          <w:rFonts w:ascii="宋体" w:hAnsi="宋体" w:cs="宋体" w:eastAsia="宋体" w:hint="default"/>
          <w:w w:val="95"/>
        </w:rPr>
        <w:t>(2).</w:t>
        <w:tab/>
      </w:r>
      <w:r>
        <w:rPr>
          <w:spacing w:val="-1"/>
        </w:rPr>
        <w:t>境外经营实体说明，包括对于重要的境外经营实体，应披露其境外主要经营地、记账本</w:t>
      </w:r>
      <w:r>
        <w:rPr>
          <w:spacing w:val="-73"/>
        </w:rPr>
        <w:t> </w:t>
      </w:r>
      <w:r>
        <w:rPr>
          <w:spacing w:val="-73"/>
        </w:rPr>
      </w:r>
      <w:r>
        <w:rPr/>
        <w:t>位币及选择依据，记账本位币发生变化的还应披露原因。</w:t>
      </w:r>
      <w:r>
        <w:rPr>
          <w:b w:val="0"/>
          <w:bCs w:val="0"/>
        </w:rPr>
      </w:r>
    </w:p>
    <w:p>
      <w:pPr>
        <w:pStyle w:val="BodyText"/>
        <w:spacing w:line="240" w:lineRule="auto" w:before="34"/>
        <w:ind w:right="25"/>
        <w:jc w:val="left"/>
      </w:pPr>
      <w:r>
        <w:rPr/>
        <w:t>□适用 √不适用</w:t>
      </w:r>
    </w:p>
    <w:p>
      <w:pPr>
        <w:spacing w:line="240" w:lineRule="auto" w:before="3"/>
        <w:rPr>
          <w:rFonts w:ascii="宋体" w:hAnsi="宋体" w:cs="宋体" w:eastAsia="宋体" w:hint="default"/>
          <w:sz w:val="25"/>
          <w:szCs w:val="25"/>
        </w:rPr>
      </w:pPr>
    </w:p>
    <w:p>
      <w:pPr>
        <w:pStyle w:val="Heading5"/>
        <w:spacing w:line="240" w:lineRule="auto"/>
        <w:ind w:left="212" w:right="25"/>
        <w:jc w:val="left"/>
        <w:rPr>
          <w:b w:val="0"/>
          <w:bCs w:val="0"/>
        </w:rPr>
      </w:pPr>
      <w:r>
        <w:rPr>
          <w:rFonts w:ascii="宋体" w:hAnsi="宋体" w:cs="宋体" w:eastAsia="宋体" w:hint="default"/>
        </w:rPr>
        <w:t>78</w:t>
      </w:r>
      <w:r>
        <w:rPr/>
        <w:t>、</w:t>
      </w:r>
      <w:r>
        <w:rPr>
          <w:spacing w:val="-25"/>
        </w:rPr>
        <w:t> </w:t>
      </w:r>
      <w:r>
        <w:rPr/>
        <w:t>套期</w:t>
      </w:r>
      <w:r>
        <w:rPr>
          <w:b w:val="0"/>
          <w:bCs w:val="0"/>
        </w:rPr>
      </w:r>
    </w:p>
    <w:p>
      <w:pPr>
        <w:pStyle w:val="BodyText"/>
        <w:spacing w:line="240" w:lineRule="auto" w:before="56"/>
        <w:ind w:right="25"/>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50"/>
          <w:pgMar w:top="1120" w:bottom="1380" w:left="920" w:right="1680"/>
        </w:sectPr>
      </w:pPr>
    </w:p>
    <w:p>
      <w:pPr>
        <w:pStyle w:val="Heading5"/>
        <w:spacing w:line="240" w:lineRule="auto" w:before="36"/>
        <w:ind w:left="212" w:right="-17"/>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5"/>
        <w:tabs>
          <w:tab w:pos="638" w:val="left" w:leader="none"/>
        </w:tabs>
        <w:spacing w:line="240" w:lineRule="auto" w:before="56"/>
        <w:ind w:left="212"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55" w:val="left" w:leader="none"/>
        </w:tabs>
        <w:spacing w:line="240" w:lineRule="auto" w:before="58"/>
        <w:ind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328" w:space="4151"/>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52"/>
        <w:gridCol w:w="2252"/>
        <w:gridCol w:w="2252"/>
        <w:gridCol w:w="2252"/>
      </w:tblGrid>
      <w:tr>
        <w:trPr>
          <w:trHeight w:val="281"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828"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计入递延收益的政府</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8"/>
                <w:sz w:val="21"/>
                <w:szCs w:val="21"/>
              </w:rPr>
              <w:t>补助，后续采用总额法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计量</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递延收益、计入损益列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报为其他收益</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3,566,334.73</w:t>
            </w:r>
          </w:p>
        </w:tc>
      </w:tr>
      <w:tr>
        <w:trPr>
          <w:trHeight w:val="283"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采用总额法计入当期</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17,204,471.37</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17,204,471.37</w:t>
            </w:r>
          </w:p>
        </w:tc>
      </w:tr>
    </w:tbl>
    <w:p>
      <w:pPr>
        <w:spacing w:after="0" w:line="241" w:lineRule="exact"/>
        <w:jc w:val="right"/>
        <w:rPr>
          <w:rFonts w:ascii="宋体" w:hAnsi="宋体" w:cs="宋体" w:eastAsia="宋体" w:hint="default"/>
          <w:sz w:val="21"/>
          <w:szCs w:val="21"/>
        </w:rPr>
        <w:sectPr>
          <w:type w:val="continuous"/>
          <w:pgSz w:w="11910" w:h="16850"/>
          <w:pgMar w:top="1120" w:bottom="1380" w:left="920" w:right="16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252"/>
        <w:gridCol w:w="2252"/>
        <w:gridCol w:w="2252"/>
        <w:gridCol w:w="2252"/>
      </w:tblGrid>
      <w:tr>
        <w:trPr>
          <w:trHeight w:val="283"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损益的政府补助</w:t>
            </w:r>
          </w:p>
        </w:tc>
        <w:tc>
          <w:tcPr>
            <w:tcW w:w="2252"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采用总额法计入当期</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8"/>
                <w:sz w:val="21"/>
                <w:szCs w:val="21"/>
              </w:rPr>
              <w:t>损益的政府补助（与日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常活动无关的）</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3" w:right="0"/>
              <w:jc w:val="left"/>
              <w:rPr>
                <w:rFonts w:ascii="宋体" w:hAnsi="宋体" w:cs="宋体" w:eastAsia="宋体" w:hint="default"/>
                <w:sz w:val="21"/>
                <w:szCs w:val="21"/>
              </w:rPr>
            </w:pPr>
            <w:r>
              <w:rPr>
                <w:rFonts w:ascii="宋体"/>
                <w:sz w:val="21"/>
              </w:rPr>
              <w:t>67,018.00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3" w:right="0"/>
              <w:jc w:val="left"/>
              <w:rPr>
                <w:rFonts w:ascii="宋体" w:hAnsi="宋体" w:cs="宋体" w:eastAsia="宋体" w:hint="default"/>
                <w:sz w:val="21"/>
                <w:szCs w:val="21"/>
              </w:rPr>
            </w:pPr>
            <w:r>
              <w:rPr>
                <w:rFonts w:ascii="宋体"/>
                <w:sz w:val="21"/>
              </w:rPr>
              <w:t>67,018.00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50"/>
          <w:pgMar w:header="0" w:footer="941" w:top="1000" w:bottom="1140" w:left="920" w:right="1680"/>
        </w:sectPr>
      </w:pPr>
    </w:p>
    <w:p>
      <w:pPr>
        <w:pStyle w:val="Heading5"/>
        <w:tabs>
          <w:tab w:pos="638" w:val="left" w:leader="none"/>
        </w:tabs>
        <w:spacing w:line="240" w:lineRule="auto" w:before="36"/>
        <w:ind w:left="212" w:right="-17"/>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3" w:val="left" w:leader="none"/>
        </w:tabs>
        <w:spacing w:line="240" w:lineRule="auto"/>
        <w:ind w:right="0"/>
        <w:jc w:val="left"/>
      </w:pPr>
      <w:r>
        <w:rPr>
          <w:spacing w:val="-1"/>
        </w:rPr>
        <w:t>单位：元</w:t>
        <w:tab/>
        <w:t>币种：人民币</w:t>
      </w:r>
    </w:p>
    <w:p>
      <w:pPr>
        <w:spacing w:after="0" w:line="240" w:lineRule="auto"/>
        <w:jc w:val="left"/>
        <w:sectPr>
          <w:type w:val="continuous"/>
          <w:pgSz w:w="11910" w:h="16850"/>
          <w:pgMar w:top="1120" w:bottom="1380" w:left="920" w:right="1680"/>
          <w:cols w:num="2" w:equalWidth="0">
            <w:col w:w="2328" w:space="4151"/>
            <w:col w:w="283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01"/>
        <w:gridCol w:w="3005"/>
        <w:gridCol w:w="3001"/>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57"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科技创新与成果转化（重大科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技成果转化）专项资金项目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31" w:right="0"/>
              <w:jc w:val="left"/>
              <w:rPr>
                <w:rFonts w:ascii="宋体" w:hAnsi="宋体" w:cs="宋体" w:eastAsia="宋体" w:hint="default"/>
                <w:sz w:val="21"/>
                <w:szCs w:val="21"/>
              </w:rPr>
            </w:pPr>
            <w:r>
              <w:rPr>
                <w:rFonts w:ascii="宋体"/>
                <w:sz w:val="21"/>
              </w:rPr>
              <w:t>1,370,000.00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项目审核未通过</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40" w:lineRule="auto" w:before="36"/>
        <w:ind w:right="25"/>
        <w:jc w:val="left"/>
      </w:pPr>
      <w:r>
        <w:rPr/>
        <w:t>其他说明</w:t>
      </w:r>
    </w:p>
    <w:p>
      <w:pPr>
        <w:spacing w:line="240" w:lineRule="auto" w:before="4"/>
        <w:rPr>
          <w:rFonts w:ascii="宋体" w:hAnsi="宋体" w:cs="宋体" w:eastAsia="宋体" w:hint="default"/>
          <w:sz w:val="29"/>
          <w:szCs w:val="29"/>
        </w:rPr>
      </w:pPr>
    </w:p>
    <w:p>
      <w:pPr>
        <w:pStyle w:val="Heading3"/>
        <w:spacing w:line="240" w:lineRule="auto"/>
        <w:ind w:left="210" w:right="25"/>
        <w:jc w:val="left"/>
      </w:pPr>
      <w:r>
        <w:rPr/>
        <w:t>（</w:t>
      </w:r>
      <w:r>
        <w:rPr>
          <w:rFonts w:ascii="Arial Narrow" w:hAnsi="Arial Narrow" w:cs="Arial Narrow" w:eastAsia="Arial Narrow" w:hint="default"/>
        </w:rPr>
        <w:t>1</w:t>
      </w:r>
      <w:r>
        <w:rPr/>
        <w:t>）计入递延收益的政府补助，后续采用总额法计量</w:t>
      </w:r>
    </w:p>
    <w:p>
      <w:pPr>
        <w:spacing w:after="0" w:line="240" w:lineRule="auto"/>
        <w:jc w:val="left"/>
        <w:sectPr>
          <w:type w:val="continuous"/>
          <w:pgSz w:w="11910" w:h="16850"/>
          <w:pgMar w:top="1120" w:bottom="1380" w:left="920" w:right="1680"/>
        </w:sectPr>
      </w:pPr>
    </w:p>
    <w:p>
      <w:pPr>
        <w:spacing w:before="20"/>
        <w:ind w:left="6756" w:right="677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1.3pt;height:.75pt;mso-position-horizontal-relative:char;mso-position-vertical-relative:line" coordorigin="0,0" coordsize="14626,15">
            <v:group style="position:absolute;left:7;top:7;width:14612;height:2" coordorigin="7,7" coordsize="14612,2">
              <v:shape style="position:absolute;left:7;top:7;width:14612;height:2" coordorigin="7,7" coordsize="14612,0" path="m7,7l146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5pt;mso-position-horizontal-relative:char;mso-position-vertical-relative:line" coordorigin="0,0" coordsize="14645,10">
            <v:group style="position:absolute;left:5;top:5;width:2300;height:2" coordorigin="5,5" coordsize="2300,2">
              <v:shape style="position:absolute;left:5;top:5;width:2300;height:2" coordorigin="5,5" coordsize="2300,0" path="m5,5l2304,5e" filled="false" stroked="true" strokeweight=".48pt" strokecolor="#000000">
                <v:path arrowok="t"/>
              </v:shape>
            </v:group>
            <v:group style="position:absolute;left:2304;top:5;width:10;height:2" coordorigin="2304,5" coordsize="10,2">
              <v:shape style="position:absolute;left:2304;top:5;width:10;height:2" coordorigin="2304,5" coordsize="10,0" path="m2304,5l2314,5e" filled="false" stroked="true" strokeweight=".48pt" strokecolor="#000000">
                <v:path arrowok="t"/>
              </v:shape>
            </v:group>
            <v:group style="position:absolute;left:2314;top:5;width:1693;height:2" coordorigin="2314,5" coordsize="1693,2">
              <v:shape style="position:absolute;left:2314;top:5;width:1693;height:2" coordorigin="2314,5" coordsize="1693,0" path="m2314,5l4006,5e" filled="false" stroked="true" strokeweight=".48pt" strokecolor="#000000">
                <v:path arrowok="t"/>
              </v:shape>
            </v:group>
            <v:group style="position:absolute;left:4007;top:5;width:10;height:2" coordorigin="4007,5" coordsize="10,2">
              <v:shape style="position:absolute;left:4007;top:5;width:10;height:2" coordorigin="4007,5" coordsize="10,0" path="m4007,5l4016,5e" filled="false" stroked="true" strokeweight=".48pt" strokecolor="#000000">
                <v:path arrowok="t"/>
              </v:shape>
            </v:group>
            <v:group style="position:absolute;left:4016;top:5;width:1690;height:2" coordorigin="4016,5" coordsize="1690,2">
              <v:shape style="position:absolute;left:4016;top:5;width:1690;height:2" coordorigin="4016,5" coordsize="1690,0" path="m4016,5l5706,5e" filled="false" stroked="true" strokeweight=".48pt" strokecolor="#000000">
                <v:path arrowok="t"/>
              </v:shape>
            </v:group>
            <v:group style="position:absolute;left:5706;top:5;width:10;height:2" coordorigin="5706,5" coordsize="10,2">
              <v:shape style="position:absolute;left:5706;top:5;width:10;height:2" coordorigin="5706,5" coordsize="10,0" path="m5706,5l5715,5e" filled="false" stroked="true" strokeweight=".48pt" strokecolor="#000000">
                <v:path arrowok="t"/>
              </v:shape>
            </v:group>
            <v:group style="position:absolute;left:5715;top:5;width:1127;height:2" coordorigin="5715,5" coordsize="1127,2">
              <v:shape style="position:absolute;left:5715;top:5;width:1127;height:2" coordorigin="5715,5" coordsize="1127,0" path="m5715,5l6841,5e" filled="false" stroked="true" strokeweight=".48pt" strokecolor="#000000">
                <v:path arrowok="t"/>
              </v:shape>
            </v:group>
            <v:group style="position:absolute;left:6841;top:5;width:10;height:2" coordorigin="6841,5" coordsize="10,2">
              <v:shape style="position:absolute;left:6841;top:5;width:10;height:2" coordorigin="6841,5" coordsize="10,0" path="m6841,5l6851,5e" filled="false" stroked="true" strokeweight=".48pt" strokecolor="#000000">
                <v:path arrowok="t"/>
              </v:shape>
            </v:group>
            <v:group style="position:absolute;left:6851;top:5;width:1690;height:2" coordorigin="6851,5" coordsize="1690,2">
              <v:shape style="position:absolute;left:6851;top:5;width:1690;height:2" coordorigin="6851,5" coordsize="1690,0" path="m6851,5l8541,5e" filled="false" stroked="true" strokeweight=".48pt" strokecolor="#000000">
                <v:path arrowok="t"/>
              </v:shape>
            </v:group>
            <v:group style="position:absolute;left:8541;top:5;width:10;height:2" coordorigin="8541,5" coordsize="10,2">
              <v:shape style="position:absolute;left:8541;top:5;width:10;height:2" coordorigin="8541,5" coordsize="10,0" path="m8541,5l8550,5e" filled="false" stroked="true" strokeweight=".48pt" strokecolor="#000000">
                <v:path arrowok="t"/>
              </v:shape>
            </v:group>
            <v:group style="position:absolute;left:8550;top:5;width:1268;height:2" coordorigin="8550,5" coordsize="1268,2">
              <v:shape style="position:absolute;left:8550;top:5;width:1268;height:2" coordorigin="8550,5" coordsize="1268,0" path="m8550,5l9818,5e" filled="false" stroked="true" strokeweight=".48pt" strokecolor="#000000">
                <v:path arrowok="t"/>
              </v:shape>
            </v:group>
            <v:group style="position:absolute;left:9818;top:5;width:10;height:2" coordorigin="9818,5" coordsize="10,2">
              <v:shape style="position:absolute;left:9818;top:5;width:10;height:2" coordorigin="9818,5" coordsize="10,0" path="m9818,5l9828,5e" filled="false" stroked="true" strokeweight=".48pt" strokecolor="#000000">
                <v:path arrowok="t"/>
              </v:shape>
            </v:group>
            <v:group style="position:absolute;left:9828;top:5;width:1409;height:2" coordorigin="9828,5" coordsize="1409,2">
              <v:shape style="position:absolute;left:9828;top:5;width:1409;height:2" coordorigin="9828,5" coordsize="1409,0" path="m9828,5l11236,5e" filled="false" stroked="true" strokeweight=".48pt" strokecolor="#000000">
                <v:path arrowok="t"/>
              </v:shape>
            </v:group>
            <v:group style="position:absolute;left:11236;top:5;width:10;height:2" coordorigin="11236,5" coordsize="10,2">
              <v:shape style="position:absolute;left:11236;top:5;width:10;height:2" coordorigin="11236,5" coordsize="10,0" path="m11236,5l11246,5e" filled="false" stroked="true" strokeweight=".48pt" strokecolor="#000000">
                <v:path arrowok="t"/>
              </v:shape>
            </v:group>
            <v:group style="position:absolute;left:11246;top:5;width:1887;height:2" coordorigin="11246,5" coordsize="1887,2">
              <v:shape style="position:absolute;left:11246;top:5;width:1887;height:2" coordorigin="11246,5" coordsize="1887,0" path="m11246,5l13133,5e" filled="false" stroked="true" strokeweight=".48pt" strokecolor="#000000">
                <v:path arrowok="t"/>
              </v:shape>
            </v:group>
            <v:group style="position:absolute;left:13133;top:5;width:10;height:2" coordorigin="13133,5" coordsize="10,2">
              <v:shape style="position:absolute;left:13133;top:5;width:10;height:2" coordorigin="13133,5" coordsize="10,0" path="m13133,5l13142,5e" filled="false" stroked="true" strokeweight=".48pt" strokecolor="#000000">
                <v:path arrowok="t"/>
              </v:shape>
            </v:group>
            <v:group style="position:absolute;left:13142;top:5;width:1498;height:2" coordorigin="13142,5" coordsize="1498,2">
              <v:shape style="position:absolute;left:13142;top:5;width:1498;height:2" coordorigin="13142,5" coordsize="1498,0" path="m13142,5l1464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72"/>
          <w:footerReference w:type="default" r:id="rId73"/>
          <w:pgSz w:w="16850" w:h="11910" w:orient="landscape"/>
          <w:pgMar w:header="0" w:footer="0" w:top="680" w:bottom="280" w:left="980" w:right="980"/>
        </w:sectPr>
      </w:pPr>
    </w:p>
    <w:p>
      <w:pPr>
        <w:pStyle w:val="Heading2"/>
        <w:tabs>
          <w:tab w:pos="3030" w:val="left" w:leader="none"/>
          <w:tab w:pos="4490" w:val="left" w:leader="none"/>
          <w:tab w:pos="5908" w:val="left" w:leader="none"/>
        </w:tabs>
        <w:spacing w:line="132" w:lineRule="auto" w:before="101"/>
        <w:ind w:left="5909" w:right="0" w:hanging="5120"/>
        <w:jc w:val="right"/>
        <w:rPr>
          <w:b w:val="0"/>
          <w:bCs w:val="0"/>
        </w:rPr>
      </w:pPr>
      <w:r>
        <w:rPr/>
        <w:t>补助项目</w:t>
        <w:tab/>
        <w:t>种类</w:t>
        <w:tab/>
        <w:t>期初余额</w:t>
        <w:tab/>
      </w:r>
      <w:r>
        <w:rPr>
          <w:position w:val="16"/>
        </w:rPr>
        <w:t>本期新增</w:t>
      </w:r>
      <w:r>
        <w:rPr>
          <w:position w:val="16"/>
        </w:rPr>
        <w:t> </w:t>
      </w:r>
      <w:r>
        <w:rPr/>
        <w:t>补助金额</w:t>
      </w:r>
      <w:r>
        <w:rPr>
          <w:b w:val="0"/>
          <w:bCs w:val="0"/>
        </w:rPr>
      </w:r>
    </w:p>
    <w:p>
      <w:pPr>
        <w:pStyle w:val="Heading2"/>
        <w:tabs>
          <w:tab w:pos="2142" w:val="left" w:leader="none"/>
        </w:tabs>
        <w:spacing w:line="238" w:lineRule="exact"/>
        <w:ind w:left="172" w:right="0"/>
        <w:jc w:val="center"/>
        <w:rPr>
          <w:b w:val="0"/>
          <w:bCs w:val="0"/>
        </w:rPr>
      </w:pPr>
      <w:r>
        <w:rPr>
          <w:b w:val="0"/>
          <w:bCs w:val="0"/>
        </w:rPr>
        <w:br w:type="column"/>
      </w:r>
      <w:r>
        <w:rPr/>
        <w:t>本期结转计入</w:t>
        <w:tab/>
        <w:t>其他</w:t>
      </w:r>
      <w:r>
        <w:rPr>
          <w:b w:val="0"/>
          <w:bCs w:val="0"/>
        </w:rPr>
      </w:r>
    </w:p>
    <w:p>
      <w:pPr>
        <w:pStyle w:val="Heading2"/>
        <w:tabs>
          <w:tab w:pos="2142" w:val="left" w:leader="none"/>
        </w:tabs>
        <w:spacing w:line="365" w:lineRule="exact"/>
        <w:ind w:left="292" w:right="0"/>
        <w:jc w:val="center"/>
        <w:rPr>
          <w:b w:val="0"/>
          <w:bCs w:val="0"/>
        </w:rPr>
      </w:pPr>
      <w:r>
        <w:rPr/>
        <w:t>损益的金额</w:t>
        <w:tab/>
        <w:t>变动</w:t>
      </w:r>
      <w:r>
        <w:rPr>
          <w:b w:val="0"/>
          <w:bCs w:val="0"/>
        </w:rPr>
      </w:r>
    </w:p>
    <w:p>
      <w:pPr>
        <w:pStyle w:val="Heading2"/>
        <w:tabs>
          <w:tab w:pos="1845" w:val="left" w:leader="none"/>
        </w:tabs>
        <w:spacing w:line="238" w:lineRule="exact"/>
        <w:ind w:left="789" w:right="-13"/>
        <w:jc w:val="left"/>
        <w:rPr>
          <w:b w:val="0"/>
          <w:bCs w:val="0"/>
        </w:rPr>
      </w:pPr>
      <w:r>
        <w:rPr>
          <w:b w:val="0"/>
          <w:bCs w:val="0"/>
        </w:rPr>
        <w:br w:type="column"/>
      </w:r>
      <w:r>
        <w:rPr/>
        <w:t>期末</w:t>
        <w:tab/>
        <w:t>本期结转计入损</w:t>
      </w:r>
      <w:r>
        <w:rPr>
          <w:b w:val="0"/>
          <w:bCs w:val="0"/>
        </w:rPr>
      </w:r>
    </w:p>
    <w:p>
      <w:pPr>
        <w:pStyle w:val="Heading2"/>
        <w:tabs>
          <w:tab w:pos="1965" w:val="left" w:leader="none"/>
        </w:tabs>
        <w:spacing w:line="365" w:lineRule="exact"/>
        <w:ind w:left="789" w:right="-13"/>
        <w:jc w:val="left"/>
        <w:rPr>
          <w:b w:val="0"/>
          <w:bCs w:val="0"/>
        </w:rPr>
      </w:pPr>
      <w:r>
        <w:rPr/>
        <w:t>余额</w:t>
        <w:tab/>
        <w:t>益的列报项目</w:t>
      </w:r>
      <w:r>
        <w:rPr>
          <w:b w:val="0"/>
          <w:bCs w:val="0"/>
        </w:rPr>
      </w:r>
    </w:p>
    <w:p>
      <w:pPr>
        <w:pStyle w:val="Heading2"/>
        <w:spacing w:line="238" w:lineRule="exact"/>
        <w:ind w:right="0" w:hanging="27"/>
        <w:jc w:val="left"/>
        <w:rPr>
          <w:rFonts w:ascii="Arial Narrow" w:hAnsi="Arial Narrow" w:cs="Arial Narrow" w:eastAsia="Arial Narrow" w:hint="default"/>
          <w:b w:val="0"/>
          <w:bCs w:val="0"/>
        </w:rPr>
      </w:pPr>
      <w:r>
        <w:rPr>
          <w:b w:val="0"/>
          <w:bCs w:val="0"/>
        </w:rPr>
        <w:br w:type="column"/>
      </w:r>
      <w:r>
        <w:rPr/>
        <w:t>与资产相关</w:t>
      </w:r>
      <w:r>
        <w:rPr>
          <w:rFonts w:ascii="Arial Narrow" w:hAnsi="Arial Narrow" w:cs="Arial Narrow" w:eastAsia="Arial Narrow" w:hint="default"/>
        </w:rPr>
        <w:t>/</w:t>
      </w:r>
      <w:r>
        <w:rPr>
          <w:rFonts w:ascii="Arial Narrow" w:hAnsi="Arial Narrow" w:cs="Arial Narrow" w:eastAsia="Arial Narrow" w:hint="default"/>
          <w:b w:val="0"/>
          <w:bCs w:val="0"/>
        </w:rPr>
      </w:r>
    </w:p>
    <w:p>
      <w:pPr>
        <w:pStyle w:val="Heading2"/>
        <w:spacing w:line="365" w:lineRule="exact"/>
        <w:ind w:right="0"/>
        <w:jc w:val="left"/>
        <w:rPr>
          <w:b w:val="0"/>
          <w:bCs w:val="0"/>
        </w:rPr>
      </w:pPr>
      <w:r>
        <w:rPr/>
        <w:t>与收益相关</w:t>
      </w:r>
      <w:r>
        <w:rPr>
          <w:b w:val="0"/>
          <w:bCs w:val="0"/>
        </w:rPr>
      </w:r>
    </w:p>
    <w:p>
      <w:pPr>
        <w:spacing w:after="0" w:line="365" w:lineRule="exact"/>
        <w:jc w:val="left"/>
        <w:sectPr>
          <w:type w:val="continuous"/>
          <w:pgSz w:w="16850" w:h="11910" w:orient="landscape"/>
          <w:pgMar w:top="1120" w:bottom="1380" w:left="980" w:right="980"/>
          <w:cols w:num="4" w:equalWidth="0">
            <w:col w:w="6874" w:space="40"/>
            <w:col w:w="2628" w:space="72"/>
            <w:col w:w="3533" w:space="40"/>
            <w:col w:w="1703"/>
          </w:cols>
        </w:sect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32.25pt;height:.5pt;mso-position-horizontal-relative:char;mso-position-vertical-relative:line" coordorigin="0,0" coordsize="14645,10">
            <v:group style="position:absolute;left:5;top:5;width:2300;height:2" coordorigin="5,5" coordsize="2300,2">
              <v:shape style="position:absolute;left:5;top:5;width:2300;height:2" coordorigin="5,5" coordsize="2300,0" path="m5,5l2304,5e" filled="false" stroked="true" strokeweight=".48pt" strokecolor="#000000">
                <v:path arrowok="t"/>
              </v:shape>
            </v:group>
            <v:group style="position:absolute;left:2304;top:5;width:10;height:2" coordorigin="2304,5" coordsize="10,2">
              <v:shape style="position:absolute;left:2304;top:5;width:10;height:2" coordorigin="2304,5" coordsize="10,0" path="m2304,5l2314,5e" filled="false" stroked="true" strokeweight=".48pt" strokecolor="#000000">
                <v:path arrowok="t"/>
              </v:shape>
            </v:group>
            <v:group style="position:absolute;left:2314;top:5;width:1693;height:2" coordorigin="2314,5" coordsize="1693,2">
              <v:shape style="position:absolute;left:2314;top:5;width:1693;height:2" coordorigin="2314,5" coordsize="1693,0" path="m2314,5l4006,5e" filled="false" stroked="true" strokeweight=".48pt" strokecolor="#000000">
                <v:path arrowok="t"/>
              </v:shape>
            </v:group>
            <v:group style="position:absolute;left:4007;top:5;width:10;height:2" coordorigin="4007,5" coordsize="10,2">
              <v:shape style="position:absolute;left:4007;top:5;width:10;height:2" coordorigin="4007,5" coordsize="10,0" path="m4007,5l4016,5e" filled="false" stroked="true" strokeweight=".48pt" strokecolor="#000000">
                <v:path arrowok="t"/>
              </v:shape>
            </v:group>
            <v:group style="position:absolute;left:4016;top:5;width:1690;height:2" coordorigin="4016,5" coordsize="1690,2">
              <v:shape style="position:absolute;left:4016;top:5;width:1690;height:2" coordorigin="4016,5" coordsize="1690,0" path="m4016,5l5706,5e" filled="false" stroked="true" strokeweight=".48pt" strokecolor="#000000">
                <v:path arrowok="t"/>
              </v:shape>
            </v:group>
            <v:group style="position:absolute;left:5706;top:5;width:10;height:2" coordorigin="5706,5" coordsize="10,2">
              <v:shape style="position:absolute;left:5706;top:5;width:10;height:2" coordorigin="5706,5" coordsize="10,0" path="m5706,5l5715,5e" filled="false" stroked="true" strokeweight=".48pt" strokecolor="#000000">
                <v:path arrowok="t"/>
              </v:shape>
            </v:group>
            <v:group style="position:absolute;left:5715;top:5;width:1127;height:2" coordorigin="5715,5" coordsize="1127,2">
              <v:shape style="position:absolute;left:5715;top:5;width:1127;height:2" coordorigin="5715,5" coordsize="1127,0" path="m5715,5l6841,5e" filled="false" stroked="true" strokeweight=".48pt" strokecolor="#000000">
                <v:path arrowok="t"/>
              </v:shape>
            </v:group>
            <v:group style="position:absolute;left:6841;top:5;width:10;height:2" coordorigin="6841,5" coordsize="10,2">
              <v:shape style="position:absolute;left:6841;top:5;width:10;height:2" coordorigin="6841,5" coordsize="10,0" path="m6841,5l6851,5e" filled="false" stroked="true" strokeweight=".48pt" strokecolor="#000000">
                <v:path arrowok="t"/>
              </v:shape>
            </v:group>
            <v:group style="position:absolute;left:6851;top:5;width:1690;height:2" coordorigin="6851,5" coordsize="1690,2">
              <v:shape style="position:absolute;left:6851;top:5;width:1690;height:2" coordorigin="6851,5" coordsize="1690,0" path="m6851,5l8541,5e" filled="false" stroked="true" strokeweight=".48pt" strokecolor="#000000">
                <v:path arrowok="t"/>
              </v:shape>
            </v:group>
            <v:group style="position:absolute;left:8541;top:5;width:10;height:2" coordorigin="8541,5" coordsize="10,2">
              <v:shape style="position:absolute;left:8541;top:5;width:10;height:2" coordorigin="8541,5" coordsize="10,0" path="m8541,5l8550,5e" filled="false" stroked="true" strokeweight=".48pt" strokecolor="#000000">
                <v:path arrowok="t"/>
              </v:shape>
            </v:group>
            <v:group style="position:absolute;left:8550;top:5;width:1268;height:2" coordorigin="8550,5" coordsize="1268,2">
              <v:shape style="position:absolute;left:8550;top:5;width:1268;height:2" coordorigin="8550,5" coordsize="1268,0" path="m8550,5l9818,5e" filled="false" stroked="true" strokeweight=".48pt" strokecolor="#000000">
                <v:path arrowok="t"/>
              </v:shape>
            </v:group>
            <v:group style="position:absolute;left:9818;top:5;width:10;height:2" coordorigin="9818,5" coordsize="10,2">
              <v:shape style="position:absolute;left:9818;top:5;width:10;height:2" coordorigin="9818,5" coordsize="10,0" path="m9818,5l9828,5e" filled="false" stroked="true" strokeweight=".48pt" strokecolor="#000000">
                <v:path arrowok="t"/>
              </v:shape>
            </v:group>
            <v:group style="position:absolute;left:9828;top:5;width:1409;height:2" coordorigin="9828,5" coordsize="1409,2">
              <v:shape style="position:absolute;left:9828;top:5;width:1409;height:2" coordorigin="9828,5" coordsize="1409,0" path="m9828,5l11236,5e" filled="false" stroked="true" strokeweight=".48pt" strokecolor="#000000">
                <v:path arrowok="t"/>
              </v:shape>
            </v:group>
            <v:group style="position:absolute;left:11236;top:5;width:10;height:2" coordorigin="11236,5" coordsize="10,2">
              <v:shape style="position:absolute;left:11236;top:5;width:10;height:2" coordorigin="11236,5" coordsize="10,0" path="m11236,5l11246,5e" filled="false" stroked="true" strokeweight=".48pt" strokecolor="#000000">
                <v:path arrowok="t"/>
              </v:shape>
            </v:group>
            <v:group style="position:absolute;left:11246;top:5;width:1887;height:2" coordorigin="11246,5" coordsize="1887,2">
              <v:shape style="position:absolute;left:11246;top:5;width:1887;height:2" coordorigin="11246,5" coordsize="1887,0" path="m11246,5l13133,5e" filled="false" stroked="true" strokeweight=".48pt" strokecolor="#000000">
                <v:path arrowok="t"/>
              </v:shape>
            </v:group>
            <v:group style="position:absolute;left:13133;top:5;width:10;height:2" coordorigin="13133,5" coordsize="10,2">
              <v:shape style="position:absolute;left:13133;top:5;width:10;height:2" coordorigin="13133,5" coordsize="10,0" path="m13133,5l13142,5e" filled="false" stroked="true" strokeweight=".48pt" strokecolor="#000000">
                <v:path arrowok="t"/>
              </v:shape>
            </v:group>
            <v:group style="position:absolute;left:13142;top:5;width:1498;height:2" coordorigin="13142,5" coordsize="1498,2">
              <v:shape style="position:absolute;left:13142;top:5;width:1498;height:2" coordorigin="13142,5" coordsize="1498,0" path="m13142,5l14640,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Heading4"/>
        <w:spacing w:line="326" w:lineRule="auto"/>
        <w:ind w:right="12508"/>
        <w:jc w:val="left"/>
      </w:pPr>
      <w:r>
        <w:rPr/>
        <w:pict>
          <v:shape style="position:absolute;margin-left:188.830002pt;margin-top:.007644pt;width:581.050pt;height:286.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9"/>
                    <w:gridCol w:w="1785"/>
                    <w:gridCol w:w="1290"/>
                    <w:gridCol w:w="1488"/>
                    <w:gridCol w:w="1297"/>
                    <w:gridCol w:w="2738"/>
                    <w:gridCol w:w="1643"/>
                  </w:tblGrid>
                  <w:tr>
                    <w:trPr>
                      <w:trHeight w:val="379"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Arial Narrow" w:hAnsi="Arial Narrow" w:cs="Arial Narrow" w:eastAsia="Arial Narrow" w:hint="default"/>
                            <w:sz w:val="22"/>
                            <w:szCs w:val="22"/>
                          </w:rPr>
                        </w:pPr>
                        <w:r>
                          <w:rPr>
                            <w:rFonts w:ascii="Arial Narrow"/>
                            <w:spacing w:val="-1"/>
                            <w:sz w:val="22"/>
                          </w:rPr>
                          <w:t>9,881,250.00</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Arial Narrow" w:hAnsi="Arial Narrow" w:cs="Arial Narrow" w:eastAsia="Arial Narrow" w:hint="default"/>
                            <w:sz w:val="22"/>
                            <w:szCs w:val="22"/>
                          </w:rPr>
                        </w:pPr>
                        <w:r>
                          <w:rPr>
                            <w:rFonts w:ascii="Arial Narrow"/>
                            <w:spacing w:val="-1"/>
                            <w:sz w:val="22"/>
                          </w:rPr>
                          <w:t>225,000.00</w:t>
                        </w: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04"/>
                          <w:jc w:val="right"/>
                          <w:rPr>
                            <w:rFonts w:ascii="宋体" w:hAnsi="宋体" w:cs="宋体" w:eastAsia="宋体" w:hint="default"/>
                            <w:sz w:val="22"/>
                            <w:szCs w:val="22"/>
                          </w:rPr>
                        </w:pPr>
                        <w:r>
                          <w:rPr>
                            <w:rFonts w:ascii="Arial Narrow" w:hAnsi="Arial Narrow" w:cs="Arial Narrow" w:eastAsia="Arial Narrow" w:hint="default"/>
                            <w:sz w:val="22"/>
                            <w:szCs w:val="22"/>
                          </w:rPr>
                          <w:t>9,656,250.00</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515"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4"/>
                          <w:jc w:val="right"/>
                          <w:rPr>
                            <w:rFonts w:ascii="Arial Narrow" w:hAnsi="Arial Narrow" w:cs="Arial Narrow" w:eastAsia="Arial Narrow" w:hint="default"/>
                            <w:sz w:val="22"/>
                            <w:szCs w:val="22"/>
                          </w:rPr>
                        </w:pPr>
                        <w:r>
                          <w:rPr>
                            <w:rFonts w:ascii="Arial Narrow"/>
                            <w:spacing w:val="-1"/>
                            <w:sz w:val="22"/>
                          </w:rPr>
                          <w:t>4,859,333.33</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Narrow" w:hAnsi="Arial Narrow" w:cs="Arial Narrow" w:eastAsia="Arial Narrow" w:hint="default"/>
                            <w:sz w:val="22"/>
                            <w:szCs w:val="22"/>
                          </w:rPr>
                        </w:pPr>
                        <w:r>
                          <w:rPr>
                            <w:rFonts w:ascii="Arial Narrow"/>
                            <w:spacing w:val="-1"/>
                            <w:sz w:val="22"/>
                          </w:rPr>
                          <w:t>648,000.00</w:t>
                        </w: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4"/>
                          <w:jc w:val="right"/>
                          <w:rPr>
                            <w:rFonts w:ascii="宋体" w:hAnsi="宋体" w:cs="宋体" w:eastAsia="宋体" w:hint="default"/>
                            <w:sz w:val="22"/>
                            <w:szCs w:val="22"/>
                          </w:rPr>
                        </w:pPr>
                        <w:r>
                          <w:rPr>
                            <w:rFonts w:ascii="Arial Narrow" w:hAnsi="Arial Narrow" w:cs="Arial Narrow" w:eastAsia="Arial Narrow" w:hint="default"/>
                            <w:sz w:val="22"/>
                            <w:szCs w:val="22"/>
                          </w:rPr>
                          <w:t>4,211,333.33</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678"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164"/>
                          <w:jc w:val="right"/>
                          <w:rPr>
                            <w:rFonts w:ascii="Arial Narrow" w:hAnsi="Arial Narrow" w:cs="Arial Narrow" w:eastAsia="Arial Narrow" w:hint="default"/>
                            <w:sz w:val="22"/>
                            <w:szCs w:val="22"/>
                          </w:rPr>
                        </w:pPr>
                        <w:r>
                          <w:rPr>
                            <w:rFonts w:ascii="Arial Narrow"/>
                            <w:spacing w:val="-1"/>
                            <w:sz w:val="22"/>
                          </w:rPr>
                          <w:t>10,157,333.33</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108"/>
                          <w:jc w:val="right"/>
                          <w:rPr>
                            <w:rFonts w:ascii="Arial Narrow" w:hAnsi="Arial Narrow" w:cs="Arial Narrow" w:eastAsia="Arial Narrow" w:hint="default"/>
                            <w:sz w:val="22"/>
                            <w:szCs w:val="22"/>
                          </w:rPr>
                        </w:pPr>
                        <w:r>
                          <w:rPr>
                            <w:rFonts w:ascii="Arial Narrow"/>
                            <w:spacing w:val="-1"/>
                            <w:sz w:val="22"/>
                          </w:rPr>
                          <w:t>1,172,000.00</w:t>
                        </w: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504"/>
                          <w:jc w:val="right"/>
                          <w:rPr>
                            <w:rFonts w:ascii="宋体" w:hAnsi="宋体" w:cs="宋体" w:eastAsia="宋体" w:hint="default"/>
                            <w:sz w:val="22"/>
                            <w:szCs w:val="22"/>
                          </w:rPr>
                        </w:pPr>
                        <w:r>
                          <w:rPr>
                            <w:rFonts w:ascii="Arial Narrow" w:hAnsi="Arial Narrow" w:cs="Arial Narrow" w:eastAsia="Arial Narrow" w:hint="default"/>
                            <w:sz w:val="22"/>
                            <w:szCs w:val="22"/>
                          </w:rPr>
                          <w:t>8,985,333.33</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64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Calibri" w:hAnsi="Calibri" w:cs="Calibri" w:eastAsia="Calibri" w:hint="default"/>
                            <w:b/>
                            <w:bCs/>
                            <w:sz w:val="18"/>
                            <w:szCs w:val="18"/>
                          </w:rPr>
                        </w:pPr>
                      </w:p>
                      <w:p>
                        <w:pPr>
                          <w:pStyle w:val="TableParagraph"/>
                          <w:spacing w:line="240" w:lineRule="auto"/>
                          <w:ind w:right="164"/>
                          <w:jc w:val="right"/>
                          <w:rPr>
                            <w:rFonts w:ascii="Arial Narrow" w:hAnsi="Arial Narrow" w:cs="Arial Narrow" w:eastAsia="Arial Narrow" w:hint="default"/>
                            <w:sz w:val="22"/>
                            <w:szCs w:val="22"/>
                          </w:rPr>
                        </w:pPr>
                        <w:r>
                          <w:rPr>
                            <w:rFonts w:ascii="Arial Narrow"/>
                            <w:spacing w:val="-1"/>
                            <w:sz w:val="22"/>
                          </w:rPr>
                          <w:t>1,000,000.00</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Calibri" w:hAnsi="Calibri" w:cs="Calibri" w:eastAsia="Calibri" w:hint="default"/>
                            <w:b/>
                            <w:bCs/>
                            <w:sz w:val="18"/>
                            <w:szCs w:val="18"/>
                          </w:rPr>
                        </w:pPr>
                      </w:p>
                      <w:p>
                        <w:pPr>
                          <w:pStyle w:val="TableParagraph"/>
                          <w:spacing w:line="240" w:lineRule="auto"/>
                          <w:ind w:right="108"/>
                          <w:jc w:val="right"/>
                          <w:rPr>
                            <w:rFonts w:ascii="Arial Narrow" w:hAnsi="Arial Narrow" w:cs="Arial Narrow" w:eastAsia="Arial Narrow" w:hint="default"/>
                            <w:sz w:val="22"/>
                            <w:szCs w:val="22"/>
                          </w:rPr>
                        </w:pPr>
                        <w:r>
                          <w:rPr>
                            <w:rFonts w:ascii="Arial Narrow"/>
                            <w:spacing w:val="-1"/>
                            <w:sz w:val="22"/>
                          </w:rPr>
                          <w:t>50,000.00</w:t>
                        </w: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504"/>
                          <w:jc w:val="right"/>
                          <w:rPr>
                            <w:rFonts w:ascii="宋体" w:hAnsi="宋体" w:cs="宋体" w:eastAsia="宋体" w:hint="default"/>
                            <w:sz w:val="22"/>
                            <w:szCs w:val="22"/>
                          </w:rPr>
                        </w:pPr>
                        <w:r>
                          <w:rPr>
                            <w:rFonts w:ascii="Arial Narrow" w:hAnsi="Arial Narrow" w:cs="Arial Narrow" w:eastAsia="Arial Narrow" w:hint="default"/>
                            <w:sz w:val="22"/>
                            <w:szCs w:val="22"/>
                          </w:rPr>
                          <w:t>950,000.00</w:t>
                        </w:r>
                        <w:r>
                          <w:rPr>
                            <w:rFonts w:ascii="Arial Narrow" w:hAnsi="Arial Narrow" w:cs="Arial Narrow" w:eastAsia="Arial Narrow" w:hint="default"/>
                            <w:spacing w:val="12"/>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563"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64"/>
                          <w:jc w:val="right"/>
                          <w:rPr>
                            <w:rFonts w:ascii="Arial Narrow" w:hAnsi="Arial Narrow" w:cs="Arial Narrow" w:eastAsia="Arial Narrow" w:hint="default"/>
                            <w:sz w:val="22"/>
                            <w:szCs w:val="22"/>
                          </w:rPr>
                        </w:pPr>
                        <w:r>
                          <w:rPr>
                            <w:rFonts w:ascii="Arial Narrow"/>
                            <w:spacing w:val="-1"/>
                            <w:sz w:val="22"/>
                          </w:rPr>
                          <w:t>6,000,000.00</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4"/>
                          <w:jc w:val="right"/>
                          <w:rPr>
                            <w:rFonts w:ascii="宋体" w:hAnsi="宋体" w:cs="宋体" w:eastAsia="宋体" w:hint="default"/>
                            <w:sz w:val="22"/>
                            <w:szCs w:val="22"/>
                          </w:rPr>
                        </w:pPr>
                        <w:r>
                          <w:rPr>
                            <w:rFonts w:ascii="Arial Narrow" w:hAnsi="Arial Narrow" w:cs="Arial Narrow" w:eastAsia="Arial Narrow" w:hint="default"/>
                            <w:sz w:val="22"/>
                            <w:szCs w:val="22"/>
                          </w:rPr>
                          <w:t>6,000,000.00</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558"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4"/>
                          <w:jc w:val="right"/>
                          <w:rPr>
                            <w:rFonts w:ascii="Arial Narrow" w:hAnsi="Arial Narrow" w:cs="Arial Narrow" w:eastAsia="Arial Narrow" w:hint="default"/>
                            <w:sz w:val="22"/>
                            <w:szCs w:val="22"/>
                          </w:rPr>
                        </w:pPr>
                        <w:r>
                          <w:rPr>
                            <w:rFonts w:ascii="Arial Narrow"/>
                            <w:spacing w:val="-1"/>
                            <w:sz w:val="22"/>
                          </w:rPr>
                          <w:t>7,000,000.00</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04"/>
                          <w:jc w:val="right"/>
                          <w:rPr>
                            <w:rFonts w:ascii="宋体" w:hAnsi="宋体" w:cs="宋体" w:eastAsia="宋体" w:hint="default"/>
                            <w:sz w:val="22"/>
                            <w:szCs w:val="22"/>
                          </w:rPr>
                        </w:pPr>
                        <w:r>
                          <w:rPr>
                            <w:rFonts w:ascii="Arial Narrow" w:hAnsi="Arial Narrow" w:cs="Arial Narrow" w:eastAsia="Arial Narrow" w:hint="default"/>
                            <w:sz w:val="22"/>
                            <w:szCs w:val="22"/>
                          </w:rPr>
                          <w:t>7,000,000.00</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563"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64"/>
                          <w:jc w:val="right"/>
                          <w:rPr>
                            <w:rFonts w:ascii="Arial Narrow" w:hAnsi="Arial Narrow" w:cs="Arial Narrow" w:eastAsia="Arial Narrow" w:hint="default"/>
                            <w:sz w:val="22"/>
                            <w:szCs w:val="22"/>
                          </w:rPr>
                        </w:pPr>
                        <w:r>
                          <w:rPr>
                            <w:rFonts w:ascii="Arial Narrow"/>
                            <w:spacing w:val="-1"/>
                            <w:sz w:val="22"/>
                          </w:rPr>
                          <w:t>21,668,961.44</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8"/>
                          <w:jc w:val="right"/>
                          <w:rPr>
                            <w:rFonts w:ascii="Arial Narrow" w:hAnsi="Arial Narrow" w:cs="Arial Narrow" w:eastAsia="Arial Narrow" w:hint="default"/>
                            <w:sz w:val="22"/>
                            <w:szCs w:val="22"/>
                          </w:rPr>
                        </w:pPr>
                        <w:r>
                          <w:rPr>
                            <w:rFonts w:ascii="Arial Narrow"/>
                            <w:spacing w:val="-1"/>
                            <w:sz w:val="22"/>
                          </w:rPr>
                          <w:t>502,424.73</w:t>
                        </w: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04"/>
                          <w:jc w:val="right"/>
                          <w:rPr>
                            <w:rFonts w:ascii="宋体" w:hAnsi="宋体" w:cs="宋体" w:eastAsia="宋体" w:hint="default"/>
                            <w:sz w:val="22"/>
                            <w:szCs w:val="22"/>
                          </w:rPr>
                        </w:pPr>
                        <w:r>
                          <w:rPr>
                            <w:rFonts w:ascii="Arial Narrow" w:hAnsi="Arial Narrow" w:cs="Arial Narrow" w:eastAsia="Arial Narrow" w:hint="default"/>
                            <w:sz w:val="22"/>
                            <w:szCs w:val="22"/>
                          </w:rPr>
                          <w:t>21,166,536.71</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64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64"/>
                          <w:jc w:val="right"/>
                          <w:rPr>
                            <w:rFonts w:ascii="Arial Narrow" w:hAnsi="Arial Narrow" w:cs="Arial Narrow" w:eastAsia="Arial Narrow" w:hint="default"/>
                            <w:sz w:val="22"/>
                            <w:szCs w:val="22"/>
                          </w:rPr>
                        </w:pPr>
                        <w:r>
                          <w:rPr>
                            <w:rFonts w:ascii="Arial Narrow"/>
                            <w:spacing w:val="-1"/>
                            <w:sz w:val="22"/>
                          </w:rPr>
                          <w:t>1,429,583.33</w:t>
                        </w: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8"/>
                          <w:jc w:val="right"/>
                          <w:rPr>
                            <w:rFonts w:ascii="Arial Narrow" w:hAnsi="Arial Narrow" w:cs="Arial Narrow" w:eastAsia="Arial Narrow" w:hint="default"/>
                            <w:sz w:val="22"/>
                            <w:szCs w:val="22"/>
                          </w:rPr>
                        </w:pPr>
                        <w:r>
                          <w:rPr>
                            <w:rFonts w:ascii="Arial Narrow"/>
                            <w:spacing w:val="-1"/>
                            <w:sz w:val="22"/>
                          </w:rPr>
                          <w:t>73,000.00</w:t>
                        </w: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04"/>
                          <w:jc w:val="right"/>
                          <w:rPr>
                            <w:rFonts w:ascii="宋体" w:hAnsi="宋体" w:cs="宋体" w:eastAsia="宋体" w:hint="default"/>
                            <w:sz w:val="22"/>
                            <w:szCs w:val="22"/>
                          </w:rPr>
                        </w:pPr>
                        <w:r>
                          <w:rPr>
                            <w:rFonts w:ascii="Arial Narrow" w:hAnsi="Arial Narrow" w:cs="Arial Narrow" w:eastAsia="Arial Narrow" w:hint="default"/>
                            <w:sz w:val="22"/>
                            <w:szCs w:val="22"/>
                          </w:rPr>
                          <w:t>1,356,583.33</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715"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Calibri" w:hAnsi="Calibri" w:cs="Calibri" w:eastAsia="Calibri" w:hint="default"/>
                            <w:b/>
                            <w:bCs/>
                            <w:sz w:val="18"/>
                            <w:szCs w:val="18"/>
                          </w:rPr>
                        </w:pPr>
                      </w:p>
                      <w:p>
                        <w:pPr>
                          <w:pStyle w:val="TableParagraph"/>
                          <w:spacing w:line="240" w:lineRule="auto"/>
                          <w:ind w:right="108"/>
                          <w:jc w:val="right"/>
                          <w:rPr>
                            <w:rFonts w:ascii="Arial Narrow" w:hAnsi="Arial Narrow" w:cs="Arial Narrow" w:eastAsia="Arial Narrow" w:hint="default"/>
                            <w:sz w:val="22"/>
                            <w:szCs w:val="22"/>
                          </w:rPr>
                        </w:pPr>
                        <w:r>
                          <w:rPr>
                            <w:rFonts w:ascii="Arial Narrow"/>
                            <w:spacing w:val="-1"/>
                            <w:sz w:val="22"/>
                          </w:rPr>
                          <w:t>485,910.00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Calibri" w:hAnsi="Calibri" w:cs="Calibri" w:eastAsia="Calibri" w:hint="default"/>
                            <w:b/>
                            <w:bCs/>
                            <w:sz w:val="18"/>
                            <w:szCs w:val="18"/>
                          </w:rPr>
                        </w:pPr>
                      </w:p>
                      <w:p>
                        <w:pPr>
                          <w:pStyle w:val="TableParagraph"/>
                          <w:spacing w:line="240" w:lineRule="auto"/>
                          <w:ind w:left="110" w:right="0"/>
                          <w:jc w:val="left"/>
                          <w:rPr>
                            <w:rFonts w:ascii="Arial Narrow" w:hAnsi="Arial Narrow" w:cs="Arial Narrow" w:eastAsia="Arial Narrow" w:hint="default"/>
                            <w:sz w:val="22"/>
                            <w:szCs w:val="22"/>
                          </w:rPr>
                        </w:pPr>
                        <w:r>
                          <w:rPr>
                            <w:rFonts w:ascii="Arial Narrow"/>
                            <w:sz w:val="22"/>
                          </w:rPr>
                          <w:t>4,967,080.00</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504"/>
                          <w:jc w:val="right"/>
                          <w:rPr>
                            <w:rFonts w:ascii="宋体" w:hAnsi="宋体" w:cs="宋体" w:eastAsia="宋体" w:hint="default"/>
                            <w:sz w:val="22"/>
                            <w:szCs w:val="22"/>
                          </w:rPr>
                        </w:pPr>
                        <w:r>
                          <w:rPr>
                            <w:rFonts w:ascii="Arial Narrow" w:hAnsi="Arial Narrow" w:cs="Arial Narrow" w:eastAsia="Arial Narrow" w:hint="default"/>
                            <w:sz w:val="22"/>
                            <w:szCs w:val="22"/>
                          </w:rPr>
                          <w:t>4,481,170.00</w:t>
                        </w:r>
                        <w:r>
                          <w:rPr>
                            <w:rFonts w:ascii="Arial Narrow" w:hAnsi="Arial Narrow" w:cs="Arial Narrow" w:eastAsia="Arial Narrow" w:hint="default"/>
                            <w:spacing w:val="13"/>
                            <w:sz w:val="22"/>
                            <w:szCs w:val="22"/>
                          </w:rPr>
                          <w:t> </w:t>
                        </w: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宋体" w:hAnsi="宋体" w:cs="宋体" w:eastAsia="宋体" w:hint="default"/>
                            <w:sz w:val="22"/>
                            <w:szCs w:val="22"/>
                          </w:rPr>
                        </w:pPr>
                        <w:r>
                          <w:rPr>
                            <w:rFonts w:ascii="宋体" w:hAnsi="宋体" w:cs="宋体" w:eastAsia="宋体" w:hint="default"/>
                            <w:spacing w:val="-1"/>
                            <w:sz w:val="22"/>
                            <w:szCs w:val="22"/>
                          </w:rPr>
                          <w:t>与资产相关</w:t>
                        </w:r>
                      </w:p>
                    </w:tc>
                  </w:tr>
                  <w:tr>
                    <w:trPr>
                      <w:trHeight w:val="47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5"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Calibri" w:hAnsi="Calibri" w:cs="Calibri" w:eastAsia="Calibri" w:hint="default"/>
                            <w:b/>
                            <w:bCs/>
                            <w:sz w:val="18"/>
                            <w:szCs w:val="18"/>
                          </w:rPr>
                        </w:pPr>
                      </w:p>
                      <w:p>
                        <w:pPr>
                          <w:pStyle w:val="TableParagraph"/>
                          <w:spacing w:line="240" w:lineRule="auto"/>
                          <w:ind w:right="162"/>
                          <w:jc w:val="right"/>
                          <w:rPr>
                            <w:rFonts w:ascii="Arial Narrow" w:hAnsi="Arial Narrow" w:cs="Arial Narrow" w:eastAsia="Arial Narrow" w:hint="default"/>
                            <w:sz w:val="22"/>
                            <w:szCs w:val="22"/>
                          </w:rPr>
                        </w:pPr>
                        <w:r>
                          <w:rPr>
                            <w:rFonts w:ascii="Arial Narrow"/>
                            <w:spacing w:val="-1"/>
                            <w:sz w:val="22"/>
                          </w:rPr>
                          <w:t>340,000.00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Calibri" w:hAnsi="Calibri" w:cs="Calibri" w:eastAsia="Calibri" w:hint="default"/>
                            <w:b/>
                            <w:bCs/>
                            <w:sz w:val="18"/>
                            <w:szCs w:val="18"/>
                          </w:rPr>
                        </w:pPr>
                      </w:p>
                      <w:p>
                        <w:pPr>
                          <w:pStyle w:val="TableParagraph"/>
                          <w:spacing w:line="240" w:lineRule="auto"/>
                          <w:ind w:left="164" w:right="0"/>
                          <w:jc w:val="left"/>
                          <w:rPr>
                            <w:rFonts w:ascii="Arial Narrow" w:hAnsi="Arial Narrow" w:cs="Arial Narrow" w:eastAsia="Arial Narrow" w:hint="default"/>
                            <w:sz w:val="22"/>
                            <w:szCs w:val="22"/>
                          </w:rPr>
                        </w:pPr>
                        <w:r>
                          <w:rPr>
                            <w:rFonts w:ascii="Arial Narrow"/>
                            <w:sz w:val="22"/>
                          </w:rPr>
                          <w:t>70,000.00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Calibri" w:hAnsi="Calibri" w:cs="Calibri" w:eastAsia="Calibri" w:hint="default"/>
                            <w:b/>
                            <w:bCs/>
                            <w:sz w:val="18"/>
                            <w:szCs w:val="18"/>
                          </w:rPr>
                        </w:pPr>
                      </w:p>
                      <w:p>
                        <w:pPr>
                          <w:pStyle w:val="TableParagraph"/>
                          <w:spacing w:line="240" w:lineRule="auto"/>
                          <w:ind w:right="108"/>
                          <w:jc w:val="right"/>
                          <w:rPr>
                            <w:rFonts w:ascii="Arial Narrow" w:hAnsi="Arial Narrow" w:cs="Arial Narrow" w:eastAsia="Arial Narrow" w:hint="default"/>
                            <w:sz w:val="22"/>
                            <w:szCs w:val="22"/>
                          </w:rPr>
                        </w:pPr>
                        <w:r>
                          <w:rPr>
                            <w:rFonts w:ascii="Arial Narrow"/>
                            <w:spacing w:val="-1"/>
                            <w:sz w:val="22"/>
                          </w:rPr>
                          <w:t>410,000.00</w:t>
                        </w:r>
                      </w:p>
                    </w:tc>
                    <w:tc>
                      <w:tcPr>
                        <w:tcW w:w="1297"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04"/>
                          <w:jc w:val="right"/>
                          <w:rPr>
                            <w:rFonts w:ascii="宋体" w:hAnsi="宋体" w:cs="宋体" w:eastAsia="宋体" w:hint="default"/>
                            <w:sz w:val="22"/>
                            <w:szCs w:val="22"/>
                          </w:rPr>
                        </w:pPr>
                        <w:r>
                          <w:rPr>
                            <w:rFonts w:ascii="宋体" w:hAnsi="宋体" w:cs="宋体" w:eastAsia="宋体" w:hint="default"/>
                            <w:sz w:val="22"/>
                            <w:szCs w:val="22"/>
                          </w:rPr>
                          <w:t>其他收益</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宋体" w:hAnsi="宋体" w:cs="宋体" w:eastAsia="宋体" w:hint="default"/>
                            <w:sz w:val="22"/>
                            <w:szCs w:val="22"/>
                          </w:rPr>
                        </w:pPr>
                        <w:r>
                          <w:rPr>
                            <w:rFonts w:ascii="宋体" w:hAnsi="宋体" w:cs="宋体" w:eastAsia="宋体" w:hint="default"/>
                            <w:spacing w:val="-1"/>
                            <w:sz w:val="22"/>
                            <w:szCs w:val="22"/>
                          </w:rPr>
                          <w:t>与收益相关</w:t>
                        </w:r>
                      </w:p>
                    </w:tc>
                  </w:tr>
                </w:tbl>
                <w:p>
                  <w:pPr/>
                </w:p>
              </w:txbxContent>
            </v:textbox>
            <w10:wrap type="none"/>
          </v:shape>
        </w:pict>
      </w:r>
      <w:r>
        <w:rPr/>
        <w:t>项目补助资金</w:t>
      </w:r>
      <w:r>
        <w:rPr>
          <w:w w:val="100"/>
        </w:rPr>
        <w:t> </w:t>
      </w:r>
      <w:r>
        <w:rPr/>
        <w:t>技术改造专项资金补助</w:t>
      </w:r>
    </w:p>
    <w:p>
      <w:pPr>
        <w:pStyle w:val="Heading4"/>
        <w:spacing w:line="237" w:lineRule="auto"/>
        <w:ind w:right="12508"/>
        <w:jc w:val="left"/>
      </w:pPr>
      <w:r>
        <w:rPr/>
        <w:t>高能效光电智能复合太</w:t>
      </w:r>
      <w:r>
        <w:rPr>
          <w:spacing w:val="-108"/>
        </w:rPr>
        <w:t> </w:t>
      </w:r>
      <w:r>
        <w:rPr>
          <w:spacing w:val="-108"/>
        </w:rPr>
      </w:r>
      <w:r>
        <w:rPr/>
        <w:t>阳能热水器项目专项补</w:t>
      </w:r>
      <w:r>
        <w:rPr>
          <w:spacing w:val="-108"/>
        </w:rPr>
        <w:t> </w:t>
      </w:r>
      <w:r>
        <w:rPr>
          <w:spacing w:val="-108"/>
        </w:rPr>
      </w:r>
      <w:r>
        <w:rPr/>
        <w:t>偿款</w:t>
      </w:r>
      <w:r>
        <w:rPr>
          <w:w w:val="100"/>
        </w:rPr>
        <w:t> </w:t>
      </w:r>
      <w:r>
        <w:rPr/>
        <w:t>省体育产业发展引导资</w:t>
      </w:r>
      <w:r>
        <w:rPr>
          <w:spacing w:val="-108"/>
        </w:rPr>
        <w:t> </w:t>
      </w:r>
      <w:r>
        <w:rPr>
          <w:spacing w:val="-108"/>
        </w:rPr>
      </w:r>
      <w:r>
        <w:rPr/>
        <w:t>金</w:t>
      </w:r>
      <w:r>
        <w:rPr>
          <w:w w:val="100"/>
        </w:rPr>
        <w:t> </w:t>
      </w:r>
      <w:r>
        <w:rPr/>
        <w:t>国家技术中心创新能力</w:t>
      </w:r>
      <w:r>
        <w:rPr>
          <w:spacing w:val="-108"/>
        </w:rPr>
        <w:t> </w:t>
      </w:r>
      <w:r>
        <w:rPr>
          <w:spacing w:val="-108"/>
        </w:rPr>
      </w:r>
      <w:r>
        <w:rPr/>
        <w:t>建设项目补助</w:t>
      </w:r>
    </w:p>
    <w:p>
      <w:pPr>
        <w:pStyle w:val="Heading4"/>
        <w:spacing w:line="240" w:lineRule="auto" w:before="127"/>
        <w:ind w:right="12471"/>
        <w:jc w:val="left"/>
      </w:pPr>
      <w:r>
        <w:rPr/>
        <w:t>新兴产业发展专项资金</w:t>
      </w:r>
    </w:p>
    <w:p>
      <w:pPr>
        <w:spacing w:line="240" w:lineRule="auto" w:before="1"/>
        <w:rPr>
          <w:rFonts w:ascii="宋体" w:hAnsi="宋体" w:cs="宋体" w:eastAsia="宋体" w:hint="default"/>
          <w:sz w:val="18"/>
          <w:szCs w:val="18"/>
        </w:rPr>
      </w:pPr>
    </w:p>
    <w:p>
      <w:pPr>
        <w:pStyle w:val="Heading4"/>
        <w:spacing w:line="240" w:lineRule="auto" w:before="32"/>
        <w:ind w:right="12508"/>
        <w:jc w:val="left"/>
      </w:pPr>
      <w:r>
        <w:rPr/>
        <w:t>产业引导资金补助</w:t>
      </w:r>
    </w:p>
    <w:p>
      <w:pPr>
        <w:spacing w:line="240" w:lineRule="auto" w:before="13"/>
        <w:rPr>
          <w:rFonts w:ascii="宋体" w:hAnsi="宋体" w:cs="宋体" w:eastAsia="宋体" w:hint="default"/>
          <w:sz w:val="18"/>
          <w:szCs w:val="18"/>
        </w:rPr>
      </w:pPr>
    </w:p>
    <w:p>
      <w:pPr>
        <w:pStyle w:val="Heading4"/>
        <w:spacing w:line="240" w:lineRule="auto" w:before="32"/>
        <w:ind w:right="12471"/>
        <w:jc w:val="left"/>
      </w:pPr>
      <w:r>
        <w:rPr/>
        <w:t>太阳能建筑一体化项目</w:t>
      </w:r>
    </w:p>
    <w:p>
      <w:pPr>
        <w:pStyle w:val="Heading4"/>
        <w:spacing w:line="286" w:lineRule="exact" w:before="170"/>
        <w:ind w:right="12471"/>
        <w:jc w:val="left"/>
      </w:pPr>
      <w:r>
        <w:rPr/>
        <w:t>宁波市</w:t>
      </w:r>
      <w:r>
        <w:rPr>
          <w:spacing w:val="-72"/>
        </w:rPr>
        <w:t> </w:t>
      </w:r>
      <w:r>
        <w:rPr>
          <w:rFonts w:ascii="Arial Narrow" w:hAnsi="Arial Narrow" w:cs="Arial Narrow" w:eastAsia="Arial Narrow" w:hint="default"/>
        </w:rPr>
        <w:t>2016</w:t>
      </w:r>
      <w:r>
        <w:rPr>
          <w:rFonts w:ascii="Arial Narrow" w:hAnsi="Arial Narrow" w:cs="Arial Narrow" w:eastAsia="Arial Narrow" w:hint="default"/>
          <w:spacing w:val="-12"/>
        </w:rPr>
        <w:t> </w:t>
      </w:r>
      <w:r>
        <w:rPr/>
        <w:t>年度工业和</w:t>
      </w:r>
      <w:r>
        <w:rPr>
          <w:w w:val="100"/>
        </w:rPr>
        <w:t> </w:t>
      </w:r>
      <w:r>
        <w:rPr/>
        <w:t>信息化发展专项资金</w:t>
      </w:r>
    </w:p>
    <w:p>
      <w:pPr>
        <w:pStyle w:val="Heading4"/>
        <w:spacing w:line="258" w:lineRule="exact"/>
        <w:ind w:right="12508"/>
        <w:jc w:val="left"/>
      </w:pPr>
      <w:r>
        <w:rPr/>
        <w:t>（技术进步专项）</w:t>
      </w:r>
    </w:p>
    <w:p>
      <w:pPr>
        <w:pStyle w:val="Heading4"/>
        <w:spacing w:line="286" w:lineRule="exact" w:before="27"/>
        <w:ind w:right="12491"/>
        <w:jc w:val="left"/>
      </w:pPr>
      <w:r>
        <w:rPr>
          <w:rFonts w:ascii="Arial Narrow" w:hAnsi="Arial Narrow" w:cs="Arial Narrow" w:eastAsia="Arial Narrow" w:hint="default"/>
        </w:rPr>
        <w:t>2017</w:t>
      </w:r>
      <w:r>
        <w:rPr>
          <w:rFonts w:ascii="Arial Narrow" w:hAnsi="Arial Narrow" w:cs="Arial Narrow" w:eastAsia="Arial Narrow" w:hint="default"/>
          <w:spacing w:val="6"/>
        </w:rPr>
        <w:t> </w:t>
      </w:r>
      <w:r>
        <w:rPr/>
        <w:t>商务（含外经贸）</w:t>
      </w:r>
      <w:r>
        <w:rPr>
          <w:w w:val="100"/>
        </w:rPr>
        <w:t> </w:t>
      </w:r>
      <w:r>
        <w:rPr/>
        <w:t>发展专项资金</w:t>
      </w:r>
    </w:p>
    <w:p>
      <w:pPr>
        <w:tabs>
          <w:tab w:pos="4639" w:val="left" w:leader="none"/>
          <w:tab w:pos="6127" w:val="left" w:leader="none"/>
          <w:tab w:pos="7574" w:val="left" w:leader="none"/>
          <w:tab w:pos="8851" w:val="left" w:leader="none"/>
          <w:tab w:pos="10169" w:val="left" w:leader="none"/>
        </w:tabs>
        <w:spacing w:line="366" w:lineRule="exact" w:before="0"/>
        <w:ind w:left="995" w:right="0" w:firstLine="0"/>
        <w:jc w:val="left"/>
        <w:rPr>
          <w:rFonts w:ascii="Arial Narrow" w:hAnsi="Arial Narrow" w:cs="Arial Narrow" w:eastAsia="Arial Narrow" w:hint="default"/>
          <w:sz w:val="22"/>
          <w:szCs w:val="22"/>
        </w:rPr>
      </w:pPr>
      <w:r>
        <w:rPr/>
        <w:pict>
          <v:group style="position:absolute;margin-left:54.839996pt;margin-top:.499986pt;width:732.25pt;height:.5pt;mso-position-horizontal-relative:page;mso-position-vertical-relative:paragraph;z-index:-1008808" coordorigin="1097,10" coordsize="14645,10">
            <v:group style="position:absolute;left:1102;top:15;width:2300;height:2" coordorigin="1102,15" coordsize="2300,2">
              <v:shape style="position:absolute;left:1102;top:15;width:2300;height:2" coordorigin="1102,15" coordsize="2300,0" path="m1102,15l3401,15e" filled="false" stroked="true" strokeweight=".48001pt" strokecolor="#000000">
                <v:path arrowok="t"/>
              </v:shape>
            </v:group>
            <v:group style="position:absolute;left:3401;top:15;width:10;height:2" coordorigin="3401,15" coordsize="10,2">
              <v:shape style="position:absolute;left:3401;top:15;width:10;height:2" coordorigin="3401,15" coordsize="10,0" path="m3401,15l3411,15e" filled="false" stroked="true" strokeweight=".48001pt" strokecolor="#000000">
                <v:path arrowok="t"/>
              </v:shape>
            </v:group>
            <v:group style="position:absolute;left:3411;top:15;width:1693;height:2" coordorigin="3411,15" coordsize="1693,2">
              <v:shape style="position:absolute;left:3411;top:15;width:1693;height:2" coordorigin="3411,15" coordsize="1693,0" path="m3411,15l5103,15e" filled="false" stroked="true" strokeweight=".48001pt" strokecolor="#000000">
                <v:path arrowok="t"/>
              </v:shape>
            </v:group>
            <v:group style="position:absolute;left:5103;top:15;width:10;height:2" coordorigin="5103,15" coordsize="10,2">
              <v:shape style="position:absolute;left:5103;top:15;width:10;height:2" coordorigin="5103,15" coordsize="10,0" path="m5103,15l5113,15e" filled="false" stroked="true" strokeweight=".48001pt" strokecolor="#000000">
                <v:path arrowok="t"/>
              </v:shape>
            </v:group>
            <v:group style="position:absolute;left:5113;top:15;width:1690;height:2" coordorigin="5113,15" coordsize="1690,2">
              <v:shape style="position:absolute;left:5113;top:15;width:1690;height:2" coordorigin="5113,15" coordsize="1690,0" path="m5113,15l6803,15e" filled="false" stroked="true" strokeweight=".48001pt" strokecolor="#000000">
                <v:path arrowok="t"/>
              </v:shape>
            </v:group>
            <v:group style="position:absolute;left:6803;top:15;width:10;height:2" coordorigin="6803,15" coordsize="10,2">
              <v:shape style="position:absolute;left:6803;top:15;width:10;height:2" coordorigin="6803,15" coordsize="10,0" path="m6803,15l6812,15e" filled="false" stroked="true" strokeweight=".48001pt" strokecolor="#000000">
                <v:path arrowok="t"/>
              </v:shape>
            </v:group>
            <v:group style="position:absolute;left:6812;top:15;width:1127;height:2" coordorigin="6812,15" coordsize="1127,2">
              <v:shape style="position:absolute;left:6812;top:15;width:1127;height:2" coordorigin="6812,15" coordsize="1127,0" path="m6812,15l7938,15e" filled="false" stroked="true" strokeweight=".48001pt" strokecolor="#000000">
                <v:path arrowok="t"/>
              </v:shape>
            </v:group>
            <v:group style="position:absolute;left:7938;top:15;width:10;height:2" coordorigin="7938,15" coordsize="10,2">
              <v:shape style="position:absolute;left:7938;top:15;width:10;height:2" coordorigin="7938,15" coordsize="10,0" path="m7938,15l7948,15e" filled="false" stroked="true" strokeweight=".48001pt" strokecolor="#000000">
                <v:path arrowok="t"/>
              </v:shape>
            </v:group>
            <v:group style="position:absolute;left:7948;top:15;width:1690;height:2" coordorigin="7948,15" coordsize="1690,2">
              <v:shape style="position:absolute;left:7948;top:15;width:1690;height:2" coordorigin="7948,15" coordsize="1690,0" path="m7948,15l9637,15e" filled="false" stroked="true" strokeweight=".48001pt" strokecolor="#000000">
                <v:path arrowok="t"/>
              </v:shape>
            </v:group>
            <v:group style="position:absolute;left:9637;top:15;width:10;height:2" coordorigin="9637,15" coordsize="10,2">
              <v:shape style="position:absolute;left:9637;top:15;width:10;height:2" coordorigin="9637,15" coordsize="10,0" path="m9637,15l9647,15e" filled="false" stroked="true" strokeweight=".48001pt" strokecolor="#000000">
                <v:path arrowok="t"/>
              </v:shape>
            </v:group>
            <v:group style="position:absolute;left:9647;top:15;width:1268;height:2" coordorigin="9647,15" coordsize="1268,2">
              <v:shape style="position:absolute;left:9647;top:15;width:1268;height:2" coordorigin="9647,15" coordsize="1268,0" path="m9647,15l10915,15e" filled="false" stroked="true" strokeweight=".48001pt" strokecolor="#000000">
                <v:path arrowok="t"/>
              </v:shape>
            </v:group>
            <v:group style="position:absolute;left:10915;top:15;width:10;height:2" coordorigin="10915,15" coordsize="10,2">
              <v:shape style="position:absolute;left:10915;top:15;width:10;height:2" coordorigin="10915,15" coordsize="10,0" path="m10915,15l10924,15e" filled="false" stroked="true" strokeweight=".48001pt" strokecolor="#000000">
                <v:path arrowok="t"/>
              </v:shape>
            </v:group>
            <v:group style="position:absolute;left:10924;top:15;width:1409;height:2" coordorigin="10924,15" coordsize="1409,2">
              <v:shape style="position:absolute;left:10924;top:15;width:1409;height:2" coordorigin="10924,15" coordsize="1409,0" path="m10924,15l12333,15e" filled="false" stroked="true" strokeweight=".48001pt" strokecolor="#000000">
                <v:path arrowok="t"/>
              </v:shape>
            </v:group>
            <v:group style="position:absolute;left:12333;top:15;width:10;height:2" coordorigin="12333,15" coordsize="10,2">
              <v:shape style="position:absolute;left:12333;top:15;width:10;height:2" coordorigin="12333,15" coordsize="10,0" path="m12333,15l12343,15e" filled="false" stroked="true" strokeweight=".48001pt" strokecolor="#000000">
                <v:path arrowok="t"/>
              </v:shape>
            </v:group>
            <v:group style="position:absolute;left:12343;top:15;width:1887;height:2" coordorigin="12343,15" coordsize="1887,2">
              <v:shape style="position:absolute;left:12343;top:15;width:1887;height:2" coordorigin="12343,15" coordsize="1887,0" path="m12343,15l14230,15e" filled="false" stroked="true" strokeweight=".48001pt" strokecolor="#000000">
                <v:path arrowok="t"/>
              </v:shape>
            </v:group>
            <v:group style="position:absolute;left:14230;top:15;width:10;height:2" coordorigin="14230,15" coordsize="10,2">
              <v:shape style="position:absolute;left:14230;top:15;width:10;height:2" coordorigin="14230,15" coordsize="10,0" path="m14230,15l14239,15e" filled="false" stroked="true" strokeweight=".48001pt" strokecolor="#000000">
                <v:path arrowok="t"/>
              </v:shape>
            </v:group>
            <v:group style="position:absolute;left:14239;top:15;width:1498;height:2" coordorigin="14239,15" coordsize="1498,2">
              <v:shape style="position:absolute;left:14239;top:15;width:1498;height:2" coordorigin="14239,15" coordsize="1498,0" path="m14239,15l15737,15e" filled="false" stroked="true" strokeweight=".48001pt" strokecolor="#000000">
                <v:path arrowok="t"/>
              </v:shape>
            </v:group>
            <w10:wrap type="none"/>
          </v:group>
        </w:pict>
      </w:r>
      <w:r>
        <w:rPr>
          <w:rFonts w:ascii="Microsoft JhengHei" w:hAnsi="Microsoft JhengHei" w:cs="Microsoft JhengHei" w:eastAsia="Microsoft JhengHei" w:hint="default"/>
          <w:b/>
          <w:bCs/>
          <w:sz w:val="22"/>
          <w:szCs w:val="22"/>
        </w:rPr>
        <w:t>合 </w:t>
      </w:r>
      <w:r>
        <w:rPr>
          <w:rFonts w:ascii="Microsoft JhengHei" w:hAnsi="Microsoft JhengHei" w:cs="Microsoft JhengHei" w:eastAsia="Microsoft JhengHei" w:hint="default"/>
          <w:b/>
          <w:bCs/>
          <w:spacing w:val="1"/>
          <w:sz w:val="22"/>
          <w:szCs w:val="22"/>
        </w:rPr>
        <w:t> </w:t>
      </w:r>
      <w:r>
        <w:rPr>
          <w:rFonts w:ascii="Microsoft JhengHei" w:hAnsi="Microsoft JhengHei" w:cs="Microsoft JhengHei" w:eastAsia="Microsoft JhengHei" w:hint="default"/>
          <w:b/>
          <w:bCs/>
          <w:sz w:val="22"/>
          <w:szCs w:val="22"/>
        </w:rPr>
        <w:t>计</w:t>
        <w:tab/>
      </w:r>
      <w:r>
        <w:rPr>
          <w:rFonts w:ascii="Arial Narrow" w:hAnsi="Arial Narrow" w:cs="Arial Narrow" w:eastAsia="Arial Narrow" w:hint="default"/>
          <w:b/>
          <w:bCs/>
          <w:spacing w:val="-1"/>
          <w:position w:val="1"/>
          <w:sz w:val="22"/>
          <w:szCs w:val="22"/>
        </w:rPr>
        <w:t>62,336,461.43</w:t>
        <w:tab/>
        <w:t>70,000.00</w:t>
        <w:tab/>
        <w:t>3,566,334.73</w:t>
        <w:tab/>
        <w:t>4,967,080.00</w:t>
        <w:tab/>
        <w:t>63,807,206.70</w:t>
      </w:r>
      <w:r>
        <w:rPr>
          <w:rFonts w:ascii="Arial Narrow" w:hAnsi="Arial Narrow" w:cs="Arial Narrow" w:eastAsia="Arial Narrow" w:hint="default"/>
          <w:spacing w:val="-1"/>
          <w:sz w:val="22"/>
          <w:szCs w:val="22"/>
        </w:rPr>
      </w:r>
    </w:p>
    <w:p>
      <w:pPr>
        <w:spacing w:line="240" w:lineRule="auto" w:before="7"/>
        <w:rPr>
          <w:rFonts w:ascii="Arial Narrow" w:hAnsi="Arial Narrow" w:cs="Arial Narrow" w:eastAsia="Arial Narrow" w:hint="default"/>
          <w:b/>
          <w:bCs/>
          <w:sz w:val="5"/>
          <w:szCs w:val="5"/>
        </w:rPr>
      </w:pPr>
    </w:p>
    <w:p>
      <w:pPr>
        <w:spacing w:line="20" w:lineRule="exact"/>
        <w:ind w:left="10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33pt;height:.5pt;mso-position-horizontal-relative:char;mso-position-vertical-relative:line" coordorigin="0,0" coordsize="14660,10">
            <v:group style="position:absolute;left:5;top:5;width:2314;height:2" coordorigin="5,5" coordsize="2314,2">
              <v:shape style="position:absolute;left:5;top:5;width:2314;height:2" coordorigin="5,5" coordsize="2314,0" path="m5,5l2319,5e" filled="false" stroked="true" strokeweight=".47998pt" strokecolor="#000000">
                <v:path arrowok="t"/>
              </v:shape>
            </v:group>
            <v:group style="position:absolute;left:2304;top:5;width:10;height:2" coordorigin="2304,5" coordsize="10,2">
              <v:shape style="position:absolute;left:2304;top:5;width:10;height:2" coordorigin="2304,5" coordsize="10,0" path="m2304,5l2314,5e" filled="false" stroked="true" strokeweight=".47998pt" strokecolor="#000000">
                <v:path arrowok="t"/>
              </v:shape>
            </v:group>
            <v:group style="position:absolute;left:2314;top:5;width:1707;height:2" coordorigin="2314,5" coordsize="1707,2">
              <v:shape style="position:absolute;left:2314;top:5;width:1707;height:2" coordorigin="2314,5" coordsize="1707,0" path="m2314,5l4021,5e" filled="false" stroked="true" strokeweight=".47998pt" strokecolor="#000000">
                <v:path arrowok="t"/>
              </v:shape>
            </v:group>
            <v:group style="position:absolute;left:4007;top:5;width:10;height:2" coordorigin="4007,5" coordsize="10,2">
              <v:shape style="position:absolute;left:4007;top:5;width:10;height:2" coordorigin="4007,5" coordsize="10,0" path="m4007,5l4016,5e" filled="false" stroked="true" strokeweight=".47998pt" strokecolor="#000000">
                <v:path arrowok="t"/>
              </v:shape>
            </v:group>
            <v:group style="position:absolute;left:4016;top:5;width:1704;height:2" coordorigin="4016,5" coordsize="1704,2">
              <v:shape style="position:absolute;left:4016;top:5;width:1704;height:2" coordorigin="4016,5" coordsize="1704,0" path="m4016,5l5720,5e" filled="false" stroked="true" strokeweight=".47998pt" strokecolor="#000000">
                <v:path arrowok="t"/>
              </v:shape>
            </v:group>
            <v:group style="position:absolute;left:5706;top:5;width:10;height:2" coordorigin="5706,5" coordsize="10,2">
              <v:shape style="position:absolute;left:5706;top:5;width:10;height:2" coordorigin="5706,5" coordsize="10,0" path="m5706,5l5715,5e" filled="false" stroked="true" strokeweight=".47998pt" strokecolor="#000000">
                <v:path arrowok="t"/>
              </v:shape>
            </v:group>
            <v:group style="position:absolute;left:5715;top:5;width:1141;height:2" coordorigin="5715,5" coordsize="1141,2">
              <v:shape style="position:absolute;left:5715;top:5;width:1141;height:2" coordorigin="5715,5" coordsize="1141,0" path="m5715,5l6856,5e" filled="false" stroked="true" strokeweight=".47998pt" strokecolor="#000000">
                <v:path arrowok="t"/>
              </v:shape>
            </v:group>
            <v:group style="position:absolute;left:6841;top:5;width:10;height:2" coordorigin="6841,5" coordsize="10,2">
              <v:shape style="position:absolute;left:6841;top:5;width:10;height:2" coordorigin="6841,5" coordsize="10,0" path="m6841,5l6851,5e" filled="false" stroked="true" strokeweight=".47998pt" strokecolor="#000000">
                <v:path arrowok="t"/>
              </v:shape>
            </v:group>
            <v:group style="position:absolute;left:6851;top:5;width:1704;height:2" coordorigin="6851,5" coordsize="1704,2">
              <v:shape style="position:absolute;left:6851;top:5;width:1704;height:2" coordorigin="6851,5" coordsize="1704,0" path="m6851,5l8555,5e" filled="false" stroked="true" strokeweight=".47998pt" strokecolor="#000000">
                <v:path arrowok="t"/>
              </v:shape>
            </v:group>
            <v:group style="position:absolute;left:8541;top:5;width:10;height:2" coordorigin="8541,5" coordsize="10,2">
              <v:shape style="position:absolute;left:8541;top:5;width:10;height:2" coordorigin="8541,5" coordsize="10,0" path="m8541,5l8550,5e" filled="false" stroked="true" strokeweight=".47998pt" strokecolor="#000000">
                <v:path arrowok="t"/>
              </v:shape>
            </v:group>
            <v:group style="position:absolute;left:8550;top:5;width:1283;height:2" coordorigin="8550,5" coordsize="1283,2">
              <v:shape style="position:absolute;left:8550;top:5;width:1283;height:2" coordorigin="8550,5" coordsize="1283,0" path="m8550,5l9832,5e" filled="false" stroked="true" strokeweight=".47998pt" strokecolor="#000000">
                <v:path arrowok="t"/>
              </v:shape>
            </v:group>
            <v:group style="position:absolute;left:9818;top:5;width:10;height:2" coordorigin="9818,5" coordsize="10,2">
              <v:shape style="position:absolute;left:9818;top:5;width:10;height:2" coordorigin="9818,5" coordsize="10,0" path="m9818,5l9828,5e" filled="false" stroked="true" strokeweight=".47998pt" strokecolor="#000000">
                <v:path arrowok="t"/>
              </v:shape>
            </v:group>
            <v:group style="position:absolute;left:9828;top:5;width:1424;height:2" coordorigin="9828,5" coordsize="1424,2">
              <v:shape style="position:absolute;left:9828;top:5;width:1424;height:2" coordorigin="9828,5" coordsize="1424,0" path="m9828,5l11251,5e" filled="false" stroked="true" strokeweight=".47998pt" strokecolor="#000000">
                <v:path arrowok="t"/>
              </v:shape>
            </v:group>
            <v:group style="position:absolute;left:11236;top:5;width:10;height:2" coordorigin="11236,5" coordsize="10,2">
              <v:shape style="position:absolute;left:11236;top:5;width:10;height:2" coordorigin="11236,5" coordsize="10,0" path="m11236,5l11246,5e" filled="false" stroked="true" strokeweight=".47998pt" strokecolor="#000000">
                <v:path arrowok="t"/>
              </v:shape>
            </v:group>
            <v:group style="position:absolute;left:11246;top:5;width:1902;height:2" coordorigin="11246,5" coordsize="1902,2">
              <v:shape style="position:absolute;left:11246;top:5;width:1902;height:2" coordorigin="11246,5" coordsize="1902,0" path="m11246,5l13147,5e" filled="false" stroked="true" strokeweight=".47998pt" strokecolor="#000000">
                <v:path arrowok="t"/>
              </v:shape>
            </v:group>
            <v:group style="position:absolute;left:13133;top:5;width:10;height:2" coordorigin="13133,5" coordsize="10,2">
              <v:shape style="position:absolute;left:13133;top:5;width:10;height:2" coordorigin="13133,5" coordsize="10,0" path="m13133,5l13142,5e" filled="false" stroked="true" strokeweight=".47998pt" strokecolor="#000000">
                <v:path arrowok="t"/>
              </v:shape>
            </v:group>
            <v:group style="position:absolute;left:13142;top:5;width:1512;height:2" coordorigin="13142,5" coordsize="1512,2">
              <v:shape style="position:absolute;left:13142;top:5;width:1512;height:2" coordorigin="13142,5" coordsize="1512,0" path="m13142,5l14654,5e" filled="false" stroked="true" strokeweight=".47998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10"/>
        <w:rPr>
          <w:rFonts w:ascii="Arial Narrow" w:hAnsi="Arial Narrow" w:cs="Arial Narrow" w:eastAsia="Arial Narrow" w:hint="default"/>
          <w:b/>
          <w:bCs/>
          <w:sz w:val="28"/>
          <w:szCs w:val="28"/>
        </w:rPr>
      </w:pPr>
    </w:p>
    <w:p>
      <w:pPr>
        <w:spacing w:before="63"/>
        <w:ind w:left="6756" w:right="6757" w:firstLine="0"/>
        <w:jc w:val="center"/>
        <w:rPr>
          <w:rFonts w:ascii="Calibri" w:hAnsi="Calibri" w:cs="Calibri" w:eastAsia="Calibri" w:hint="default"/>
          <w:sz w:val="18"/>
          <w:szCs w:val="18"/>
        </w:rPr>
      </w:pPr>
      <w:r>
        <w:rPr>
          <w:rFonts w:ascii="Calibri"/>
          <w:b/>
          <w:sz w:val="18"/>
        </w:rPr>
        <w:t>143 </w:t>
      </w:r>
      <w:r>
        <w:rPr>
          <w:rFonts w:ascii="Calibri"/>
          <w:sz w:val="18"/>
        </w:rPr>
        <w:t>/</w:t>
      </w:r>
      <w:r>
        <w:rPr>
          <w:rFonts w:ascii="Calibri"/>
          <w:spacing w:val="-5"/>
          <w:sz w:val="18"/>
        </w:rPr>
        <w:t> </w:t>
      </w:r>
      <w:r>
        <w:rPr>
          <w:rFonts w:ascii="Calibri"/>
          <w:b/>
          <w:sz w:val="18"/>
        </w:rPr>
        <w:t>175</w:t>
      </w:r>
      <w:r>
        <w:rPr>
          <w:rFonts w:ascii="Calibri"/>
          <w:sz w:val="18"/>
        </w:rPr>
      </w:r>
    </w:p>
    <w:p>
      <w:pPr>
        <w:spacing w:after="0"/>
        <w:jc w:val="center"/>
        <w:rPr>
          <w:rFonts w:ascii="Calibri" w:hAnsi="Calibri" w:cs="Calibri" w:eastAsia="Calibri" w:hint="default"/>
          <w:sz w:val="18"/>
          <w:szCs w:val="18"/>
        </w:rPr>
        <w:sectPr>
          <w:type w:val="continuous"/>
          <w:pgSz w:w="16850" w:h="11910" w:orient="landscape"/>
          <w:pgMar w:top="1120" w:bottom="1380" w:left="980" w:right="980"/>
        </w:sectPr>
      </w:pPr>
    </w:p>
    <w:p>
      <w:pPr>
        <w:spacing w:line="240" w:lineRule="auto" w:before="0"/>
        <w:rPr>
          <w:rFonts w:ascii="Calibri" w:hAnsi="Calibri" w:cs="Calibri" w:eastAsia="Calibri" w:hint="default"/>
          <w:b/>
          <w:bCs/>
          <w:sz w:val="20"/>
          <w:szCs w:val="20"/>
        </w:rPr>
      </w:pPr>
    </w:p>
    <w:p>
      <w:pPr>
        <w:pStyle w:val="Heading3"/>
        <w:spacing w:line="240" w:lineRule="auto" w:before="158"/>
        <w:ind w:right="0"/>
        <w:jc w:val="left"/>
      </w:pPr>
      <w:r>
        <w:rPr/>
        <w:t>说明：</w:t>
      </w:r>
    </w:p>
    <w:p>
      <w:pPr>
        <w:pStyle w:val="Heading3"/>
        <w:spacing w:line="321" w:lineRule="exact" w:before="214"/>
        <w:ind w:right="0"/>
        <w:jc w:val="left"/>
      </w:pPr>
      <w:r>
        <w:rPr>
          <w:rFonts w:ascii="宋体" w:hAnsi="宋体" w:cs="宋体" w:eastAsia="宋体" w:hint="default"/>
        </w:rPr>
        <w:t>① </w:t>
      </w:r>
      <w:r>
        <w:rPr/>
        <w:t>产业引导资金补助系子公司洛阳四季沐歌于 </w:t>
      </w:r>
      <w:r>
        <w:rPr>
          <w:rFonts w:ascii="Arial Narrow" w:hAnsi="Arial Narrow" w:cs="Arial Narrow" w:eastAsia="Arial Narrow" w:hint="default"/>
        </w:rPr>
        <w:t>2009 </w:t>
      </w:r>
      <w:r>
        <w:rPr/>
        <w:t>年 </w:t>
      </w:r>
      <w:r>
        <w:rPr>
          <w:rFonts w:ascii="Arial Narrow" w:hAnsi="Arial Narrow" w:cs="Arial Narrow" w:eastAsia="Arial Narrow" w:hint="default"/>
        </w:rPr>
        <w:t>8 </w:t>
      </w:r>
      <w:r>
        <w:rPr/>
        <w:t>月 </w:t>
      </w:r>
      <w:r>
        <w:rPr>
          <w:rFonts w:ascii="Arial Narrow" w:hAnsi="Arial Narrow" w:cs="Arial Narrow" w:eastAsia="Arial Narrow" w:hint="default"/>
        </w:rPr>
        <w:t>26</w:t>
      </w:r>
      <w:r>
        <w:rPr>
          <w:rFonts w:ascii="Arial Narrow" w:hAnsi="Arial Narrow" w:cs="Arial Narrow" w:eastAsia="Arial Narrow" w:hint="default"/>
          <w:spacing w:val="-24"/>
        </w:rPr>
        <w:t> </w:t>
      </w:r>
      <w:r>
        <w:rPr/>
        <w:t>日取得的洛阳市政府</w:t>
      </w:r>
    </w:p>
    <w:p>
      <w:pPr>
        <w:pStyle w:val="Heading3"/>
        <w:spacing w:line="310" w:lineRule="exact" w:before="23"/>
        <w:ind w:left="558" w:right="123"/>
        <w:jc w:val="left"/>
      </w:pPr>
      <w:r>
        <w:rPr/>
        <w:t>关于产业引导资金补助</w:t>
      </w:r>
      <w:r>
        <w:rPr>
          <w:spacing w:val="-60"/>
        </w:rPr>
        <w:t> </w:t>
      </w:r>
      <w:r>
        <w:rPr>
          <w:rFonts w:ascii="Arial Narrow" w:hAnsi="Arial Narrow" w:cs="Arial Narrow" w:eastAsia="Arial Narrow" w:hint="default"/>
        </w:rPr>
        <w:t>21,881,614.42</w:t>
      </w:r>
      <w:r>
        <w:rPr>
          <w:rFonts w:ascii="Arial Narrow" w:hAnsi="Arial Narrow" w:cs="Arial Narrow" w:eastAsia="Arial Narrow" w:hint="default"/>
          <w:spacing w:val="7"/>
        </w:rPr>
        <w:t> </w:t>
      </w:r>
      <w:r>
        <w:rPr>
          <w:spacing w:val="-3"/>
        </w:rPr>
        <w:t>元，该补助按土地使用年限</w:t>
      </w:r>
      <w:r>
        <w:rPr>
          <w:spacing w:val="-59"/>
        </w:rPr>
        <w:t> </w:t>
      </w:r>
      <w:r>
        <w:rPr>
          <w:rFonts w:ascii="Arial Narrow" w:hAnsi="Arial Narrow" w:cs="Arial Narrow" w:eastAsia="Arial Narrow" w:hint="default"/>
        </w:rPr>
        <w:t>50</w:t>
      </w:r>
      <w:r>
        <w:rPr>
          <w:rFonts w:ascii="Arial Narrow" w:hAnsi="Arial Narrow" w:cs="Arial Narrow" w:eastAsia="Arial Narrow" w:hint="default"/>
          <w:spacing w:val="6"/>
        </w:rPr>
        <w:t> </w:t>
      </w:r>
      <w:r>
        <w:rPr/>
        <w:t>年平均摊销计 入其他收益。</w:t>
      </w:r>
    </w:p>
    <w:p>
      <w:pPr>
        <w:pStyle w:val="Heading3"/>
        <w:spacing w:line="321" w:lineRule="exact" w:before="89"/>
        <w:ind w:left="558" w:right="0"/>
        <w:jc w:val="left"/>
        <w:rPr>
          <w:rFonts w:ascii="Arial Narrow" w:hAnsi="Arial Narrow" w:cs="Arial Narrow" w:eastAsia="Arial Narrow" w:hint="default"/>
        </w:rPr>
      </w:pPr>
      <w:r>
        <w:rPr/>
        <w:t>本公司于</w:t>
      </w:r>
      <w:r>
        <w:rPr>
          <w:spacing w:val="-85"/>
        </w:rPr>
        <w:t> </w:t>
      </w:r>
      <w:r>
        <w:rPr>
          <w:rFonts w:ascii="Arial Narrow" w:hAnsi="Arial Narrow" w:cs="Arial Narrow" w:eastAsia="Arial Narrow" w:hint="default"/>
        </w:rPr>
        <w:t>2016</w:t>
      </w:r>
      <w:r>
        <w:rPr>
          <w:rFonts w:ascii="Arial Narrow" w:hAnsi="Arial Narrow" w:cs="Arial Narrow" w:eastAsia="Arial Narrow" w:hint="default"/>
          <w:spacing w:val="-19"/>
        </w:rPr>
        <w:t> </w:t>
      </w:r>
      <w:r>
        <w:rPr/>
        <w:t>年</w:t>
      </w:r>
      <w:r>
        <w:rPr>
          <w:spacing w:val="-85"/>
        </w:rPr>
        <w:t> </w:t>
      </w:r>
      <w:r>
        <w:rPr>
          <w:rFonts w:ascii="Arial Narrow" w:hAnsi="Arial Narrow" w:cs="Arial Narrow" w:eastAsia="Arial Narrow" w:hint="default"/>
        </w:rPr>
        <w:t>4</w:t>
      </w:r>
      <w:r>
        <w:rPr>
          <w:rFonts w:ascii="Arial Narrow" w:hAnsi="Arial Narrow" w:cs="Arial Narrow" w:eastAsia="Arial Narrow" w:hint="default"/>
          <w:spacing w:val="-19"/>
        </w:rPr>
        <w:t> </w:t>
      </w:r>
      <w:r>
        <w:rPr/>
        <w:t>月</w:t>
      </w:r>
      <w:r>
        <w:rPr>
          <w:spacing w:val="-85"/>
        </w:rPr>
        <w:t> </w:t>
      </w:r>
      <w:r>
        <w:rPr>
          <w:rFonts w:ascii="Arial Narrow" w:hAnsi="Arial Narrow" w:cs="Arial Narrow" w:eastAsia="Arial Narrow" w:hint="default"/>
        </w:rPr>
        <w:t>12</w:t>
      </w:r>
      <w:r>
        <w:rPr>
          <w:rFonts w:ascii="Arial Narrow" w:hAnsi="Arial Narrow" w:cs="Arial Narrow" w:eastAsia="Arial Narrow" w:hint="default"/>
          <w:spacing w:val="-22"/>
        </w:rPr>
        <w:t> </w:t>
      </w:r>
      <w:r>
        <w:rPr/>
        <w:t>日取得的连云港市政府关于产业引导资金补助</w:t>
      </w:r>
      <w:r>
        <w:rPr>
          <w:spacing w:val="-84"/>
        </w:rPr>
        <w:t> </w:t>
      </w:r>
      <w:r>
        <w:rPr>
          <w:rFonts w:ascii="Arial Narrow" w:hAnsi="Arial Narrow" w:cs="Arial Narrow" w:eastAsia="Arial Narrow" w:hint="default"/>
        </w:rPr>
        <w:t>3,045,245.00</w:t>
      </w:r>
    </w:p>
    <w:p>
      <w:pPr>
        <w:pStyle w:val="Heading3"/>
        <w:spacing w:line="312" w:lineRule="exact" w:before="21"/>
        <w:ind w:left="558" w:right="117"/>
        <w:jc w:val="left"/>
      </w:pPr>
      <w:r>
        <w:rPr>
          <w:spacing w:val="-3"/>
        </w:rPr>
        <w:t>元，该补助与本公司取得的位于经五路的地块相关，按土地使用年限</w:t>
      </w:r>
      <w:r>
        <w:rPr>
          <w:spacing w:val="-59"/>
        </w:rPr>
        <w:t> </w:t>
      </w:r>
      <w:r>
        <w:rPr>
          <w:rFonts w:ascii="Arial Narrow" w:hAnsi="Arial Narrow" w:cs="Arial Narrow" w:eastAsia="Arial Narrow" w:hint="default"/>
        </w:rPr>
        <w:t>47</w:t>
      </w:r>
      <w:r>
        <w:rPr>
          <w:rFonts w:ascii="Arial Narrow" w:hAnsi="Arial Narrow" w:cs="Arial Narrow" w:eastAsia="Arial Narrow" w:hint="default"/>
          <w:spacing w:val="6"/>
        </w:rPr>
        <w:t> </w:t>
      </w:r>
      <w:r>
        <w:rPr/>
        <w:t>年平均摊 销计入其他收益。</w:t>
      </w:r>
    </w:p>
    <w:p>
      <w:pPr>
        <w:pStyle w:val="Heading3"/>
        <w:spacing w:line="321" w:lineRule="exact" w:before="87"/>
        <w:ind w:right="0"/>
        <w:jc w:val="left"/>
      </w:pPr>
      <w:r>
        <w:rPr>
          <w:rFonts w:ascii="宋体" w:hAnsi="宋体" w:cs="宋体" w:eastAsia="宋体" w:hint="default"/>
        </w:rPr>
        <w:t>② </w:t>
      </w:r>
      <w:r>
        <w:rPr/>
        <w:t>项目补助资金系本公司于 </w:t>
      </w:r>
      <w:r>
        <w:rPr>
          <w:rFonts w:ascii="Arial Narrow" w:hAnsi="Arial Narrow" w:cs="Arial Narrow" w:eastAsia="Arial Narrow" w:hint="default"/>
        </w:rPr>
        <w:t>2012 </w:t>
      </w:r>
      <w:r>
        <w:rPr/>
        <w:t>年 </w:t>
      </w:r>
      <w:r>
        <w:rPr>
          <w:rFonts w:ascii="Arial Narrow" w:hAnsi="Arial Narrow" w:cs="Arial Narrow" w:eastAsia="Arial Narrow" w:hint="default"/>
        </w:rPr>
        <w:t>12</w:t>
      </w:r>
      <w:r>
        <w:rPr>
          <w:rFonts w:ascii="Arial Narrow" w:hAnsi="Arial Narrow" w:cs="Arial Narrow" w:eastAsia="Arial Narrow" w:hint="default"/>
          <w:spacing w:val="20"/>
        </w:rPr>
        <w:t> </w:t>
      </w:r>
      <w:r>
        <w:rPr/>
        <w:t>月取得的连云港市海州区宁海乡政府关于项</w:t>
      </w:r>
    </w:p>
    <w:p>
      <w:pPr>
        <w:pStyle w:val="Heading3"/>
        <w:spacing w:line="312" w:lineRule="exact"/>
        <w:ind w:left="558" w:right="0"/>
        <w:jc w:val="left"/>
      </w:pPr>
      <w:r>
        <w:rPr/>
        <w:t>目投资的资金补助 </w:t>
      </w:r>
      <w:r>
        <w:rPr>
          <w:rFonts w:ascii="Arial Narrow" w:hAnsi="Arial Narrow" w:cs="Arial Narrow" w:eastAsia="Arial Narrow" w:hint="default"/>
        </w:rPr>
        <w:t>10,800,000.00</w:t>
      </w:r>
      <w:r>
        <w:rPr>
          <w:rFonts w:ascii="Arial Narrow" w:hAnsi="Arial Narrow" w:cs="Arial Narrow" w:eastAsia="Arial Narrow" w:hint="default"/>
          <w:spacing w:val="12"/>
        </w:rPr>
        <w:t> </w:t>
      </w:r>
      <w:r>
        <w:rPr/>
        <w:t>元，该补助与本公司取得的位于连云港武圩村六</w:t>
      </w:r>
    </w:p>
    <w:p>
      <w:pPr>
        <w:pStyle w:val="Heading3"/>
        <w:spacing w:line="322" w:lineRule="exact"/>
        <w:ind w:left="558" w:right="0"/>
        <w:jc w:val="left"/>
      </w:pPr>
      <w:r>
        <w:rPr/>
        <w:t>组地块的建设项目相关，按该土地剩余使用年限</w:t>
      </w:r>
      <w:r>
        <w:rPr>
          <w:spacing w:val="-60"/>
        </w:rPr>
        <w:t> </w:t>
      </w:r>
      <w:r>
        <w:rPr>
          <w:rFonts w:ascii="Arial Narrow" w:hAnsi="Arial Narrow" w:cs="Arial Narrow" w:eastAsia="Arial Narrow" w:hint="default"/>
        </w:rPr>
        <w:t>48</w:t>
      </w:r>
      <w:r>
        <w:rPr>
          <w:rFonts w:ascii="Arial Narrow" w:hAnsi="Arial Narrow" w:cs="Arial Narrow" w:eastAsia="Arial Narrow" w:hint="default"/>
          <w:spacing w:val="5"/>
        </w:rPr>
        <w:t> </w:t>
      </w:r>
      <w:r>
        <w:rPr/>
        <w:t>年平均摊销计入其他收益。</w:t>
      </w:r>
    </w:p>
    <w:p>
      <w:pPr>
        <w:pStyle w:val="Heading3"/>
        <w:spacing w:line="321" w:lineRule="exact" w:before="98"/>
        <w:ind w:right="0"/>
        <w:jc w:val="left"/>
      </w:pPr>
      <w:r>
        <w:rPr>
          <w:rFonts w:ascii="宋体" w:hAnsi="宋体" w:cs="宋体" w:eastAsia="宋体" w:hint="default"/>
        </w:rPr>
        <w:t>③</w:t>
      </w:r>
      <w:r>
        <w:rPr>
          <w:rFonts w:ascii="宋体" w:hAnsi="宋体" w:cs="宋体" w:eastAsia="宋体" w:hint="default"/>
          <w:spacing w:val="57"/>
        </w:rPr>
        <w:t> </w:t>
      </w:r>
      <w:r>
        <w:rPr/>
        <w:t>技术改造专项资金补助系本公司于</w:t>
      </w:r>
      <w:r>
        <w:rPr>
          <w:spacing w:val="-75"/>
        </w:rPr>
        <w:t> </w:t>
      </w:r>
      <w:r>
        <w:rPr>
          <w:rFonts w:ascii="Arial Narrow" w:hAnsi="Arial Narrow" w:cs="Arial Narrow" w:eastAsia="Arial Narrow" w:hint="default"/>
        </w:rPr>
        <w:t>2013</w:t>
      </w:r>
      <w:r>
        <w:rPr>
          <w:rFonts w:ascii="Arial Narrow" w:hAnsi="Arial Narrow" w:cs="Arial Narrow" w:eastAsia="Arial Narrow" w:hint="default"/>
          <w:spacing w:val="-9"/>
        </w:rPr>
        <w:t> </w:t>
      </w:r>
      <w:r>
        <w:rPr/>
        <w:t>年</w:t>
      </w:r>
      <w:r>
        <w:rPr>
          <w:spacing w:val="-76"/>
        </w:rPr>
        <w:t> </w:t>
      </w:r>
      <w:r>
        <w:rPr>
          <w:rFonts w:ascii="Arial Narrow" w:hAnsi="Arial Narrow" w:cs="Arial Narrow" w:eastAsia="Arial Narrow" w:hint="default"/>
        </w:rPr>
        <w:t>8</w:t>
      </w:r>
      <w:r>
        <w:rPr>
          <w:rFonts w:ascii="Arial Narrow" w:hAnsi="Arial Narrow" w:cs="Arial Narrow" w:eastAsia="Arial Narrow" w:hint="default"/>
          <w:spacing w:val="-10"/>
        </w:rPr>
        <w:t> </w:t>
      </w:r>
      <w:r>
        <w:rPr/>
        <w:t>月起陆续取得的连云港市财政局拨付</w:t>
      </w:r>
    </w:p>
    <w:p>
      <w:pPr>
        <w:pStyle w:val="Heading3"/>
        <w:spacing w:line="312" w:lineRule="exact"/>
        <w:ind w:left="558" w:right="0"/>
        <w:jc w:val="left"/>
      </w:pPr>
      <w:r>
        <w:rPr/>
        <w:t>的 </w:t>
      </w:r>
      <w:r>
        <w:rPr>
          <w:rFonts w:ascii="Arial Narrow" w:hAnsi="Arial Narrow" w:cs="Arial Narrow" w:eastAsia="Arial Narrow" w:hint="default"/>
        </w:rPr>
        <w:t>2013 </w:t>
      </w:r>
      <w:r>
        <w:rPr/>
        <w:t>年度市工业企业技术改造专项资金项目补助共计 </w:t>
      </w:r>
      <w:r>
        <w:rPr>
          <w:rFonts w:ascii="Arial Narrow" w:hAnsi="Arial Narrow" w:cs="Arial Narrow" w:eastAsia="Arial Narrow" w:hint="default"/>
        </w:rPr>
        <w:t>3,980,000.00</w:t>
      </w:r>
      <w:r>
        <w:rPr>
          <w:rFonts w:ascii="Arial Narrow" w:hAnsi="Arial Narrow" w:cs="Arial Narrow" w:eastAsia="Arial Narrow" w:hint="default"/>
          <w:spacing w:val="-11"/>
        </w:rPr>
        <w:t> </w:t>
      </w:r>
      <w:r>
        <w:rPr/>
        <w:t>元，该补助</w:t>
      </w:r>
    </w:p>
    <w:p>
      <w:pPr>
        <w:pStyle w:val="Heading3"/>
        <w:spacing w:line="311" w:lineRule="exact"/>
        <w:ind w:left="558" w:right="0"/>
        <w:jc w:val="left"/>
      </w:pPr>
      <w:r>
        <w:rPr/>
        <w:t>与金属热管集热器技术改造项目相关，自</w:t>
      </w:r>
      <w:r>
        <w:rPr>
          <w:spacing w:val="-65"/>
        </w:rPr>
        <w:t> </w:t>
      </w:r>
      <w:r>
        <w:rPr>
          <w:rFonts w:ascii="Arial Narrow" w:hAnsi="Arial Narrow" w:cs="Arial Narrow" w:eastAsia="Arial Narrow" w:hint="default"/>
        </w:rPr>
        <w:t>2014</w:t>
      </w:r>
      <w:r>
        <w:rPr>
          <w:rFonts w:ascii="Arial Narrow" w:hAnsi="Arial Narrow" w:cs="Arial Narrow" w:eastAsia="Arial Narrow" w:hint="default"/>
          <w:spacing w:val="-1"/>
        </w:rPr>
        <w:t> </w:t>
      </w:r>
      <w:r>
        <w:rPr/>
        <w:t>年</w:t>
      </w:r>
      <w:r>
        <w:rPr>
          <w:spacing w:val="-65"/>
        </w:rPr>
        <w:t> </w:t>
      </w:r>
      <w:r>
        <w:rPr>
          <w:rFonts w:ascii="Arial Narrow" w:hAnsi="Arial Narrow" w:cs="Arial Narrow" w:eastAsia="Arial Narrow" w:hint="default"/>
        </w:rPr>
        <w:t>1 </w:t>
      </w:r>
      <w:r>
        <w:rPr>
          <w:spacing w:val="-3"/>
        </w:rPr>
        <w:t>月起，按机器设备的使用期限</w:t>
      </w:r>
    </w:p>
    <w:p>
      <w:pPr>
        <w:pStyle w:val="Heading3"/>
        <w:spacing w:line="311" w:lineRule="exact"/>
        <w:ind w:left="558" w:right="0"/>
        <w:jc w:val="left"/>
      </w:pPr>
      <w:r>
        <w:rPr>
          <w:rFonts w:ascii="Arial Narrow" w:hAnsi="Arial Narrow" w:cs="Arial Narrow" w:eastAsia="Arial Narrow" w:hint="default"/>
        </w:rPr>
        <w:t>10</w:t>
      </w:r>
      <w:r>
        <w:rPr>
          <w:rFonts w:ascii="Arial Narrow" w:hAnsi="Arial Narrow" w:cs="Arial Narrow" w:eastAsia="Arial Narrow" w:hint="default"/>
          <w:spacing w:val="7"/>
        </w:rPr>
        <w:t> </w:t>
      </w:r>
      <w:r>
        <w:rPr>
          <w:spacing w:val="-5"/>
        </w:rPr>
        <w:t>年平均摊销计入其他收益。本公司于</w:t>
      </w:r>
      <w:r>
        <w:rPr>
          <w:spacing w:val="-59"/>
        </w:rPr>
        <w:t> </w:t>
      </w:r>
      <w:r>
        <w:rPr>
          <w:rFonts w:ascii="Arial Narrow" w:hAnsi="Arial Narrow" w:cs="Arial Narrow" w:eastAsia="Arial Narrow" w:hint="default"/>
        </w:rPr>
        <w:t>2015</w:t>
      </w:r>
      <w:r>
        <w:rPr>
          <w:rFonts w:ascii="Arial Narrow" w:hAnsi="Arial Narrow" w:cs="Arial Narrow" w:eastAsia="Arial Narrow" w:hint="default"/>
          <w:spacing w:val="5"/>
        </w:rPr>
        <w:t> </w:t>
      </w:r>
      <w:r>
        <w:rPr/>
        <w:t>年</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25</w:t>
      </w:r>
      <w:r>
        <w:rPr>
          <w:rFonts w:ascii="Arial Narrow" w:hAnsi="Arial Narrow" w:cs="Arial Narrow" w:eastAsia="Arial Narrow" w:hint="default"/>
          <w:spacing w:val="7"/>
        </w:rPr>
        <w:t> </w:t>
      </w:r>
      <w:r>
        <w:rPr/>
        <w:t>日取得的连云港市财政局</w:t>
      </w:r>
    </w:p>
    <w:p>
      <w:pPr>
        <w:pStyle w:val="Heading3"/>
        <w:spacing w:line="312" w:lineRule="exact"/>
        <w:ind w:left="558" w:right="0"/>
        <w:jc w:val="left"/>
      </w:pPr>
      <w:r>
        <w:rPr/>
        <w:t>拨付的 </w:t>
      </w:r>
      <w:r>
        <w:rPr>
          <w:rFonts w:ascii="Arial Narrow" w:hAnsi="Arial Narrow" w:cs="Arial Narrow" w:eastAsia="Arial Narrow" w:hint="default"/>
        </w:rPr>
        <w:t>2015 </w:t>
      </w:r>
      <w:r>
        <w:rPr/>
        <w:t>年度市工业企业技术改造专项资金共计 </w:t>
      </w:r>
      <w:r>
        <w:rPr>
          <w:rFonts w:ascii="Arial Narrow" w:hAnsi="Arial Narrow" w:cs="Arial Narrow" w:eastAsia="Arial Narrow" w:hint="default"/>
        </w:rPr>
        <w:t>2,000,000.00</w:t>
      </w:r>
      <w:r>
        <w:rPr>
          <w:rFonts w:ascii="Arial Narrow" w:hAnsi="Arial Narrow" w:cs="Arial Narrow" w:eastAsia="Arial Narrow" w:hint="default"/>
          <w:spacing w:val="-12"/>
        </w:rPr>
        <w:t> </w:t>
      </w:r>
      <w:r>
        <w:rPr/>
        <w:t>元，该补助与电</w:t>
      </w:r>
    </w:p>
    <w:p>
      <w:pPr>
        <w:pStyle w:val="Heading3"/>
        <w:spacing w:line="310" w:lineRule="exact" w:before="23"/>
        <w:ind w:left="558" w:right="122"/>
        <w:jc w:val="left"/>
      </w:pPr>
      <w:r>
        <w:rPr/>
        <w:t>热工厂技术改造项目相关，自</w:t>
      </w:r>
      <w:r>
        <w:rPr>
          <w:spacing w:val="-62"/>
        </w:rPr>
        <w:t> </w:t>
      </w:r>
      <w:r>
        <w:rPr>
          <w:rFonts w:ascii="Arial Narrow" w:hAnsi="Arial Narrow" w:cs="Arial Narrow" w:eastAsia="Arial Narrow" w:hint="default"/>
        </w:rPr>
        <w:t>2015</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5"/>
        </w:rPr>
        <w:t> </w:t>
      </w:r>
      <w:r>
        <w:rPr>
          <w:rFonts w:ascii="Arial Narrow" w:hAnsi="Arial Narrow" w:cs="Arial Narrow" w:eastAsia="Arial Narrow" w:hint="default"/>
        </w:rPr>
        <w:t>30</w:t>
      </w:r>
      <w:r>
        <w:rPr>
          <w:rFonts w:ascii="Arial Narrow" w:hAnsi="Arial Narrow" w:cs="Arial Narrow" w:eastAsia="Arial Narrow" w:hint="default"/>
          <w:spacing w:val="1"/>
        </w:rPr>
        <w:t> </w:t>
      </w:r>
      <w:r>
        <w:rPr/>
        <w:t>日起，按机器设备的使用期限</w:t>
      </w:r>
      <w:r>
        <w:rPr>
          <w:spacing w:val="-62"/>
        </w:rPr>
        <w:t> </w:t>
      </w:r>
      <w:r>
        <w:rPr>
          <w:rFonts w:ascii="Arial Narrow" w:hAnsi="Arial Narrow" w:cs="Arial Narrow" w:eastAsia="Arial Narrow" w:hint="default"/>
        </w:rPr>
        <w:t>10</w:t>
      </w:r>
      <w:r>
        <w:rPr>
          <w:rFonts w:ascii="Arial Narrow" w:hAnsi="Arial Narrow" w:cs="Arial Narrow" w:eastAsia="Arial Narrow" w:hint="default"/>
          <w:spacing w:val="4"/>
        </w:rPr>
        <w:t> </w:t>
      </w:r>
      <w:r>
        <w:rPr/>
        <w:t>年 平均摊销计入其他收益。</w:t>
      </w:r>
    </w:p>
    <w:p>
      <w:pPr>
        <w:pStyle w:val="Heading3"/>
        <w:spacing w:line="322" w:lineRule="exact" w:before="209"/>
        <w:ind w:right="0"/>
        <w:jc w:val="left"/>
      </w:pPr>
      <w:r>
        <w:rPr>
          <w:rFonts w:ascii="宋体" w:hAnsi="宋体" w:cs="宋体" w:eastAsia="宋体" w:hint="default"/>
        </w:rPr>
        <w:t>④</w:t>
      </w:r>
      <w:r>
        <w:rPr>
          <w:rFonts w:ascii="宋体" w:hAnsi="宋体" w:cs="宋体" w:eastAsia="宋体" w:hint="default"/>
          <w:spacing w:val="59"/>
        </w:rPr>
        <w:t> </w:t>
      </w:r>
      <w:r>
        <w:rPr/>
        <w:t>高能效光电智能复合太阳能热水器项目专项补偿款系本公司于</w:t>
      </w:r>
      <w:r>
        <w:rPr>
          <w:spacing w:val="-74"/>
        </w:rPr>
        <w:t> </w:t>
      </w:r>
      <w:r>
        <w:rPr>
          <w:rFonts w:ascii="Arial Narrow" w:hAnsi="Arial Narrow" w:cs="Arial Narrow" w:eastAsia="Arial Narrow" w:hint="default"/>
        </w:rPr>
        <w:t>2014</w:t>
      </w:r>
      <w:r>
        <w:rPr>
          <w:rFonts w:ascii="Arial Narrow" w:hAnsi="Arial Narrow" w:cs="Arial Narrow" w:eastAsia="Arial Narrow" w:hint="default"/>
          <w:spacing w:val="-10"/>
        </w:rPr>
        <w:t> </w:t>
      </w:r>
      <w:r>
        <w:rPr/>
        <w:t>年</w:t>
      </w:r>
      <w:r>
        <w:rPr>
          <w:spacing w:val="-75"/>
        </w:rPr>
        <w:t> </w:t>
      </w:r>
      <w:r>
        <w:rPr>
          <w:rFonts w:ascii="Arial Narrow" w:hAnsi="Arial Narrow" w:cs="Arial Narrow" w:eastAsia="Arial Narrow" w:hint="default"/>
        </w:rPr>
        <w:t>7</w:t>
      </w:r>
      <w:r>
        <w:rPr>
          <w:rFonts w:ascii="Arial Narrow" w:hAnsi="Arial Narrow" w:cs="Arial Narrow" w:eastAsia="Arial Narrow" w:hint="default"/>
          <w:spacing w:val="-9"/>
        </w:rPr>
        <w:t> </w:t>
      </w:r>
      <w:r>
        <w:rPr/>
        <w:t>月取得的</w:t>
      </w:r>
    </w:p>
    <w:p>
      <w:pPr>
        <w:pStyle w:val="Heading3"/>
        <w:spacing w:line="311" w:lineRule="exact"/>
        <w:ind w:left="558" w:right="0"/>
        <w:jc w:val="left"/>
      </w:pPr>
      <w:r>
        <w:rPr/>
        <w:t>连云港市财政局拨付的产业振兴专项项目补助资金共计 </w:t>
      </w:r>
      <w:r>
        <w:rPr>
          <w:rFonts w:ascii="Arial Narrow" w:hAnsi="Arial Narrow" w:cs="Arial Narrow" w:eastAsia="Arial Narrow" w:hint="default"/>
        </w:rPr>
        <w:t>11,720,000.00</w:t>
      </w:r>
      <w:r>
        <w:rPr>
          <w:rFonts w:ascii="Arial Narrow" w:hAnsi="Arial Narrow" w:cs="Arial Narrow" w:eastAsia="Arial Narrow" w:hint="default"/>
          <w:spacing w:val="14"/>
        </w:rPr>
        <w:t> </w:t>
      </w:r>
      <w:r>
        <w:rPr/>
        <w:t>元，该补助</w:t>
      </w:r>
    </w:p>
    <w:p>
      <w:pPr>
        <w:pStyle w:val="Heading3"/>
        <w:spacing w:line="312" w:lineRule="exact" w:before="20"/>
        <w:ind w:left="558" w:right="118"/>
        <w:jc w:val="left"/>
      </w:pPr>
      <w:r>
        <w:rPr/>
        <w:t>用于连云港年产 </w:t>
      </w:r>
      <w:r>
        <w:rPr>
          <w:rFonts w:ascii="Arial Narrow" w:hAnsi="Arial Narrow" w:cs="Arial Narrow" w:eastAsia="Arial Narrow" w:hint="default"/>
        </w:rPr>
        <w:t>160</w:t>
      </w:r>
      <w:r>
        <w:rPr>
          <w:rFonts w:ascii="Arial Narrow" w:hAnsi="Arial Narrow" w:cs="Arial Narrow" w:eastAsia="Arial Narrow" w:hint="default"/>
          <w:spacing w:val="-13"/>
        </w:rPr>
        <w:t> </w:t>
      </w:r>
      <w:r>
        <w:rPr/>
        <w:t>万高能效光电智能复合太阳能热水器项目，自项目正式投产 后按资产的使用年限平均摊销计入其他收益。</w:t>
      </w:r>
    </w:p>
    <w:p>
      <w:pPr>
        <w:pStyle w:val="Heading3"/>
        <w:spacing w:line="321" w:lineRule="exact" w:before="89"/>
        <w:ind w:right="0"/>
        <w:jc w:val="left"/>
      </w:pPr>
      <w:r>
        <w:rPr>
          <w:rFonts w:ascii="宋体" w:hAnsi="宋体" w:cs="宋体" w:eastAsia="宋体" w:hint="default"/>
        </w:rPr>
        <w:t>⑤</w:t>
      </w:r>
      <w:r>
        <w:rPr>
          <w:rFonts w:ascii="宋体" w:hAnsi="宋体" w:cs="宋体" w:eastAsia="宋体" w:hint="default"/>
          <w:spacing w:val="59"/>
        </w:rPr>
        <w:t> </w:t>
      </w:r>
      <w:r>
        <w:rPr/>
        <w:t>海州区文化体育局省体育产业发展引导资金系本公司于</w:t>
      </w:r>
      <w:r>
        <w:rPr>
          <w:spacing w:val="-64"/>
        </w:rPr>
        <w:t> </w:t>
      </w:r>
      <w:r>
        <w:rPr>
          <w:rFonts w:ascii="Arial Narrow" w:hAnsi="Arial Narrow" w:cs="Arial Narrow" w:eastAsia="Arial Narrow" w:hint="default"/>
        </w:rPr>
        <w:t>2015</w:t>
      </w:r>
      <w:r>
        <w:rPr>
          <w:rFonts w:ascii="Arial Narrow" w:hAnsi="Arial Narrow" w:cs="Arial Narrow" w:eastAsia="Arial Narrow" w:hint="default"/>
          <w:spacing w:val="1"/>
        </w:rPr>
        <w:t> </w:t>
      </w:r>
      <w:r>
        <w:rPr/>
        <w:t>年</w:t>
      </w:r>
      <w:r>
        <w:rPr>
          <w:spacing w:val="-65"/>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65"/>
        </w:rPr>
        <w:t> </w:t>
      </w:r>
      <w:r>
        <w:rPr>
          <w:rFonts w:ascii="Arial Narrow" w:hAnsi="Arial Narrow" w:cs="Arial Narrow" w:eastAsia="Arial Narrow" w:hint="default"/>
        </w:rPr>
        <w:t>10</w:t>
      </w:r>
      <w:r>
        <w:rPr>
          <w:rFonts w:ascii="Arial Narrow" w:hAnsi="Arial Narrow" w:cs="Arial Narrow" w:eastAsia="Arial Narrow" w:hint="default"/>
          <w:spacing w:val="1"/>
        </w:rPr>
        <w:t> </w:t>
      </w:r>
      <w:r>
        <w:rPr/>
        <w:t>日取得的</w:t>
      </w:r>
    </w:p>
    <w:p>
      <w:pPr>
        <w:pStyle w:val="Heading3"/>
        <w:spacing w:line="311" w:lineRule="exact"/>
        <w:ind w:left="558" w:right="0"/>
        <w:jc w:val="left"/>
        <w:rPr>
          <w:rFonts w:ascii="Arial Narrow" w:hAnsi="Arial Narrow" w:cs="Arial Narrow" w:eastAsia="Arial Narrow" w:hint="default"/>
        </w:rPr>
      </w:pPr>
      <w:r>
        <w:rPr/>
        <w:t>连云港市海州区文化体育局拨付的海洲区体育产业发展引导资金共计</w:t>
      </w:r>
      <w:r>
        <w:rPr>
          <w:spacing w:val="-60"/>
        </w:rPr>
        <w:t> </w:t>
      </w:r>
      <w:r>
        <w:rPr>
          <w:rFonts w:ascii="Arial Narrow" w:hAnsi="Arial Narrow" w:cs="Arial Narrow" w:eastAsia="Arial Narrow" w:hint="default"/>
        </w:rPr>
        <w:t>1,000,000.00</w:t>
      </w:r>
    </w:p>
    <w:p>
      <w:pPr>
        <w:pStyle w:val="Heading3"/>
        <w:spacing w:line="303" w:lineRule="exact"/>
        <w:ind w:left="558" w:right="0"/>
        <w:jc w:val="left"/>
      </w:pPr>
      <w:r>
        <w:rPr/>
        <w:t>元，该补助资金用于员工休闲活动中心建设，自该活动中心使用时开始摊销。</w:t>
      </w:r>
    </w:p>
    <w:p>
      <w:pPr>
        <w:pStyle w:val="Heading3"/>
        <w:spacing w:line="321" w:lineRule="exact" w:before="118"/>
        <w:ind w:right="0"/>
        <w:jc w:val="left"/>
      </w:pPr>
      <w:r>
        <w:rPr>
          <w:rFonts w:ascii="宋体" w:hAnsi="宋体" w:cs="宋体" w:eastAsia="宋体" w:hint="default"/>
        </w:rPr>
        <w:t>⑥</w:t>
      </w:r>
      <w:r>
        <w:rPr>
          <w:rFonts w:ascii="宋体" w:hAnsi="宋体" w:cs="宋体" w:eastAsia="宋体" w:hint="default"/>
          <w:spacing w:val="57"/>
        </w:rPr>
        <w:t> </w:t>
      </w:r>
      <w:r>
        <w:rPr/>
        <w:t>国家技术中心创新能力建设项目补助系本公司于</w:t>
      </w:r>
      <w:r>
        <w:rPr>
          <w:spacing w:val="-65"/>
        </w:rPr>
        <w:t> </w:t>
      </w:r>
      <w:r>
        <w:rPr>
          <w:rFonts w:ascii="Arial Narrow" w:hAnsi="Arial Narrow" w:cs="Arial Narrow" w:eastAsia="Arial Narrow" w:hint="default"/>
        </w:rPr>
        <w:t>2015 </w:t>
      </w:r>
      <w:r>
        <w:rPr/>
        <w:t>年</w:t>
      </w:r>
      <w:r>
        <w:rPr>
          <w:spacing w:val="-66"/>
        </w:rPr>
        <w:t> </w:t>
      </w:r>
      <w:r>
        <w:rPr>
          <w:rFonts w:ascii="Arial Narrow" w:hAnsi="Arial Narrow" w:cs="Arial Narrow" w:eastAsia="Arial Narrow" w:hint="default"/>
        </w:rPr>
        <w:t>12 </w:t>
      </w:r>
      <w:r>
        <w:rPr/>
        <w:t>月</w:t>
      </w:r>
      <w:r>
        <w:rPr>
          <w:spacing w:val="-66"/>
        </w:rPr>
        <w:t> </w:t>
      </w:r>
      <w:r>
        <w:rPr>
          <w:rFonts w:ascii="Arial Narrow" w:hAnsi="Arial Narrow" w:cs="Arial Narrow" w:eastAsia="Arial Narrow" w:hint="default"/>
        </w:rPr>
        <w:t>30</w:t>
      </w:r>
      <w:r>
        <w:rPr>
          <w:rFonts w:ascii="Arial Narrow" w:hAnsi="Arial Narrow" w:cs="Arial Narrow" w:eastAsia="Arial Narrow" w:hint="default"/>
          <w:spacing w:val="1"/>
        </w:rPr>
        <w:t> </w:t>
      </w:r>
      <w:r>
        <w:rPr/>
        <w:t>日取得的连云港</w:t>
      </w:r>
    </w:p>
    <w:p>
      <w:pPr>
        <w:pStyle w:val="Heading3"/>
        <w:spacing w:line="311" w:lineRule="exact"/>
        <w:ind w:left="558" w:right="0"/>
        <w:jc w:val="left"/>
      </w:pPr>
      <w:r>
        <w:rPr/>
        <w:t>市财政局拨付的国家技术中心创新能力建设项目补助共计</w:t>
      </w:r>
      <w:r>
        <w:rPr>
          <w:spacing w:val="-60"/>
        </w:rPr>
        <w:t> </w:t>
      </w:r>
      <w:r>
        <w:rPr>
          <w:rFonts w:ascii="Arial Narrow" w:hAnsi="Arial Narrow" w:cs="Arial Narrow" w:eastAsia="Arial Narrow" w:hint="default"/>
        </w:rPr>
        <w:t>6,000,000.00</w:t>
      </w:r>
      <w:r>
        <w:rPr>
          <w:rFonts w:ascii="Arial Narrow" w:hAnsi="Arial Narrow" w:cs="Arial Narrow" w:eastAsia="Arial Narrow" w:hint="default"/>
          <w:spacing w:val="7"/>
        </w:rPr>
        <w:t> </w:t>
      </w:r>
      <w:r>
        <w:rPr>
          <w:spacing w:val="-12"/>
        </w:rPr>
        <w:t>元，该补助</w:t>
      </w:r>
    </w:p>
    <w:p>
      <w:pPr>
        <w:pStyle w:val="Heading3"/>
        <w:spacing w:line="311" w:lineRule="exact"/>
        <w:ind w:left="558" w:right="0"/>
        <w:jc w:val="left"/>
      </w:pPr>
      <w:r>
        <w:rPr>
          <w:spacing w:val="-7"/>
        </w:rPr>
        <w:t>资金用于研发设施、工程软件等项目建设，研发大楼已于</w:t>
      </w:r>
      <w:r>
        <w:rPr>
          <w:spacing w:val="-58"/>
        </w:rPr>
        <w:t> </w:t>
      </w:r>
      <w:r>
        <w:rPr>
          <w:rFonts w:ascii="Arial Narrow" w:hAnsi="Arial Narrow" w:cs="Arial Narrow" w:eastAsia="Arial Narrow" w:hint="default"/>
        </w:rPr>
        <w:t>2017</w:t>
      </w:r>
      <w:r>
        <w:rPr>
          <w:rFonts w:ascii="Arial Narrow" w:hAnsi="Arial Narrow" w:cs="Arial Narrow" w:eastAsia="Arial Narrow" w:hint="default"/>
          <w:spacing w:val="8"/>
        </w:rPr>
        <w:t> </w:t>
      </w:r>
      <w:r>
        <w:rPr/>
        <w:t>年</w:t>
      </w:r>
      <w:r>
        <w:rPr>
          <w:spacing w:val="-58"/>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月竣工验收，</w:t>
      </w:r>
    </w:p>
    <w:p>
      <w:pPr>
        <w:pStyle w:val="Heading3"/>
        <w:spacing w:line="321" w:lineRule="exact"/>
        <w:ind w:left="558" w:right="0"/>
        <w:jc w:val="left"/>
      </w:pPr>
      <w:r>
        <w:rPr/>
        <w:t>自</w:t>
      </w:r>
      <w:r>
        <w:rPr>
          <w:spacing w:val="-62"/>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月开始摊销。</w:t>
      </w:r>
    </w:p>
    <w:p>
      <w:pPr>
        <w:spacing w:line="240" w:lineRule="auto" w:before="12"/>
        <w:rPr>
          <w:rFonts w:ascii="宋体" w:hAnsi="宋体" w:cs="宋体" w:eastAsia="宋体" w:hint="default"/>
          <w:sz w:val="16"/>
          <w:szCs w:val="16"/>
        </w:rPr>
      </w:pPr>
    </w:p>
    <w:p>
      <w:pPr>
        <w:pStyle w:val="Heading3"/>
        <w:spacing w:line="320" w:lineRule="exact"/>
        <w:ind w:right="0"/>
        <w:jc w:val="left"/>
      </w:pPr>
      <w:r>
        <w:rPr>
          <w:rFonts w:ascii="宋体" w:hAnsi="宋体" w:cs="宋体" w:eastAsia="宋体" w:hint="default"/>
        </w:rPr>
        <w:t>⑦</w:t>
      </w:r>
      <w:r>
        <w:rPr>
          <w:rFonts w:ascii="宋体" w:hAnsi="宋体" w:cs="宋体" w:eastAsia="宋体" w:hint="default"/>
          <w:spacing w:val="58"/>
        </w:rPr>
        <w:t> </w:t>
      </w:r>
      <w:r>
        <w:rPr/>
        <w:t>子公司洛阳四季沐歌于</w:t>
      </w:r>
      <w:r>
        <w:rPr>
          <w:spacing w:val="-68"/>
        </w:rPr>
        <w:t> </w:t>
      </w:r>
      <w:r>
        <w:rPr>
          <w:rFonts w:ascii="Arial Narrow" w:hAnsi="Arial Narrow" w:cs="Arial Narrow" w:eastAsia="Arial Narrow" w:hint="default"/>
        </w:rPr>
        <w:t>2016</w:t>
      </w:r>
      <w:r>
        <w:rPr>
          <w:rFonts w:ascii="Arial Narrow" w:hAnsi="Arial Narrow" w:cs="Arial Narrow" w:eastAsia="Arial Narrow" w:hint="default"/>
          <w:spacing w:val="-2"/>
        </w:rPr>
        <w:t> </w:t>
      </w:r>
      <w:r>
        <w:rPr/>
        <w:t>年</w:t>
      </w:r>
      <w:r>
        <w:rPr>
          <w:spacing w:val="-69"/>
        </w:rPr>
        <w:t> </w:t>
      </w:r>
      <w:r>
        <w:rPr>
          <w:rFonts w:ascii="Arial Narrow" w:hAnsi="Arial Narrow" w:cs="Arial Narrow" w:eastAsia="Arial Narrow" w:hint="default"/>
        </w:rPr>
        <w:t>1</w:t>
      </w:r>
      <w:r>
        <w:rPr>
          <w:rFonts w:ascii="Arial Narrow" w:hAnsi="Arial Narrow" w:cs="Arial Narrow" w:eastAsia="Arial Narrow" w:hint="default"/>
          <w:spacing w:val="-2"/>
        </w:rPr>
        <w:t> </w:t>
      </w:r>
      <w:r>
        <w:rPr/>
        <w:t>月</w:t>
      </w:r>
      <w:r>
        <w:rPr>
          <w:spacing w:val="-71"/>
        </w:rPr>
        <w:t> </w:t>
      </w:r>
      <w:r>
        <w:rPr>
          <w:rFonts w:ascii="Arial Narrow" w:hAnsi="Arial Narrow" w:cs="Arial Narrow" w:eastAsia="Arial Narrow" w:hint="default"/>
        </w:rPr>
        <w:t>6</w:t>
      </w:r>
      <w:r>
        <w:rPr>
          <w:rFonts w:ascii="Arial Narrow" w:hAnsi="Arial Narrow" w:cs="Arial Narrow" w:eastAsia="Arial Narrow" w:hint="default"/>
          <w:spacing w:val="-2"/>
        </w:rPr>
        <w:t> </w:t>
      </w:r>
      <w:r>
        <w:rPr/>
        <w:t>日取得的洛阳市洛龙区高新区管委会关于四</w:t>
      </w:r>
    </w:p>
    <w:p>
      <w:pPr>
        <w:pStyle w:val="Heading3"/>
        <w:spacing w:line="311" w:lineRule="exact"/>
        <w:ind w:left="558" w:right="0"/>
        <w:jc w:val="left"/>
      </w:pPr>
      <w:r>
        <w:rPr/>
        <w:t>季沐歌太阳能建筑一体化项目的资金补助</w:t>
      </w:r>
      <w:r>
        <w:rPr>
          <w:spacing w:val="-60"/>
        </w:rPr>
        <w:t> </w:t>
      </w:r>
      <w:r>
        <w:rPr>
          <w:rFonts w:ascii="Arial Narrow" w:hAnsi="Arial Narrow" w:cs="Arial Narrow" w:eastAsia="Arial Narrow" w:hint="default"/>
        </w:rPr>
        <w:t>1,460,000.00</w:t>
      </w:r>
      <w:r>
        <w:rPr>
          <w:rFonts w:ascii="Arial Narrow" w:hAnsi="Arial Narrow" w:cs="Arial Narrow" w:eastAsia="Arial Narrow" w:hint="default"/>
          <w:spacing w:val="6"/>
        </w:rPr>
        <w:t> </w:t>
      </w:r>
      <w:r>
        <w:rPr>
          <w:spacing w:val="-5"/>
        </w:rPr>
        <w:t>元。该补助与太阳能建筑一</w:t>
      </w:r>
    </w:p>
    <w:p>
      <w:pPr>
        <w:pStyle w:val="Heading3"/>
        <w:spacing w:line="312" w:lineRule="exact" w:before="21"/>
        <w:ind w:left="558" w:right="122"/>
        <w:jc w:val="left"/>
      </w:pPr>
      <w:r>
        <w:rPr/>
        <w:t>体化项目中的厂房竣工有关，自</w:t>
      </w:r>
      <w:r>
        <w:rPr>
          <w:spacing w:val="-46"/>
        </w:rPr>
        <w:t> </w:t>
      </w:r>
      <w:r>
        <w:rPr>
          <w:rFonts w:ascii="Arial Narrow" w:hAnsi="Arial Narrow" w:cs="Arial Narrow" w:eastAsia="Arial Narrow" w:hint="default"/>
        </w:rPr>
        <w:t>2016</w:t>
      </w:r>
      <w:r>
        <w:rPr>
          <w:rFonts w:ascii="Arial Narrow" w:hAnsi="Arial Narrow" w:cs="Arial Narrow" w:eastAsia="Arial Narrow" w:hint="default"/>
          <w:spacing w:val="19"/>
        </w:rPr>
        <w:t> </w:t>
      </w:r>
      <w:r>
        <w:rPr/>
        <w:t>年</w:t>
      </w:r>
      <w:r>
        <w:rPr>
          <w:spacing w:val="-49"/>
        </w:rPr>
        <w:t> </w:t>
      </w:r>
      <w:r>
        <w:rPr>
          <w:rFonts w:ascii="Arial Narrow" w:hAnsi="Arial Narrow" w:cs="Arial Narrow" w:eastAsia="Arial Narrow" w:hint="default"/>
        </w:rPr>
        <w:t>7</w:t>
      </w:r>
      <w:r>
        <w:rPr>
          <w:rFonts w:ascii="Arial Narrow" w:hAnsi="Arial Narrow" w:cs="Arial Narrow" w:eastAsia="Arial Narrow" w:hint="default"/>
          <w:spacing w:val="19"/>
        </w:rPr>
        <w:t> </w:t>
      </w:r>
      <w:r>
        <w:rPr/>
        <w:t>月厂房竣工起，按厂房使用年限</w:t>
      </w:r>
      <w:r>
        <w:rPr>
          <w:spacing w:val="-46"/>
        </w:rPr>
        <w:t> </w:t>
      </w:r>
      <w:r>
        <w:rPr>
          <w:rFonts w:ascii="Arial Narrow" w:hAnsi="Arial Narrow" w:cs="Arial Narrow" w:eastAsia="Arial Narrow" w:hint="default"/>
        </w:rPr>
        <w:t>20</w:t>
      </w:r>
      <w:r>
        <w:rPr>
          <w:rFonts w:ascii="Arial Narrow" w:hAnsi="Arial Narrow" w:cs="Arial Narrow" w:eastAsia="Arial Narrow" w:hint="default"/>
          <w:spacing w:val="19"/>
        </w:rPr>
        <w:t> </w:t>
      </w:r>
      <w:r>
        <w:rPr/>
        <w:t>年 平均摊销计入其他收益。</w:t>
      </w:r>
    </w:p>
    <w:p>
      <w:pPr>
        <w:pStyle w:val="Heading3"/>
        <w:spacing w:line="321" w:lineRule="exact" w:before="207"/>
        <w:ind w:right="0"/>
        <w:jc w:val="left"/>
      </w:pPr>
      <w:r>
        <w:rPr>
          <w:rFonts w:ascii="宋体" w:hAnsi="宋体" w:cs="宋体" w:eastAsia="宋体" w:hint="default"/>
        </w:rPr>
        <w:t>⑧</w:t>
      </w:r>
      <w:r>
        <w:rPr>
          <w:rFonts w:ascii="宋体" w:hAnsi="宋体" w:cs="宋体" w:eastAsia="宋体" w:hint="default"/>
          <w:spacing w:val="59"/>
        </w:rPr>
        <w:t> </w:t>
      </w:r>
      <w:r>
        <w:rPr/>
        <w:t>新兴产业发展专项资金系本公司于</w:t>
      </w:r>
      <w:r>
        <w:rPr>
          <w:spacing w:val="-62"/>
        </w:rPr>
        <w:t> </w:t>
      </w:r>
      <w:r>
        <w:rPr>
          <w:rFonts w:ascii="Arial Narrow" w:hAnsi="Arial Narrow" w:cs="Arial Narrow" w:eastAsia="Arial Narrow" w:hint="default"/>
        </w:rPr>
        <w:t>2016</w:t>
      </w:r>
      <w:r>
        <w:rPr>
          <w:rFonts w:ascii="Arial Narrow" w:hAnsi="Arial Narrow" w:cs="Arial Narrow" w:eastAsia="Arial Narrow" w:hint="default"/>
          <w:spacing w:val="4"/>
        </w:rPr>
        <w:t> </w:t>
      </w:r>
      <w:r>
        <w:rPr/>
        <w:t>年</w:t>
      </w:r>
      <w:r>
        <w:rPr>
          <w:spacing w:val="-63"/>
        </w:rPr>
        <w:t> </w:t>
      </w:r>
      <w:r>
        <w:rPr>
          <w:rFonts w:ascii="Arial Narrow" w:hAnsi="Arial Narrow" w:cs="Arial Narrow" w:eastAsia="Arial Narrow" w:hint="default"/>
          <w:spacing w:val="-7"/>
        </w:rPr>
        <w:t>11</w:t>
      </w:r>
      <w:r>
        <w:rPr>
          <w:rFonts w:ascii="Arial Narrow" w:hAnsi="Arial Narrow" w:cs="Arial Narrow" w:eastAsia="Arial Narrow" w:hint="default"/>
          <w:spacing w:val="1"/>
        </w:rPr>
        <w:t> </w:t>
      </w:r>
      <w:r>
        <w:rPr/>
        <w:t>月</w:t>
      </w:r>
      <w:r>
        <w:rPr>
          <w:spacing w:val="-63"/>
        </w:rPr>
        <w:t> </w:t>
      </w:r>
      <w:r>
        <w:rPr>
          <w:rFonts w:ascii="Arial Narrow" w:hAnsi="Arial Narrow" w:cs="Arial Narrow" w:eastAsia="Arial Narrow" w:hint="default"/>
        </w:rPr>
        <w:t>25</w:t>
      </w:r>
      <w:r>
        <w:rPr>
          <w:rFonts w:ascii="Arial Narrow" w:hAnsi="Arial Narrow" w:cs="Arial Narrow" w:eastAsia="Arial Narrow" w:hint="default"/>
          <w:spacing w:val="3"/>
        </w:rPr>
        <w:t> </w:t>
      </w:r>
      <w:r>
        <w:rPr/>
        <w:t>日取得连云港市财政局拨付的</w:t>
      </w:r>
    </w:p>
    <w:p>
      <w:pPr>
        <w:pStyle w:val="Heading3"/>
        <w:spacing w:line="312" w:lineRule="exact"/>
        <w:ind w:left="558" w:right="0"/>
        <w:jc w:val="left"/>
      </w:pPr>
      <w:r>
        <w:rPr>
          <w:rFonts w:ascii="Arial Narrow" w:hAnsi="Arial Narrow" w:cs="Arial Narrow" w:eastAsia="Arial Narrow" w:hint="default"/>
        </w:rPr>
        <w:t>2016</w:t>
      </w:r>
      <w:r>
        <w:rPr>
          <w:rFonts w:ascii="Arial Narrow" w:hAnsi="Arial Narrow" w:cs="Arial Narrow" w:eastAsia="Arial Narrow" w:hint="default"/>
          <w:spacing w:val="5"/>
        </w:rPr>
        <w:t> </w:t>
      </w:r>
      <w:r>
        <w:rPr/>
        <w:t>年度省级战略性新兴产业发展专项资金共计</w:t>
      </w:r>
      <w:r>
        <w:rPr>
          <w:spacing w:val="-60"/>
        </w:rPr>
        <w:t> </w:t>
      </w:r>
      <w:r>
        <w:rPr>
          <w:rFonts w:ascii="Arial Narrow" w:hAnsi="Arial Narrow" w:cs="Arial Narrow" w:eastAsia="Arial Narrow" w:hint="default"/>
        </w:rPr>
        <w:t>7,000,000.00</w:t>
      </w:r>
      <w:r>
        <w:rPr>
          <w:rFonts w:ascii="Arial Narrow" w:hAnsi="Arial Narrow" w:cs="Arial Narrow" w:eastAsia="Arial Narrow" w:hint="default"/>
          <w:spacing w:val="6"/>
        </w:rPr>
        <w:t> </w:t>
      </w:r>
      <w:r>
        <w:rPr>
          <w:spacing w:val="-9"/>
        </w:rPr>
        <w:t>元，该补助资金用于</w:t>
      </w:r>
    </w:p>
    <w:p>
      <w:pPr>
        <w:pStyle w:val="Heading3"/>
        <w:spacing w:line="310" w:lineRule="exact" w:before="23"/>
        <w:ind w:left="558" w:right="123"/>
        <w:jc w:val="left"/>
      </w:pPr>
      <w:r>
        <w:rPr/>
        <w:t>高效反映渗透净水机项目，截止</w:t>
      </w:r>
      <w:r>
        <w:rPr>
          <w:spacing w:val="-65"/>
        </w:rPr>
        <w:t> </w:t>
      </w:r>
      <w:r>
        <w:rPr>
          <w:rFonts w:ascii="Arial Narrow" w:hAnsi="Arial Narrow" w:cs="Arial Narrow" w:eastAsia="Arial Narrow" w:hint="default"/>
        </w:rPr>
        <w:t>2017</w:t>
      </w:r>
      <w:r>
        <w:rPr>
          <w:rFonts w:ascii="Arial Narrow" w:hAnsi="Arial Narrow" w:cs="Arial Narrow" w:eastAsia="Arial Narrow" w:hint="default"/>
          <w:spacing w:val="1"/>
        </w:rPr>
        <w:t> </w:t>
      </w:r>
      <w:r>
        <w:rPr/>
        <w:t>年</w:t>
      </w:r>
      <w:r>
        <w:rPr>
          <w:spacing w:val="-65"/>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68"/>
        </w:rPr>
        <w:t> </w:t>
      </w:r>
      <w:r>
        <w:rPr>
          <w:rFonts w:ascii="Arial Narrow" w:hAnsi="Arial Narrow" w:cs="Arial Narrow" w:eastAsia="Arial Narrow" w:hint="default"/>
        </w:rPr>
        <w:t>31</w:t>
      </w:r>
      <w:r>
        <w:rPr>
          <w:rFonts w:ascii="Arial Narrow" w:hAnsi="Arial Narrow" w:cs="Arial Narrow" w:eastAsia="Arial Narrow" w:hint="default"/>
          <w:spacing w:val="1"/>
        </w:rPr>
        <w:t> </w:t>
      </w:r>
      <w:r>
        <w:rPr/>
        <w:t>日，该项目正在进行中，尚未通 过验收。</w:t>
      </w:r>
    </w:p>
    <w:p>
      <w:pPr>
        <w:spacing w:line="240" w:lineRule="auto" w:before="5"/>
        <w:rPr>
          <w:rFonts w:ascii="宋体" w:hAnsi="宋体" w:cs="宋体" w:eastAsia="宋体" w:hint="default"/>
          <w:sz w:val="18"/>
          <w:szCs w:val="18"/>
        </w:rPr>
      </w:pPr>
    </w:p>
    <w:p>
      <w:pPr>
        <w:pStyle w:val="Heading3"/>
        <w:spacing w:line="312" w:lineRule="exact"/>
        <w:ind w:left="558" w:right="121" w:hanging="420"/>
        <w:jc w:val="left"/>
      </w:pPr>
      <w:r>
        <w:rPr>
          <w:rFonts w:ascii="宋体" w:hAnsi="宋体" w:cs="宋体" w:eastAsia="宋体" w:hint="default"/>
        </w:rPr>
        <w:t>⑨ </w:t>
      </w:r>
      <w:r>
        <w:rPr/>
        <w:t>宁波市 </w:t>
      </w:r>
      <w:r>
        <w:rPr>
          <w:rFonts w:ascii="Arial Narrow" w:hAnsi="Arial Narrow" w:cs="Arial Narrow" w:eastAsia="Arial Narrow" w:hint="default"/>
        </w:rPr>
        <w:t>2016</w:t>
      </w:r>
      <w:r>
        <w:rPr>
          <w:rFonts w:ascii="Arial Narrow" w:hAnsi="Arial Narrow" w:cs="Arial Narrow" w:eastAsia="Arial Narrow" w:hint="default"/>
          <w:spacing w:val="24"/>
        </w:rPr>
        <w:t> </w:t>
      </w:r>
      <w:r>
        <w:rPr>
          <w:spacing w:val="-3"/>
        </w:rPr>
        <w:t>年度工业和信息化发展专项资金（技术进步专项）系子公司帅康电气</w:t>
      </w:r>
      <w:r>
        <w:rPr/>
        <w:t> 于</w:t>
      </w:r>
      <w:r>
        <w:rPr>
          <w:spacing w:val="-65"/>
        </w:rPr>
        <w:t> </w:t>
      </w:r>
      <w:r>
        <w:rPr>
          <w:rFonts w:ascii="Arial Narrow" w:hAnsi="Arial Narrow" w:cs="Arial Narrow" w:eastAsia="Arial Narrow" w:hint="default"/>
          <w:spacing w:val="-1"/>
        </w:rPr>
        <w:t>2016</w:t>
      </w:r>
      <w:r>
        <w:rPr>
          <w:rFonts w:ascii="Arial Narrow" w:hAnsi="Arial Narrow" w:cs="Arial Narrow" w:eastAsia="Arial Narrow" w:hint="default"/>
          <w:spacing w:val="2"/>
        </w:rPr>
        <w:t> </w:t>
      </w:r>
      <w:r>
        <w:rPr/>
        <w:t>年</w:t>
      </w:r>
      <w:r>
        <w:rPr>
          <w:spacing w:val="-65"/>
        </w:rPr>
        <w:t> </w:t>
      </w:r>
      <w:r>
        <w:rPr>
          <w:rFonts w:ascii="Arial Narrow" w:hAnsi="Arial Narrow" w:cs="Arial Narrow" w:eastAsia="Arial Narrow" w:hint="default"/>
        </w:rPr>
        <w:t>8</w:t>
      </w:r>
      <w:r>
        <w:rPr>
          <w:rFonts w:ascii="Arial Narrow" w:hAnsi="Arial Narrow" w:cs="Arial Narrow" w:eastAsia="Arial Narrow" w:hint="default"/>
          <w:spacing w:val="2"/>
        </w:rPr>
        <w:t> </w:t>
      </w:r>
      <w:r>
        <w:rPr/>
        <w:t>月</w:t>
      </w:r>
      <w:r>
        <w:rPr>
          <w:spacing w:val="-65"/>
        </w:rPr>
        <w:t> </w:t>
      </w:r>
      <w:r>
        <w:rPr>
          <w:rFonts w:ascii="Arial Narrow" w:hAnsi="Arial Narrow" w:cs="Arial Narrow" w:eastAsia="Arial Narrow" w:hint="default"/>
          <w:spacing w:val="-1"/>
        </w:rPr>
        <w:t>29</w:t>
      </w:r>
      <w:r>
        <w:rPr>
          <w:rFonts w:ascii="Arial Narrow" w:hAnsi="Arial Narrow" w:cs="Arial Narrow" w:eastAsia="Arial Narrow" w:hint="default"/>
          <w:spacing w:val="2"/>
        </w:rPr>
        <w:t> </w:t>
      </w:r>
      <w:r>
        <w:rPr>
          <w:spacing w:val="-12"/>
        </w:rPr>
        <w:t>日取得的对于“</w:t>
      </w:r>
      <w:r>
        <w:rPr>
          <w:rFonts w:ascii="Arial Narrow" w:hAnsi="Arial Narrow" w:cs="Arial Narrow" w:eastAsia="Arial Narrow" w:hint="default"/>
          <w:spacing w:val="-12"/>
        </w:rPr>
        <w:t>2014</w:t>
      </w:r>
      <w:r>
        <w:rPr>
          <w:rFonts w:ascii="Arial Narrow" w:hAnsi="Arial Narrow" w:cs="Arial Narrow" w:eastAsia="Arial Narrow" w:hint="default"/>
          <w:spacing w:val="2"/>
        </w:rPr>
        <w:t> </w:t>
      </w:r>
      <w:r>
        <w:rPr>
          <w:spacing w:val="-1"/>
        </w:rPr>
        <w:t>年度宁波市智能制造及强基工程专项项目”</w:t>
      </w:r>
    </w:p>
    <w:p>
      <w:pPr>
        <w:spacing w:after="0" w:line="312" w:lineRule="exact"/>
        <w:jc w:val="left"/>
        <w:sectPr>
          <w:headerReference w:type="default" r:id="rId74"/>
          <w:footerReference w:type="default" r:id="rId75"/>
          <w:pgSz w:w="11910" w:h="16840"/>
          <w:pgMar w:header="882" w:footer="1195" w:top="1080" w:bottom="1380" w:left="1660" w:right="1140"/>
          <w:pgNumType w:start="144"/>
        </w:sectPr>
      </w:pPr>
    </w:p>
    <w:p>
      <w:pPr>
        <w:spacing w:line="240" w:lineRule="auto" w:before="5"/>
        <w:rPr>
          <w:rFonts w:ascii="宋体" w:hAnsi="宋体" w:cs="宋体" w:eastAsia="宋体" w:hint="default"/>
          <w:sz w:val="25"/>
          <w:szCs w:val="25"/>
        </w:rPr>
      </w:pPr>
    </w:p>
    <w:p>
      <w:pPr>
        <w:pStyle w:val="Heading3"/>
        <w:spacing w:line="321" w:lineRule="exact" w:before="26"/>
        <w:ind w:left="578" w:right="0"/>
        <w:jc w:val="left"/>
      </w:pPr>
      <w:r>
        <w:rPr/>
        <w:t>的生产型设备、测试设备和技术的实际投入额的补助共计</w:t>
      </w:r>
      <w:r>
        <w:rPr>
          <w:spacing w:val="-77"/>
        </w:rPr>
        <w:t> </w:t>
      </w:r>
      <w:r>
        <w:rPr>
          <w:rFonts w:ascii="Arial Narrow" w:hAnsi="Arial Narrow" w:cs="Arial Narrow" w:eastAsia="Arial Narrow" w:hint="default"/>
        </w:rPr>
        <w:t>5,399,000.00</w:t>
      </w:r>
      <w:r>
        <w:rPr>
          <w:rFonts w:ascii="Arial Narrow" w:hAnsi="Arial Narrow" w:cs="Arial Narrow" w:eastAsia="Arial Narrow" w:hint="default"/>
          <w:spacing w:val="-9"/>
        </w:rPr>
        <w:t> </w:t>
      </w:r>
      <w:r>
        <w:rPr>
          <w:spacing w:val="-6"/>
        </w:rPr>
        <w:t>元。该补助</w:t>
      </w:r>
    </w:p>
    <w:p>
      <w:pPr>
        <w:pStyle w:val="Heading3"/>
        <w:spacing w:line="312" w:lineRule="exact" w:before="21"/>
        <w:ind w:left="578" w:right="120"/>
        <w:jc w:val="left"/>
      </w:pPr>
      <w:r>
        <w:rPr/>
        <w:t>与生产型设备、测试设备有关，按生产设备使用年限 </w:t>
      </w:r>
      <w:r>
        <w:rPr>
          <w:rFonts w:ascii="Arial Narrow" w:hAnsi="Arial Narrow" w:cs="Arial Narrow" w:eastAsia="Arial Narrow" w:hint="default"/>
        </w:rPr>
        <w:t>120</w:t>
      </w:r>
      <w:r>
        <w:rPr>
          <w:rFonts w:ascii="Arial Narrow" w:hAnsi="Arial Narrow" w:cs="Arial Narrow" w:eastAsia="Arial Narrow" w:hint="default"/>
          <w:spacing w:val="-15"/>
        </w:rPr>
        <w:t> </w:t>
      </w:r>
      <w:r>
        <w:rPr/>
        <w:t>个月平均摊销计入其他 收益。</w:t>
      </w:r>
    </w:p>
    <w:p>
      <w:pPr>
        <w:pStyle w:val="Heading3"/>
        <w:spacing w:line="240" w:lineRule="auto" w:before="207"/>
        <w:ind w:left="155" w:right="0"/>
        <w:jc w:val="left"/>
      </w:pPr>
      <w:r>
        <w:rPr/>
        <w:t>（</w:t>
      </w:r>
      <w:r>
        <w:rPr>
          <w:rFonts w:ascii="Arial Narrow" w:hAnsi="Arial Narrow" w:cs="Arial Narrow" w:eastAsia="Arial Narrow" w:hint="default"/>
        </w:rPr>
        <w:t>2</w:t>
      </w:r>
      <w:r>
        <w:rPr/>
        <w:t>）采用总额法计入当期损益的政府补助情况</w:t>
      </w:r>
    </w:p>
    <w:p>
      <w:pPr>
        <w:spacing w:line="240" w:lineRule="auto" w:before="2"/>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825"/>
        <w:gridCol w:w="1126"/>
        <w:gridCol w:w="1530"/>
        <w:gridCol w:w="1378"/>
        <w:gridCol w:w="1568"/>
        <w:gridCol w:w="1483"/>
      </w:tblGrid>
      <w:tr>
        <w:trPr>
          <w:trHeight w:val="634" w:hRule="exact"/>
        </w:trPr>
        <w:tc>
          <w:tcPr>
            <w:tcW w:w="182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5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补助项目</w:t>
            </w:r>
            <w:r>
              <w:rPr>
                <w:rFonts w:ascii="Microsoft JhengHei" w:hAnsi="Microsoft JhengHei" w:cs="Microsoft JhengHei" w:eastAsia="Microsoft JhengHei" w:hint="default"/>
                <w:sz w:val="24"/>
                <w:szCs w:val="24"/>
              </w:rPr>
            </w:r>
          </w:p>
        </w:tc>
        <w:tc>
          <w:tcPr>
            <w:tcW w:w="112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83"/>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种类</w:t>
            </w:r>
            <w:r>
              <w:rPr>
                <w:rFonts w:ascii="Microsoft JhengHei" w:hAnsi="Microsoft JhengHei" w:cs="Microsoft JhengHei" w:eastAsia="Microsoft JhengHei" w:hint="default"/>
                <w:sz w:val="24"/>
                <w:szCs w:val="24"/>
              </w:rPr>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8" w:lineRule="exact"/>
              <w:ind w:left="46"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上期计入损</w:t>
            </w:r>
            <w:r>
              <w:rPr>
                <w:rFonts w:ascii="Microsoft JhengHei" w:hAnsi="Microsoft JhengHei" w:cs="Microsoft JhengHei" w:eastAsia="Microsoft JhengHei" w:hint="default"/>
                <w:sz w:val="24"/>
                <w:szCs w:val="24"/>
              </w:rPr>
            </w:r>
          </w:p>
          <w:p>
            <w:pPr>
              <w:pStyle w:val="TableParagraph"/>
              <w:spacing w:line="365" w:lineRule="exact"/>
              <w:ind w:left="46"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益的金额</w:t>
            </w:r>
            <w:r>
              <w:rPr>
                <w:rFonts w:ascii="Microsoft JhengHei" w:hAnsi="Microsoft JhengHei" w:cs="Microsoft JhengHei" w:eastAsia="Microsoft JhengHei" w:hint="default"/>
                <w:sz w:val="24"/>
                <w:szCs w:val="24"/>
              </w:rPr>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8" w:lineRule="exact"/>
              <w:ind w:right="4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本期计入损</w:t>
            </w:r>
            <w:r>
              <w:rPr>
                <w:rFonts w:ascii="Microsoft JhengHei" w:hAnsi="Microsoft JhengHei" w:cs="Microsoft JhengHei" w:eastAsia="Microsoft JhengHei" w:hint="default"/>
                <w:sz w:val="24"/>
                <w:szCs w:val="24"/>
              </w:rPr>
            </w:r>
          </w:p>
          <w:p>
            <w:pPr>
              <w:pStyle w:val="TableParagraph"/>
              <w:spacing w:line="365" w:lineRule="exact"/>
              <w:ind w:right="4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益的金额</w:t>
            </w:r>
            <w:r>
              <w:rPr>
                <w:rFonts w:ascii="Microsoft JhengHei" w:hAnsi="Microsoft JhengHei" w:cs="Microsoft JhengHei" w:eastAsia="Microsoft JhengHei" w:hint="default"/>
                <w:sz w:val="24"/>
                <w:szCs w:val="24"/>
              </w:rPr>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8" w:lineRule="exact"/>
              <w:ind w:right="5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本期计入损益</w:t>
            </w:r>
            <w:r>
              <w:rPr>
                <w:rFonts w:ascii="Microsoft JhengHei" w:hAnsi="Microsoft JhengHei" w:cs="Microsoft JhengHei" w:eastAsia="Microsoft JhengHei" w:hint="default"/>
                <w:sz w:val="24"/>
                <w:szCs w:val="24"/>
              </w:rPr>
            </w:r>
          </w:p>
          <w:p>
            <w:pPr>
              <w:pStyle w:val="TableParagraph"/>
              <w:spacing w:line="365" w:lineRule="exact"/>
              <w:ind w:right="5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的列报项目</w:t>
            </w:r>
            <w:r>
              <w:rPr>
                <w:rFonts w:ascii="Microsoft JhengHei" w:hAnsi="Microsoft JhengHei" w:cs="Microsoft JhengHei" w:eastAsia="Microsoft JhengHei" w:hint="default"/>
                <w:sz w:val="24"/>
                <w:szCs w:val="24"/>
              </w:rPr>
            </w: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8" w:lineRule="exact"/>
              <w:ind w:left="116" w:right="0" w:hanging="29"/>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与资产相关</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pStyle w:val="TableParagraph"/>
              <w:spacing w:line="365" w:lineRule="exact"/>
              <w:ind w:left="11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与收益相关</w:t>
            </w:r>
            <w:r>
              <w:rPr>
                <w:rFonts w:ascii="Microsoft JhengHei" w:hAnsi="Microsoft JhengHei" w:cs="Microsoft JhengHei" w:eastAsia="Microsoft JhengHei" w:hint="default"/>
                <w:sz w:val="24"/>
                <w:szCs w:val="24"/>
              </w:rPr>
            </w:r>
          </w:p>
        </w:tc>
      </w:tr>
      <w:tr>
        <w:trPr>
          <w:trHeight w:val="548" w:hRule="exact"/>
        </w:trPr>
        <w:tc>
          <w:tcPr>
            <w:tcW w:w="1825" w:type="dxa"/>
            <w:tcBorders>
              <w:top w:val="single" w:sz="4" w:space="0" w:color="000000"/>
              <w:left w:val="nil" w:sz="6" w:space="0" w:color="auto"/>
              <w:bottom w:val="nil" w:sz="6" w:space="0" w:color="auto"/>
              <w:right w:val="nil" w:sz="6" w:space="0" w:color="auto"/>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z w:val="21"/>
                <w:szCs w:val="21"/>
              </w:rPr>
              <w:t>太阳能建设项目</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电费补助</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33"/>
              <w:jc w:val="right"/>
              <w:rPr>
                <w:rFonts w:ascii="Arial Narrow" w:hAnsi="Arial Narrow" w:cs="Arial Narrow" w:eastAsia="Arial Narrow" w:hint="default"/>
                <w:sz w:val="20"/>
                <w:szCs w:val="20"/>
              </w:rPr>
            </w:pPr>
            <w:r>
              <w:rPr>
                <w:rFonts w:ascii="Arial Narrow"/>
                <w:w w:val="95"/>
                <w:sz w:val="20"/>
              </w:rPr>
              <w:t>5,210,500.00</w:t>
            </w:r>
            <w:r>
              <w:rPr>
                <w:rFonts w:ascii="Arial Narrow"/>
                <w:sz w:val="20"/>
              </w:rPr>
            </w: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3"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宋体" w:hAnsi="宋体" w:cs="宋体" w:eastAsia="宋体" w:hint="default"/>
                <w:sz w:val="21"/>
                <w:szCs w:val="21"/>
              </w:rPr>
            </w:pPr>
            <w:r>
              <w:rPr>
                <w:rFonts w:ascii="宋体" w:hAnsi="宋体" w:cs="宋体" w:eastAsia="宋体" w:hint="default"/>
                <w:sz w:val="21"/>
                <w:szCs w:val="21"/>
              </w:rPr>
              <w:t>科技发展金扶持</w:t>
            </w:r>
          </w:p>
        </w:tc>
        <w:tc>
          <w:tcPr>
            <w:tcW w:w="1126" w:type="dxa"/>
            <w:tcBorders>
              <w:top w:val="nil" w:sz="6" w:space="0" w:color="auto"/>
              <w:left w:val="nil" w:sz="6" w:space="0" w:color="auto"/>
              <w:bottom w:val="nil" w:sz="6" w:space="0" w:color="auto"/>
              <w:right w:val="nil" w:sz="6" w:space="0" w:color="auto"/>
            </w:tcBorders>
          </w:tcPr>
          <w:p>
            <w:pPr>
              <w:pStyle w:val="TableParagraph"/>
              <w:spacing w:line="242" w:lineRule="exact"/>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
              <w:jc w:val="right"/>
              <w:rPr>
                <w:rFonts w:ascii="Arial Narrow" w:hAnsi="Arial Narrow" w:cs="Arial Narrow" w:eastAsia="Arial Narrow" w:hint="default"/>
                <w:sz w:val="20"/>
                <w:szCs w:val="20"/>
              </w:rPr>
            </w:pPr>
            <w:r>
              <w:rPr>
                <w:rFonts w:ascii="Arial Narrow"/>
                <w:w w:val="95"/>
                <w:sz w:val="20"/>
              </w:rPr>
              <w:t>3,026,000.00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Narrow" w:hAnsi="Arial Narrow" w:cs="Arial Narrow" w:eastAsia="Arial Narrow" w:hint="default"/>
                <w:sz w:val="20"/>
                <w:szCs w:val="20"/>
              </w:rPr>
            </w:pPr>
            <w:r>
              <w:rPr>
                <w:rFonts w:ascii="Arial Narrow"/>
                <w:w w:val="95"/>
                <w:sz w:val="20"/>
              </w:rPr>
              <w:t>2,337,000.00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2" w:lineRule="exact"/>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2" w:lineRule="exact"/>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3"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新民社区扶持金</w:t>
            </w:r>
          </w:p>
        </w:tc>
        <w:tc>
          <w:tcPr>
            <w:tcW w:w="1126" w:type="dxa"/>
            <w:tcBorders>
              <w:top w:val="nil" w:sz="6" w:space="0" w:color="auto"/>
              <w:left w:val="nil" w:sz="6" w:space="0" w:color="auto"/>
              <w:bottom w:val="nil" w:sz="6" w:space="0" w:color="auto"/>
              <w:right w:val="nil" w:sz="6" w:space="0" w:color="auto"/>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Narrow" w:hAnsi="Arial Narrow" w:cs="Arial Narrow" w:eastAsia="Arial Narrow" w:hint="default"/>
                <w:sz w:val="20"/>
                <w:szCs w:val="20"/>
              </w:rPr>
            </w:pPr>
            <w:r>
              <w:rPr>
                <w:rFonts w:ascii="Arial Narrow"/>
                <w:w w:val="95"/>
                <w:sz w:val="20"/>
              </w:rPr>
              <w:t>2,320,000.00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17"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8" w:lineRule="exact"/>
              <w:ind w:left="45" w:right="0"/>
              <w:jc w:val="left"/>
              <w:rPr>
                <w:rFonts w:ascii="宋体" w:hAnsi="宋体" w:cs="宋体" w:eastAsia="宋体" w:hint="default"/>
                <w:sz w:val="21"/>
                <w:szCs w:val="21"/>
              </w:rPr>
            </w:pPr>
            <w:r>
              <w:rPr>
                <w:rFonts w:ascii="Arial Narrow" w:hAnsi="Arial Narrow" w:cs="Arial Narrow" w:eastAsia="Arial Narrow" w:hint="default"/>
                <w:sz w:val="21"/>
                <w:szCs w:val="21"/>
              </w:rPr>
              <w:t>2017</w:t>
            </w:r>
            <w:r>
              <w:rPr>
                <w:rFonts w:ascii="Arial Narrow" w:hAnsi="Arial Narrow" w:cs="Arial Narrow" w:eastAsia="Arial Narrow" w:hint="default"/>
                <w:spacing w:val="3"/>
                <w:sz w:val="21"/>
                <w:szCs w:val="21"/>
              </w:rPr>
              <w:t> </w:t>
            </w:r>
            <w:r>
              <w:rPr>
                <w:rFonts w:ascii="宋体" w:hAnsi="宋体" w:cs="宋体" w:eastAsia="宋体" w:hint="default"/>
                <w:sz w:val="21"/>
                <w:szCs w:val="21"/>
              </w:rPr>
              <w:t>年省级工业</w:t>
            </w:r>
          </w:p>
          <w:p>
            <w:pPr>
              <w:pStyle w:val="TableParagraph"/>
              <w:spacing w:line="274" w:lineRule="exact" w:before="17"/>
              <w:ind w:left="45" w:right="303"/>
              <w:jc w:val="left"/>
              <w:rPr>
                <w:rFonts w:ascii="宋体" w:hAnsi="宋体" w:cs="宋体" w:eastAsia="宋体" w:hint="default"/>
                <w:sz w:val="21"/>
                <w:szCs w:val="21"/>
              </w:rPr>
            </w:pPr>
            <w:r>
              <w:rPr>
                <w:rFonts w:ascii="宋体" w:hAnsi="宋体" w:cs="宋体" w:eastAsia="宋体" w:hint="default"/>
                <w:spacing w:val="-1"/>
                <w:sz w:val="21"/>
                <w:szCs w:val="21"/>
              </w:rPr>
              <w:t>和信息产业转型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升级专项资金</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3"/>
              <w:jc w:val="right"/>
              <w:rPr>
                <w:rFonts w:ascii="Arial Narrow" w:hAnsi="Arial Narrow" w:cs="Arial Narrow" w:eastAsia="Arial Narrow" w:hint="default"/>
                <w:sz w:val="21"/>
                <w:szCs w:val="21"/>
              </w:rPr>
            </w:pPr>
            <w:r>
              <w:rPr>
                <w:rFonts w:ascii="Arial Narrow"/>
                <w:spacing w:val="-1"/>
                <w:sz w:val="21"/>
              </w:rPr>
              <w:t>1,800,000.00</w:t>
            </w:r>
            <w:r>
              <w:rPr>
                <w:rFonts w:ascii="Arial Narrow"/>
                <w:sz w:val="21"/>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w w:val="95"/>
                <w:sz w:val="20"/>
              </w:rPr>
              <w:t>1,300,000.00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科技经费补助</w:t>
            </w:r>
          </w:p>
        </w:tc>
        <w:tc>
          <w:tcPr>
            <w:tcW w:w="1126" w:type="dxa"/>
            <w:tcBorders>
              <w:top w:val="nil" w:sz="6" w:space="0" w:color="auto"/>
              <w:left w:val="nil" w:sz="6" w:space="0" w:color="auto"/>
              <w:bottom w:val="nil" w:sz="6" w:space="0" w:color="auto"/>
              <w:right w:val="nil" w:sz="6" w:space="0" w:color="auto"/>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Narrow" w:hAnsi="Arial Narrow" w:cs="Arial Narrow" w:eastAsia="Arial Narrow" w:hint="default"/>
                <w:sz w:val="20"/>
                <w:szCs w:val="20"/>
              </w:rPr>
            </w:pPr>
            <w:r>
              <w:rPr>
                <w:rFonts w:ascii="Arial Narrow"/>
                <w:w w:val="95"/>
                <w:sz w:val="20"/>
              </w:rPr>
              <w:t>608,100.00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17"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8" w:lineRule="exact"/>
              <w:ind w:left="45" w:right="0"/>
              <w:jc w:val="left"/>
              <w:rPr>
                <w:rFonts w:ascii="宋体" w:hAnsi="宋体" w:cs="宋体" w:eastAsia="宋体" w:hint="default"/>
                <w:sz w:val="21"/>
                <w:szCs w:val="21"/>
              </w:rPr>
            </w:pPr>
            <w:r>
              <w:rPr>
                <w:rFonts w:ascii="Arial Narrow" w:hAnsi="Arial Narrow" w:cs="Arial Narrow" w:eastAsia="Arial Narrow" w:hint="default"/>
                <w:sz w:val="21"/>
                <w:szCs w:val="21"/>
              </w:rPr>
              <w:t>2016</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年工业和信</w:t>
            </w:r>
          </w:p>
          <w:p>
            <w:pPr>
              <w:pStyle w:val="TableParagraph"/>
              <w:spacing w:line="274" w:lineRule="exact" w:before="17"/>
              <w:ind w:left="45" w:right="303"/>
              <w:jc w:val="left"/>
              <w:rPr>
                <w:rFonts w:ascii="宋体" w:hAnsi="宋体" w:cs="宋体" w:eastAsia="宋体" w:hint="default"/>
                <w:sz w:val="21"/>
                <w:szCs w:val="21"/>
              </w:rPr>
            </w:pPr>
            <w:r>
              <w:rPr>
                <w:rFonts w:ascii="宋体" w:hAnsi="宋体" w:cs="宋体" w:eastAsia="宋体" w:hint="default"/>
                <w:spacing w:val="-1"/>
                <w:sz w:val="21"/>
                <w:szCs w:val="21"/>
              </w:rPr>
              <w:t>息产业发展专项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资金</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2"/>
              <w:jc w:val="right"/>
              <w:rPr>
                <w:rFonts w:ascii="Arial Narrow" w:hAnsi="Arial Narrow" w:cs="Arial Narrow" w:eastAsia="Arial Narrow" w:hint="default"/>
                <w:sz w:val="21"/>
                <w:szCs w:val="21"/>
              </w:rPr>
            </w:pPr>
            <w:r>
              <w:rPr>
                <w:rFonts w:ascii="Arial Narrow"/>
                <w:spacing w:val="-1"/>
                <w:sz w:val="21"/>
              </w:rPr>
              <w:t>200,000.00</w:t>
            </w:r>
            <w:r>
              <w:rPr>
                <w:rFonts w:ascii="Arial Narrow"/>
                <w:sz w:val="21"/>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w w:val="95"/>
                <w:sz w:val="20"/>
              </w:rPr>
              <w:t>600,000.00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高新技术补贴</w:t>
            </w:r>
          </w:p>
        </w:tc>
        <w:tc>
          <w:tcPr>
            <w:tcW w:w="1126" w:type="dxa"/>
            <w:tcBorders>
              <w:top w:val="nil" w:sz="6" w:space="0" w:color="auto"/>
              <w:left w:val="nil" w:sz="6" w:space="0" w:color="auto"/>
              <w:bottom w:val="nil" w:sz="6" w:space="0" w:color="auto"/>
              <w:right w:val="nil" w:sz="6" w:space="0" w:color="auto"/>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Narrow" w:hAnsi="Arial Narrow" w:cs="Arial Narrow" w:eastAsia="Arial Narrow" w:hint="default"/>
                <w:sz w:val="20"/>
                <w:szCs w:val="20"/>
              </w:rPr>
            </w:pPr>
            <w:r>
              <w:rPr>
                <w:rFonts w:ascii="Arial Narrow"/>
                <w:w w:val="95"/>
                <w:sz w:val="20"/>
              </w:rPr>
              <w:t>386,000.00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0"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国家重点研发子</w:t>
            </w:r>
          </w:p>
          <w:p>
            <w:pPr>
              <w:pStyle w:val="TableParagraph"/>
              <w:spacing w:line="232" w:lineRule="auto" w:before="5"/>
              <w:ind w:left="45" w:right="198"/>
              <w:jc w:val="left"/>
              <w:rPr>
                <w:rFonts w:ascii="宋体" w:hAnsi="宋体" w:cs="宋体" w:eastAsia="宋体" w:hint="default"/>
                <w:sz w:val="21"/>
                <w:szCs w:val="21"/>
              </w:rPr>
            </w:pPr>
            <w:r>
              <w:rPr>
                <w:rFonts w:ascii="宋体" w:hAnsi="宋体" w:cs="宋体" w:eastAsia="宋体" w:hint="default"/>
                <w:spacing w:val="-14"/>
                <w:w w:val="100"/>
                <w:sz w:val="21"/>
                <w:szCs w:val="21"/>
              </w:rPr>
              <w:t>课题（中国建筑科</w:t>
            </w:r>
            <w:r>
              <w:rPr>
                <w:rFonts w:ascii="宋体" w:hAnsi="宋体" w:cs="宋体" w:eastAsia="宋体" w:hint="default"/>
                <w:w w:val="100"/>
                <w:sz w:val="21"/>
                <w:szCs w:val="21"/>
              </w:rPr>
              <w:t> </w:t>
            </w:r>
            <w:r>
              <w:rPr>
                <w:rFonts w:ascii="宋体" w:hAnsi="宋体" w:cs="宋体" w:eastAsia="宋体" w:hint="default"/>
                <w:sz w:val="21"/>
                <w:szCs w:val="21"/>
              </w:rPr>
              <w:t>学研究院</w:t>
            </w:r>
            <w:r>
              <w:rPr>
                <w:rFonts w:ascii="Arial Narrow" w:hAnsi="Arial Narrow" w:cs="Arial Narrow" w:eastAsia="Arial Narrow" w:hint="default"/>
                <w:sz w:val="21"/>
                <w:szCs w:val="21"/>
              </w:rPr>
              <w:t>-</w:t>
            </w:r>
            <w:r>
              <w:rPr>
                <w:rFonts w:ascii="宋体" w:hAnsi="宋体" w:cs="宋体" w:eastAsia="宋体" w:hint="default"/>
                <w:sz w:val="21"/>
                <w:szCs w:val="21"/>
              </w:rPr>
              <w:t>焦青</w:t>
            </w:r>
            <w:r>
              <w:rPr>
                <w:rFonts w:ascii="宋体" w:hAnsi="宋体" w:cs="宋体" w:eastAsia="宋体" w:hint="default"/>
                <w:w w:val="100"/>
                <w:sz w:val="21"/>
                <w:szCs w:val="21"/>
              </w:rPr>
              <w:t> </w:t>
            </w:r>
            <w:r>
              <w:rPr>
                <w:rFonts w:ascii="宋体" w:hAnsi="宋体" w:cs="宋体" w:eastAsia="宋体" w:hint="default"/>
                <w:sz w:val="21"/>
                <w:szCs w:val="21"/>
              </w:rPr>
              <w:t>太）</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33"/>
              <w:jc w:val="right"/>
              <w:rPr>
                <w:rFonts w:ascii="Arial Narrow" w:hAnsi="Arial Narrow" w:cs="Arial Narrow" w:eastAsia="Arial Narrow" w:hint="default"/>
                <w:sz w:val="20"/>
                <w:szCs w:val="20"/>
              </w:rPr>
            </w:pPr>
            <w:r>
              <w:rPr>
                <w:rFonts w:ascii="Arial Narrow"/>
                <w:w w:val="95"/>
                <w:sz w:val="20"/>
              </w:rPr>
              <w:t>315,000.00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88"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国家重点研发子</w:t>
            </w:r>
          </w:p>
          <w:p>
            <w:pPr>
              <w:pStyle w:val="TableParagraph"/>
              <w:spacing w:line="232" w:lineRule="auto" w:before="5"/>
              <w:ind w:left="45" w:right="198"/>
              <w:jc w:val="left"/>
              <w:rPr>
                <w:rFonts w:ascii="宋体" w:hAnsi="宋体" w:cs="宋体" w:eastAsia="宋体" w:hint="default"/>
                <w:sz w:val="21"/>
                <w:szCs w:val="21"/>
              </w:rPr>
            </w:pPr>
            <w:r>
              <w:rPr>
                <w:rFonts w:ascii="宋体" w:hAnsi="宋体" w:cs="宋体" w:eastAsia="宋体" w:hint="default"/>
                <w:spacing w:val="-14"/>
                <w:w w:val="100"/>
                <w:sz w:val="21"/>
                <w:szCs w:val="21"/>
              </w:rPr>
              <w:t>课题（中国建筑科</w:t>
            </w:r>
            <w:r>
              <w:rPr>
                <w:rFonts w:ascii="宋体" w:hAnsi="宋体" w:cs="宋体" w:eastAsia="宋体" w:hint="default"/>
                <w:w w:val="100"/>
                <w:sz w:val="21"/>
                <w:szCs w:val="21"/>
              </w:rPr>
              <w:t> </w:t>
            </w:r>
            <w:r>
              <w:rPr>
                <w:rFonts w:ascii="宋体" w:hAnsi="宋体" w:cs="宋体" w:eastAsia="宋体" w:hint="default"/>
                <w:sz w:val="21"/>
                <w:szCs w:val="21"/>
              </w:rPr>
              <w:t>学研究院</w:t>
            </w:r>
            <w:r>
              <w:rPr>
                <w:rFonts w:ascii="Arial Narrow" w:hAnsi="Arial Narrow" w:cs="Arial Narrow" w:eastAsia="Arial Narrow" w:hint="default"/>
                <w:sz w:val="21"/>
                <w:szCs w:val="21"/>
              </w:rPr>
              <w:t>-</w:t>
            </w:r>
            <w:r>
              <w:rPr>
                <w:rFonts w:ascii="宋体" w:hAnsi="宋体" w:cs="宋体" w:eastAsia="宋体" w:hint="default"/>
                <w:sz w:val="21"/>
                <w:szCs w:val="21"/>
              </w:rPr>
              <w:t>尧克</w:t>
            </w:r>
            <w:r>
              <w:rPr>
                <w:rFonts w:ascii="宋体" w:hAnsi="宋体" w:cs="宋体" w:eastAsia="宋体" w:hint="default"/>
                <w:w w:val="100"/>
                <w:sz w:val="21"/>
                <w:szCs w:val="21"/>
              </w:rPr>
              <w:t> </w:t>
            </w:r>
            <w:r>
              <w:rPr>
                <w:rFonts w:ascii="宋体" w:hAnsi="宋体" w:cs="宋体" w:eastAsia="宋体" w:hint="default"/>
                <w:sz w:val="21"/>
                <w:szCs w:val="21"/>
              </w:rPr>
              <w:t>光）</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33"/>
              <w:jc w:val="right"/>
              <w:rPr>
                <w:rFonts w:ascii="Arial Narrow" w:hAnsi="Arial Narrow" w:cs="Arial Narrow" w:eastAsia="Arial Narrow" w:hint="default"/>
                <w:sz w:val="20"/>
                <w:szCs w:val="20"/>
              </w:rPr>
            </w:pPr>
            <w:r>
              <w:rPr>
                <w:rFonts w:ascii="Arial Narrow"/>
                <w:w w:val="95"/>
                <w:sz w:val="20"/>
              </w:rPr>
              <w:t>315,000.00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8" w:lineRule="exact"/>
              <w:ind w:left="45" w:right="0"/>
              <w:jc w:val="left"/>
              <w:rPr>
                <w:rFonts w:ascii="宋体" w:hAnsi="宋体" w:cs="宋体" w:eastAsia="宋体" w:hint="default"/>
                <w:sz w:val="21"/>
                <w:szCs w:val="21"/>
              </w:rPr>
            </w:pPr>
            <w:r>
              <w:rPr>
                <w:rFonts w:ascii="Arial Narrow" w:hAnsi="Arial Narrow" w:cs="Arial Narrow" w:eastAsia="Arial Narrow" w:hint="default"/>
                <w:sz w:val="21"/>
                <w:szCs w:val="21"/>
              </w:rPr>
              <w:t>2015</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年市科技成</w:t>
            </w:r>
          </w:p>
          <w:p>
            <w:pPr>
              <w:pStyle w:val="TableParagraph"/>
              <w:spacing w:line="267" w:lineRule="exact"/>
              <w:ind w:left="45" w:right="0"/>
              <w:jc w:val="left"/>
              <w:rPr>
                <w:rFonts w:ascii="宋体" w:hAnsi="宋体" w:cs="宋体" w:eastAsia="宋体" w:hint="default"/>
                <w:sz w:val="21"/>
                <w:szCs w:val="21"/>
              </w:rPr>
            </w:pPr>
            <w:r>
              <w:rPr>
                <w:rFonts w:ascii="宋体" w:hAnsi="宋体" w:cs="宋体" w:eastAsia="宋体" w:hint="default"/>
                <w:sz w:val="21"/>
                <w:szCs w:val="21"/>
              </w:rPr>
              <w:t>果转化项目</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3"/>
              <w:jc w:val="right"/>
              <w:rPr>
                <w:rFonts w:ascii="Arial Narrow" w:hAnsi="Arial Narrow" w:cs="Arial Narrow" w:eastAsia="Arial Narrow" w:hint="default"/>
                <w:sz w:val="21"/>
                <w:szCs w:val="21"/>
              </w:rPr>
            </w:pPr>
            <w:r>
              <w:rPr>
                <w:rFonts w:ascii="Arial Narrow"/>
                <w:spacing w:val="-1"/>
                <w:sz w:val="21"/>
              </w:rPr>
              <w:t>1,370,000.00</w:t>
            </w:r>
            <w:r>
              <w:rPr>
                <w:rFonts w:ascii="Arial Narrow"/>
                <w:sz w:val="21"/>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工业企业增资扩</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产项目扶持资金</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知名品牌培育扶</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持资金</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3"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科技创新券</w:t>
            </w:r>
          </w:p>
        </w:tc>
        <w:tc>
          <w:tcPr>
            <w:tcW w:w="1126" w:type="dxa"/>
            <w:tcBorders>
              <w:top w:val="nil" w:sz="6" w:space="0" w:color="auto"/>
              <w:left w:val="nil" w:sz="6" w:space="0" w:color="auto"/>
              <w:bottom w:val="nil" w:sz="6" w:space="0" w:color="auto"/>
              <w:right w:val="nil" w:sz="6" w:space="0" w:color="auto"/>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Narrow" w:hAnsi="Arial Narrow" w:cs="Arial Narrow" w:eastAsia="Arial Narrow" w:hint="default"/>
                <w:sz w:val="20"/>
                <w:szCs w:val="20"/>
              </w:rPr>
            </w:pPr>
            <w:r>
              <w:rPr>
                <w:rFonts w:ascii="Arial Narrow"/>
                <w:w w:val="95"/>
                <w:sz w:val="20"/>
              </w:rPr>
              <w:t>251,000.00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创新型城市建设</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政策奖励</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Arial Narrow" w:hAnsi="Arial Narrow" w:cs="Arial Narrow" w:eastAsia="Arial Narrow" w:hint="default"/>
                <w:sz w:val="20"/>
                <w:szCs w:val="20"/>
              </w:rPr>
            </w:pPr>
            <w:r>
              <w:rPr>
                <w:rFonts w:ascii="Arial Narrow"/>
                <w:w w:val="95"/>
                <w:sz w:val="20"/>
              </w:rPr>
              <w:t>200,000.00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国家重点研发子</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课题（四川大学）</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Arial Narrow" w:hAnsi="Arial Narrow" w:cs="Arial Narrow" w:eastAsia="Arial Narrow" w:hint="default"/>
                <w:sz w:val="20"/>
                <w:szCs w:val="20"/>
              </w:rPr>
            </w:pPr>
            <w:r>
              <w:rPr>
                <w:rFonts w:ascii="Arial Narrow"/>
                <w:w w:val="95"/>
                <w:sz w:val="20"/>
              </w:rPr>
              <w:t>196,400.00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8" w:lineRule="exact"/>
              <w:ind w:left="45" w:right="0"/>
              <w:jc w:val="left"/>
              <w:rPr>
                <w:rFonts w:ascii="宋体" w:hAnsi="宋体" w:cs="宋体" w:eastAsia="宋体" w:hint="default"/>
                <w:sz w:val="21"/>
                <w:szCs w:val="21"/>
              </w:rPr>
            </w:pPr>
            <w:r>
              <w:rPr>
                <w:rFonts w:ascii="Arial Narrow" w:hAnsi="Arial Narrow" w:cs="Arial Narrow" w:eastAsia="Arial Narrow" w:hint="default"/>
                <w:sz w:val="21"/>
                <w:szCs w:val="21"/>
              </w:rPr>
              <w:t>“</w:t>
            </w:r>
            <w:r>
              <w:rPr>
                <w:rFonts w:ascii="宋体" w:hAnsi="宋体" w:cs="宋体" w:eastAsia="宋体" w:hint="default"/>
                <w:sz w:val="21"/>
                <w:szCs w:val="21"/>
              </w:rPr>
              <w:t>机器换人</w:t>
            </w:r>
            <w:r>
              <w:rPr>
                <w:rFonts w:ascii="Arial Narrow" w:hAnsi="Arial Narrow" w:cs="Arial Narrow" w:eastAsia="Arial Narrow" w:hint="default"/>
                <w:sz w:val="21"/>
                <w:szCs w:val="21"/>
              </w:rPr>
              <w:t>”</w:t>
            </w:r>
            <w:r>
              <w:rPr>
                <w:rFonts w:ascii="宋体" w:hAnsi="宋体" w:cs="宋体" w:eastAsia="宋体" w:hint="default"/>
                <w:sz w:val="21"/>
                <w:szCs w:val="21"/>
              </w:rPr>
              <w:t>重点</w:t>
            </w:r>
          </w:p>
          <w:p>
            <w:pPr>
              <w:pStyle w:val="TableParagraph"/>
              <w:spacing w:line="266" w:lineRule="exact"/>
              <w:ind w:left="45"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Arial Narrow" w:hAnsi="Arial Narrow" w:cs="Arial Narrow" w:eastAsia="Arial Narrow" w:hint="default"/>
                <w:sz w:val="20"/>
                <w:szCs w:val="20"/>
              </w:rPr>
            </w:pPr>
            <w:r>
              <w:rPr>
                <w:rFonts w:ascii="Arial Narrow"/>
                <w:w w:val="95"/>
                <w:sz w:val="20"/>
              </w:rPr>
              <w:t>193,500.00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企业发展扶持资</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Arial Narrow" w:hAnsi="Arial Narrow" w:cs="Arial Narrow" w:eastAsia="Arial Narrow" w:hint="default"/>
                <w:sz w:val="20"/>
                <w:szCs w:val="20"/>
              </w:rPr>
            </w:pPr>
            <w:r>
              <w:rPr>
                <w:rFonts w:ascii="Arial Narrow"/>
                <w:w w:val="95"/>
                <w:sz w:val="20"/>
              </w:rPr>
              <w:t>192,000.00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17"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国家重点研发子</w:t>
            </w:r>
          </w:p>
          <w:p>
            <w:pPr>
              <w:pStyle w:val="TableParagraph"/>
              <w:spacing w:line="240" w:lineRule="auto"/>
              <w:ind w:left="45" w:right="198"/>
              <w:jc w:val="left"/>
              <w:rPr>
                <w:rFonts w:ascii="宋体" w:hAnsi="宋体" w:cs="宋体" w:eastAsia="宋体" w:hint="default"/>
                <w:sz w:val="21"/>
                <w:szCs w:val="21"/>
              </w:rPr>
            </w:pPr>
            <w:r>
              <w:rPr>
                <w:rFonts w:ascii="宋体" w:hAnsi="宋体" w:cs="宋体" w:eastAsia="宋体" w:hint="default"/>
                <w:spacing w:val="-14"/>
                <w:w w:val="100"/>
                <w:sz w:val="21"/>
                <w:szCs w:val="21"/>
              </w:rPr>
              <w:t>课题（北京工业大</w:t>
            </w:r>
            <w:r>
              <w:rPr>
                <w:rFonts w:ascii="宋体" w:hAnsi="宋体" w:cs="宋体" w:eastAsia="宋体" w:hint="default"/>
                <w:w w:val="100"/>
                <w:sz w:val="21"/>
                <w:szCs w:val="21"/>
              </w:rPr>
              <w:t> </w:t>
            </w:r>
            <w:r>
              <w:rPr>
                <w:rFonts w:ascii="宋体" w:hAnsi="宋体" w:cs="宋体" w:eastAsia="宋体" w:hint="default"/>
                <w:sz w:val="21"/>
                <w:szCs w:val="21"/>
              </w:rPr>
              <w:t>学）</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w w:val="95"/>
                <w:sz w:val="20"/>
              </w:rPr>
              <w:t>174,700.00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4"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z w:val="21"/>
                <w:szCs w:val="21"/>
              </w:rPr>
              <w:t>电子商务示范基</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地奖励</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Arial Narrow" w:hAnsi="Arial Narrow" w:cs="Arial Narrow" w:eastAsia="Arial Narrow" w:hint="default"/>
                <w:sz w:val="20"/>
                <w:szCs w:val="20"/>
              </w:rPr>
            </w:pPr>
            <w:r>
              <w:rPr>
                <w:rFonts w:ascii="Arial Narrow"/>
                <w:w w:val="95"/>
                <w:sz w:val="20"/>
              </w:rPr>
              <w:t>155,400.00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宋体" w:hAnsi="宋体" w:cs="宋体" w:eastAsia="宋体" w:hint="default"/>
                <w:sz w:val="21"/>
                <w:szCs w:val="21"/>
              </w:rPr>
            </w:pPr>
            <w:r>
              <w:rPr>
                <w:rFonts w:ascii="宋体" w:hAnsi="宋体" w:cs="宋体" w:eastAsia="宋体" w:hint="default"/>
                <w:sz w:val="21"/>
                <w:szCs w:val="21"/>
              </w:rPr>
              <w:t>税务上台阶奖</w:t>
            </w:r>
          </w:p>
        </w:tc>
        <w:tc>
          <w:tcPr>
            <w:tcW w:w="1126" w:type="dxa"/>
            <w:tcBorders>
              <w:top w:val="nil" w:sz="6" w:space="0" w:color="auto"/>
              <w:left w:val="nil" w:sz="6" w:space="0" w:color="auto"/>
              <w:bottom w:val="nil" w:sz="6" w:space="0" w:color="auto"/>
              <w:right w:val="nil" w:sz="6" w:space="0" w:color="auto"/>
            </w:tcBorders>
          </w:tcPr>
          <w:p>
            <w:pPr>
              <w:pStyle w:val="TableParagraph"/>
              <w:spacing w:line="242" w:lineRule="exact"/>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Narrow" w:hAnsi="Arial Narrow" w:cs="Arial Narrow" w:eastAsia="Arial Narrow" w:hint="default"/>
                <w:sz w:val="20"/>
                <w:szCs w:val="20"/>
              </w:rPr>
            </w:pPr>
            <w:r>
              <w:rPr>
                <w:rFonts w:ascii="Arial Narrow"/>
                <w:w w:val="95"/>
                <w:sz w:val="20"/>
              </w:rPr>
              <w:t>150,000.00</w:t>
            </w:r>
            <w:r>
              <w:rPr>
                <w:rFonts w:ascii="Arial Narrow"/>
                <w:sz w:val="20"/>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2" w:lineRule="exact"/>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2" w:lineRule="exact"/>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9" w:hRule="exact"/>
        </w:trPr>
        <w:tc>
          <w:tcPr>
            <w:tcW w:w="1825" w:type="dxa"/>
            <w:tcBorders>
              <w:top w:val="nil" w:sz="6" w:space="0" w:color="auto"/>
              <w:left w:val="nil" w:sz="6" w:space="0" w:color="auto"/>
              <w:bottom w:val="single" w:sz="4" w:space="0" w:color="000000"/>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个税奖励</w:t>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财政拨款</w:t>
            </w:r>
          </w:p>
        </w:tc>
        <w:tc>
          <w:tcPr>
            <w:tcW w:w="153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62"/>
              <w:jc w:val="right"/>
              <w:rPr>
                <w:rFonts w:ascii="Arial Narrow" w:hAnsi="Arial Narrow" w:cs="Arial Narrow" w:eastAsia="Arial Narrow" w:hint="default"/>
                <w:sz w:val="21"/>
                <w:szCs w:val="21"/>
              </w:rPr>
            </w:pPr>
            <w:r>
              <w:rPr>
                <w:rFonts w:ascii="Arial Narrow"/>
                <w:spacing w:val="-1"/>
                <w:sz w:val="21"/>
              </w:rPr>
              <w:t>258,130.95</w:t>
            </w:r>
            <w:r>
              <w:rPr>
                <w:rFonts w:ascii="Arial Narrow"/>
                <w:sz w:val="21"/>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3"/>
              <w:jc w:val="right"/>
              <w:rPr>
                <w:rFonts w:ascii="Arial Narrow" w:hAnsi="Arial Narrow" w:cs="Arial Narrow" w:eastAsia="Arial Narrow" w:hint="default"/>
                <w:sz w:val="20"/>
                <w:szCs w:val="20"/>
              </w:rPr>
            </w:pPr>
            <w:r>
              <w:rPr>
                <w:rFonts w:ascii="Arial Narrow"/>
                <w:w w:val="95"/>
                <w:sz w:val="20"/>
              </w:rPr>
              <w:t>132,927.61</w:t>
            </w:r>
            <w:r>
              <w:rPr>
                <w:rFonts w:ascii="Arial Narrow"/>
                <w:sz w:val="20"/>
              </w:rPr>
            </w:r>
          </w:p>
        </w:tc>
        <w:tc>
          <w:tcPr>
            <w:tcW w:w="1568" w:type="dxa"/>
            <w:tcBorders>
              <w:top w:val="nil" w:sz="6" w:space="0" w:color="auto"/>
              <w:left w:val="nil" w:sz="6" w:space="0" w:color="auto"/>
              <w:bottom w:val="single" w:sz="4" w:space="0" w:color="000000"/>
              <w:right w:val="nil" w:sz="6" w:space="0" w:color="auto"/>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1910" w:h="16840"/>
          <w:pgMar w:header="882" w:footer="1195" w:top="1120" w:bottom="1380" w:left="1640" w:right="1140"/>
        </w:sectPr>
      </w:pPr>
    </w:p>
    <w:p>
      <w:pPr>
        <w:spacing w:line="240" w:lineRule="auto" w:before="3"/>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1772"/>
        <w:gridCol w:w="1386"/>
        <w:gridCol w:w="1410"/>
        <w:gridCol w:w="1389"/>
        <w:gridCol w:w="1426"/>
        <w:gridCol w:w="1527"/>
      </w:tblGrid>
      <w:tr>
        <w:trPr>
          <w:trHeight w:val="410" w:hRule="exact"/>
        </w:trPr>
        <w:tc>
          <w:tcPr>
            <w:tcW w:w="1772" w:type="dxa"/>
            <w:tcBorders>
              <w:top w:val="single" w:sz="6" w:space="0" w:color="000000"/>
              <w:left w:val="nil" w:sz="6" w:space="0" w:color="auto"/>
              <w:bottom w:val="single" w:sz="4" w:space="0" w:color="000000"/>
              <w:right w:val="nil" w:sz="6" w:space="0" w:color="auto"/>
            </w:tcBorders>
          </w:tcPr>
          <w:p>
            <w:pPr/>
          </w:p>
        </w:tc>
        <w:tc>
          <w:tcPr>
            <w:tcW w:w="1386" w:type="dxa"/>
            <w:tcBorders>
              <w:top w:val="single" w:sz="6" w:space="0" w:color="000000"/>
              <w:left w:val="nil" w:sz="6" w:space="0" w:color="auto"/>
              <w:bottom w:val="single" w:sz="4" w:space="0" w:color="000000"/>
              <w:right w:val="nil" w:sz="6" w:space="0" w:color="auto"/>
            </w:tcBorders>
          </w:tcPr>
          <w:p>
            <w:pPr/>
          </w:p>
        </w:tc>
        <w:tc>
          <w:tcPr>
            <w:tcW w:w="1410" w:type="dxa"/>
            <w:tcBorders>
              <w:top w:val="single" w:sz="6" w:space="0" w:color="000000"/>
              <w:left w:val="nil" w:sz="6" w:space="0" w:color="auto"/>
              <w:bottom w:val="single" w:sz="4" w:space="0" w:color="000000"/>
              <w:right w:val="nil" w:sz="6" w:space="0" w:color="auto"/>
            </w:tcBorders>
          </w:tcPr>
          <w:p>
            <w:pPr/>
          </w:p>
        </w:tc>
        <w:tc>
          <w:tcPr>
            <w:tcW w:w="1389" w:type="dxa"/>
            <w:tcBorders>
              <w:top w:val="single" w:sz="6" w:space="0" w:color="000000"/>
              <w:left w:val="nil" w:sz="6" w:space="0" w:color="auto"/>
              <w:bottom w:val="single" w:sz="4" w:space="0" w:color="000000"/>
              <w:right w:val="nil" w:sz="6" w:space="0" w:color="auto"/>
            </w:tcBorders>
          </w:tcPr>
          <w:p>
            <w:pPr/>
          </w:p>
        </w:tc>
        <w:tc>
          <w:tcPr>
            <w:tcW w:w="1426" w:type="dxa"/>
            <w:tcBorders>
              <w:top w:val="single" w:sz="6" w:space="0" w:color="000000"/>
              <w:left w:val="nil" w:sz="6" w:space="0" w:color="auto"/>
              <w:bottom w:val="single" w:sz="4" w:space="0" w:color="000000"/>
              <w:right w:val="nil" w:sz="6" w:space="0" w:color="auto"/>
            </w:tcBorders>
          </w:tcPr>
          <w:p>
            <w:pPr/>
          </w:p>
        </w:tc>
        <w:tc>
          <w:tcPr>
            <w:tcW w:w="1527" w:type="dxa"/>
            <w:tcBorders>
              <w:top w:val="single" w:sz="6" w:space="0" w:color="000000"/>
              <w:left w:val="nil" w:sz="6" w:space="0" w:color="auto"/>
              <w:bottom w:val="single" w:sz="4" w:space="0" w:color="000000"/>
              <w:right w:val="nil" w:sz="6" w:space="0" w:color="auto"/>
            </w:tcBorders>
          </w:tcPr>
          <w:p>
            <w:pPr/>
          </w:p>
        </w:tc>
      </w:tr>
      <w:tr>
        <w:trPr>
          <w:trHeight w:val="551" w:hRule="exact"/>
        </w:trPr>
        <w:tc>
          <w:tcPr>
            <w:tcW w:w="1772" w:type="dxa"/>
            <w:tcBorders>
              <w:top w:val="single" w:sz="4" w:space="0" w:color="000000"/>
              <w:left w:val="nil" w:sz="6" w:space="0" w:color="auto"/>
              <w:bottom w:val="nil" w:sz="6" w:space="0" w:color="auto"/>
              <w:right w:val="nil" w:sz="6" w:space="0" w:color="auto"/>
            </w:tcBorders>
          </w:tcPr>
          <w:p>
            <w:pPr>
              <w:pStyle w:val="TableParagraph"/>
              <w:spacing w:line="242" w:lineRule="exact"/>
              <w:ind w:left="45" w:right="0"/>
              <w:jc w:val="left"/>
              <w:rPr>
                <w:rFonts w:ascii="宋体" w:hAnsi="宋体" w:cs="宋体" w:eastAsia="宋体" w:hint="default"/>
                <w:sz w:val="21"/>
                <w:szCs w:val="21"/>
              </w:rPr>
            </w:pPr>
            <w:r>
              <w:rPr>
                <w:rFonts w:ascii="宋体" w:hAnsi="宋体" w:cs="宋体" w:eastAsia="宋体" w:hint="default"/>
                <w:sz w:val="21"/>
                <w:szCs w:val="21"/>
              </w:rPr>
              <w:t>财政商务局信保</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补贴款</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single" w:sz="4" w:space="0" w:color="000000"/>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132"/>
              <w:jc w:val="right"/>
              <w:rPr>
                <w:rFonts w:ascii="Arial Narrow" w:hAnsi="Arial Narrow" w:cs="Arial Narrow" w:eastAsia="Arial Narrow" w:hint="default"/>
                <w:sz w:val="20"/>
                <w:szCs w:val="20"/>
              </w:rPr>
            </w:pPr>
            <w:r>
              <w:rPr>
                <w:rFonts w:ascii="Arial Narrow"/>
                <w:w w:val="95"/>
                <w:sz w:val="20"/>
              </w:rPr>
              <w:t>127,500.00</w:t>
            </w:r>
            <w:r>
              <w:rPr>
                <w:rFonts w:ascii="Arial Narrow"/>
                <w:sz w:val="20"/>
              </w:rPr>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10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4"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江苏省技技术改</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造综合奖补</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2"/>
              <w:jc w:val="right"/>
              <w:rPr>
                <w:rFonts w:ascii="Arial Narrow" w:hAnsi="Arial Narrow" w:cs="Arial Narrow" w:eastAsia="Arial Narrow" w:hint="default"/>
                <w:sz w:val="20"/>
                <w:szCs w:val="20"/>
              </w:rPr>
            </w:pPr>
            <w:r>
              <w:rPr>
                <w:rFonts w:ascii="Arial Narrow"/>
                <w:w w:val="95"/>
                <w:sz w:val="20"/>
              </w:rPr>
              <w:t>110,000.00</w:t>
            </w:r>
            <w:r>
              <w:rPr>
                <w:rFonts w:ascii="Arial Narrow"/>
                <w:sz w:val="20"/>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48" w:lineRule="exact"/>
              <w:ind w:left="45" w:right="0"/>
              <w:jc w:val="left"/>
              <w:rPr>
                <w:rFonts w:ascii="宋体" w:hAnsi="宋体" w:cs="宋体" w:eastAsia="宋体" w:hint="default"/>
                <w:sz w:val="21"/>
                <w:szCs w:val="21"/>
              </w:rPr>
            </w:pPr>
            <w:r>
              <w:rPr>
                <w:rFonts w:ascii="Arial Narrow" w:hAnsi="Arial Narrow" w:cs="Arial Narrow" w:eastAsia="Arial Narrow" w:hint="default"/>
                <w:sz w:val="21"/>
                <w:szCs w:val="21"/>
              </w:rPr>
              <w:t>2016</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年市开放实</w:t>
            </w:r>
          </w:p>
          <w:p>
            <w:pPr>
              <w:pStyle w:val="TableParagraph"/>
              <w:spacing w:line="267" w:lineRule="exact"/>
              <w:ind w:left="45" w:right="0"/>
              <w:jc w:val="left"/>
              <w:rPr>
                <w:rFonts w:ascii="宋体" w:hAnsi="宋体" w:cs="宋体" w:eastAsia="宋体" w:hint="default"/>
                <w:sz w:val="21"/>
                <w:szCs w:val="21"/>
              </w:rPr>
            </w:pPr>
            <w:r>
              <w:rPr>
                <w:rFonts w:ascii="宋体" w:hAnsi="宋体" w:cs="宋体" w:eastAsia="宋体" w:hint="default"/>
                <w:sz w:val="21"/>
                <w:szCs w:val="21"/>
              </w:rPr>
              <w:t>验项目</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32"/>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高新技术自主创</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新标准化试点</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32"/>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6"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太阳雨专线电力</w:t>
            </w:r>
          </w:p>
        </w:tc>
        <w:tc>
          <w:tcPr>
            <w:tcW w:w="1386" w:type="dxa"/>
            <w:tcBorders>
              <w:top w:val="nil" w:sz="6" w:space="0" w:color="auto"/>
              <w:left w:val="nil" w:sz="6" w:space="0" w:color="auto"/>
              <w:bottom w:val="nil" w:sz="6" w:space="0" w:color="auto"/>
              <w:right w:val="nil" w:sz="6" w:space="0" w:color="auto"/>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0"/>
              <w:jc w:val="right"/>
              <w:rPr>
                <w:rFonts w:ascii="Arial Narrow" w:hAnsi="Arial Narrow" w:cs="Arial Narrow" w:eastAsia="Arial Narrow" w:hint="default"/>
                <w:sz w:val="21"/>
                <w:szCs w:val="21"/>
              </w:rPr>
            </w:pPr>
            <w:r>
              <w:rPr>
                <w:rFonts w:ascii="Arial Narrow"/>
                <w:spacing w:val="-1"/>
                <w:sz w:val="21"/>
              </w:rPr>
              <w:t>200,000.00</w:t>
            </w:r>
            <w:r>
              <w:rPr>
                <w:rFonts w:ascii="Arial Narrow"/>
                <w:sz w:val="21"/>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2"/>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27"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1"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7" w:lineRule="exact"/>
              <w:ind w:left="45" w:right="0"/>
              <w:jc w:val="left"/>
              <w:rPr>
                <w:rFonts w:ascii="宋体" w:hAnsi="宋体" w:cs="宋体" w:eastAsia="宋体" w:hint="default"/>
                <w:sz w:val="21"/>
                <w:szCs w:val="21"/>
              </w:rPr>
            </w:pPr>
            <w:r>
              <w:rPr>
                <w:rFonts w:ascii="宋体" w:hAnsi="宋体" w:cs="宋体" w:eastAsia="宋体" w:hint="default"/>
                <w:sz w:val="21"/>
                <w:szCs w:val="21"/>
              </w:rPr>
              <w:t>工贸经济政策奖</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t>励</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2"/>
              <w:jc w:val="right"/>
              <w:rPr>
                <w:rFonts w:ascii="Arial Narrow" w:hAnsi="Arial Narrow" w:cs="Arial Narrow" w:eastAsia="Arial Narrow" w:hint="default"/>
                <w:sz w:val="20"/>
                <w:szCs w:val="20"/>
              </w:rPr>
            </w:pPr>
            <w:r>
              <w:rPr>
                <w:rFonts w:ascii="Arial Narrow"/>
                <w:w w:val="95"/>
                <w:sz w:val="20"/>
              </w:rPr>
              <w:t>80,500.00</w:t>
            </w:r>
            <w:r>
              <w:rPr>
                <w:rFonts w:ascii="Arial Narrow"/>
                <w:sz w:val="20"/>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3"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42" w:lineRule="exact"/>
              <w:ind w:left="45" w:right="0"/>
              <w:jc w:val="left"/>
              <w:rPr>
                <w:rFonts w:ascii="宋体" w:hAnsi="宋体" w:cs="宋体" w:eastAsia="宋体" w:hint="default"/>
                <w:sz w:val="21"/>
                <w:szCs w:val="21"/>
              </w:rPr>
            </w:pPr>
            <w:r>
              <w:rPr>
                <w:rFonts w:ascii="宋体" w:hAnsi="宋体" w:cs="宋体" w:eastAsia="宋体" w:hint="default"/>
                <w:sz w:val="21"/>
                <w:szCs w:val="21"/>
              </w:rPr>
              <w:t>就业见习经费</w:t>
            </w:r>
          </w:p>
        </w:tc>
        <w:tc>
          <w:tcPr>
            <w:tcW w:w="1386" w:type="dxa"/>
            <w:tcBorders>
              <w:top w:val="nil" w:sz="6" w:space="0" w:color="auto"/>
              <w:left w:val="nil" w:sz="6" w:space="0" w:color="auto"/>
              <w:bottom w:val="nil" w:sz="6" w:space="0" w:color="auto"/>
              <w:right w:val="nil" w:sz="6" w:space="0" w:color="auto"/>
            </w:tcBorders>
          </w:tcPr>
          <w:p>
            <w:pPr>
              <w:pStyle w:val="TableParagraph"/>
              <w:spacing w:line="242" w:lineRule="exact"/>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Narrow" w:hAnsi="Arial Narrow" w:cs="Arial Narrow" w:eastAsia="Arial Narrow" w:hint="default"/>
                <w:sz w:val="20"/>
                <w:szCs w:val="20"/>
              </w:rPr>
            </w:pPr>
            <w:r>
              <w:rPr>
                <w:rFonts w:ascii="Arial Narrow"/>
                <w:w w:val="95"/>
                <w:sz w:val="20"/>
              </w:rPr>
              <w:t>47,018.00</w:t>
            </w:r>
            <w:r>
              <w:rPr>
                <w:rFonts w:ascii="Arial Narrow"/>
                <w:sz w:val="20"/>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2" w:lineRule="exact"/>
              <w:ind w:right="10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527" w:type="dxa"/>
            <w:tcBorders>
              <w:top w:val="nil" w:sz="6" w:space="0" w:color="auto"/>
              <w:left w:val="nil" w:sz="6" w:space="0" w:color="auto"/>
              <w:bottom w:val="nil" w:sz="6" w:space="0" w:color="auto"/>
              <w:right w:val="nil" w:sz="6" w:space="0" w:color="auto"/>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3"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示范工会奖励</w:t>
            </w:r>
          </w:p>
        </w:tc>
        <w:tc>
          <w:tcPr>
            <w:tcW w:w="1386" w:type="dxa"/>
            <w:tcBorders>
              <w:top w:val="nil" w:sz="6" w:space="0" w:color="auto"/>
              <w:left w:val="nil" w:sz="6" w:space="0" w:color="auto"/>
              <w:bottom w:val="nil" w:sz="6" w:space="0" w:color="auto"/>
              <w:right w:val="nil" w:sz="6" w:space="0" w:color="auto"/>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2"/>
              <w:jc w:val="right"/>
              <w:rPr>
                <w:rFonts w:ascii="Arial Narrow" w:hAnsi="Arial Narrow" w:cs="Arial Narrow" w:eastAsia="Arial Narrow" w:hint="default"/>
                <w:sz w:val="20"/>
                <w:szCs w:val="20"/>
              </w:rPr>
            </w:pPr>
            <w:r>
              <w:rPr>
                <w:rFonts w:ascii="Arial Narrow"/>
                <w:w w:val="95"/>
                <w:sz w:val="20"/>
              </w:rPr>
              <w:t>20,000.00</w:t>
            </w:r>
            <w:r>
              <w:rPr>
                <w:rFonts w:ascii="Arial Narrow"/>
                <w:sz w:val="20"/>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527"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20"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0" w:lineRule="exact"/>
              <w:ind w:left="45" w:right="0"/>
              <w:jc w:val="left"/>
              <w:rPr>
                <w:rFonts w:ascii="宋体" w:hAnsi="宋体" w:cs="宋体" w:eastAsia="宋体" w:hint="default"/>
                <w:sz w:val="20"/>
                <w:szCs w:val="20"/>
              </w:rPr>
            </w:pPr>
            <w:r>
              <w:rPr>
                <w:rFonts w:ascii="宋体" w:hAnsi="宋体" w:cs="宋体" w:eastAsia="宋体" w:hint="default"/>
                <w:sz w:val="20"/>
                <w:szCs w:val="20"/>
              </w:rPr>
              <w:t>商务发展专项资</w:t>
            </w:r>
          </w:p>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52"/>
              <w:jc w:val="right"/>
              <w:rPr>
                <w:rFonts w:ascii="Arial Narrow" w:hAnsi="Arial Narrow" w:cs="Arial Narrow" w:eastAsia="Arial Narrow" w:hint="default"/>
                <w:sz w:val="20"/>
                <w:szCs w:val="20"/>
              </w:rPr>
            </w:pPr>
            <w:r>
              <w:rPr>
                <w:rFonts w:ascii="Arial Narrow"/>
                <w:w w:val="95"/>
                <w:sz w:val="20"/>
              </w:rPr>
              <w:t>920,000.00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18"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28" w:lineRule="exact"/>
              <w:ind w:left="45" w:right="0"/>
              <w:jc w:val="left"/>
              <w:rPr>
                <w:rFonts w:ascii="宋体" w:hAnsi="宋体" w:cs="宋体" w:eastAsia="宋体" w:hint="default"/>
                <w:sz w:val="20"/>
                <w:szCs w:val="20"/>
              </w:rPr>
            </w:pPr>
            <w:r>
              <w:rPr>
                <w:rFonts w:ascii="宋体" w:hAnsi="宋体" w:cs="宋体" w:eastAsia="宋体" w:hint="default"/>
                <w:sz w:val="20"/>
                <w:szCs w:val="20"/>
              </w:rPr>
              <w:t>连云港市电子商</w:t>
            </w:r>
          </w:p>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务发展专项资金</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2"/>
              <w:jc w:val="right"/>
              <w:rPr>
                <w:rFonts w:ascii="Arial Narrow" w:hAnsi="Arial Narrow" w:cs="Arial Narrow" w:eastAsia="Arial Narrow" w:hint="default"/>
                <w:sz w:val="20"/>
                <w:szCs w:val="20"/>
              </w:rPr>
            </w:pPr>
            <w:r>
              <w:rPr>
                <w:rFonts w:ascii="Arial Narrow"/>
                <w:w w:val="95"/>
                <w:sz w:val="20"/>
              </w:rPr>
              <w:t>340,000.00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18"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28" w:lineRule="exact"/>
              <w:ind w:left="45" w:right="0"/>
              <w:jc w:val="left"/>
              <w:rPr>
                <w:rFonts w:ascii="宋体" w:hAnsi="宋体" w:cs="宋体" w:eastAsia="宋体" w:hint="default"/>
                <w:sz w:val="20"/>
                <w:szCs w:val="20"/>
              </w:rPr>
            </w:pPr>
            <w:r>
              <w:rPr>
                <w:rFonts w:ascii="宋体" w:hAnsi="宋体" w:cs="宋体" w:eastAsia="宋体" w:hint="default"/>
                <w:sz w:val="20"/>
                <w:szCs w:val="20"/>
              </w:rPr>
              <w:t>省科技型企业自</w:t>
            </w:r>
          </w:p>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主创新资助金</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2"/>
              <w:jc w:val="right"/>
              <w:rPr>
                <w:rFonts w:ascii="Arial Narrow" w:hAnsi="Arial Narrow" w:cs="Arial Narrow" w:eastAsia="Arial Narrow" w:hint="default"/>
                <w:sz w:val="20"/>
                <w:szCs w:val="20"/>
              </w:rPr>
            </w:pPr>
            <w:r>
              <w:rPr>
                <w:rFonts w:ascii="Arial Narrow"/>
                <w:w w:val="95"/>
                <w:sz w:val="20"/>
              </w:rPr>
              <w:t>340,000.00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18"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28" w:lineRule="exact"/>
              <w:ind w:left="45" w:right="0"/>
              <w:jc w:val="left"/>
              <w:rPr>
                <w:rFonts w:ascii="宋体" w:hAnsi="宋体" w:cs="宋体" w:eastAsia="宋体" w:hint="default"/>
                <w:sz w:val="20"/>
                <w:szCs w:val="20"/>
              </w:rPr>
            </w:pPr>
            <w:r>
              <w:rPr>
                <w:rFonts w:ascii="宋体" w:hAnsi="宋体" w:cs="宋体" w:eastAsia="宋体" w:hint="default"/>
                <w:sz w:val="20"/>
                <w:szCs w:val="20"/>
              </w:rPr>
              <w:t>四季沐歌电子商</w:t>
            </w:r>
          </w:p>
          <w:p>
            <w:pPr>
              <w:pStyle w:val="TableParagraph"/>
              <w:spacing w:line="260" w:lineRule="exact"/>
              <w:ind w:left="45" w:right="0"/>
              <w:jc w:val="left"/>
              <w:rPr>
                <w:rFonts w:ascii="宋体" w:hAnsi="宋体" w:cs="宋体" w:eastAsia="宋体" w:hint="default"/>
                <w:sz w:val="20"/>
                <w:szCs w:val="20"/>
              </w:rPr>
            </w:pPr>
            <w:r>
              <w:rPr>
                <w:rFonts w:ascii="宋体" w:hAnsi="宋体" w:cs="宋体" w:eastAsia="宋体" w:hint="default"/>
                <w:sz w:val="20"/>
                <w:szCs w:val="20"/>
              </w:rPr>
              <w:t>务项目</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2"/>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80"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5" w:lineRule="exact"/>
              <w:ind w:left="45" w:right="0"/>
              <w:jc w:val="left"/>
              <w:rPr>
                <w:rFonts w:ascii="宋体" w:hAnsi="宋体" w:cs="宋体" w:eastAsia="宋体" w:hint="default"/>
                <w:sz w:val="20"/>
                <w:szCs w:val="20"/>
              </w:rPr>
            </w:pPr>
            <w:r>
              <w:rPr>
                <w:rFonts w:ascii="Arial Narrow" w:hAnsi="Arial Narrow" w:cs="Arial Narrow" w:eastAsia="Arial Narrow" w:hint="default"/>
                <w:sz w:val="20"/>
                <w:szCs w:val="20"/>
              </w:rPr>
              <w:t>2016</w:t>
            </w:r>
            <w:r>
              <w:rPr>
                <w:rFonts w:ascii="Arial Narrow" w:hAnsi="Arial Narrow" w:cs="Arial Narrow" w:eastAsia="Arial Narrow" w:hint="default"/>
                <w:spacing w:val="3"/>
                <w:sz w:val="20"/>
                <w:szCs w:val="20"/>
              </w:rPr>
              <w:t> </w:t>
            </w:r>
            <w:r>
              <w:rPr>
                <w:rFonts w:ascii="宋体" w:hAnsi="宋体" w:cs="宋体" w:eastAsia="宋体" w:hint="default"/>
                <w:sz w:val="20"/>
                <w:szCs w:val="20"/>
              </w:rPr>
              <w:t>年连云港市</w:t>
            </w:r>
          </w:p>
          <w:p>
            <w:pPr>
              <w:pStyle w:val="TableParagraph"/>
              <w:spacing w:line="262" w:lineRule="exact" w:before="15"/>
              <w:ind w:left="45" w:right="325"/>
              <w:jc w:val="left"/>
              <w:rPr>
                <w:rFonts w:ascii="宋体" w:hAnsi="宋体" w:cs="宋体" w:eastAsia="宋体" w:hint="default"/>
                <w:sz w:val="20"/>
                <w:szCs w:val="20"/>
              </w:rPr>
            </w:pPr>
            <w:r>
              <w:rPr>
                <w:rFonts w:ascii="宋体" w:hAnsi="宋体" w:cs="宋体" w:eastAsia="宋体" w:hint="default"/>
                <w:sz w:val="20"/>
                <w:szCs w:val="20"/>
              </w:rPr>
              <w:t>市级电子商务发</w:t>
            </w:r>
            <w:r>
              <w:rPr>
                <w:rFonts w:ascii="宋体" w:hAnsi="宋体" w:cs="宋体" w:eastAsia="宋体" w:hint="default"/>
                <w:w w:val="99"/>
                <w:sz w:val="20"/>
                <w:szCs w:val="20"/>
              </w:rPr>
              <w:t> </w:t>
            </w:r>
            <w:r>
              <w:rPr>
                <w:rFonts w:ascii="宋体" w:hAnsi="宋体" w:cs="宋体" w:eastAsia="宋体" w:hint="default"/>
                <w:sz w:val="20"/>
                <w:szCs w:val="20"/>
              </w:rPr>
              <w:t>展专项资金</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2"/>
              <w:jc w:val="right"/>
              <w:rPr>
                <w:rFonts w:ascii="Arial Narrow" w:hAnsi="Arial Narrow" w:cs="Arial Narrow" w:eastAsia="Arial Narrow" w:hint="default"/>
                <w:sz w:val="20"/>
                <w:szCs w:val="20"/>
              </w:rPr>
            </w:pPr>
            <w:r>
              <w:rPr>
                <w:rFonts w:ascii="Arial Narrow"/>
                <w:w w:val="95"/>
                <w:sz w:val="20"/>
              </w:rPr>
              <w:t>200,000.00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37"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5" w:lineRule="exact"/>
              <w:ind w:left="45" w:right="0"/>
              <w:jc w:val="both"/>
              <w:rPr>
                <w:rFonts w:ascii="宋体" w:hAnsi="宋体" w:cs="宋体" w:eastAsia="宋体" w:hint="default"/>
                <w:sz w:val="20"/>
                <w:szCs w:val="20"/>
              </w:rPr>
            </w:pPr>
            <w:r>
              <w:rPr>
                <w:rFonts w:ascii="Arial Narrow" w:hAnsi="Arial Narrow" w:cs="Arial Narrow" w:eastAsia="Arial Narrow" w:hint="default"/>
                <w:sz w:val="20"/>
                <w:szCs w:val="20"/>
              </w:rPr>
              <w:t>2015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年连云港市</w:t>
            </w:r>
          </w:p>
          <w:p>
            <w:pPr>
              <w:pStyle w:val="TableParagraph"/>
              <w:spacing w:line="260" w:lineRule="exact" w:before="17"/>
              <w:ind w:left="45" w:right="325"/>
              <w:jc w:val="both"/>
              <w:rPr>
                <w:rFonts w:ascii="宋体" w:hAnsi="宋体" w:cs="宋体" w:eastAsia="宋体" w:hint="default"/>
                <w:sz w:val="20"/>
                <w:szCs w:val="20"/>
              </w:rPr>
            </w:pPr>
            <w:r>
              <w:rPr>
                <w:rFonts w:ascii="宋体" w:hAnsi="宋体" w:cs="宋体" w:eastAsia="宋体" w:hint="default"/>
                <w:sz w:val="20"/>
                <w:szCs w:val="20"/>
              </w:rPr>
              <w:t>商务发展专项资</w:t>
            </w:r>
            <w:r>
              <w:rPr>
                <w:rFonts w:ascii="宋体" w:hAnsi="宋体" w:cs="宋体" w:eastAsia="宋体" w:hint="default"/>
                <w:w w:val="99"/>
                <w:sz w:val="20"/>
                <w:szCs w:val="20"/>
              </w:rPr>
              <w:t> </w:t>
            </w:r>
            <w:r>
              <w:rPr>
                <w:rFonts w:ascii="宋体" w:hAnsi="宋体" w:cs="宋体" w:eastAsia="宋体" w:hint="default"/>
                <w:sz w:val="20"/>
                <w:szCs w:val="20"/>
              </w:rPr>
              <w:t>金（出口品牌建</w:t>
            </w:r>
            <w:r>
              <w:rPr>
                <w:rFonts w:ascii="宋体" w:hAnsi="宋体" w:cs="宋体" w:eastAsia="宋体" w:hint="default"/>
                <w:w w:val="99"/>
                <w:sz w:val="20"/>
                <w:szCs w:val="20"/>
              </w:rPr>
              <w:t> </w:t>
            </w:r>
            <w:r>
              <w:rPr>
                <w:rFonts w:ascii="宋体" w:hAnsi="宋体" w:cs="宋体" w:eastAsia="宋体" w:hint="default"/>
                <w:sz w:val="20"/>
                <w:szCs w:val="20"/>
              </w:rPr>
              <w:t>设）</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52"/>
              <w:jc w:val="right"/>
              <w:rPr>
                <w:rFonts w:ascii="Arial Narrow" w:hAnsi="Arial Narrow" w:cs="Arial Narrow" w:eastAsia="Arial Narrow" w:hint="default"/>
                <w:sz w:val="20"/>
                <w:szCs w:val="20"/>
              </w:rPr>
            </w:pPr>
            <w:r>
              <w:rPr>
                <w:rFonts w:ascii="Arial Narrow"/>
                <w:w w:val="95"/>
                <w:sz w:val="20"/>
              </w:rPr>
              <w:t>170,000.00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36"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5" w:lineRule="exact"/>
              <w:ind w:left="45" w:right="0"/>
              <w:jc w:val="left"/>
              <w:rPr>
                <w:rFonts w:ascii="宋体" w:hAnsi="宋体" w:cs="宋体" w:eastAsia="宋体" w:hint="default"/>
                <w:sz w:val="20"/>
                <w:szCs w:val="20"/>
              </w:rPr>
            </w:pPr>
            <w:r>
              <w:rPr>
                <w:rFonts w:ascii="Arial Narrow" w:hAnsi="Arial Narrow" w:cs="Arial Narrow" w:eastAsia="Arial Narrow" w:hint="default"/>
                <w:sz w:val="20"/>
                <w:szCs w:val="20"/>
              </w:rPr>
              <w:t>2015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年省级商务</w:t>
            </w:r>
          </w:p>
          <w:p>
            <w:pPr>
              <w:pStyle w:val="TableParagraph"/>
              <w:spacing w:line="260" w:lineRule="exact" w:before="17"/>
              <w:ind w:left="45" w:right="148"/>
              <w:jc w:val="left"/>
              <w:rPr>
                <w:rFonts w:ascii="宋体" w:hAnsi="宋体" w:cs="宋体" w:eastAsia="宋体" w:hint="default"/>
                <w:sz w:val="20"/>
                <w:szCs w:val="20"/>
              </w:rPr>
            </w:pPr>
            <w:r>
              <w:rPr>
                <w:rFonts w:ascii="宋体" w:hAnsi="宋体" w:cs="宋体" w:eastAsia="宋体" w:hint="default"/>
                <w:sz w:val="20"/>
                <w:szCs w:val="20"/>
              </w:rPr>
              <w:t>发展切块专项资</w:t>
            </w:r>
            <w:r>
              <w:rPr>
                <w:rFonts w:ascii="宋体" w:hAnsi="宋体" w:cs="宋体" w:eastAsia="宋体" w:hint="default"/>
                <w:w w:val="99"/>
                <w:sz w:val="20"/>
                <w:szCs w:val="20"/>
              </w:rPr>
              <w:t> </w:t>
            </w:r>
            <w:r>
              <w:rPr>
                <w:rFonts w:ascii="宋体" w:hAnsi="宋体" w:cs="宋体" w:eastAsia="宋体" w:hint="default"/>
                <w:spacing w:val="-3"/>
                <w:sz w:val="20"/>
                <w:szCs w:val="20"/>
              </w:rPr>
              <w:t>金（外贸龙头企业</w:t>
            </w:r>
            <w:r>
              <w:rPr>
                <w:rFonts w:ascii="宋体" w:hAnsi="宋体" w:cs="宋体" w:eastAsia="宋体" w:hint="default"/>
                <w:w w:val="99"/>
                <w:sz w:val="20"/>
                <w:szCs w:val="20"/>
              </w:rPr>
              <w:t> </w:t>
            </w:r>
            <w:r>
              <w:rPr>
                <w:rFonts w:ascii="宋体" w:hAnsi="宋体" w:cs="宋体" w:eastAsia="宋体" w:hint="default"/>
                <w:sz w:val="20"/>
                <w:szCs w:val="20"/>
              </w:rPr>
              <w:t>扶持）</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52"/>
              <w:jc w:val="right"/>
              <w:rPr>
                <w:rFonts w:ascii="Arial Narrow" w:hAnsi="Arial Narrow" w:cs="Arial Narrow" w:eastAsia="Arial Narrow" w:hint="default"/>
                <w:sz w:val="20"/>
                <w:szCs w:val="20"/>
              </w:rPr>
            </w:pPr>
            <w:r>
              <w:rPr>
                <w:rFonts w:ascii="Arial Narrow"/>
                <w:w w:val="95"/>
                <w:sz w:val="20"/>
              </w:rPr>
              <w:t>160,000.00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4"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51" w:lineRule="exact"/>
              <w:ind w:left="45" w:right="0"/>
              <w:jc w:val="left"/>
              <w:rPr>
                <w:rFonts w:ascii="宋体" w:hAnsi="宋体" w:cs="宋体" w:eastAsia="宋体" w:hint="default"/>
                <w:sz w:val="20"/>
                <w:szCs w:val="20"/>
              </w:rPr>
            </w:pPr>
            <w:r>
              <w:rPr>
                <w:rFonts w:ascii="Arial Narrow" w:hAnsi="Arial Narrow" w:cs="Arial Narrow" w:eastAsia="Arial Narrow" w:hint="default"/>
                <w:sz w:val="20"/>
                <w:szCs w:val="20"/>
              </w:rPr>
              <w:t>“555</w:t>
            </w:r>
            <w:r>
              <w:rPr>
                <w:rFonts w:ascii="Arial Narrow" w:hAnsi="Arial Narrow" w:cs="Arial Narrow" w:eastAsia="Arial Narrow" w:hint="default"/>
                <w:spacing w:val="4"/>
                <w:sz w:val="20"/>
                <w:szCs w:val="20"/>
              </w:rPr>
              <w:t> </w:t>
            </w:r>
            <w:r>
              <w:rPr>
                <w:rFonts w:ascii="宋体" w:hAnsi="宋体" w:cs="宋体" w:eastAsia="宋体" w:hint="default"/>
                <w:sz w:val="20"/>
                <w:szCs w:val="20"/>
              </w:rPr>
              <w:t>工程</w:t>
            </w:r>
            <w:r>
              <w:rPr>
                <w:rFonts w:ascii="Arial Narrow" w:hAnsi="Arial Narrow" w:cs="Arial Narrow" w:eastAsia="Arial Narrow" w:hint="default"/>
                <w:sz w:val="20"/>
                <w:szCs w:val="20"/>
              </w:rPr>
              <w:t>”</w:t>
            </w:r>
            <w:r>
              <w:rPr>
                <w:rFonts w:ascii="宋体" w:hAnsi="宋体" w:cs="宋体" w:eastAsia="宋体" w:hint="default"/>
                <w:sz w:val="20"/>
                <w:szCs w:val="20"/>
              </w:rPr>
              <w:t>资助</w:t>
            </w:r>
          </w:p>
        </w:tc>
        <w:tc>
          <w:tcPr>
            <w:tcW w:w="1386" w:type="dxa"/>
            <w:tcBorders>
              <w:top w:val="nil" w:sz="6" w:space="0" w:color="auto"/>
              <w:left w:val="nil" w:sz="6" w:space="0" w:color="auto"/>
              <w:bottom w:val="nil" w:sz="6" w:space="0" w:color="auto"/>
              <w:right w:val="nil" w:sz="6" w:space="0" w:color="auto"/>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2"/>
              <w:jc w:val="right"/>
              <w:rPr>
                <w:rFonts w:ascii="Arial Narrow" w:hAnsi="Arial Narrow" w:cs="Arial Narrow" w:eastAsia="Arial Narrow" w:hint="default"/>
                <w:sz w:val="20"/>
                <w:szCs w:val="20"/>
              </w:rPr>
            </w:pPr>
            <w:r>
              <w:rPr>
                <w:rFonts w:ascii="Arial Narrow"/>
                <w:w w:val="95"/>
                <w:sz w:val="20"/>
              </w:rPr>
              <w:t>150,000.00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0"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4" w:lineRule="exact"/>
              <w:ind w:left="45" w:right="0"/>
              <w:jc w:val="left"/>
              <w:rPr>
                <w:rFonts w:ascii="宋体" w:hAnsi="宋体" w:cs="宋体" w:eastAsia="宋体" w:hint="default"/>
                <w:sz w:val="20"/>
                <w:szCs w:val="20"/>
              </w:rPr>
            </w:pPr>
            <w:r>
              <w:rPr>
                <w:rFonts w:ascii="宋体" w:hAnsi="宋体" w:cs="宋体" w:eastAsia="宋体" w:hint="default"/>
                <w:sz w:val="20"/>
                <w:szCs w:val="20"/>
              </w:rPr>
              <w:t>纳税二十强</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right"/>
              <w:rPr>
                <w:rFonts w:ascii="Arial Narrow" w:hAnsi="Arial Narrow" w:cs="Arial Narrow" w:eastAsia="Arial Narrow" w:hint="default"/>
                <w:sz w:val="20"/>
                <w:szCs w:val="20"/>
              </w:rPr>
            </w:pPr>
            <w:r>
              <w:rPr>
                <w:rFonts w:ascii="Arial Narrow"/>
                <w:w w:val="95"/>
                <w:sz w:val="20"/>
              </w:rPr>
              <w:t>150,000.00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78"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28" w:lineRule="exact"/>
              <w:ind w:left="45" w:right="0"/>
              <w:jc w:val="left"/>
              <w:rPr>
                <w:rFonts w:ascii="宋体" w:hAnsi="宋体" w:cs="宋体" w:eastAsia="宋体" w:hint="default"/>
                <w:sz w:val="20"/>
                <w:szCs w:val="20"/>
              </w:rPr>
            </w:pPr>
            <w:r>
              <w:rPr>
                <w:rFonts w:ascii="宋体" w:hAnsi="宋体" w:cs="宋体" w:eastAsia="宋体" w:hint="default"/>
                <w:sz w:val="20"/>
                <w:szCs w:val="20"/>
              </w:rPr>
              <w:t>高层次创新创业</w:t>
            </w:r>
          </w:p>
          <w:p>
            <w:pPr>
              <w:pStyle w:val="TableParagraph"/>
              <w:spacing w:line="260" w:lineRule="exact" w:before="24"/>
              <w:ind w:left="45" w:right="325"/>
              <w:jc w:val="left"/>
              <w:rPr>
                <w:rFonts w:ascii="宋体" w:hAnsi="宋体" w:cs="宋体" w:eastAsia="宋体" w:hint="default"/>
                <w:sz w:val="20"/>
                <w:szCs w:val="20"/>
              </w:rPr>
            </w:pPr>
            <w:r>
              <w:rPr>
                <w:rFonts w:ascii="宋体" w:hAnsi="宋体" w:cs="宋体" w:eastAsia="宋体" w:hint="default"/>
                <w:sz w:val="20"/>
                <w:szCs w:val="20"/>
              </w:rPr>
              <w:t>领军人才聚集工</w:t>
            </w:r>
            <w:r>
              <w:rPr>
                <w:rFonts w:ascii="宋体" w:hAnsi="宋体" w:cs="宋体" w:eastAsia="宋体" w:hint="default"/>
                <w:w w:val="99"/>
                <w:sz w:val="20"/>
                <w:szCs w:val="20"/>
              </w:rPr>
              <w:t> </w:t>
            </w:r>
            <w:r>
              <w:rPr>
                <w:rFonts w:ascii="宋体" w:hAnsi="宋体" w:cs="宋体" w:eastAsia="宋体" w:hint="default"/>
                <w:sz w:val="20"/>
                <w:szCs w:val="20"/>
              </w:rPr>
              <w:t>程</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2"/>
              <w:jc w:val="right"/>
              <w:rPr>
                <w:rFonts w:ascii="Arial Narrow" w:hAnsi="Arial Narrow" w:cs="Arial Narrow" w:eastAsia="Arial Narrow" w:hint="default"/>
                <w:sz w:val="20"/>
                <w:szCs w:val="20"/>
              </w:rPr>
            </w:pPr>
            <w:r>
              <w:rPr>
                <w:rFonts w:ascii="Arial Narrow"/>
                <w:w w:val="95"/>
                <w:sz w:val="20"/>
              </w:rPr>
              <w:t>150,000.00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3"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7" w:lineRule="exact"/>
              <w:ind w:left="45" w:right="0"/>
              <w:jc w:val="left"/>
              <w:rPr>
                <w:rFonts w:ascii="宋体" w:hAnsi="宋体" w:cs="宋体" w:eastAsia="宋体" w:hint="default"/>
                <w:sz w:val="20"/>
                <w:szCs w:val="20"/>
              </w:rPr>
            </w:pPr>
            <w:r>
              <w:rPr>
                <w:rFonts w:ascii="宋体" w:hAnsi="宋体" w:cs="宋体" w:eastAsia="宋体" w:hint="default"/>
                <w:sz w:val="20"/>
                <w:szCs w:val="20"/>
              </w:rPr>
              <w:t>税收返还</w:t>
            </w:r>
          </w:p>
        </w:tc>
        <w:tc>
          <w:tcPr>
            <w:tcW w:w="1386" w:type="dxa"/>
            <w:tcBorders>
              <w:top w:val="nil" w:sz="6" w:space="0" w:color="auto"/>
              <w:left w:val="nil" w:sz="6" w:space="0" w:color="auto"/>
              <w:bottom w:val="nil" w:sz="6" w:space="0" w:color="auto"/>
              <w:right w:val="nil" w:sz="6" w:space="0" w:color="auto"/>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2"/>
              <w:jc w:val="right"/>
              <w:rPr>
                <w:rFonts w:ascii="Arial Narrow" w:hAnsi="Arial Narrow" w:cs="Arial Narrow" w:eastAsia="Arial Narrow" w:hint="default"/>
                <w:sz w:val="20"/>
                <w:szCs w:val="20"/>
              </w:rPr>
            </w:pPr>
            <w:r>
              <w:rPr>
                <w:rFonts w:ascii="Arial Narrow"/>
                <w:w w:val="95"/>
                <w:sz w:val="20"/>
              </w:rPr>
              <w:t>149,400.00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38" w:hRule="exact"/>
        </w:trPr>
        <w:tc>
          <w:tcPr>
            <w:tcW w:w="1772" w:type="dxa"/>
            <w:tcBorders>
              <w:top w:val="nil" w:sz="6" w:space="0" w:color="auto"/>
              <w:left w:val="nil" w:sz="6" w:space="0" w:color="auto"/>
              <w:bottom w:val="nil" w:sz="6" w:space="0" w:color="auto"/>
              <w:right w:val="nil" w:sz="6" w:space="0" w:color="auto"/>
            </w:tcBorders>
          </w:tcPr>
          <w:p>
            <w:pPr>
              <w:pStyle w:val="TableParagraph"/>
              <w:spacing w:line="237" w:lineRule="exact"/>
              <w:ind w:left="45" w:right="0"/>
              <w:jc w:val="both"/>
              <w:rPr>
                <w:rFonts w:ascii="宋体" w:hAnsi="宋体" w:cs="宋体" w:eastAsia="宋体" w:hint="default"/>
                <w:sz w:val="20"/>
                <w:szCs w:val="20"/>
              </w:rPr>
            </w:pPr>
            <w:r>
              <w:rPr>
                <w:rFonts w:ascii="Arial Narrow" w:hAnsi="Arial Narrow" w:cs="Arial Narrow" w:eastAsia="Arial Narrow" w:hint="default"/>
                <w:sz w:val="20"/>
                <w:szCs w:val="20"/>
              </w:rPr>
              <w:t>2015</w:t>
            </w:r>
            <w:r>
              <w:rPr>
                <w:rFonts w:ascii="Arial Narrow" w:hAnsi="Arial Narrow" w:cs="Arial Narrow" w:eastAsia="Arial Narrow" w:hint="default"/>
                <w:spacing w:val="3"/>
                <w:sz w:val="20"/>
                <w:szCs w:val="20"/>
              </w:rPr>
              <w:t> </w:t>
            </w:r>
            <w:r>
              <w:rPr>
                <w:rFonts w:ascii="宋体" w:hAnsi="宋体" w:cs="宋体" w:eastAsia="宋体" w:hint="default"/>
                <w:sz w:val="20"/>
                <w:szCs w:val="20"/>
              </w:rPr>
              <w:t>年连云港市</w:t>
            </w:r>
          </w:p>
          <w:p>
            <w:pPr>
              <w:pStyle w:val="TableParagraph"/>
              <w:spacing w:line="260" w:lineRule="exact" w:before="17"/>
              <w:ind w:left="45" w:right="325"/>
              <w:jc w:val="both"/>
              <w:rPr>
                <w:rFonts w:ascii="宋体" w:hAnsi="宋体" w:cs="宋体" w:eastAsia="宋体" w:hint="default"/>
                <w:sz w:val="20"/>
                <w:szCs w:val="20"/>
              </w:rPr>
            </w:pPr>
            <w:r>
              <w:rPr>
                <w:rFonts w:ascii="宋体" w:hAnsi="宋体" w:cs="宋体" w:eastAsia="宋体" w:hint="default"/>
                <w:sz w:val="20"/>
                <w:szCs w:val="20"/>
              </w:rPr>
              <w:t>商务发展专项资</w:t>
            </w:r>
            <w:r>
              <w:rPr>
                <w:rFonts w:ascii="宋体" w:hAnsi="宋体" w:cs="宋体" w:eastAsia="宋体" w:hint="default"/>
                <w:w w:val="99"/>
                <w:sz w:val="20"/>
                <w:szCs w:val="20"/>
              </w:rPr>
              <w:t> </w:t>
            </w:r>
            <w:r>
              <w:rPr>
                <w:rFonts w:ascii="宋体" w:hAnsi="宋体" w:cs="宋体" w:eastAsia="宋体" w:hint="default"/>
                <w:sz w:val="20"/>
                <w:szCs w:val="20"/>
              </w:rPr>
              <w:t>金（出口信用保</w:t>
            </w:r>
            <w:r>
              <w:rPr>
                <w:rFonts w:ascii="宋体" w:hAnsi="宋体" w:cs="宋体" w:eastAsia="宋体" w:hint="default"/>
                <w:w w:val="99"/>
                <w:sz w:val="20"/>
                <w:szCs w:val="20"/>
              </w:rPr>
              <w:t> </w:t>
            </w:r>
            <w:r>
              <w:rPr>
                <w:rFonts w:ascii="宋体" w:hAnsi="宋体" w:cs="宋体" w:eastAsia="宋体" w:hint="default"/>
                <w:sz w:val="20"/>
                <w:szCs w:val="20"/>
              </w:rPr>
              <w:t>险）</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52"/>
              <w:jc w:val="right"/>
              <w:rPr>
                <w:rFonts w:ascii="Arial Narrow" w:hAnsi="Arial Narrow" w:cs="Arial Narrow" w:eastAsia="Arial Narrow" w:hint="default"/>
                <w:sz w:val="20"/>
                <w:szCs w:val="20"/>
              </w:rPr>
            </w:pPr>
            <w:r>
              <w:rPr>
                <w:rFonts w:ascii="Arial Narrow"/>
                <w:w w:val="95"/>
                <w:sz w:val="20"/>
              </w:rPr>
              <w:t>140,000.00</w:t>
            </w:r>
            <w:r>
              <w:rPr>
                <w:rFonts w:ascii="Arial Narrow"/>
                <w:sz w:val="20"/>
              </w:rPr>
            </w:r>
          </w:p>
        </w:tc>
        <w:tc>
          <w:tcPr>
            <w:tcW w:w="138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8" w:hRule="exact"/>
        </w:trPr>
        <w:tc>
          <w:tcPr>
            <w:tcW w:w="1772" w:type="dxa"/>
            <w:tcBorders>
              <w:top w:val="nil" w:sz="6" w:space="0" w:color="auto"/>
              <w:left w:val="nil" w:sz="6" w:space="0" w:color="auto"/>
              <w:bottom w:val="single" w:sz="4" w:space="0" w:color="000000"/>
              <w:right w:val="nil" w:sz="6" w:space="0" w:color="auto"/>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386" w:type="dxa"/>
            <w:tcBorders>
              <w:top w:val="nil" w:sz="6" w:space="0" w:color="auto"/>
              <w:left w:val="nil" w:sz="6" w:space="0" w:color="auto"/>
              <w:bottom w:val="single" w:sz="4" w:space="0" w:color="000000"/>
              <w:right w:val="nil" w:sz="6" w:space="0" w:color="auto"/>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50"/>
              <w:jc w:val="right"/>
              <w:rPr>
                <w:rFonts w:ascii="Arial Narrow" w:hAnsi="Arial Narrow" w:cs="Arial Narrow" w:eastAsia="Arial Narrow" w:hint="default"/>
                <w:sz w:val="21"/>
                <w:szCs w:val="21"/>
              </w:rPr>
            </w:pPr>
            <w:r>
              <w:rPr>
                <w:rFonts w:ascii="Arial Narrow"/>
                <w:spacing w:val="-1"/>
                <w:sz w:val="21"/>
              </w:rPr>
              <w:t>616,470.00</w:t>
            </w:r>
            <w:r>
              <w:rPr>
                <w:rFonts w:ascii="Arial Narrow"/>
                <w:sz w:val="21"/>
              </w:rPr>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32"/>
              <w:jc w:val="right"/>
              <w:rPr>
                <w:rFonts w:ascii="Arial Narrow" w:hAnsi="Arial Narrow" w:cs="Arial Narrow" w:eastAsia="Arial Narrow" w:hint="default"/>
                <w:sz w:val="20"/>
                <w:szCs w:val="20"/>
              </w:rPr>
            </w:pPr>
            <w:r>
              <w:rPr>
                <w:rFonts w:ascii="Arial Narrow"/>
                <w:w w:val="95"/>
                <w:sz w:val="20"/>
              </w:rPr>
              <w:t>648,943.76</w:t>
            </w:r>
            <w:r>
              <w:rPr>
                <w:rFonts w:ascii="Arial Narrow"/>
                <w:sz w:val="20"/>
              </w:rPr>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1772" w:type="dxa"/>
            <w:tcBorders>
              <w:top w:val="single" w:sz="4" w:space="0" w:color="000000"/>
              <w:left w:val="nil" w:sz="6" w:space="0" w:color="auto"/>
              <w:bottom w:val="single" w:sz="4" w:space="0" w:color="000000"/>
              <w:right w:val="nil" w:sz="6" w:space="0" w:color="auto"/>
            </w:tcBorders>
          </w:tcPr>
          <w:p>
            <w:pPr>
              <w:pStyle w:val="TableParagraph"/>
              <w:spacing w:line="267" w:lineRule="exact"/>
              <w:ind w:left="5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386" w:type="dxa"/>
            <w:tcBorders>
              <w:top w:val="single" w:sz="4" w:space="0" w:color="000000"/>
              <w:left w:val="nil" w:sz="6" w:space="0" w:color="auto"/>
              <w:bottom w:val="single" w:sz="4" w:space="0" w:color="000000"/>
              <w:right w:val="nil" w:sz="6" w:space="0" w:color="auto"/>
            </w:tcBorders>
          </w:tcPr>
          <w:p>
            <w:pP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0"/>
              <w:jc w:val="right"/>
              <w:rPr>
                <w:rFonts w:ascii="Arial Narrow" w:hAnsi="Arial Narrow" w:cs="Arial Narrow" w:eastAsia="Arial Narrow" w:hint="default"/>
                <w:sz w:val="21"/>
                <w:szCs w:val="21"/>
              </w:rPr>
            </w:pPr>
            <w:r>
              <w:rPr>
                <w:rFonts w:ascii="Arial Narrow"/>
                <w:b/>
                <w:spacing w:val="-1"/>
                <w:sz w:val="21"/>
              </w:rPr>
              <w:t>10,640,000.95</w:t>
            </w:r>
            <w:r>
              <w:rPr>
                <w:rFonts w:ascii="Arial Narrow"/>
                <w:sz w:val="21"/>
              </w:rPr>
            </w:r>
          </w:p>
        </w:tc>
        <w:tc>
          <w:tcPr>
            <w:tcW w:w="1389"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30"/>
              <w:jc w:val="right"/>
              <w:rPr>
                <w:rFonts w:ascii="Arial Narrow" w:hAnsi="Arial Narrow" w:cs="Arial Narrow" w:eastAsia="Arial Narrow" w:hint="default"/>
                <w:sz w:val="21"/>
                <w:szCs w:val="21"/>
              </w:rPr>
            </w:pPr>
            <w:r>
              <w:rPr>
                <w:rFonts w:ascii="Arial Narrow"/>
                <w:b/>
                <w:spacing w:val="-1"/>
                <w:sz w:val="21"/>
              </w:rPr>
              <w:t>17,271,489.37</w:t>
            </w:r>
            <w:r>
              <w:rPr>
                <w:rFonts w:ascii="Arial Narrow"/>
                <w:sz w:val="21"/>
              </w:rPr>
            </w:r>
          </w:p>
        </w:tc>
        <w:tc>
          <w:tcPr>
            <w:tcW w:w="1426" w:type="dxa"/>
            <w:tcBorders>
              <w:top w:val="single" w:sz="4" w:space="0" w:color="000000"/>
              <w:left w:val="nil" w:sz="6" w:space="0" w:color="auto"/>
              <w:bottom w:val="single" w:sz="4" w:space="0" w:color="000000"/>
              <w:right w:val="nil" w:sz="6" w:space="0" w:color="auto"/>
            </w:tcBorders>
          </w:tcPr>
          <w:p>
            <w:pPr/>
          </w:p>
        </w:tc>
        <w:tc>
          <w:tcPr>
            <w:tcW w:w="1527" w:type="dxa"/>
            <w:tcBorders>
              <w:top w:val="single" w:sz="4" w:space="0" w:color="000000"/>
              <w:left w:val="nil" w:sz="6" w:space="0" w:color="auto"/>
              <w:bottom w:val="single" w:sz="4" w:space="0" w:color="000000"/>
              <w:right w:val="nil" w:sz="6" w:space="0" w:color="auto"/>
            </w:tcBorders>
          </w:tcPr>
          <w:p>
            <w:pPr/>
          </w:p>
        </w:tc>
      </w:tr>
    </w:tbl>
    <w:p>
      <w:pPr>
        <w:pStyle w:val="Heading3"/>
        <w:spacing w:line="240" w:lineRule="auto" w:before="79"/>
        <w:ind w:left="218" w:right="20"/>
        <w:jc w:val="left"/>
      </w:pPr>
      <w:r>
        <w:rPr/>
        <w:t>（</w:t>
      </w:r>
      <w:r>
        <w:rPr>
          <w:rFonts w:ascii="Arial Narrow" w:hAnsi="Arial Narrow" w:cs="Arial Narrow" w:eastAsia="Arial Narrow" w:hint="default"/>
        </w:rPr>
        <w:t>3</w:t>
      </w:r>
      <w:r>
        <w:rPr/>
        <w:t>）本年返还政府补助情况</w:t>
      </w:r>
    </w:p>
    <w:p>
      <w:pPr>
        <w:spacing w:line="240" w:lineRule="auto" w:before="13"/>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559"/>
        <w:gridCol w:w="1854"/>
        <w:gridCol w:w="3635"/>
      </w:tblGrid>
      <w:tr>
        <w:trPr>
          <w:trHeight w:val="408" w:hRule="exact"/>
        </w:trPr>
        <w:tc>
          <w:tcPr>
            <w:tcW w:w="3559" w:type="dxa"/>
            <w:tcBorders>
              <w:top w:val="single" w:sz="4" w:space="0" w:color="000000"/>
              <w:left w:val="nil" w:sz="6" w:space="0" w:color="auto"/>
              <w:bottom w:val="single" w:sz="4" w:space="0" w:color="000000"/>
              <w:right w:val="nil" w:sz="6" w:space="0" w:color="auto"/>
            </w:tcBorders>
          </w:tcPr>
          <w:p>
            <w:pPr>
              <w:pStyle w:val="TableParagraph"/>
              <w:spacing w:line="344"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854" w:type="dxa"/>
            <w:tcBorders>
              <w:top w:val="single" w:sz="4" w:space="0" w:color="000000"/>
              <w:left w:val="nil" w:sz="6" w:space="0" w:color="auto"/>
              <w:bottom w:val="single" w:sz="4" w:space="0" w:color="000000"/>
              <w:right w:val="nil" w:sz="6" w:space="0" w:color="auto"/>
            </w:tcBorders>
          </w:tcPr>
          <w:p>
            <w:pPr>
              <w:pStyle w:val="TableParagraph"/>
              <w:spacing w:line="34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3635" w:type="dxa"/>
            <w:tcBorders>
              <w:top w:val="single" w:sz="4" w:space="0" w:color="000000"/>
              <w:left w:val="nil" w:sz="6" w:space="0" w:color="auto"/>
              <w:bottom w:val="single" w:sz="4" w:space="0" w:color="000000"/>
              <w:right w:val="nil" w:sz="6" w:space="0" w:color="auto"/>
            </w:tcBorders>
          </w:tcPr>
          <w:p>
            <w:pPr>
              <w:pStyle w:val="TableParagraph"/>
              <w:spacing w:line="344" w:lineRule="exact"/>
              <w:ind w:left="59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原因</w:t>
            </w:r>
            <w:r>
              <w:rPr>
                <w:rFonts w:ascii="Microsoft JhengHei" w:hAnsi="Microsoft JhengHei" w:cs="Microsoft JhengHei" w:eastAsia="Microsoft JhengHei" w:hint="default"/>
                <w:sz w:val="24"/>
                <w:szCs w:val="24"/>
              </w:rPr>
            </w:r>
          </w:p>
        </w:tc>
      </w:tr>
      <w:tr>
        <w:trPr>
          <w:trHeight w:val="634" w:hRule="exact"/>
        </w:trPr>
        <w:tc>
          <w:tcPr>
            <w:tcW w:w="3559" w:type="dxa"/>
            <w:tcBorders>
              <w:top w:val="single" w:sz="4" w:space="0" w:color="000000"/>
              <w:left w:val="nil" w:sz="6" w:space="0" w:color="auto"/>
              <w:bottom w:val="single" w:sz="4" w:space="0" w:color="000000"/>
              <w:right w:val="nil" w:sz="6" w:space="0" w:color="auto"/>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科技创新与成果转化（重大科技</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成果转化）专项资金项目</w:t>
            </w:r>
          </w:p>
        </w:tc>
        <w:tc>
          <w:tcPr>
            <w:tcW w:w="1854" w:type="dxa"/>
            <w:tcBorders>
              <w:top w:val="single" w:sz="4" w:space="0" w:color="000000"/>
              <w:left w:val="nil" w:sz="6" w:space="0" w:color="auto"/>
              <w:bottom w:val="single" w:sz="4" w:space="0" w:color="000000"/>
              <w:right w:val="nil" w:sz="6" w:space="0" w:color="auto"/>
            </w:tcBorders>
          </w:tcPr>
          <w:p>
            <w:pPr>
              <w:pStyle w:val="TableParagraph"/>
              <w:spacing w:line="240" w:lineRule="auto" w:before="166"/>
              <w:ind w:left="108" w:right="0"/>
              <w:jc w:val="left"/>
              <w:rPr>
                <w:rFonts w:ascii="Arial Narrow" w:hAnsi="Arial Narrow" w:cs="Arial Narrow" w:eastAsia="Arial Narrow" w:hint="default"/>
                <w:sz w:val="24"/>
                <w:szCs w:val="24"/>
              </w:rPr>
            </w:pPr>
            <w:r>
              <w:rPr>
                <w:rFonts w:ascii="Arial Narrow"/>
                <w:sz w:val="24"/>
              </w:rPr>
              <w:t>1,370,000.00</w:t>
            </w:r>
          </w:p>
        </w:tc>
        <w:tc>
          <w:tcPr>
            <w:tcW w:w="3635"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596" w:right="0"/>
              <w:jc w:val="left"/>
              <w:rPr>
                <w:rFonts w:ascii="宋体" w:hAnsi="宋体" w:cs="宋体" w:eastAsia="宋体" w:hint="default"/>
                <w:sz w:val="24"/>
                <w:szCs w:val="24"/>
              </w:rPr>
            </w:pPr>
            <w:r>
              <w:rPr>
                <w:rFonts w:ascii="宋体" w:hAnsi="宋体" w:cs="宋体" w:eastAsia="宋体" w:hint="default"/>
                <w:sz w:val="24"/>
                <w:szCs w:val="24"/>
              </w:rPr>
              <w:t>项目审核未通过</w:t>
            </w:r>
          </w:p>
        </w:tc>
      </w:tr>
    </w:tbl>
    <w:p>
      <w:pPr>
        <w:spacing w:after="0" w:line="240" w:lineRule="auto"/>
        <w:jc w:val="left"/>
        <w:rPr>
          <w:rFonts w:ascii="宋体" w:hAnsi="宋体" w:cs="宋体" w:eastAsia="宋体" w:hint="default"/>
          <w:sz w:val="24"/>
          <w:szCs w:val="24"/>
        </w:rPr>
        <w:sectPr>
          <w:pgSz w:w="11910" w:h="16840"/>
          <w:pgMar w:header="882" w:footer="1195" w:top="1080" w:bottom="1380" w:left="1580" w:right="1060"/>
        </w:sectPr>
      </w:pPr>
    </w:p>
    <w:p>
      <w:pPr>
        <w:spacing w:line="240" w:lineRule="auto" w:before="3"/>
        <w:rPr>
          <w:rFonts w:ascii="宋体" w:hAnsi="宋体" w:cs="宋体" w:eastAsia="宋体" w:hint="default"/>
          <w:sz w:val="2"/>
          <w:szCs w:val="2"/>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Heading5"/>
        <w:spacing w:line="240" w:lineRule="auto" w:before="36"/>
        <w:ind w:left="538" w:right="0"/>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73" w:lineRule="exact" w:before="58"/>
        <w:ind w:left="538" w:right="0"/>
        <w:jc w:val="left"/>
      </w:pPr>
      <w:r>
        <w:rPr/>
        <w:t>√适用</w:t>
      </w:r>
      <w:r>
        <w:rPr>
          <w:spacing w:val="-1"/>
        </w:rPr>
        <w:t> </w:t>
      </w:r>
      <w:r>
        <w:rPr/>
        <w:t>□不适用</w:t>
      </w:r>
    </w:p>
    <w:p>
      <w:pPr>
        <w:pStyle w:val="BodyText"/>
        <w:spacing w:line="237" w:lineRule="auto"/>
        <w:ind w:left="538" w:right="0"/>
        <w:jc w:val="left"/>
      </w:pP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2</w:t>
      </w:r>
      <w:r>
        <w:rPr>
          <w:rFonts w:ascii="宋体" w:hAnsi="宋体" w:cs="宋体" w:eastAsia="宋体" w:hint="default"/>
          <w:spacing w:val="-47"/>
        </w:rPr>
        <w:t> </w:t>
      </w:r>
      <w:r>
        <w:rPr/>
        <w:t>月</w:t>
      </w:r>
      <w:r>
        <w:rPr>
          <w:spacing w:val="-45"/>
        </w:rPr>
        <w:t> </w:t>
      </w:r>
      <w:r>
        <w:rPr>
          <w:rFonts w:ascii="宋体" w:hAnsi="宋体" w:cs="宋体" w:eastAsia="宋体" w:hint="default"/>
        </w:rPr>
        <w:t>17</w:t>
      </w:r>
      <w:r>
        <w:rPr>
          <w:rFonts w:ascii="宋体" w:hAnsi="宋体" w:cs="宋体" w:eastAsia="宋体" w:hint="default"/>
          <w:spacing w:val="-47"/>
        </w:rPr>
        <w:t> </w:t>
      </w:r>
      <w:r>
        <w:rPr>
          <w:spacing w:val="-4"/>
        </w:rPr>
        <w:t>日，本公司与帅康集团签署《股份转让协议》，本公司以现金</w:t>
      </w:r>
      <w:r>
        <w:rPr>
          <w:spacing w:val="-44"/>
        </w:rPr>
        <w:t> </w:t>
      </w:r>
      <w:r>
        <w:rPr>
          <w:rFonts w:ascii="宋体" w:hAnsi="宋体" w:cs="宋体" w:eastAsia="宋体" w:hint="default"/>
        </w:rPr>
        <w:t>7.35</w:t>
      </w:r>
      <w:r>
        <w:rPr>
          <w:rFonts w:ascii="宋体" w:hAnsi="宋体" w:cs="宋体" w:eastAsia="宋体" w:hint="default"/>
          <w:spacing w:val="-45"/>
        </w:rPr>
        <w:t> </w:t>
      </w:r>
      <w:r>
        <w:rPr/>
        <w:t>亿元收购浙江</w:t>
      </w:r>
      <w:r>
        <w:rPr>
          <w:spacing w:val="-101"/>
        </w:rPr>
        <w:t> </w:t>
      </w:r>
      <w:r>
        <w:rPr>
          <w:spacing w:val="-101"/>
        </w:rPr>
      </w:r>
      <w:r>
        <w:rPr/>
        <w:t>帅康电气股份有限公司</w:t>
      </w:r>
      <w:r>
        <w:rPr>
          <w:spacing w:val="-55"/>
        </w:rPr>
        <w:t> </w:t>
      </w:r>
      <w:r>
        <w:rPr>
          <w:rFonts w:ascii="宋体" w:hAnsi="宋体" w:cs="宋体" w:eastAsia="宋体" w:hint="default"/>
        </w:rPr>
        <w:t>75%</w:t>
      </w:r>
      <w:r>
        <w:rPr/>
        <w:t>的股份。帅康集团承诺：帅康电气在</w:t>
      </w:r>
      <w:r>
        <w:rPr>
          <w:spacing w:val="-56"/>
        </w:rPr>
        <w:t> </w:t>
      </w:r>
      <w:r>
        <w:rPr>
          <w:rFonts w:ascii="宋体" w:hAnsi="宋体" w:cs="宋体" w:eastAsia="宋体" w:hint="default"/>
        </w:rPr>
        <w:t>2016-2018</w:t>
      </w:r>
      <w:r>
        <w:rPr>
          <w:rFonts w:ascii="宋体" w:hAnsi="宋体" w:cs="宋体" w:eastAsia="宋体" w:hint="default"/>
          <w:spacing w:val="-56"/>
        </w:rPr>
        <w:t> </w:t>
      </w:r>
      <w:r>
        <w:rPr/>
        <w:t>年的利润补偿期内经</w:t>
      </w:r>
      <w:r>
        <w:rPr>
          <w:w w:val="100"/>
        </w:rPr>
        <w:t> </w:t>
      </w:r>
      <w:r>
        <w:rPr>
          <w:spacing w:val="-2"/>
        </w:rPr>
        <w:t>会计师事务所审计后的累计净利润（剔除关联方资金占用导致非经营性负债而产生的相关财务费</w:t>
      </w:r>
      <w:r>
        <w:rPr>
          <w:spacing w:val="-25"/>
        </w:rPr>
        <w:t> </w:t>
      </w:r>
      <w:r>
        <w:rPr>
          <w:spacing w:val="-25"/>
        </w:rPr>
      </w:r>
      <w:r>
        <w:rPr>
          <w:spacing w:val="-11"/>
        </w:rPr>
        <w:t>用）不低于</w:t>
      </w:r>
      <w:r>
        <w:rPr>
          <w:spacing w:val="-51"/>
        </w:rPr>
        <w:t> </w:t>
      </w:r>
      <w:r>
        <w:rPr>
          <w:rFonts w:ascii="宋体" w:hAnsi="宋体" w:cs="宋体" w:eastAsia="宋体" w:hint="default"/>
        </w:rPr>
        <w:t>30,940.15</w:t>
      </w:r>
      <w:r>
        <w:rPr>
          <w:rFonts w:ascii="宋体" w:hAnsi="宋体" w:cs="宋体" w:eastAsia="宋体" w:hint="default"/>
          <w:spacing w:val="-48"/>
        </w:rPr>
        <w:t> </w:t>
      </w:r>
      <w:r>
        <w:rPr>
          <w:spacing w:val="-12"/>
        </w:rPr>
        <w:t>万元，其中：</w:t>
      </w:r>
      <w:r>
        <w:rPr>
          <w:rFonts w:ascii="宋体" w:hAnsi="宋体" w:cs="宋体" w:eastAsia="宋体" w:hint="default"/>
          <w:spacing w:val="-12"/>
        </w:rPr>
        <w:t>2016</w:t>
      </w:r>
      <w:r>
        <w:rPr>
          <w:rFonts w:ascii="宋体" w:hAnsi="宋体" w:cs="宋体" w:eastAsia="宋体" w:hint="default"/>
          <w:spacing w:val="-51"/>
        </w:rPr>
        <w:t> </w:t>
      </w:r>
      <w:r>
        <w:rPr>
          <w:spacing w:val="-9"/>
        </w:rPr>
        <w:t>年、</w:t>
      </w:r>
      <w:r>
        <w:rPr>
          <w:rFonts w:ascii="宋体" w:hAnsi="宋体" w:cs="宋体" w:eastAsia="宋体" w:hint="default"/>
          <w:spacing w:val="-9"/>
        </w:rPr>
        <w:t>2017</w:t>
      </w:r>
      <w:r>
        <w:rPr>
          <w:rFonts w:ascii="宋体" w:hAnsi="宋体" w:cs="宋体" w:eastAsia="宋体" w:hint="default"/>
          <w:spacing w:val="-51"/>
        </w:rPr>
        <w:t> </w:t>
      </w:r>
      <w:r>
        <w:rPr>
          <w:spacing w:val="-9"/>
        </w:rPr>
        <w:t>年、</w:t>
      </w:r>
      <w:r>
        <w:rPr>
          <w:rFonts w:ascii="宋体" w:hAnsi="宋体" w:cs="宋体" w:eastAsia="宋体" w:hint="default"/>
          <w:spacing w:val="-9"/>
        </w:rPr>
        <w:t>2018</w:t>
      </w:r>
      <w:r>
        <w:rPr>
          <w:rFonts w:ascii="宋体" w:hAnsi="宋体" w:cs="宋体" w:eastAsia="宋体" w:hint="default"/>
          <w:spacing w:val="-49"/>
        </w:rPr>
        <w:t> </w:t>
      </w:r>
      <w:r>
        <w:rPr/>
        <w:t>年净利润分别不低于</w:t>
      </w:r>
      <w:r>
        <w:rPr>
          <w:spacing w:val="-48"/>
        </w:rPr>
        <w:t> </w:t>
      </w:r>
      <w:r>
        <w:rPr>
          <w:rFonts w:ascii="宋体" w:hAnsi="宋体" w:cs="宋体" w:eastAsia="宋体" w:hint="default"/>
        </w:rPr>
        <w:t>8,500.04</w:t>
      </w:r>
      <w:r>
        <w:rPr>
          <w:rFonts w:ascii="宋体" w:hAnsi="宋体" w:cs="宋体" w:eastAsia="宋体" w:hint="default"/>
          <w:spacing w:val="-51"/>
        </w:rPr>
        <w:t> </w:t>
      </w:r>
      <w:r>
        <w:rPr/>
        <w:t>万元、</w:t>
      </w:r>
      <w:r>
        <w:rPr>
          <w:w w:val="100"/>
        </w:rPr>
        <w:t> </w:t>
      </w:r>
      <w:r>
        <w:rPr>
          <w:rFonts w:ascii="宋体" w:hAnsi="宋体" w:cs="宋体" w:eastAsia="宋体" w:hint="default"/>
        </w:rPr>
        <w:t>10,200.05</w:t>
      </w:r>
      <w:r>
        <w:rPr>
          <w:rFonts w:ascii="宋体" w:hAnsi="宋体" w:cs="宋体" w:eastAsia="宋体" w:hint="default"/>
          <w:spacing w:val="-34"/>
        </w:rPr>
        <w:t> </w:t>
      </w:r>
      <w:r>
        <w:rPr>
          <w:spacing w:val="-5"/>
        </w:rPr>
        <w:t>万元、</w:t>
      </w:r>
      <w:r>
        <w:rPr>
          <w:rFonts w:ascii="宋体" w:hAnsi="宋体" w:cs="宋体" w:eastAsia="宋体" w:hint="default"/>
          <w:spacing w:val="-5"/>
        </w:rPr>
        <w:t>12,240.06</w:t>
      </w:r>
      <w:r>
        <w:rPr>
          <w:rFonts w:ascii="宋体" w:hAnsi="宋体" w:cs="宋体" w:eastAsia="宋体" w:hint="default"/>
          <w:spacing w:val="-30"/>
        </w:rPr>
        <w:t> </w:t>
      </w:r>
      <w:r>
        <w:rPr>
          <w:spacing w:val="-3"/>
        </w:rPr>
        <w:t>万元。如利润补偿期届满时经审计的帅康电气累积实际净利润不足承</w:t>
      </w:r>
      <w:r>
        <w:rPr>
          <w:spacing w:val="-97"/>
        </w:rPr>
        <w:t> </w:t>
      </w:r>
      <w:r>
        <w:rPr>
          <w:spacing w:val="-97"/>
        </w:rPr>
      </w:r>
      <w:r>
        <w:rPr/>
        <w:t>诺净利润数的，则帅康集团需向本公司进行利润补偿，邹国营对该等利润承担无限连带责任。</w:t>
      </w:r>
      <w:r>
        <w:rPr>
          <w:w w:val="100"/>
        </w:rPr>
        <w:t> </w:t>
      </w:r>
      <w:r>
        <w:rPr>
          <w:spacing w:val="-2"/>
        </w:rPr>
        <w:t>基于对帅康电气发展的信心，进一步深化整合，充分发挥协同性，本公司与帅康集团协商，新增</w:t>
      </w:r>
      <w:r>
        <w:rPr>
          <w:spacing w:val="-25"/>
        </w:rPr>
        <w:t> </w:t>
      </w:r>
      <w:r>
        <w:rPr>
          <w:spacing w:val="-25"/>
        </w:rPr>
      </w:r>
      <w:r>
        <w:rPr>
          <w:spacing w:val="-2"/>
        </w:rPr>
        <w:t>本公司控股股东太阳雨控股集团有限公司（以下简称“太阳雨控股”）为业绩承诺方，延长业绩</w:t>
      </w:r>
      <w:r>
        <w:rPr>
          <w:spacing w:val="-25"/>
        </w:rPr>
        <w:t> </w:t>
      </w:r>
      <w:r>
        <w:rPr>
          <w:spacing w:val="-25"/>
        </w:rPr>
      </w:r>
      <w:r>
        <w:rPr>
          <w:spacing w:val="-2"/>
        </w:rPr>
        <w:t>承诺期，增加业绩承诺总额。根据股权转让协议之补充协议约定，帅康集团与太阳雨控股承诺，</w:t>
      </w:r>
      <w:r>
        <w:rPr>
          <w:spacing w:val="-25"/>
        </w:rPr>
        <w:t> </w:t>
      </w:r>
      <w:r>
        <w:rPr>
          <w:spacing w:val="-25"/>
        </w:rPr>
      </w:r>
      <w:r>
        <w:rPr/>
        <w:t>帅康电气在</w:t>
      </w:r>
      <w:r>
        <w:rPr>
          <w:spacing w:val="-56"/>
        </w:rPr>
        <w:t> </w:t>
      </w:r>
      <w:r>
        <w:rPr>
          <w:rFonts w:ascii="宋体" w:hAnsi="宋体" w:cs="宋体" w:eastAsia="宋体" w:hint="default"/>
        </w:rPr>
        <w:t>2016-2020</w:t>
      </w:r>
      <w:r>
        <w:rPr>
          <w:rFonts w:ascii="宋体" w:hAnsi="宋体" w:cs="宋体" w:eastAsia="宋体" w:hint="default"/>
          <w:spacing w:val="-55"/>
        </w:rPr>
        <w:t> </w:t>
      </w:r>
      <w:r>
        <w:rPr/>
        <w:t>年的利润补偿期内经会计师事务所审计后的累计净利润（剔除关联方资金</w:t>
      </w:r>
    </w:p>
    <w:p>
      <w:pPr>
        <w:pStyle w:val="BodyText"/>
        <w:spacing w:line="237" w:lineRule="auto"/>
        <w:ind w:left="538" w:right="487"/>
        <w:jc w:val="both"/>
      </w:pPr>
      <w:r>
        <w:rPr/>
        <w:t>占用导致非经营性负债而产生的相关财务费用）不低于</w:t>
      </w:r>
      <w:r>
        <w:rPr>
          <w:spacing w:val="-54"/>
        </w:rPr>
        <w:t> </w:t>
      </w:r>
      <w:r>
        <w:rPr>
          <w:rFonts w:ascii="宋体" w:hAnsi="宋体" w:cs="宋体" w:eastAsia="宋体" w:hint="default"/>
        </w:rPr>
        <w:t>51,106.34</w:t>
      </w:r>
      <w:r>
        <w:rPr>
          <w:rFonts w:ascii="宋体" w:hAnsi="宋体" w:cs="宋体" w:eastAsia="宋体" w:hint="default"/>
          <w:spacing w:val="-56"/>
        </w:rPr>
        <w:t> </w:t>
      </w:r>
      <w:r>
        <w:rPr/>
        <w:t>万元，如利润补偿期届满时经</w:t>
      </w:r>
      <w:r>
        <w:rPr>
          <w:w w:val="100"/>
        </w:rPr>
        <w:t> </w:t>
      </w:r>
      <w:r>
        <w:rPr>
          <w:spacing w:val="-2"/>
        </w:rPr>
        <w:t>审计的帅康电气累积实际净利润不足承诺净利润数的，则由帅康集团与太阳雨控股按照</w:t>
      </w:r>
      <w:r>
        <w:rPr>
          <w:spacing w:val="-14"/>
        </w:rPr>
        <w:t> </w:t>
      </w:r>
      <w:r>
        <w:rPr>
          <w:rFonts w:ascii="宋体" w:hAnsi="宋体" w:cs="宋体" w:eastAsia="宋体" w:hint="default"/>
          <w:spacing w:val="-4"/>
        </w:rPr>
        <w:t>10%</w:t>
      </w:r>
      <w:r>
        <w:rPr>
          <w:spacing w:val="-4"/>
        </w:rPr>
        <w:t>：</w:t>
      </w:r>
      <w:r>
        <w:rPr>
          <w:rFonts w:ascii="宋体" w:hAnsi="宋体" w:cs="宋体" w:eastAsia="宋体" w:hint="default"/>
          <w:spacing w:val="-4"/>
        </w:rPr>
        <w:t>90%</w:t>
      </w:r>
      <w:r>
        <w:rPr>
          <w:rFonts w:ascii="宋体" w:hAnsi="宋体" w:cs="宋体" w:eastAsia="宋体" w:hint="default"/>
          <w:spacing w:val="-89"/>
        </w:rPr>
        <w:t> </w:t>
      </w:r>
      <w:r>
        <w:rPr>
          <w:rFonts w:ascii="宋体" w:hAnsi="宋体" w:cs="宋体" w:eastAsia="宋体" w:hint="default"/>
          <w:spacing w:val="-89"/>
        </w:rPr>
      </w:r>
      <w:r>
        <w:rPr/>
        <w:t>的比例向本公司进行利润补偿。邹国孟对帅康集团之利润补偿承担无限连带责任。</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080" w:bottom="1380" w:left="1260" w:right="780"/>
        </w:sectPr>
      </w:pPr>
    </w:p>
    <w:p>
      <w:pPr>
        <w:pStyle w:val="Heading5"/>
        <w:spacing w:line="240" w:lineRule="auto" w:before="36"/>
        <w:ind w:left="538" w:right="-4"/>
        <w:jc w:val="left"/>
        <w:rPr>
          <w:b w:val="0"/>
          <w:bCs w:val="0"/>
        </w:rPr>
      </w:pPr>
      <w:r>
        <w:rPr/>
        <w:t>八、合并范围的变更</w:t>
      </w:r>
      <w:r>
        <w:rPr>
          <w:b w:val="0"/>
          <w:bCs w:val="0"/>
        </w:rPr>
      </w:r>
    </w:p>
    <w:p>
      <w:pPr>
        <w:pStyle w:val="Heading5"/>
        <w:spacing w:line="240" w:lineRule="auto" w:before="58"/>
        <w:ind w:left="53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538" w:right="-4"/>
        <w:jc w:val="left"/>
      </w:pPr>
      <w:r>
        <w:rPr/>
        <w:t>√适用</w:t>
      </w:r>
      <w:r>
        <w:rPr>
          <w:spacing w:val="-1"/>
        </w:rPr>
        <w:t> </w:t>
      </w:r>
      <w:r>
        <w:rPr/>
        <w:t>□不适用</w:t>
      </w:r>
    </w:p>
    <w:p>
      <w:pPr>
        <w:pStyle w:val="Heading5"/>
        <w:tabs>
          <w:tab w:pos="1195" w:val="left" w:leader="none"/>
        </w:tabs>
        <w:spacing w:line="240" w:lineRule="auto" w:before="56"/>
        <w:ind w:left="53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left="53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80"/>
          <w:cols w:num="2" w:equalWidth="0">
            <w:col w:w="4359" w:space="2162"/>
            <w:col w:w="334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3"/>
        <w:gridCol w:w="854"/>
        <w:gridCol w:w="1028"/>
        <w:gridCol w:w="838"/>
        <w:gridCol w:w="689"/>
        <w:gridCol w:w="975"/>
        <w:gridCol w:w="1147"/>
        <w:gridCol w:w="1563"/>
        <w:gridCol w:w="1418"/>
      </w:tblGrid>
      <w:tr>
        <w:trPr>
          <w:trHeight w:val="96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470" w:right="110"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51" w:right="151"/>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28" w:right="14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43" w:right="143"/>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12" w:lineRule="exact"/>
              <w:ind w:left="18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58" w:right="158"/>
              <w:jc w:val="both"/>
              <w:rPr>
                <w:rFonts w:ascii="宋体" w:hAnsi="宋体" w:cs="宋体" w:eastAsia="宋体" w:hint="default"/>
                <w:sz w:val="18"/>
                <w:szCs w:val="18"/>
              </w:rPr>
            </w:pPr>
            <w:r>
              <w:rPr>
                <w:rFonts w:ascii="宋体" w:hAnsi="宋体" w:cs="宋体" w:eastAsia="宋体" w:hint="default"/>
                <w:sz w:val="18"/>
                <w:szCs w:val="18"/>
              </w:rPr>
              <w:t>股权 取得 方式</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297" w:right="11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235" w:right="146" w:hanging="89"/>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63" w:right="163"/>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87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浙江帅康电</w:t>
            </w:r>
          </w:p>
          <w:p>
            <w:pPr>
              <w:pStyle w:val="TableParagraph"/>
              <w:spacing w:line="232" w:lineRule="exact" w:before="23"/>
              <w:ind w:left="103" w:right="117"/>
              <w:jc w:val="left"/>
              <w:rPr>
                <w:rFonts w:ascii="宋体" w:hAnsi="宋体" w:cs="宋体" w:eastAsia="宋体" w:hint="default"/>
                <w:sz w:val="18"/>
                <w:szCs w:val="18"/>
              </w:rPr>
            </w:pPr>
            <w:r>
              <w:rPr>
                <w:rFonts w:ascii="宋体" w:hAnsi="宋体" w:cs="宋体" w:eastAsia="宋体" w:hint="default"/>
                <w:sz w:val="18"/>
                <w:szCs w:val="18"/>
              </w:rPr>
              <w:t>气股份有限 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73,500.00</w:t>
            </w:r>
          </w:p>
          <w:p>
            <w:pPr>
              <w:pStyle w:val="TableParagraph"/>
              <w:spacing w:line="234" w:lineRule="exact"/>
              <w:ind w:left="55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sz w:val="18"/>
              </w:rPr>
              <w:t>75.00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根据股权转</w:t>
            </w:r>
          </w:p>
          <w:p>
            <w:pPr>
              <w:pStyle w:val="TableParagraph"/>
              <w:spacing w:line="237" w:lineRule="auto"/>
              <w:ind w:left="103" w:right="132"/>
              <w:jc w:val="left"/>
              <w:rPr>
                <w:rFonts w:ascii="宋体" w:hAnsi="宋体" w:cs="宋体" w:eastAsia="宋体" w:hint="default"/>
                <w:sz w:val="18"/>
                <w:szCs w:val="18"/>
              </w:rPr>
            </w:pPr>
            <w:r>
              <w:rPr>
                <w:rFonts w:ascii="宋体" w:hAnsi="宋体" w:cs="宋体" w:eastAsia="宋体" w:hint="default"/>
                <w:sz w:val="18"/>
                <w:szCs w:val="18"/>
              </w:rPr>
              <w:t>让协议及控 制权的转移 条件</w:t>
            </w:r>
            <w:r>
              <w:rPr>
                <w:rFonts w:ascii="宋体" w:hAnsi="宋体" w:cs="宋体" w:eastAsia="宋体" w:hint="default"/>
                <w:sz w:val="18"/>
                <w:szCs w:val="18"/>
              </w:rPr>
              <w:t>,</w:t>
            </w:r>
            <w:r>
              <w:rPr>
                <w:rFonts w:ascii="宋体" w:hAnsi="宋体" w:cs="宋体" w:eastAsia="宋体" w:hint="default"/>
                <w:sz w:val="18"/>
                <w:szCs w:val="18"/>
              </w:rPr>
              <w:t>最后 确定本公司 支付完股权 转让价款日 期为购买日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634,720,812.63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23,976,853.28</w:t>
            </w:r>
          </w:p>
        </w:tc>
      </w:tr>
      <w:tr>
        <w:trPr>
          <w:trHeight w:val="302"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90" w:lineRule="auto" w:before="36"/>
        <w:ind w:left="538" w:right="825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60" w:right="780"/>
        </w:sectPr>
      </w:pPr>
    </w:p>
    <w:p>
      <w:pPr>
        <w:pStyle w:val="Heading5"/>
        <w:tabs>
          <w:tab w:pos="1195" w:val="left" w:leader="none"/>
        </w:tabs>
        <w:spacing w:line="240" w:lineRule="auto" w:before="36"/>
        <w:ind w:left="53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5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80"/>
          <w:cols w:num="2" w:equalWidth="0">
            <w:col w:w="2675" w:space="3847"/>
            <w:col w:w="3348"/>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604"/>
        <w:gridCol w:w="4446"/>
      </w:tblGrid>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1" w:right="0"/>
              <w:jc w:val="left"/>
              <w:rPr>
                <w:rFonts w:ascii="宋体" w:hAnsi="宋体" w:cs="宋体" w:eastAsia="宋体" w:hint="default"/>
                <w:sz w:val="21"/>
                <w:szCs w:val="21"/>
              </w:rPr>
            </w:pPr>
            <w:r>
              <w:rPr>
                <w:rFonts w:ascii="宋体"/>
                <w:sz w:val="21"/>
              </w:rPr>
              <w:t>735,000,000.00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7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735,000,000.00</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237,122,815.37</w:t>
            </w:r>
          </w:p>
        </w:tc>
      </w:tr>
      <w:tr>
        <w:trPr>
          <w:trHeight w:val="557"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497,877,184.63</w:t>
            </w:r>
          </w:p>
        </w:tc>
      </w:tr>
    </w:tbl>
    <w:p>
      <w:pPr>
        <w:spacing w:line="240" w:lineRule="auto" w:before="5"/>
        <w:rPr>
          <w:rFonts w:ascii="宋体" w:hAnsi="宋体" w:cs="宋体" w:eastAsia="宋体" w:hint="default"/>
          <w:sz w:val="15"/>
          <w:szCs w:val="15"/>
        </w:rPr>
      </w:pPr>
    </w:p>
    <w:p>
      <w:pPr>
        <w:pStyle w:val="BodyText"/>
        <w:spacing w:line="274" w:lineRule="exact" w:before="36"/>
        <w:ind w:left="218" w:right="2549"/>
        <w:jc w:val="left"/>
      </w:pPr>
      <w:r>
        <w:rPr/>
        <w:t>合并成本公允价值的确定方法、或有对价及其变动的说明：</w:t>
      </w:r>
    </w:p>
    <w:p>
      <w:pPr>
        <w:pStyle w:val="BodyText"/>
        <w:spacing w:line="237" w:lineRule="auto" w:before="2"/>
        <w:ind w:left="218" w:right="121"/>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2</w:t>
      </w:r>
      <w:r>
        <w:rPr>
          <w:rFonts w:ascii="宋体" w:hAnsi="宋体" w:cs="宋体" w:eastAsia="宋体" w:hint="default"/>
          <w:spacing w:val="-45"/>
        </w:rPr>
        <w:t> </w:t>
      </w:r>
      <w:r>
        <w:rPr/>
        <w:t>月</w:t>
      </w:r>
      <w:r>
        <w:rPr>
          <w:spacing w:val="-43"/>
        </w:rPr>
        <w:t> </w:t>
      </w:r>
      <w:r>
        <w:rPr>
          <w:rFonts w:ascii="宋体" w:hAnsi="宋体" w:cs="宋体" w:eastAsia="宋体" w:hint="default"/>
        </w:rPr>
        <w:t>17</w:t>
      </w:r>
      <w:r>
        <w:rPr>
          <w:rFonts w:ascii="宋体" w:hAnsi="宋体" w:cs="宋体" w:eastAsia="宋体" w:hint="default"/>
          <w:spacing w:val="-43"/>
        </w:rPr>
        <w:t> </w:t>
      </w:r>
      <w:r>
        <w:rPr/>
        <w:t>日，本公司与帅康集团有限公司（以下简称帅康集团）签订股权转让协议，</w:t>
      </w:r>
      <w:r>
        <w:rPr>
          <w:spacing w:val="-101"/>
        </w:rPr>
        <w:t> </w:t>
      </w:r>
      <w:r>
        <w:rPr>
          <w:spacing w:val="-101"/>
        </w:rPr>
      </w:r>
      <w:r>
        <w:rPr/>
        <w:t>拟以募集资金收购帅康集团所持有的浙江帅康电气股份有限公司（以下简称“帅康电气”）</w:t>
      </w:r>
      <w:r>
        <w:rPr>
          <w:rFonts w:ascii="宋体" w:hAnsi="宋体" w:cs="宋体" w:eastAsia="宋体" w:hint="default"/>
        </w:rPr>
        <w:t>75%</w:t>
      </w:r>
      <w:r>
        <w:rPr>
          <w:rFonts w:ascii="宋体" w:hAnsi="宋体" w:cs="宋体" w:eastAsia="宋体" w:hint="default"/>
          <w:w w:val="100"/>
        </w:rPr>
        <w:t> </w:t>
      </w:r>
      <w:r>
        <w:rPr>
          <w:spacing w:val="-6"/>
          <w:w w:val="100"/>
        </w:rPr>
        <w:t>的股份，且帅康电气已持有浙江帅康营销有限公司</w:t>
      </w:r>
      <w:r>
        <w:rPr>
          <w:spacing w:val="-45"/>
          <w:w w:val="100"/>
        </w:rPr>
        <w:t> </w:t>
      </w:r>
      <w:r>
        <w:rPr>
          <w:rFonts w:ascii="宋体" w:hAnsi="宋体" w:cs="宋体" w:eastAsia="宋体" w:hint="default"/>
          <w:spacing w:val="-7"/>
          <w:w w:val="100"/>
        </w:rPr>
        <w:t>100%</w:t>
      </w:r>
      <w:r>
        <w:rPr>
          <w:spacing w:val="-7"/>
          <w:w w:val="100"/>
        </w:rPr>
        <w:t>的股权、持有宁波帅康热水器有限公司</w:t>
      </w:r>
      <w:r>
        <w:rPr>
          <w:spacing w:val="-45"/>
          <w:w w:val="100"/>
        </w:rPr>
        <w:t> </w:t>
      </w:r>
      <w:r>
        <w:rPr>
          <w:rFonts w:ascii="宋体" w:hAnsi="宋体" w:cs="宋体" w:eastAsia="宋体" w:hint="default"/>
          <w:spacing w:val="-1"/>
          <w:w w:val="100"/>
        </w:rPr>
        <w:t>100%</w:t>
      </w:r>
      <w:r>
        <w:rPr>
          <w:rFonts w:ascii="宋体" w:hAnsi="宋体" w:cs="宋体" w:eastAsia="宋体" w:hint="default"/>
          <w:spacing w:val="-102"/>
          <w:w w:val="100"/>
        </w:rPr>
        <w:t> </w:t>
      </w:r>
      <w:r>
        <w:rPr>
          <w:rFonts w:ascii="宋体" w:hAnsi="宋体" w:cs="宋体" w:eastAsia="宋体" w:hint="default"/>
          <w:spacing w:val="-102"/>
          <w:w w:val="100"/>
        </w:rPr>
      </w:r>
      <w:r>
        <w:rPr/>
        <w:t>的股权。根据致同会计师事务所（特殊普通合伙）出具的致同审字（</w:t>
      </w:r>
      <w:r>
        <w:rPr>
          <w:rFonts w:ascii="宋体" w:hAnsi="宋体" w:cs="宋体" w:eastAsia="宋体" w:hint="default"/>
        </w:rPr>
        <w:t>2017</w:t>
      </w:r>
      <w:r>
        <w:rPr/>
        <w:t>）第</w:t>
      </w:r>
      <w:r>
        <w:rPr>
          <w:spacing w:val="-54"/>
        </w:rPr>
        <w:t> </w:t>
      </w:r>
      <w:r>
        <w:rPr>
          <w:rFonts w:ascii="宋体" w:hAnsi="宋体" w:cs="宋体" w:eastAsia="宋体" w:hint="default"/>
        </w:rPr>
        <w:t>320ZB0008</w:t>
      </w:r>
      <w:r>
        <w:rPr>
          <w:rFonts w:ascii="宋体" w:hAnsi="宋体" w:cs="宋体" w:eastAsia="宋体" w:hint="default"/>
          <w:spacing w:val="-55"/>
        </w:rPr>
        <w:t> </w:t>
      </w:r>
      <w:r>
        <w:rPr/>
        <w:t>号《审</w:t>
      </w:r>
      <w:r>
        <w:rPr>
          <w:w w:val="100"/>
        </w:rPr>
        <w:t> </w:t>
      </w:r>
      <w:r>
        <w:rPr/>
        <w:t>计报告》，帅康电气</w:t>
      </w:r>
      <w:r>
        <w:rPr>
          <w:spacing w:val="-55"/>
        </w:rPr>
        <w:t> </w:t>
      </w:r>
      <w:r>
        <w:rPr>
          <w:rFonts w:ascii="宋体" w:hAnsi="宋体" w:cs="宋体" w:eastAsia="宋体" w:hint="default"/>
        </w:rPr>
        <w:t>2015</w:t>
      </w:r>
      <w:r>
        <w:rPr>
          <w:rFonts w:ascii="宋体" w:hAnsi="宋体" w:cs="宋体" w:eastAsia="宋体" w:hint="default"/>
          <w:spacing w:val="-57"/>
        </w:rPr>
        <w:t> </w:t>
      </w:r>
      <w:r>
        <w:rPr/>
        <w:t>年度模拟合并报表的净利润为</w:t>
      </w:r>
      <w:r>
        <w:rPr>
          <w:spacing w:val="-55"/>
        </w:rPr>
        <w:t> </w:t>
      </w:r>
      <w:r>
        <w:rPr>
          <w:rFonts w:ascii="宋体" w:hAnsi="宋体" w:cs="宋体" w:eastAsia="宋体" w:hint="default"/>
        </w:rPr>
        <w:t>2,873.68</w:t>
      </w:r>
      <w:r>
        <w:rPr>
          <w:rFonts w:ascii="宋体" w:hAnsi="宋体" w:cs="宋体" w:eastAsia="宋体" w:hint="default"/>
          <w:spacing w:val="-57"/>
        </w:rPr>
        <w:t> </w:t>
      </w:r>
      <w:r>
        <w:rPr/>
        <w:t>万元，经加回帅康电气因关联</w:t>
      </w:r>
    </w:p>
    <w:p>
      <w:pPr>
        <w:pStyle w:val="BodyText"/>
        <w:spacing w:line="273" w:lineRule="exact"/>
        <w:ind w:left="218" w:right="121"/>
        <w:jc w:val="left"/>
      </w:pPr>
      <w:r>
        <w:rPr>
          <w:spacing w:val="-3"/>
        </w:rPr>
        <w:t>方资金占用产生的部分非经营性负债相关财务费用，调整后的净利润为 </w:t>
      </w:r>
      <w:r>
        <w:rPr>
          <w:rFonts w:ascii="宋体" w:hAnsi="宋体" w:cs="宋体" w:eastAsia="宋体" w:hint="default"/>
        </w:rPr>
        <w:t>7,267.53</w:t>
      </w:r>
      <w:r>
        <w:rPr>
          <w:rFonts w:ascii="宋体" w:hAnsi="宋体" w:cs="宋体" w:eastAsia="宋体" w:hint="default"/>
          <w:spacing w:val="-48"/>
        </w:rPr>
        <w:t> </w:t>
      </w:r>
      <w:r>
        <w:rPr>
          <w:spacing w:val="-9"/>
        </w:rPr>
        <w:t>万元。参照市盈</w:t>
      </w:r>
    </w:p>
    <w:p>
      <w:pPr>
        <w:pStyle w:val="BodyText"/>
        <w:spacing w:line="240" w:lineRule="auto"/>
        <w:ind w:left="218" w:right="227"/>
        <w:jc w:val="left"/>
      </w:pPr>
      <w:r>
        <w:rPr>
          <w:spacing w:val="-4"/>
        </w:rPr>
        <w:t>率法，选取</w:t>
      </w:r>
      <w:r>
        <w:rPr>
          <w:spacing w:val="-49"/>
        </w:rPr>
        <w:t> </w:t>
      </w:r>
      <w:r>
        <w:rPr>
          <w:rFonts w:ascii="宋体" w:hAnsi="宋体" w:cs="宋体" w:eastAsia="宋体" w:hint="default"/>
        </w:rPr>
        <w:t>13.5</w:t>
      </w:r>
      <w:r>
        <w:rPr>
          <w:rFonts w:ascii="宋体" w:hAnsi="宋体" w:cs="宋体" w:eastAsia="宋体" w:hint="default"/>
          <w:spacing w:val="-51"/>
        </w:rPr>
        <w:t> </w:t>
      </w:r>
      <w:r>
        <w:rPr>
          <w:spacing w:val="-3"/>
        </w:rPr>
        <w:t>倍的估值倍数，帅康电气估值</w:t>
      </w:r>
      <w:r>
        <w:rPr>
          <w:spacing w:val="-49"/>
        </w:rPr>
        <w:t> </w:t>
      </w:r>
      <w:r>
        <w:rPr>
          <w:rFonts w:ascii="宋体" w:hAnsi="宋体" w:cs="宋体" w:eastAsia="宋体" w:hint="default"/>
        </w:rPr>
        <w:t>98,111.62</w:t>
      </w:r>
      <w:r>
        <w:rPr>
          <w:rFonts w:ascii="宋体" w:hAnsi="宋体" w:cs="宋体" w:eastAsia="宋体" w:hint="default"/>
          <w:spacing w:val="-51"/>
        </w:rPr>
        <w:t> </w:t>
      </w:r>
      <w:r>
        <w:rPr>
          <w:spacing w:val="-4"/>
        </w:rPr>
        <w:t>万元，对应</w:t>
      </w:r>
      <w:r>
        <w:rPr>
          <w:spacing w:val="-49"/>
        </w:rPr>
        <w:t> </w:t>
      </w:r>
      <w:r>
        <w:rPr>
          <w:rFonts w:ascii="宋体" w:hAnsi="宋体" w:cs="宋体" w:eastAsia="宋体" w:hint="default"/>
        </w:rPr>
        <w:t>75%</w:t>
      </w:r>
      <w:r>
        <w:rPr/>
        <w:t>股份估值</w:t>
      </w:r>
      <w:r>
        <w:rPr>
          <w:spacing w:val="-48"/>
        </w:rPr>
        <w:t> </w:t>
      </w:r>
      <w:r>
        <w:rPr>
          <w:rFonts w:ascii="宋体" w:hAnsi="宋体" w:cs="宋体" w:eastAsia="宋体" w:hint="default"/>
        </w:rPr>
        <w:t>73,583.72</w:t>
      </w:r>
      <w:r>
        <w:rPr>
          <w:rFonts w:ascii="宋体" w:hAnsi="宋体" w:cs="宋体" w:eastAsia="宋体" w:hint="default"/>
          <w:spacing w:val="-51"/>
        </w:rPr>
        <w:t> </w:t>
      </w:r>
      <w:r>
        <w:rPr/>
        <w:t>万</w:t>
      </w:r>
      <w:r>
        <w:rPr>
          <w:spacing w:val="-103"/>
        </w:rPr>
        <w:t> </w:t>
      </w:r>
      <w:r>
        <w:rPr/>
        <w:t>元。经各方协商同意，本次收购</w:t>
      </w:r>
      <w:r>
        <w:rPr>
          <w:spacing w:val="-54"/>
        </w:rPr>
        <w:t> </w:t>
      </w:r>
      <w:r>
        <w:rPr>
          <w:rFonts w:ascii="宋体" w:hAnsi="宋体" w:cs="宋体" w:eastAsia="宋体" w:hint="default"/>
        </w:rPr>
        <w:t>75%</w:t>
      </w:r>
      <w:r>
        <w:rPr/>
        <w:t>股权收购价定为</w:t>
      </w:r>
      <w:r>
        <w:rPr>
          <w:spacing w:val="-54"/>
        </w:rPr>
        <w:t> </w:t>
      </w:r>
      <w:r>
        <w:rPr>
          <w:rFonts w:ascii="宋体" w:hAnsi="宋体" w:cs="宋体" w:eastAsia="宋体" w:hint="default"/>
        </w:rPr>
        <w:t>73,500.00</w:t>
      </w:r>
      <w:r>
        <w:rPr>
          <w:rFonts w:ascii="宋体" w:hAnsi="宋体" w:cs="宋体" w:eastAsia="宋体" w:hint="default"/>
          <w:spacing w:val="-54"/>
        </w:rPr>
        <w:t> </w:t>
      </w:r>
      <w:r>
        <w:rPr/>
        <w:t>万元。</w:t>
      </w:r>
    </w:p>
    <w:p>
      <w:pPr>
        <w:pStyle w:val="BodyText"/>
        <w:spacing w:line="271" w:lineRule="exact"/>
        <w:ind w:left="218" w:right="121"/>
        <w:jc w:val="left"/>
      </w:pPr>
      <w:r>
        <w:rPr>
          <w:spacing w:val="-1"/>
          <w:w w:val="100"/>
        </w:rPr>
        <w:t>（</w:t>
      </w:r>
      <w:r>
        <w:rPr>
          <w:rFonts w:ascii="宋体" w:hAnsi="宋体" w:cs="宋体" w:eastAsia="宋体" w:hint="default"/>
          <w:w w:val="100"/>
        </w:rPr>
        <w:t>2</w:t>
      </w:r>
      <w:r>
        <w:rPr>
          <w:spacing w:val="-101"/>
          <w:w w:val="100"/>
        </w:rPr>
        <w:t>）</w:t>
      </w:r>
      <w:r>
        <w:rPr>
          <w:w w:val="100"/>
        </w:rPr>
        <w:t>帅</w:t>
      </w:r>
      <w:r>
        <w:rPr>
          <w:spacing w:val="-3"/>
          <w:w w:val="100"/>
        </w:rPr>
        <w:t>康</w:t>
      </w:r>
      <w:r>
        <w:rPr>
          <w:w w:val="100"/>
        </w:rPr>
        <w:t>电</w:t>
      </w:r>
      <w:r>
        <w:rPr>
          <w:spacing w:val="-3"/>
          <w:w w:val="100"/>
        </w:rPr>
        <w:t>气</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7</w:t>
      </w:r>
      <w:r>
        <w:rPr>
          <w:rFonts w:ascii="宋体" w:hAnsi="宋体" w:cs="宋体" w:eastAsia="宋体" w:hint="default"/>
          <w:spacing w:val="-53"/>
        </w:rPr>
        <w:t> </w:t>
      </w:r>
      <w:r>
        <w:rPr>
          <w:spacing w:val="-3"/>
          <w:w w:val="100"/>
        </w:rPr>
        <w:t>日</w:t>
      </w:r>
      <w:r>
        <w:rPr>
          <w:w w:val="100"/>
        </w:rPr>
        <w:t>完</w:t>
      </w:r>
      <w:r>
        <w:rPr>
          <w:spacing w:val="-3"/>
          <w:w w:val="100"/>
        </w:rPr>
        <w:t>成</w:t>
      </w:r>
      <w:r>
        <w:rPr>
          <w:w w:val="100"/>
        </w:rPr>
        <w:t>股</w:t>
      </w:r>
      <w:r>
        <w:rPr>
          <w:spacing w:val="-3"/>
          <w:w w:val="100"/>
        </w:rPr>
        <w:t>权</w:t>
      </w:r>
      <w:r>
        <w:rPr>
          <w:w w:val="100"/>
        </w:rPr>
        <w:t>工</w:t>
      </w:r>
      <w:r>
        <w:rPr>
          <w:spacing w:val="-3"/>
          <w:w w:val="100"/>
        </w:rPr>
        <w:t>商</w:t>
      </w:r>
      <w:r>
        <w:rPr>
          <w:w w:val="100"/>
        </w:rPr>
        <w:t>变</w:t>
      </w:r>
      <w:r>
        <w:rPr>
          <w:spacing w:val="-3"/>
          <w:w w:val="100"/>
        </w:rPr>
        <w:t>更</w:t>
      </w:r>
      <w:r>
        <w:rPr>
          <w:w w:val="100"/>
        </w:rPr>
        <w:t>登记</w:t>
      </w:r>
      <w:r>
        <w:rPr>
          <w:spacing w:val="-3"/>
          <w:w w:val="100"/>
        </w:rPr>
        <w:t>手续</w:t>
      </w:r>
      <w:r>
        <w:rPr>
          <w:spacing w:val="-99"/>
          <w:w w:val="100"/>
        </w:rPr>
        <w:t>，</w:t>
      </w:r>
      <w:r>
        <w:rPr>
          <w:w w:val="100"/>
        </w:rPr>
        <w:t>本</w:t>
      </w:r>
      <w:r>
        <w:rPr>
          <w:spacing w:val="-3"/>
          <w:w w:val="100"/>
        </w:rPr>
        <w:t>公</w:t>
      </w:r>
      <w:r>
        <w:rPr>
          <w:w w:val="100"/>
        </w:rPr>
        <w:t>司</w:t>
      </w:r>
      <w:r>
        <w:rPr>
          <w:spacing w:val="-3"/>
          <w:w w:val="100"/>
        </w:rPr>
        <w:t>分别</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10</w:t>
      </w:r>
      <w:r>
        <w:rPr>
          <w:rFonts w:ascii="宋体" w:hAnsi="宋体" w:cs="宋体" w:eastAsia="宋体" w:hint="default"/>
          <w:spacing w:val="-55"/>
        </w:rPr>
        <w:t> </w:t>
      </w:r>
      <w:r>
        <w:rPr>
          <w:w w:val="100"/>
        </w:rPr>
        <w:t>日、</w:t>
      </w:r>
    </w:p>
    <w:p>
      <w:pPr>
        <w:pStyle w:val="BodyText"/>
        <w:spacing w:line="272" w:lineRule="exact"/>
        <w:ind w:left="218" w:right="121"/>
        <w:jc w:val="left"/>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72"/>
        </w:rPr>
        <w:t> </w:t>
      </w:r>
      <w:r>
        <w:rPr>
          <w:w w:val="100"/>
        </w:rPr>
        <w:t>年</w:t>
      </w:r>
      <w:r>
        <w:rPr>
          <w:spacing w:val="-69"/>
        </w:rPr>
        <w:t> </w:t>
      </w:r>
      <w:r>
        <w:rPr>
          <w:rFonts w:ascii="宋体" w:hAnsi="宋体" w:cs="宋体" w:eastAsia="宋体" w:hint="default"/>
          <w:w w:val="100"/>
        </w:rPr>
        <w:t>3</w:t>
      </w:r>
      <w:r>
        <w:rPr>
          <w:rFonts w:ascii="宋体" w:hAnsi="宋体" w:cs="宋体" w:eastAsia="宋体" w:hint="default"/>
          <w:spacing w:val="-69"/>
        </w:rPr>
        <w:t> </w:t>
      </w:r>
      <w:r>
        <w:rPr>
          <w:w w:val="100"/>
        </w:rPr>
        <w:t>月</w:t>
      </w:r>
      <w:r>
        <w:rPr>
          <w:spacing w:val="-72"/>
        </w:rPr>
        <w:t> </w:t>
      </w:r>
      <w:r>
        <w:rPr>
          <w:rFonts w:ascii="宋体" w:hAnsi="宋体" w:cs="宋体" w:eastAsia="宋体" w:hint="default"/>
          <w:w w:val="100"/>
        </w:rPr>
        <w:t>15</w:t>
      </w:r>
      <w:r>
        <w:rPr>
          <w:rFonts w:ascii="宋体" w:hAnsi="宋体" w:cs="宋体" w:eastAsia="宋体" w:hint="default"/>
          <w:spacing w:val="-69"/>
        </w:rPr>
        <w:t> </w:t>
      </w:r>
      <w:r>
        <w:rPr>
          <w:spacing w:val="-3"/>
          <w:w w:val="100"/>
        </w:rPr>
        <w:t>日</w:t>
      </w:r>
      <w:r>
        <w:rPr>
          <w:w w:val="100"/>
        </w:rPr>
        <w:t>及</w:t>
      </w:r>
      <w:r>
        <w:rPr>
          <w:spacing w:val="-69"/>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71"/>
        </w:rPr>
        <w:t> </w:t>
      </w:r>
      <w:r>
        <w:rPr>
          <w:w w:val="100"/>
        </w:rPr>
        <w:t>年</w:t>
      </w:r>
      <w:r>
        <w:rPr>
          <w:spacing w:val="-69"/>
        </w:rPr>
        <w:t> </w:t>
      </w:r>
      <w:r>
        <w:rPr>
          <w:rFonts w:ascii="宋体" w:hAnsi="宋体" w:cs="宋体" w:eastAsia="宋体" w:hint="default"/>
          <w:w w:val="100"/>
        </w:rPr>
        <w:t>3</w:t>
      </w:r>
      <w:r>
        <w:rPr>
          <w:rFonts w:ascii="宋体" w:hAnsi="宋体" w:cs="宋体" w:eastAsia="宋体" w:hint="default"/>
          <w:spacing w:val="-69"/>
        </w:rPr>
        <w:t> </w:t>
      </w:r>
      <w:r>
        <w:rPr>
          <w:w w:val="100"/>
        </w:rPr>
        <w:t>月</w:t>
      </w:r>
      <w:r>
        <w:rPr>
          <w:spacing w:val="-72"/>
        </w:rPr>
        <w:t> </w:t>
      </w:r>
      <w:r>
        <w:rPr>
          <w:rFonts w:ascii="宋体" w:hAnsi="宋体" w:cs="宋体" w:eastAsia="宋体" w:hint="default"/>
          <w:w w:val="100"/>
        </w:rPr>
        <w:t>20</w:t>
      </w:r>
      <w:r>
        <w:rPr>
          <w:rFonts w:ascii="宋体" w:hAnsi="宋体" w:cs="宋体" w:eastAsia="宋体" w:hint="default"/>
          <w:spacing w:val="-69"/>
        </w:rPr>
        <w:t> </w:t>
      </w:r>
      <w:r>
        <w:rPr>
          <w:spacing w:val="-3"/>
          <w:w w:val="100"/>
        </w:rPr>
        <w:t>日</w:t>
      </w:r>
      <w:r>
        <w:rPr>
          <w:w w:val="100"/>
        </w:rPr>
        <w:t>支</w:t>
      </w:r>
      <w:r>
        <w:rPr>
          <w:spacing w:val="-3"/>
          <w:w w:val="100"/>
        </w:rPr>
        <w:t>付</w:t>
      </w:r>
      <w:r>
        <w:rPr>
          <w:w w:val="100"/>
        </w:rPr>
        <w:t>股</w:t>
      </w:r>
      <w:r>
        <w:rPr>
          <w:spacing w:val="-3"/>
          <w:w w:val="100"/>
        </w:rPr>
        <w:t>权</w:t>
      </w:r>
      <w:r>
        <w:rPr>
          <w:w w:val="100"/>
        </w:rPr>
        <w:t>收</w:t>
      </w:r>
      <w:r>
        <w:rPr>
          <w:spacing w:val="-3"/>
          <w:w w:val="100"/>
        </w:rPr>
        <w:t>购</w:t>
      </w:r>
      <w:r>
        <w:rPr>
          <w:w w:val="100"/>
        </w:rPr>
        <w:t>款</w:t>
      </w:r>
      <w:r>
        <w:rPr>
          <w:spacing w:val="-69"/>
        </w:rPr>
        <w:t> </w:t>
      </w:r>
      <w:r>
        <w:rPr>
          <w:rFonts w:ascii="宋体" w:hAnsi="宋体" w:cs="宋体" w:eastAsia="宋体" w:hint="default"/>
          <w:w w:val="100"/>
        </w:rPr>
        <w:t>3,</w:t>
      </w:r>
      <w:r>
        <w:rPr>
          <w:rFonts w:ascii="宋体" w:hAnsi="宋体" w:cs="宋体" w:eastAsia="宋体" w:hint="default"/>
          <w:spacing w:val="-3"/>
          <w:w w:val="100"/>
        </w:rPr>
        <w:t>4</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70"/>
        </w:rPr>
        <w:t> </w:t>
      </w:r>
      <w:r>
        <w:rPr>
          <w:spacing w:val="-3"/>
          <w:w w:val="100"/>
        </w:rPr>
        <w:t>万</w:t>
      </w:r>
      <w:r>
        <w:rPr>
          <w:w w:val="100"/>
        </w:rPr>
        <w:t>元</w:t>
      </w:r>
      <w:r>
        <w:rPr>
          <w:spacing w:val="-106"/>
          <w:w w:val="100"/>
        </w:rPr>
        <w:t>、</w:t>
      </w:r>
      <w:r>
        <w:rPr>
          <w:rFonts w:ascii="宋体" w:hAnsi="宋体" w:cs="宋体" w:eastAsia="宋体" w:hint="default"/>
          <w:w w:val="100"/>
        </w:rPr>
        <w:t>3</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69"/>
        </w:rPr>
        <w:t> </w:t>
      </w:r>
      <w:r>
        <w:rPr>
          <w:spacing w:val="-3"/>
          <w:w w:val="100"/>
        </w:rPr>
        <w:t>万</w:t>
      </w:r>
      <w:r>
        <w:rPr>
          <w:w w:val="100"/>
        </w:rPr>
        <w:t>元及</w:t>
      </w:r>
      <w:r>
        <w:rPr>
          <w:spacing w:val="-70"/>
        </w:rPr>
        <w:t> </w:t>
      </w:r>
      <w:r>
        <w:rPr>
          <w:rFonts w:ascii="宋体" w:hAnsi="宋体" w:cs="宋体" w:eastAsia="宋体" w:hint="default"/>
          <w:spacing w:val="-3"/>
          <w:w w:val="100"/>
        </w:rPr>
        <w:t>4</w:t>
      </w:r>
      <w:r>
        <w:rPr>
          <w:rFonts w:ascii="宋体" w:hAnsi="宋体" w:cs="宋体" w:eastAsia="宋体" w:hint="default"/>
          <w:w w:val="100"/>
        </w:rPr>
        <w:t>0,1</w:t>
      </w:r>
      <w:r>
        <w:rPr>
          <w:rFonts w:ascii="宋体" w:hAnsi="宋体" w:cs="宋体" w:eastAsia="宋体" w:hint="default"/>
          <w:spacing w:val="-3"/>
          <w:w w:val="100"/>
        </w:rPr>
        <w:t>0</w:t>
      </w:r>
      <w:r>
        <w:rPr>
          <w:rFonts w:ascii="宋体" w:hAnsi="宋体" w:cs="宋体" w:eastAsia="宋体" w:hint="default"/>
          <w:w w:val="100"/>
        </w:rPr>
        <w:t>0.00</w:t>
      </w:r>
    </w:p>
    <w:p>
      <w:pPr>
        <w:pStyle w:val="BodyText"/>
        <w:spacing w:line="273" w:lineRule="exact"/>
        <w:ind w:left="218" w:right="227"/>
        <w:jc w:val="left"/>
      </w:pPr>
      <w:r>
        <w:rPr/>
        <w:t>万元，合计共支付收购款</w:t>
      </w:r>
      <w:r>
        <w:rPr>
          <w:spacing w:val="-55"/>
        </w:rPr>
        <w:t> </w:t>
      </w:r>
      <w:r>
        <w:rPr>
          <w:rFonts w:ascii="宋体" w:hAnsi="宋体" w:cs="宋体" w:eastAsia="宋体" w:hint="default"/>
        </w:rPr>
        <w:t>73,500.00</w:t>
      </w:r>
      <w:r>
        <w:rPr>
          <w:rFonts w:ascii="宋体" w:hAnsi="宋体" w:cs="宋体" w:eastAsia="宋体" w:hint="default"/>
          <w:spacing w:val="-55"/>
        </w:rPr>
        <w:t> </w:t>
      </w:r>
      <w:r>
        <w:rPr/>
        <w:t>万元，合并日确定为</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spacing w:val="-3"/>
        </w:rPr>
        <w:t>日。</w:t>
      </w:r>
      <w:r>
        <w:rPr/>
      </w:r>
    </w:p>
    <w:p>
      <w:pPr>
        <w:spacing w:line="240" w:lineRule="auto" w:before="8"/>
        <w:rPr>
          <w:rFonts w:ascii="宋体" w:hAnsi="宋体" w:cs="宋体" w:eastAsia="宋体" w:hint="default"/>
          <w:sz w:val="20"/>
          <w:szCs w:val="20"/>
        </w:rPr>
      </w:pPr>
    </w:p>
    <w:p>
      <w:pPr>
        <w:pStyle w:val="BodyText"/>
        <w:spacing w:line="274" w:lineRule="exact"/>
        <w:ind w:left="218" w:right="2549"/>
        <w:jc w:val="left"/>
      </w:pPr>
      <w:r>
        <w:rPr/>
        <w:t>大额商誉形成的主要原因：</w:t>
      </w:r>
    </w:p>
    <w:p>
      <w:pPr>
        <w:pStyle w:val="BodyText"/>
        <w:spacing w:line="272" w:lineRule="exact"/>
        <w:ind w:left="218" w:right="227"/>
        <w:jc w:val="left"/>
      </w:pPr>
      <w:r>
        <w:rPr/>
        <w:t>参照市盈率法，选取</w:t>
      </w:r>
      <w:r>
        <w:rPr>
          <w:spacing w:val="-54"/>
        </w:rPr>
        <w:t> </w:t>
      </w:r>
      <w:r>
        <w:rPr>
          <w:rFonts w:ascii="宋体" w:hAnsi="宋体" w:cs="宋体" w:eastAsia="宋体" w:hint="default"/>
        </w:rPr>
        <w:t>13.5</w:t>
      </w:r>
      <w:r>
        <w:rPr>
          <w:rFonts w:ascii="宋体" w:hAnsi="宋体" w:cs="宋体" w:eastAsia="宋体" w:hint="default"/>
          <w:spacing w:val="-56"/>
        </w:rPr>
        <w:t> </w:t>
      </w:r>
      <w:r>
        <w:rPr/>
        <w:t>倍的估值倍数，帅康电气估值</w:t>
      </w:r>
      <w:r>
        <w:rPr>
          <w:spacing w:val="-54"/>
        </w:rPr>
        <w:t> </w:t>
      </w:r>
      <w:r>
        <w:rPr>
          <w:rFonts w:ascii="宋体" w:hAnsi="宋体" w:cs="宋体" w:eastAsia="宋体" w:hint="default"/>
        </w:rPr>
        <w:t>98,111.62</w:t>
      </w:r>
      <w:r>
        <w:rPr>
          <w:rFonts w:ascii="宋体" w:hAnsi="宋体" w:cs="宋体" w:eastAsia="宋体" w:hint="default"/>
          <w:spacing w:val="-56"/>
        </w:rPr>
        <w:t> </w:t>
      </w:r>
      <w:r>
        <w:rPr/>
        <w:t>万元，对应</w:t>
      </w:r>
      <w:r>
        <w:rPr>
          <w:spacing w:val="-53"/>
        </w:rPr>
        <w:t> </w:t>
      </w:r>
      <w:r>
        <w:rPr>
          <w:rFonts w:ascii="宋体" w:hAnsi="宋体" w:cs="宋体" w:eastAsia="宋体" w:hint="default"/>
        </w:rPr>
        <w:t>75%</w:t>
      </w:r>
      <w:r>
        <w:rPr/>
        <w:t>股份估值</w:t>
      </w:r>
    </w:p>
    <w:p>
      <w:pPr>
        <w:pStyle w:val="BodyText"/>
        <w:spacing w:line="273" w:lineRule="exact"/>
        <w:ind w:left="218" w:right="227"/>
        <w:jc w:val="left"/>
      </w:pPr>
      <w:r>
        <w:rPr>
          <w:rFonts w:ascii="宋体" w:hAnsi="宋体" w:cs="宋体" w:eastAsia="宋体" w:hint="default"/>
        </w:rPr>
        <w:t>73,583.72</w:t>
      </w:r>
      <w:r>
        <w:rPr>
          <w:rFonts w:ascii="宋体" w:hAnsi="宋体" w:cs="宋体" w:eastAsia="宋体" w:hint="default"/>
          <w:spacing w:val="-57"/>
        </w:rPr>
        <w:t> </w:t>
      </w:r>
      <w:r>
        <w:rPr/>
        <w:t>万元。经各方协商同意，本次收购</w:t>
      </w:r>
      <w:r>
        <w:rPr>
          <w:spacing w:val="-55"/>
        </w:rPr>
        <w:t> </w:t>
      </w:r>
      <w:r>
        <w:rPr>
          <w:rFonts w:ascii="宋体" w:hAnsi="宋体" w:cs="宋体" w:eastAsia="宋体" w:hint="default"/>
        </w:rPr>
        <w:t>75%</w:t>
      </w:r>
      <w:r>
        <w:rPr/>
        <w:t>股权收购价定为</w:t>
      </w:r>
      <w:r>
        <w:rPr>
          <w:spacing w:val="-55"/>
        </w:rPr>
        <w:t> </w:t>
      </w:r>
      <w:r>
        <w:rPr>
          <w:rFonts w:ascii="宋体" w:hAnsi="宋体" w:cs="宋体" w:eastAsia="宋体" w:hint="default"/>
        </w:rPr>
        <w:t>73,500.00</w:t>
      </w:r>
      <w:r>
        <w:rPr>
          <w:rFonts w:ascii="宋体" w:hAnsi="宋体" w:cs="宋体" w:eastAsia="宋体" w:hint="default"/>
          <w:spacing w:val="-55"/>
        </w:rPr>
        <w:t> </w:t>
      </w:r>
      <w:r>
        <w:rPr/>
        <w:t>万元。</w:t>
      </w:r>
    </w:p>
    <w:p>
      <w:pPr>
        <w:spacing w:line="240" w:lineRule="auto" w:before="3"/>
        <w:rPr>
          <w:rFonts w:ascii="宋体" w:hAnsi="宋体" w:cs="宋体" w:eastAsia="宋体" w:hint="default"/>
          <w:sz w:val="25"/>
          <w:szCs w:val="25"/>
        </w:rPr>
      </w:pPr>
    </w:p>
    <w:p>
      <w:pPr>
        <w:pStyle w:val="BodyText"/>
        <w:spacing w:line="292" w:lineRule="auto"/>
        <w:ind w:left="218" w:right="7998"/>
        <w:jc w:val="left"/>
      </w:pPr>
      <w:r>
        <w:rPr/>
        <w:t>其他说明：</w:t>
      </w:r>
      <w:r>
        <w:rPr>
          <w:spacing w:val="-102"/>
        </w:rPr>
        <w:t> </w:t>
      </w:r>
      <w:r>
        <w:rPr>
          <w:spacing w:val="-102"/>
        </w:rPr>
      </w:r>
      <w:r>
        <w:rPr/>
        <w:t>无</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080" w:bottom="1380" w:left="1580" w:right="1040"/>
        </w:sectPr>
      </w:pPr>
    </w:p>
    <w:p>
      <w:pPr>
        <w:pStyle w:val="Heading5"/>
        <w:tabs>
          <w:tab w:pos="875" w:val="left" w:leader="none"/>
        </w:tabs>
        <w:spacing w:line="240" w:lineRule="auto" w:before="36"/>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6"/>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1" w:space="2270"/>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45"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浙江帅康电气股份有限公司</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5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1,361,882,320.33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1,140,945,448.01</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353,054,859.13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353,054,859.13</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18,928,093.65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18,928,093.65</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29,732,163.02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29,732,163.02</w:t>
            </w:r>
          </w:p>
        </w:tc>
      </w:tr>
      <w:tr>
        <w:trPr>
          <w:trHeight w:val="24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6,426,834.55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6,426,834.55</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19,315,833.69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19,315,833.69</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104,198,348.83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104,198,348.83</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123,288,658.90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123,288,658.90</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391,183,550.00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385,274,489.97</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304,459,300.00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89,431,487.71</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959,444.44</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959,444.44</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8,573,101.12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8,573,101.12</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1,762,133.00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1,762,133.00</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1,045,718,566.51</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1,012,578,035.66</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535,650,000.00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535,650,000.00</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94,410,000.00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94,410,000.00</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120,363,620.56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120,363,620.56</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57,157,181.97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57,157,181.97</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8,655,580.00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8,655,580.00</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17,277,059.99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17,277,059.99</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635,216.87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635,216.87</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27,658,946.39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27,658,946.39</w:t>
            </w:r>
          </w:p>
        </w:tc>
      </w:tr>
      <w:tr>
        <w:trPr>
          <w:trHeight w:val="4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100,000,000.00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40,655,000.00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40,655,000.00</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5,148,349.88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5,148,349.88</w:t>
            </w:r>
          </w:p>
        </w:tc>
      </w:tr>
      <w:tr>
        <w:trPr>
          <w:trHeight w:val="2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4,967,080.00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4,967,080.00</w:t>
            </w:r>
          </w:p>
        </w:tc>
      </w:tr>
      <w:tr>
        <w:trPr>
          <w:trHeight w:val="2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33,140,530.85</w:t>
            </w: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316,163,753.82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128,367,412.35</w:t>
            </w:r>
          </w:p>
        </w:tc>
      </w:tr>
      <w:tr>
        <w:trPr>
          <w:trHeight w:val="47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减：少数股东权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79,040,938.45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32,091,853.09</w:t>
            </w:r>
          </w:p>
        </w:tc>
      </w:tr>
      <w:tr>
        <w:trPr>
          <w:trHeight w:val="24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237,122,815.37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96,275,559.26</w:t>
            </w:r>
          </w:p>
        </w:tc>
      </w:tr>
    </w:tbl>
    <w:p>
      <w:pPr>
        <w:spacing w:line="240" w:lineRule="auto" w:before="2"/>
        <w:rPr>
          <w:rFonts w:ascii="宋体" w:hAnsi="宋体" w:cs="宋体" w:eastAsia="宋体" w:hint="default"/>
          <w:sz w:val="20"/>
          <w:szCs w:val="20"/>
        </w:rPr>
      </w:pPr>
    </w:p>
    <w:p>
      <w:pPr>
        <w:pStyle w:val="BodyText"/>
        <w:spacing w:line="240" w:lineRule="auto" w:before="36"/>
        <w:ind w:left="218" w:right="2549"/>
        <w:jc w:val="left"/>
      </w:pPr>
      <w:r>
        <w:rPr/>
        <w:t>可辨认资产、负债公允价值的确定方法：</w:t>
      </w:r>
    </w:p>
    <w:p>
      <w:pPr>
        <w:pStyle w:val="BodyText"/>
        <w:spacing w:line="237" w:lineRule="auto" w:before="59"/>
        <w:ind w:left="218" w:right="121"/>
        <w:jc w:val="left"/>
      </w:pPr>
      <w:r>
        <w:rPr>
          <w:spacing w:val="-2"/>
        </w:rPr>
        <w:t>购买日被购买方可辨认资产、负债公允价值的确定依据为厦门市大学资产评估土地房地产估价有</w:t>
      </w:r>
      <w:r>
        <w:rPr>
          <w:spacing w:val="-25"/>
        </w:rPr>
        <w:t> </w:t>
      </w:r>
      <w:r>
        <w:rPr>
          <w:spacing w:val="-25"/>
        </w:rPr>
      </w:r>
      <w:r>
        <w:rPr>
          <w:spacing w:val="-2"/>
        </w:rPr>
        <w:t>限责任公司出具的《日出东方太阳能股份有限公司合并对价分摊涉及的浙江帅康电气股份有限公</w:t>
      </w:r>
      <w:r>
        <w:rPr>
          <w:spacing w:val="-25"/>
        </w:rPr>
        <w:t> </w:t>
      </w:r>
      <w:r>
        <w:rPr>
          <w:spacing w:val="-25"/>
        </w:rPr>
      </w:r>
      <w:r>
        <w:rPr>
          <w:spacing w:val="-3"/>
        </w:rPr>
        <w:t>司部分资产评估报告书》（大学评估</w:t>
      </w:r>
      <w:r>
        <w:rPr>
          <w:rFonts w:ascii="宋体" w:hAnsi="宋体" w:cs="宋体" w:eastAsia="宋体" w:hint="default"/>
          <w:spacing w:val="-3"/>
        </w:rPr>
        <w:t>[2017]NJ0015</w:t>
      </w:r>
      <w:r>
        <w:rPr>
          <w:rFonts w:ascii="宋体" w:hAnsi="宋体" w:cs="宋体" w:eastAsia="宋体" w:hint="default"/>
          <w:spacing w:val="-28"/>
        </w:rPr>
        <w:t> </w:t>
      </w:r>
      <w:r>
        <w:rPr/>
        <w:t>号）中对浙江帅康电气股份有限公司资产的公</w:t>
      </w:r>
      <w:r>
        <w:rPr>
          <w:spacing w:val="-94"/>
        </w:rPr>
        <w:t> </w:t>
      </w:r>
      <w:r>
        <w:rPr>
          <w:spacing w:val="-94"/>
        </w:rPr>
      </w:r>
      <w:r>
        <w:rPr/>
        <w:t>允价值的评估值。购买日被购买方净资产公允价值与账面价值的差异主要为专利权评估增值</w:t>
      </w:r>
      <w:r>
        <w:rPr>
          <w:w w:val="100"/>
        </w:rPr>
        <w:t> </w:t>
      </w:r>
      <w:r>
        <w:rPr>
          <w:rFonts w:ascii="宋体" w:hAnsi="宋体" w:cs="宋体" w:eastAsia="宋体" w:hint="default"/>
        </w:rPr>
        <w:t>3,193.58</w:t>
      </w:r>
      <w:r>
        <w:rPr>
          <w:rFonts w:ascii="宋体" w:hAnsi="宋体" w:cs="宋体" w:eastAsia="宋体" w:hint="default"/>
          <w:spacing w:val="-57"/>
        </w:rPr>
        <w:t> </w:t>
      </w:r>
      <w:r>
        <w:rPr/>
        <w:t>万元、商标评估增值</w:t>
      </w:r>
      <w:r>
        <w:rPr>
          <w:spacing w:val="-54"/>
        </w:rPr>
        <w:t> </w:t>
      </w:r>
      <w:r>
        <w:rPr>
          <w:rFonts w:ascii="宋体" w:hAnsi="宋体" w:cs="宋体" w:eastAsia="宋体" w:hint="default"/>
        </w:rPr>
        <w:t>15,835.96</w:t>
      </w:r>
      <w:r>
        <w:rPr>
          <w:rFonts w:ascii="宋体" w:hAnsi="宋体" w:cs="宋体" w:eastAsia="宋体" w:hint="default"/>
          <w:spacing w:val="-57"/>
        </w:rPr>
        <w:t> </w:t>
      </w:r>
      <w:r>
        <w:rPr/>
        <w:t>万元，土地使用权评估增值</w:t>
      </w:r>
      <w:r>
        <w:rPr>
          <w:spacing w:val="-55"/>
        </w:rPr>
        <w:t> </w:t>
      </w:r>
      <w:r>
        <w:rPr>
          <w:rFonts w:ascii="宋体" w:hAnsi="宋体" w:cs="宋体" w:eastAsia="宋体" w:hint="default"/>
        </w:rPr>
        <w:t>2,469.30</w:t>
      </w:r>
      <w:r>
        <w:rPr>
          <w:rFonts w:ascii="宋体" w:hAnsi="宋体" w:cs="宋体" w:eastAsia="宋体" w:hint="default"/>
          <w:spacing w:val="-54"/>
        </w:rPr>
        <w:t> </w:t>
      </w:r>
      <w:r>
        <w:rPr/>
        <w:t>万元以及机器设</w:t>
      </w:r>
    </w:p>
    <w:p>
      <w:pPr>
        <w:pStyle w:val="BodyText"/>
        <w:spacing w:line="290" w:lineRule="auto"/>
        <w:ind w:left="218" w:right="5134"/>
        <w:jc w:val="left"/>
      </w:pPr>
      <w:r>
        <w:rPr/>
        <w:t>备评估增值</w:t>
      </w:r>
      <w:r>
        <w:rPr>
          <w:spacing w:val="-53"/>
        </w:rPr>
        <w:t> </w:t>
      </w:r>
      <w:r>
        <w:rPr>
          <w:rFonts w:ascii="宋体" w:hAnsi="宋体" w:cs="宋体" w:eastAsia="宋体" w:hint="default"/>
        </w:rPr>
        <w:t>501.10</w:t>
      </w:r>
      <w:r>
        <w:rPr>
          <w:rFonts w:ascii="宋体" w:hAnsi="宋体" w:cs="宋体" w:eastAsia="宋体" w:hint="default"/>
          <w:spacing w:val="-55"/>
        </w:rPr>
        <w:t> </w:t>
      </w:r>
      <w:r>
        <w:rPr/>
        <w:t>万元。</w:t>
      </w:r>
      <w:r>
        <w:rPr>
          <w:w w:val="100"/>
        </w:rPr>
        <w:t> </w:t>
      </w:r>
      <w:r>
        <w:rPr>
          <w:spacing w:val="-2"/>
        </w:rPr>
        <w:t>企业合并中承担的被购买方的或有负债：</w:t>
      </w:r>
      <w:r>
        <w:rPr>
          <w:spacing w:val="-69"/>
        </w:rPr>
        <w:t> </w:t>
      </w:r>
      <w:r>
        <w:rPr>
          <w:spacing w:val="-69"/>
        </w:rPr>
      </w:r>
      <w:r>
        <w:rPr/>
        <w:t>无</w:t>
      </w:r>
    </w:p>
    <w:p>
      <w:pPr>
        <w:pStyle w:val="BodyText"/>
        <w:spacing w:line="290" w:lineRule="auto" w:before="14"/>
        <w:ind w:left="218"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tabs>
          <w:tab w:pos="875" w:val="left" w:leader="none"/>
        </w:tabs>
        <w:spacing w:line="290" w:lineRule="auto" w:before="0"/>
        <w:ind w:left="218" w:right="23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875" w:val="left" w:leader="none"/>
        </w:tabs>
        <w:spacing w:line="240" w:lineRule="auto"/>
        <w:ind w:right="2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875" w:val="left" w:leader="none"/>
        </w:tabs>
        <w:spacing w:line="240" w:lineRule="auto"/>
        <w:ind w:right="2549"/>
        <w:jc w:val="left"/>
        <w:rPr>
          <w:b w:val="0"/>
          <w:bCs w:val="0"/>
        </w:rPr>
      </w:pPr>
      <w:r>
        <w:rPr>
          <w:rFonts w:ascii="宋体" w:hAnsi="宋体" w:cs="宋体" w:eastAsia="宋体" w:hint="default"/>
          <w:w w:val="95"/>
        </w:rPr>
        <w:t>(6).</w:t>
        <w:tab/>
      </w:r>
      <w:r>
        <w:rPr/>
        <w:t>其他说明：</w:t>
      </w:r>
      <w:r>
        <w:rPr>
          <w:b w:val="0"/>
          <w:bCs w:val="0"/>
        </w:rPr>
      </w:r>
    </w:p>
    <w:p>
      <w:pPr>
        <w:pStyle w:val="BodyText"/>
        <w:tabs>
          <w:tab w:pos="1060" w:val="left" w:leader="none"/>
        </w:tabs>
        <w:spacing w:line="240" w:lineRule="auto" w:before="59"/>
        <w:ind w:left="218" w:right="2549"/>
        <w:jc w:val="left"/>
      </w:pPr>
      <w:r>
        <w:rPr>
          <w:spacing w:val="-1"/>
        </w:rPr>
        <w:t>□适用</w:t>
        <w:tab/>
      </w:r>
      <w:r>
        <w:rPr>
          <w:spacing w:val="-2"/>
        </w:rPr>
        <w:t>√不适用</w:t>
      </w:r>
    </w:p>
    <w:p>
      <w:pPr>
        <w:pStyle w:val="Heading5"/>
        <w:spacing w:line="240" w:lineRule="auto" w:before="56"/>
        <w:ind w:right="2549"/>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218" w:right="2549"/>
        <w:jc w:val="left"/>
      </w:pPr>
      <w:r>
        <w:rPr/>
        <w:t>□适用</w:t>
      </w:r>
      <w:r>
        <w:rPr>
          <w:spacing w:val="-1"/>
        </w:rPr>
        <w:t> </w:t>
      </w:r>
      <w:r>
        <w:rPr/>
        <w:t>√不适用</w:t>
      </w:r>
    </w:p>
    <w:p>
      <w:pPr>
        <w:spacing w:after="0" w:line="240" w:lineRule="auto"/>
        <w:jc w:val="left"/>
        <w:sectPr>
          <w:pgSz w:w="11910" w:h="16840"/>
          <w:pgMar w:header="882" w:footer="1195"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290" w:lineRule="auto" w:before="36"/>
        <w:ind w:left="218" w:right="360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218" w:right="20"/>
        <w:jc w:val="left"/>
      </w:pPr>
      <w:r>
        <w:rPr/>
        <w:t>□适用</w:t>
      </w:r>
      <w:r>
        <w:rPr>
          <w:spacing w:val="-1"/>
        </w:rPr>
        <w:t> </w:t>
      </w:r>
      <w:r>
        <w:rPr/>
        <w:t>√不适用</w:t>
      </w:r>
    </w:p>
    <w:p>
      <w:pPr>
        <w:pStyle w:val="BodyText"/>
        <w:spacing w:line="272" w:lineRule="exact"/>
        <w:ind w:left="218" w:right="20"/>
        <w:jc w:val="left"/>
      </w:pPr>
      <w:r>
        <w:rPr/>
        <w:t>其他说明：</w:t>
      </w:r>
    </w:p>
    <w:p>
      <w:pPr>
        <w:pStyle w:val="BodyText"/>
        <w:spacing w:line="274" w:lineRule="exact"/>
        <w:ind w:left="218" w:right="2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20"/>
        <w:jc w:val="left"/>
      </w:pPr>
      <w:r>
        <w:rPr/>
        <w:t>是否存在通过多次交易分步处置对子公司投资且在本期丧失控制权的情形</w:t>
      </w:r>
    </w:p>
    <w:p>
      <w:pPr>
        <w:pStyle w:val="BodyText"/>
        <w:spacing w:line="273" w:lineRule="exact"/>
        <w:ind w:left="218" w:right="20"/>
        <w:jc w:val="left"/>
      </w:pPr>
      <w:r>
        <w:rPr/>
        <w:t>□适用 √不适用</w:t>
      </w:r>
    </w:p>
    <w:p>
      <w:pPr>
        <w:spacing w:line="240" w:lineRule="auto" w:before="2"/>
        <w:rPr>
          <w:rFonts w:ascii="宋体" w:hAnsi="宋体" w:cs="宋体" w:eastAsia="宋体" w:hint="default"/>
          <w:sz w:val="24"/>
          <w:szCs w:val="24"/>
        </w:rPr>
      </w:pPr>
    </w:p>
    <w:p>
      <w:pPr>
        <w:spacing w:line="290" w:lineRule="auto" w:before="0"/>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218" w:right="20"/>
        <w:jc w:val="left"/>
      </w:pPr>
      <w:r>
        <w:rPr/>
        <w:t>√适用</w:t>
      </w:r>
      <w:r>
        <w:rPr>
          <w:spacing w:val="-1"/>
        </w:rPr>
        <w:t> </w:t>
      </w:r>
      <w:r>
        <w:rPr/>
        <w:t>□不适用</w:t>
      </w:r>
    </w:p>
    <w:p>
      <w:pPr>
        <w:pStyle w:val="BodyText"/>
        <w:spacing w:line="274" w:lineRule="exact"/>
        <w:ind w:left="112" w:right="20"/>
        <w:jc w:val="left"/>
      </w:pPr>
      <w:r>
        <w:rPr/>
        <w:t>本期通过设立方式取得的子公司（包括该等子公司控制的孙公司）</w:t>
      </w:r>
    </w:p>
    <w:p>
      <w:pPr>
        <w:spacing w:line="240" w:lineRule="auto" w:before="11"/>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2625"/>
        <w:gridCol w:w="1364"/>
        <w:gridCol w:w="907"/>
        <w:gridCol w:w="1129"/>
        <w:gridCol w:w="912"/>
        <w:gridCol w:w="878"/>
        <w:gridCol w:w="1235"/>
      </w:tblGrid>
      <w:tr>
        <w:trPr>
          <w:trHeight w:val="526" w:hRule="exact"/>
        </w:trPr>
        <w:tc>
          <w:tcPr>
            <w:tcW w:w="2625" w:type="dxa"/>
            <w:tcBorders>
              <w:top w:val="single" w:sz="8" w:space="0" w:color="000000"/>
              <w:left w:val="nil" w:sz="6" w:space="0" w:color="auto"/>
              <w:bottom w:val="single" w:sz="4" w:space="0" w:color="000000"/>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364" w:type="dxa"/>
            <w:tcBorders>
              <w:top w:val="single" w:sz="8" w:space="0" w:color="000000"/>
              <w:left w:val="nil" w:sz="6" w:space="0" w:color="auto"/>
              <w:bottom w:val="single" w:sz="4" w:space="0" w:color="000000"/>
              <w:right w:val="nil" w:sz="6" w:space="0" w:color="auto"/>
            </w:tcBorders>
          </w:tcPr>
          <w:p>
            <w:pPr>
              <w:pStyle w:val="TableParagraph"/>
              <w:spacing w:line="240" w:lineRule="auto" w:before="109"/>
              <w:ind w:right="169"/>
              <w:jc w:val="righ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907" w:type="dxa"/>
            <w:tcBorders>
              <w:top w:val="single" w:sz="8" w:space="0" w:color="000000"/>
              <w:left w:val="nil" w:sz="6" w:space="0" w:color="auto"/>
              <w:bottom w:val="single" w:sz="4" w:space="0" w:color="000000"/>
              <w:right w:val="nil" w:sz="6" w:space="0" w:color="auto"/>
            </w:tcBorders>
          </w:tcPr>
          <w:p>
            <w:pPr>
              <w:pStyle w:val="TableParagraph"/>
              <w:spacing w:line="232" w:lineRule="exact" w:before="18"/>
              <w:ind w:left="351" w:right="190" w:hanging="18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129" w:type="dxa"/>
            <w:tcBorders>
              <w:top w:val="single" w:sz="8" w:space="0" w:color="000000"/>
              <w:left w:val="nil" w:sz="6" w:space="0" w:color="auto"/>
              <w:bottom w:val="single" w:sz="4" w:space="0" w:color="000000"/>
              <w:right w:val="nil" w:sz="6" w:space="0" w:color="auto"/>
            </w:tcBorders>
          </w:tcPr>
          <w:p>
            <w:pPr>
              <w:pStyle w:val="TableParagraph"/>
              <w:spacing w:line="240" w:lineRule="auto" w:before="109"/>
              <w:ind w:right="214"/>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912" w:type="dxa"/>
            <w:tcBorders>
              <w:top w:val="single" w:sz="8" w:space="0" w:color="000000"/>
              <w:left w:val="nil" w:sz="6" w:space="0" w:color="auto"/>
              <w:bottom w:val="single" w:sz="4" w:space="0" w:color="000000"/>
              <w:right w:val="nil" w:sz="6" w:space="0" w:color="auto"/>
            </w:tcBorders>
          </w:tcPr>
          <w:p>
            <w:pPr>
              <w:pStyle w:val="TableParagraph"/>
              <w:spacing w:line="240" w:lineRule="auto" w:before="109"/>
              <w:ind w:right="151"/>
              <w:jc w:val="right"/>
              <w:rPr>
                <w:rFonts w:ascii="宋体" w:hAnsi="宋体" w:cs="宋体" w:eastAsia="宋体" w:hint="default"/>
                <w:sz w:val="18"/>
                <w:szCs w:val="18"/>
              </w:rPr>
            </w:pPr>
            <w:r>
              <w:rPr>
                <w:rFonts w:ascii="宋体" w:hAnsi="宋体" w:cs="宋体" w:eastAsia="宋体" w:hint="default"/>
                <w:b/>
                <w:bCs/>
                <w:w w:val="95"/>
                <w:sz w:val="18"/>
                <w:szCs w:val="18"/>
              </w:rPr>
              <w:t>注册地</w:t>
            </w:r>
            <w:r>
              <w:rPr>
                <w:rFonts w:ascii="宋体" w:hAnsi="宋体" w:cs="宋体" w:eastAsia="宋体" w:hint="default"/>
                <w:sz w:val="18"/>
                <w:szCs w:val="18"/>
              </w:rPr>
            </w:r>
          </w:p>
        </w:tc>
        <w:tc>
          <w:tcPr>
            <w:tcW w:w="878" w:type="dxa"/>
            <w:tcBorders>
              <w:top w:val="single" w:sz="8" w:space="0" w:color="000000"/>
              <w:left w:val="nil" w:sz="6" w:space="0" w:color="auto"/>
              <w:bottom w:val="single" w:sz="4" w:space="0" w:color="000000"/>
              <w:right w:val="nil" w:sz="6" w:space="0" w:color="auto"/>
            </w:tcBorders>
          </w:tcPr>
          <w:p>
            <w:pPr>
              <w:pStyle w:val="TableParagraph"/>
              <w:spacing w:line="228"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法人代</w:t>
            </w:r>
            <w:r>
              <w:rPr>
                <w:rFonts w:ascii="宋体" w:hAnsi="宋体" w:cs="宋体" w:eastAsia="宋体" w:hint="default"/>
                <w:sz w:val="18"/>
                <w:szCs w:val="18"/>
              </w:rPr>
            </w:r>
          </w:p>
          <w:p>
            <w:pPr>
              <w:pStyle w:val="TableParagraph"/>
              <w:spacing w:line="234" w:lineRule="exact"/>
              <w:ind w:left="516" w:right="0"/>
              <w:jc w:val="left"/>
              <w:rPr>
                <w:rFonts w:ascii="宋体" w:hAnsi="宋体" w:cs="宋体" w:eastAsia="宋体" w:hint="default"/>
                <w:sz w:val="18"/>
                <w:szCs w:val="18"/>
              </w:rPr>
            </w:pPr>
            <w:r>
              <w:rPr>
                <w:rFonts w:ascii="宋体" w:hAnsi="宋体" w:cs="宋体" w:eastAsia="宋体" w:hint="default"/>
                <w:b/>
                <w:bCs/>
                <w:w w:val="99"/>
                <w:sz w:val="18"/>
                <w:szCs w:val="18"/>
              </w:rPr>
              <w:t>表</w:t>
            </w:r>
            <w:r>
              <w:rPr>
                <w:rFonts w:ascii="宋体" w:hAnsi="宋体" w:cs="宋体" w:eastAsia="宋体" w:hint="default"/>
                <w:sz w:val="18"/>
                <w:szCs w:val="18"/>
              </w:rPr>
            </w:r>
          </w:p>
        </w:tc>
        <w:tc>
          <w:tcPr>
            <w:tcW w:w="1235" w:type="dxa"/>
            <w:tcBorders>
              <w:top w:val="single" w:sz="8" w:space="0" w:color="000000"/>
              <w:left w:val="nil" w:sz="6" w:space="0" w:color="auto"/>
              <w:bottom w:val="single" w:sz="4" w:space="0" w:color="000000"/>
              <w:right w:val="nil" w:sz="6" w:space="0" w:color="auto"/>
            </w:tcBorders>
          </w:tcPr>
          <w:p>
            <w:pPr>
              <w:pStyle w:val="TableParagraph"/>
              <w:spacing w:line="240" w:lineRule="auto" w:before="109"/>
              <w:ind w:left="512" w:right="0"/>
              <w:jc w:val="lef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r>
      <w:tr>
        <w:trPr>
          <w:trHeight w:val="649" w:hRule="exact"/>
        </w:trPr>
        <w:tc>
          <w:tcPr>
            <w:tcW w:w="262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07" w:right="138"/>
              <w:jc w:val="left"/>
              <w:rPr>
                <w:rFonts w:ascii="宋体" w:hAnsi="宋体" w:cs="宋体" w:eastAsia="宋体" w:hint="default"/>
                <w:sz w:val="18"/>
                <w:szCs w:val="18"/>
              </w:rPr>
            </w:pPr>
            <w:r>
              <w:rPr>
                <w:rFonts w:ascii="宋体" w:hAnsi="宋体" w:cs="宋体" w:eastAsia="宋体" w:hint="default"/>
                <w:spacing w:val="2"/>
                <w:sz w:val="18"/>
                <w:szCs w:val="18"/>
              </w:rPr>
              <w:t>江苏四季沐歌新能源科技有限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35" w:lineRule="exact" w:before="58"/>
              <w:ind w:left="109" w:right="0"/>
              <w:jc w:val="left"/>
              <w:rPr>
                <w:rFonts w:ascii="宋体" w:hAnsi="宋体" w:cs="宋体" w:eastAsia="宋体" w:hint="default"/>
                <w:sz w:val="18"/>
                <w:szCs w:val="18"/>
              </w:rPr>
            </w:pPr>
            <w:r>
              <w:rPr>
                <w:rFonts w:ascii="宋体" w:hAnsi="宋体" w:cs="宋体" w:eastAsia="宋体" w:hint="default"/>
                <w:sz w:val="18"/>
                <w:szCs w:val="18"/>
              </w:rPr>
              <w:t>江苏四季沐歌</w:t>
            </w:r>
          </w:p>
          <w:p>
            <w:pPr>
              <w:pStyle w:val="TableParagraph"/>
              <w:spacing w:line="240" w:lineRule="auto"/>
              <w:ind w:left="649"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90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控股</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1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连云港</w:t>
            </w: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杨亮</w:t>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1,010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659"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32" w:lineRule="exact" w:before="84"/>
              <w:ind w:left="107" w:right="138"/>
              <w:jc w:val="left"/>
              <w:rPr>
                <w:rFonts w:ascii="宋体" w:hAnsi="宋体" w:cs="宋体" w:eastAsia="宋体" w:hint="default"/>
                <w:sz w:val="18"/>
                <w:szCs w:val="18"/>
              </w:rPr>
            </w:pPr>
            <w:r>
              <w:rPr>
                <w:rFonts w:ascii="宋体" w:hAnsi="宋体" w:cs="宋体" w:eastAsia="宋体" w:hint="default"/>
                <w:spacing w:val="2"/>
                <w:sz w:val="18"/>
                <w:szCs w:val="18"/>
              </w:rPr>
              <w:t>山东四季沐歌光伏科技有限公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山东四季沐歌</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控股</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济南</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刘喆</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690"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32" w:lineRule="exact" w:before="100"/>
              <w:ind w:left="107" w:right="138"/>
              <w:jc w:val="left"/>
              <w:rPr>
                <w:rFonts w:ascii="宋体" w:hAnsi="宋体" w:cs="宋体" w:eastAsia="宋体" w:hint="default"/>
                <w:sz w:val="18"/>
                <w:szCs w:val="18"/>
              </w:rPr>
            </w:pPr>
            <w:r>
              <w:rPr>
                <w:rFonts w:ascii="宋体" w:hAnsi="宋体" w:cs="宋体" w:eastAsia="宋体" w:hint="default"/>
                <w:spacing w:val="2"/>
                <w:sz w:val="18"/>
                <w:szCs w:val="18"/>
              </w:rPr>
              <w:t>江苏日出东方康索沃太阳墙技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术有限公司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康索沃</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控股</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连云港</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徐新建</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657"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27"/>
                <w:sz w:val="18"/>
                <w:szCs w:val="18"/>
              </w:rPr>
              <w:t>广东四季沐歌空气能有限公司</w:t>
            </w:r>
          </w:p>
        </w:tc>
        <w:tc>
          <w:tcPr>
            <w:tcW w:w="1364" w:type="dxa"/>
            <w:tcBorders>
              <w:top w:val="nil" w:sz="6" w:space="0" w:color="auto"/>
              <w:left w:val="nil" w:sz="6" w:space="0" w:color="auto"/>
              <w:bottom w:val="nil" w:sz="6" w:space="0" w:color="auto"/>
              <w:right w:val="nil" w:sz="6" w:space="0" w:color="auto"/>
            </w:tcBorders>
          </w:tcPr>
          <w:p>
            <w:pPr>
              <w:pStyle w:val="TableParagraph"/>
              <w:spacing w:line="234" w:lineRule="exact" w:before="91"/>
              <w:ind w:left="109" w:right="0"/>
              <w:jc w:val="left"/>
              <w:rPr>
                <w:rFonts w:ascii="宋体" w:hAnsi="宋体" w:cs="宋体" w:eastAsia="宋体" w:hint="default"/>
                <w:sz w:val="18"/>
                <w:szCs w:val="18"/>
              </w:rPr>
            </w:pPr>
            <w:r>
              <w:rPr>
                <w:rFonts w:ascii="宋体" w:hAnsi="宋体" w:cs="宋体" w:eastAsia="宋体" w:hint="default"/>
                <w:sz w:val="18"/>
                <w:szCs w:val="18"/>
              </w:rPr>
              <w:t>广东四季沐歌</w:t>
            </w:r>
          </w:p>
          <w:p>
            <w:pPr>
              <w:pStyle w:val="TableParagraph"/>
              <w:spacing w:line="234" w:lineRule="exact"/>
              <w:ind w:left="649" w:right="0"/>
              <w:jc w:val="left"/>
              <w:rPr>
                <w:rFonts w:ascii="宋体" w:hAnsi="宋体" w:cs="宋体" w:eastAsia="宋体" w:hint="default"/>
                <w:sz w:val="18"/>
                <w:szCs w:val="18"/>
              </w:rPr>
            </w:pPr>
            <w:r>
              <w:rPr>
                <w:rFonts w:ascii="宋体" w:hAnsi="宋体" w:cs="宋体" w:eastAsia="宋体" w:hint="default"/>
                <w:sz w:val="18"/>
                <w:szCs w:val="18"/>
              </w:rPr>
              <w:t>空气能</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全资</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佛山</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吴典华</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566" w:hRule="exact"/>
        </w:trPr>
        <w:tc>
          <w:tcPr>
            <w:tcW w:w="262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107" w:right="107"/>
              <w:jc w:val="left"/>
              <w:rPr>
                <w:rFonts w:ascii="宋体" w:hAnsi="宋体" w:cs="宋体" w:eastAsia="宋体" w:hint="default"/>
                <w:sz w:val="18"/>
                <w:szCs w:val="18"/>
              </w:rPr>
            </w:pPr>
            <w:r>
              <w:rPr>
                <w:rFonts w:ascii="宋体" w:hAnsi="宋体" w:cs="宋体" w:eastAsia="宋体" w:hint="default"/>
                <w:spacing w:val="-30"/>
                <w:sz w:val="18"/>
                <w:szCs w:val="18"/>
              </w:rPr>
              <w:t>东方盛耀（北京）新能源科技有限公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73"/>
              <w:jc w:val="right"/>
              <w:rPr>
                <w:rFonts w:ascii="宋体" w:hAnsi="宋体" w:cs="宋体" w:eastAsia="宋体" w:hint="default"/>
                <w:sz w:val="18"/>
                <w:szCs w:val="18"/>
              </w:rPr>
            </w:pPr>
            <w:r>
              <w:rPr>
                <w:rFonts w:ascii="宋体" w:hAnsi="宋体" w:cs="宋体" w:eastAsia="宋体" w:hint="default"/>
                <w:sz w:val="18"/>
                <w:szCs w:val="18"/>
              </w:rPr>
              <w:t>东方盛耀</w:t>
            </w:r>
          </w:p>
        </w:tc>
        <w:tc>
          <w:tcPr>
            <w:tcW w:w="907"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91"/>
              <w:jc w:val="right"/>
              <w:rPr>
                <w:rFonts w:ascii="宋体" w:hAnsi="宋体" w:cs="宋体" w:eastAsia="宋体" w:hint="default"/>
                <w:sz w:val="18"/>
                <w:szCs w:val="18"/>
              </w:rPr>
            </w:pPr>
            <w:r>
              <w:rPr>
                <w:rFonts w:ascii="宋体" w:hAnsi="宋体" w:cs="宋体" w:eastAsia="宋体" w:hint="default"/>
                <w:sz w:val="18"/>
                <w:szCs w:val="18"/>
              </w:rPr>
              <w:t>全资</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215"/>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12"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51"/>
              <w:jc w:val="right"/>
              <w:rPr>
                <w:rFonts w:ascii="宋体" w:hAnsi="宋体" w:cs="宋体" w:eastAsia="宋体" w:hint="default"/>
                <w:sz w:val="18"/>
                <w:szCs w:val="18"/>
              </w:rPr>
            </w:pPr>
            <w:r>
              <w:rPr>
                <w:rFonts w:ascii="宋体" w:hAnsi="宋体" w:cs="宋体" w:eastAsia="宋体" w:hint="default"/>
                <w:sz w:val="18"/>
                <w:szCs w:val="18"/>
              </w:rPr>
              <w:t>北京</w:t>
            </w: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79"/>
              <w:jc w:val="right"/>
              <w:rPr>
                <w:rFonts w:ascii="宋体" w:hAnsi="宋体" w:cs="宋体" w:eastAsia="宋体" w:hint="default"/>
                <w:sz w:val="18"/>
                <w:szCs w:val="18"/>
              </w:rPr>
            </w:pPr>
            <w:r>
              <w:rPr>
                <w:rFonts w:ascii="宋体" w:hAnsi="宋体" w:cs="宋体" w:eastAsia="宋体" w:hint="default"/>
                <w:sz w:val="18"/>
                <w:szCs w:val="18"/>
              </w:rPr>
              <w:t>吴典华</w:t>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272" w:right="0"/>
              <w:jc w:val="left"/>
              <w:rPr>
                <w:rFonts w:ascii="宋体" w:hAnsi="宋体" w:cs="宋体" w:eastAsia="宋体" w:hint="default"/>
                <w:sz w:val="18"/>
                <w:szCs w:val="18"/>
              </w:rPr>
            </w:pPr>
            <w:r>
              <w:rPr>
                <w:rFonts w:ascii="宋体" w:hAnsi="宋体" w:cs="宋体" w:eastAsia="宋体" w:hint="default"/>
                <w:sz w:val="18"/>
                <w:szCs w:val="18"/>
              </w:rPr>
              <w:t>5,001</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20"/>
          <w:szCs w:val="20"/>
        </w:rPr>
      </w:pPr>
    </w:p>
    <w:p>
      <w:pPr>
        <w:pStyle w:val="Heading5"/>
        <w:spacing w:line="240" w:lineRule="auto" w:before="36"/>
        <w:ind w:right="2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6"/>
        <w:ind w:left="218" w:right="20"/>
        <w:jc w:val="left"/>
      </w:pPr>
      <w:r>
        <w:rPr>
          <w:spacing w:val="-1"/>
        </w:rPr>
        <w:t>□适用</w:t>
        <w:tab/>
      </w:r>
      <w:r>
        <w:rPr>
          <w:spacing w:val="-2"/>
        </w:rPr>
        <w:t>√不适用</w:t>
      </w:r>
    </w:p>
    <w:p>
      <w:pPr>
        <w:spacing w:after="0" w:line="240" w:lineRule="auto"/>
        <w:jc w:val="left"/>
        <w:sectPr>
          <w:footerReference w:type="default" r:id="rId76"/>
          <w:pgSz w:w="11910" w:h="16840"/>
          <w:pgMar w:footer="1195" w:header="882" w:top="108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5"/>
        <w:tabs>
          <w:tab w:pos="861" w:val="left" w:leader="none"/>
        </w:tabs>
        <w:spacing w:line="290" w:lineRule="auto" w:before="36"/>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218" w:right="254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277"/>
        <w:gridCol w:w="852"/>
        <w:gridCol w:w="1274"/>
        <w:gridCol w:w="850"/>
        <w:gridCol w:w="710"/>
        <w:gridCol w:w="1142"/>
      </w:tblGrid>
      <w:tr>
        <w:trPr>
          <w:trHeight w:val="257" w:hRule="exact"/>
        </w:trPr>
        <w:tc>
          <w:tcPr>
            <w:tcW w:w="2943" w:type="dxa"/>
            <w:vMerge w:val="restart"/>
            <w:tcBorders>
              <w:top w:val="single" w:sz="4" w:space="0" w:color="000000"/>
              <w:left w:val="single" w:sz="4" w:space="0" w:color="000000"/>
              <w:right w:val="single" w:sz="4" w:space="0" w:color="000000"/>
            </w:tcBorders>
          </w:tcPr>
          <w:p>
            <w:pPr>
              <w:pStyle w:val="TableParagraph"/>
              <w:spacing w:line="232" w:lineRule="exact" w:before="28"/>
              <w:ind w:left="1195" w:right="1196"/>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1"/>
              <w:ind w:left="18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1"/>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1"/>
              <w:ind w:left="27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7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142" w:type="dxa"/>
            <w:vMerge w:val="restart"/>
            <w:tcBorders>
              <w:top w:val="single" w:sz="4" w:space="0" w:color="000000"/>
              <w:left w:val="single" w:sz="4" w:space="0" w:color="000000"/>
              <w:right w:val="single" w:sz="4" w:space="0" w:color="000000"/>
            </w:tcBorders>
          </w:tcPr>
          <w:p>
            <w:pPr>
              <w:pStyle w:val="TableParagraph"/>
              <w:spacing w:line="232" w:lineRule="exact" w:before="28"/>
              <w:ind w:left="386" w:right="384"/>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88" w:hRule="exact"/>
        </w:trPr>
        <w:tc>
          <w:tcPr>
            <w:tcW w:w="294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6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42" w:type="dxa"/>
            <w:vMerge/>
            <w:tcBorders>
              <w:left w:val="single" w:sz="4" w:space="0" w:color="000000"/>
              <w:bottom w:val="single" w:sz="4" w:space="0" w:color="000000"/>
              <w:right w:val="single" w:sz="4" w:space="0" w:color="000000"/>
            </w:tcBorders>
          </w:tcPr>
          <w:p>
            <w:pP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江苏四季沐歌有限公司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江苏省太阳能研究所有限公司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7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连云港太阳雨贸易有限公司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山东太阳雨太阳能有限公司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四季沐歌（洛阳）太阳能有限公司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北京四季沐歌太阳能技术集团有限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北京四季沐歌工程技术有限公司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北京田园牧歌文化传媒有限公司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广告制作及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广东日出东方空气能有限公司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研发、生产及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四季沐歌（连云港）太阳能有限公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四季沐歌节能电器有限公司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太阳雨节能电器有限公司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北京太阳神投资有限公司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江苏水滤康净水有限公司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上海好景投资有限公司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西藏好景投资有限公司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创蓝国际投资控股集团有限公司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贸易及投资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1452" w:val="left" w:leader="none"/>
              </w:tabs>
              <w:spacing w:line="204" w:lineRule="exact"/>
              <w:ind w:left="103" w:right="0"/>
              <w:jc w:val="left"/>
              <w:rPr>
                <w:rFonts w:ascii="宋体" w:hAnsi="宋体" w:cs="宋体" w:eastAsia="宋体" w:hint="default"/>
                <w:sz w:val="18"/>
                <w:szCs w:val="18"/>
              </w:rPr>
            </w:pPr>
            <w:r>
              <w:rPr>
                <w:rFonts w:ascii="宋体"/>
                <w:sz w:val="18"/>
              </w:rPr>
              <w:t>Great</w:t>
            </w:r>
            <w:r>
              <w:rPr>
                <w:rFonts w:ascii="宋体"/>
                <w:spacing w:val="-4"/>
                <w:sz w:val="18"/>
              </w:rPr>
              <w:t> </w:t>
            </w:r>
            <w:r>
              <w:rPr>
                <w:rFonts w:ascii="宋体"/>
                <w:sz w:val="18"/>
              </w:rPr>
              <w:t>Change</w:t>
              <w:tab/>
              <w:t>Europe</w:t>
            </w:r>
          </w:p>
          <w:p>
            <w:pPr>
              <w:pStyle w:val="TableParagraph"/>
              <w:spacing w:line="232" w:lineRule="exact" w:before="23"/>
              <w:ind w:left="103" w:right="398"/>
              <w:jc w:val="left"/>
              <w:rPr>
                <w:rFonts w:ascii="宋体" w:hAnsi="宋体" w:cs="宋体" w:eastAsia="宋体" w:hint="default"/>
                <w:sz w:val="18"/>
                <w:szCs w:val="18"/>
              </w:rPr>
            </w:pPr>
            <w:r>
              <w:rPr>
                <w:rFonts w:ascii="宋体"/>
                <w:sz w:val="18"/>
              </w:rPr>
              <w:t>Investment Holdings</w:t>
            </w:r>
            <w:r>
              <w:rPr>
                <w:rFonts w:ascii="宋体"/>
                <w:spacing w:val="-10"/>
                <w:sz w:val="18"/>
              </w:rPr>
              <w:t> </w:t>
            </w:r>
            <w:r>
              <w:rPr>
                <w:rFonts w:ascii="宋体"/>
                <w:sz w:val="18"/>
              </w:rPr>
              <w:t>Company</w:t>
            </w:r>
            <w:r>
              <w:rPr>
                <w:rFonts w:ascii="宋体"/>
                <w:sz w:val="18"/>
              </w:rPr>
              <w:t> 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1452" w:val="left" w:leader="none"/>
              </w:tabs>
              <w:spacing w:line="204" w:lineRule="exact"/>
              <w:ind w:left="103" w:right="0"/>
              <w:jc w:val="left"/>
              <w:rPr>
                <w:rFonts w:ascii="宋体" w:hAnsi="宋体" w:cs="宋体" w:eastAsia="宋体" w:hint="default"/>
                <w:sz w:val="18"/>
                <w:szCs w:val="18"/>
              </w:rPr>
            </w:pPr>
            <w:r>
              <w:rPr>
                <w:rFonts w:ascii="宋体"/>
                <w:sz w:val="18"/>
              </w:rPr>
              <w:t>Great</w:t>
            </w:r>
            <w:r>
              <w:rPr>
                <w:rFonts w:ascii="宋体"/>
                <w:spacing w:val="-4"/>
                <w:sz w:val="18"/>
              </w:rPr>
              <w:t> </w:t>
            </w:r>
            <w:r>
              <w:rPr>
                <w:rFonts w:ascii="宋体"/>
                <w:sz w:val="18"/>
              </w:rPr>
              <w:t>Change</w:t>
              <w:tab/>
              <w:t>American</w:t>
            </w:r>
          </w:p>
          <w:p>
            <w:pPr>
              <w:pStyle w:val="TableParagraph"/>
              <w:spacing w:line="234" w:lineRule="exact"/>
              <w:ind w:left="103" w:right="0"/>
              <w:jc w:val="left"/>
              <w:rPr>
                <w:rFonts w:ascii="宋体" w:hAnsi="宋体" w:cs="宋体" w:eastAsia="宋体" w:hint="default"/>
                <w:sz w:val="18"/>
                <w:szCs w:val="18"/>
              </w:rPr>
            </w:pPr>
            <w:r>
              <w:rPr>
                <w:rFonts w:ascii="宋体"/>
                <w:sz w:val="18"/>
              </w:rPr>
              <w:t>Corporation</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加利福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尼亚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西藏四季沐歌环境科技有限公司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西藏太阳雨环境科技有限公司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江苏美意美家生活科技有限公司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北京晟轩投资有限公司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江苏四季沐歌电子商务有限公司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2446" w:val="left" w:leader="none"/>
              </w:tabs>
              <w:spacing w:line="204" w:lineRule="exact"/>
              <w:ind w:left="103" w:right="0"/>
              <w:jc w:val="left"/>
              <w:rPr>
                <w:rFonts w:ascii="宋体" w:hAnsi="宋体" w:cs="宋体" w:eastAsia="宋体" w:hint="default"/>
                <w:sz w:val="18"/>
                <w:szCs w:val="18"/>
              </w:rPr>
            </w:pPr>
            <w:r>
              <w:rPr>
                <w:rFonts w:ascii="宋体"/>
                <w:sz w:val="18"/>
              </w:rPr>
              <w:t>Solareast</w:t>
            </w:r>
            <w:r>
              <w:rPr>
                <w:rFonts w:ascii="宋体"/>
                <w:spacing w:val="83"/>
                <w:sz w:val="18"/>
              </w:rPr>
              <w:t> </w:t>
            </w:r>
            <w:r>
              <w:rPr>
                <w:rFonts w:ascii="宋体"/>
                <w:sz w:val="18"/>
              </w:rPr>
              <w:t>Australasla</w:t>
              <w:tab/>
              <w:t>PTY</w:t>
            </w:r>
          </w:p>
          <w:p>
            <w:pPr>
              <w:pStyle w:val="TableParagraph"/>
              <w:spacing w:line="234" w:lineRule="exact"/>
              <w:ind w:left="194" w:right="0"/>
              <w:jc w:val="left"/>
              <w:rPr>
                <w:rFonts w:ascii="宋体" w:hAnsi="宋体" w:cs="宋体" w:eastAsia="宋体" w:hint="default"/>
                <w:sz w:val="18"/>
                <w:szCs w:val="18"/>
              </w:rPr>
            </w:pPr>
            <w:r>
              <w:rPr>
                <w:rFonts w:ascii="宋体"/>
                <w:sz w:val="18"/>
              </w:rPr>
              <w:t>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昆士兰州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昆士兰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江苏弗瑞斯节能电器有限公司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研发、生产及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深圳自由呼吸科技有限公司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奈固</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1364" w:val="left" w:leader="none"/>
              </w:tabs>
              <w:spacing w:line="205" w:lineRule="exact"/>
              <w:ind w:left="103" w:right="0"/>
              <w:jc w:val="left"/>
              <w:rPr>
                <w:rFonts w:ascii="宋体" w:hAnsi="宋体" w:cs="宋体" w:eastAsia="宋体" w:hint="default"/>
                <w:sz w:val="18"/>
                <w:szCs w:val="18"/>
              </w:rPr>
            </w:pPr>
            <w:r>
              <w:rPr>
                <w:rFonts w:ascii="宋体"/>
                <w:spacing w:val="-1"/>
                <w:sz w:val="18"/>
              </w:rPr>
              <w:t>Naturaquell</w:t>
              <w:tab/>
              <w:t>GmbH</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弗里森海姆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弗里森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研发、生产及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阿康桑马克大型太阳能系统工程技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太阳雨工程技术有限公司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left"/>
        <w:rPr>
          <w:rFonts w:ascii="宋体" w:hAnsi="宋体" w:cs="宋体" w:eastAsia="宋体" w:hint="default"/>
          <w:sz w:val="18"/>
          <w:szCs w:val="18"/>
        </w:rPr>
        <w:sectPr>
          <w:footerReference w:type="default" r:id="rId77"/>
          <w:pgSz w:w="11910" w:h="16840"/>
          <w:pgMar w:footer="1195" w:header="882" w:top="1080" w:bottom="1380" w:left="1580" w:right="1040"/>
          <w:pgNumType w:start="15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43"/>
        <w:gridCol w:w="1277"/>
        <w:gridCol w:w="852"/>
        <w:gridCol w:w="1274"/>
        <w:gridCol w:w="850"/>
        <w:gridCol w:w="710"/>
        <w:gridCol w:w="1142"/>
      </w:tblGrid>
      <w:tr>
        <w:trPr>
          <w:trHeight w:val="245"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1273" w:val="left" w:leader="none"/>
              </w:tabs>
              <w:spacing w:line="205" w:lineRule="exact"/>
              <w:ind w:left="103" w:right="0"/>
              <w:jc w:val="left"/>
              <w:rPr>
                <w:rFonts w:ascii="宋体" w:hAnsi="宋体" w:cs="宋体" w:eastAsia="宋体" w:hint="default"/>
                <w:sz w:val="18"/>
                <w:szCs w:val="18"/>
              </w:rPr>
            </w:pPr>
            <w:r>
              <w:rPr>
                <w:rFonts w:ascii="宋体"/>
                <w:sz w:val="18"/>
              </w:rPr>
              <w:t>World</w:t>
            </w:r>
            <w:r>
              <w:rPr>
                <w:rFonts w:ascii="宋体"/>
                <w:spacing w:val="-3"/>
                <w:sz w:val="18"/>
              </w:rPr>
              <w:t> </w:t>
            </w:r>
            <w:r>
              <w:rPr>
                <w:rFonts w:ascii="宋体"/>
                <w:sz w:val="18"/>
              </w:rPr>
              <w:t>Wide</w:t>
              <w:tab/>
              <w:t>Water,LTD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圣何塞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圣何塞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研发、生产及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产品生产及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宁波帅康热水器有限公司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产品生产及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浙江帅康营销有限公司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江苏四季沐歌新能源科技有限公司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新能源科技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山东四季沐歌光伏科技有限公司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产品研发及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56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江苏日出东方康索沃太阳墙技术有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研发、生产及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广东四季沐歌空气能有限公司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研发、生产及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东方盛耀（北京）新能源科技有限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4" w:right="0"/>
              <w:jc w:val="left"/>
              <w:rPr>
                <w:rFonts w:ascii="宋体" w:hAnsi="宋体" w:cs="宋体" w:eastAsia="宋体" w:hint="default"/>
                <w:sz w:val="18"/>
                <w:szCs w:val="18"/>
              </w:rPr>
            </w:pPr>
            <w:r>
              <w:rPr>
                <w:rFonts w:ascii="宋体"/>
                <w:sz w:val="18"/>
              </w:rPr>
              <w:t>100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7"/>
        <w:rPr>
          <w:rFonts w:ascii="宋体" w:hAnsi="宋体" w:cs="宋体" w:eastAsia="宋体" w:hint="default"/>
          <w:sz w:val="15"/>
          <w:szCs w:val="15"/>
        </w:rPr>
      </w:pPr>
    </w:p>
    <w:p>
      <w:pPr>
        <w:pStyle w:val="BodyText"/>
        <w:spacing w:line="272" w:lineRule="exact" w:before="64"/>
        <w:ind w:left="218" w:right="4510"/>
        <w:jc w:val="left"/>
      </w:pPr>
      <w:r>
        <w:rPr>
          <w:spacing w:val="-2"/>
        </w:rPr>
        <w:t>在子公司的持股比例不同于表决权比例的说明：</w:t>
      </w:r>
      <w:r>
        <w:rPr>
          <w:spacing w:val="-65"/>
        </w:rPr>
        <w:t> </w:t>
      </w:r>
      <w:r>
        <w:rPr>
          <w:spacing w:val="-65"/>
        </w:rPr>
      </w:r>
      <w:r>
        <w:rPr/>
        <w:t>无</w:t>
      </w:r>
    </w:p>
    <w:p>
      <w:pPr>
        <w:spacing w:line="240" w:lineRule="auto" w:before="10"/>
        <w:rPr>
          <w:rFonts w:ascii="宋体" w:hAnsi="宋体" w:cs="宋体" w:eastAsia="宋体" w:hint="default"/>
          <w:sz w:val="18"/>
          <w:szCs w:val="18"/>
        </w:rPr>
      </w:pPr>
    </w:p>
    <w:p>
      <w:pPr>
        <w:pStyle w:val="BodyText"/>
        <w:spacing w:line="240" w:lineRule="auto"/>
        <w:ind w:left="218"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71" w:lineRule="exact"/>
        <w:ind w:left="218" w:right="2549"/>
        <w:jc w:val="left"/>
      </w:pPr>
      <w:r>
        <w:rPr>
          <w:w w:val="100"/>
        </w:rPr>
        <w:t>无</w:t>
      </w:r>
    </w:p>
    <w:p>
      <w:pPr>
        <w:spacing w:line="240" w:lineRule="auto" w:before="9"/>
        <w:rPr>
          <w:rFonts w:ascii="宋体" w:hAnsi="宋体" w:cs="宋体" w:eastAsia="宋体" w:hint="default"/>
          <w:sz w:val="20"/>
          <w:szCs w:val="20"/>
        </w:rPr>
      </w:pPr>
    </w:p>
    <w:p>
      <w:pPr>
        <w:pStyle w:val="BodyText"/>
        <w:spacing w:line="240" w:lineRule="auto"/>
        <w:ind w:left="218" w:right="388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22"/>
          <w:szCs w:val="22"/>
        </w:rPr>
      </w:pPr>
    </w:p>
    <w:p>
      <w:pPr>
        <w:pStyle w:val="BodyText"/>
        <w:spacing w:line="272" w:lineRule="exact"/>
        <w:ind w:left="218" w:right="5342"/>
        <w:jc w:val="left"/>
      </w:pPr>
      <w:r>
        <w:rPr>
          <w:spacing w:val="-2"/>
        </w:rPr>
        <w:t>确定公司是代理人还是委托人的依据：</w:t>
      </w:r>
      <w:r>
        <w:rPr>
          <w:spacing w:val="-72"/>
        </w:rPr>
        <w:t> </w:t>
      </w:r>
      <w:r>
        <w:rPr>
          <w:spacing w:val="-72"/>
        </w:rPr>
      </w:r>
      <w:r>
        <w:rPr/>
        <w:t>无</w:t>
      </w:r>
    </w:p>
    <w:p>
      <w:pPr>
        <w:spacing w:line="240" w:lineRule="auto" w:before="11"/>
        <w:rPr>
          <w:rFonts w:ascii="宋体" w:hAnsi="宋体" w:cs="宋体" w:eastAsia="宋体" w:hint="default"/>
          <w:sz w:val="20"/>
          <w:szCs w:val="20"/>
        </w:rPr>
      </w:pPr>
    </w:p>
    <w:p>
      <w:pPr>
        <w:pStyle w:val="BodyText"/>
        <w:spacing w:line="272" w:lineRule="exact"/>
        <w:ind w:left="218" w:right="7998"/>
        <w:jc w:val="left"/>
      </w:pPr>
      <w:r>
        <w:rPr/>
        <w:t>其他说明：</w:t>
      </w:r>
      <w:r>
        <w:rPr>
          <w:spacing w:val="-102"/>
        </w:rPr>
        <w:t> </w:t>
      </w:r>
      <w:r>
        <w:rPr>
          <w:spacing w:val="-102"/>
        </w:rPr>
      </w:r>
      <w:r>
        <w:rPr/>
        <w:t>无</w:t>
      </w:r>
    </w:p>
    <w:p>
      <w:pPr>
        <w:spacing w:after="0" w:line="272" w:lineRule="exact"/>
        <w:jc w:val="left"/>
        <w:sectPr>
          <w:pgSz w:w="11910" w:h="16840"/>
          <w:pgMar w:header="882" w:footer="1195" w:top="1080" w:bottom="1380" w:left="1580" w:right="1040"/>
        </w:sectPr>
      </w:pPr>
    </w:p>
    <w:p>
      <w:pPr>
        <w:spacing w:before="20"/>
        <w:ind w:left="6797" w:right="6493"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8"/>
          <w:footerReference w:type="default" r:id="rId79"/>
          <w:pgSz w:w="16840" w:h="11910" w:orient="landscape"/>
          <w:pgMar w:header="0" w:footer="0" w:top="800" w:bottom="280" w:left="980" w:right="1220"/>
        </w:sectPr>
      </w:pPr>
    </w:p>
    <w:p>
      <w:pPr>
        <w:spacing w:line="240" w:lineRule="auto" w:before="11"/>
        <w:rPr>
          <w:rFonts w:ascii="宋体" w:hAnsi="宋体" w:cs="宋体" w:eastAsia="宋体" w:hint="default"/>
          <w:sz w:val="13"/>
          <w:szCs w:val="13"/>
        </w:rPr>
      </w:pPr>
    </w:p>
    <w:p>
      <w:pPr>
        <w:pStyle w:val="Heading5"/>
        <w:tabs>
          <w:tab w:pos="1187" w:val="left" w:leader="none"/>
        </w:tabs>
        <w:spacing w:line="240" w:lineRule="auto"/>
        <w:ind w:left="544" w:right="-16"/>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544"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489" w:val="left" w:leader="none"/>
        </w:tabs>
        <w:spacing w:line="240" w:lineRule="auto"/>
        <w:ind w:left="5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980" w:right="1220"/>
          <w:cols w:num="2" w:equalWidth="0">
            <w:col w:w="3089" w:space="8685"/>
            <w:col w:w="2866"/>
          </w:cols>
        </w:sectPr>
      </w:pPr>
    </w:p>
    <w:p>
      <w:pPr>
        <w:spacing w:line="240" w:lineRule="auto" w:before="7"/>
        <w:rPr>
          <w:rFonts w:ascii="宋体" w:hAnsi="宋体" w:cs="宋体" w:eastAsia="宋体" w:hint="default"/>
          <w:sz w:val="2"/>
          <w:szCs w:val="2"/>
        </w:rPr>
      </w:pPr>
    </w:p>
    <w:tbl>
      <w:tblPr>
        <w:tblW w:w="0" w:type="auto"/>
        <w:jc w:val="left"/>
        <w:tblInd w:w="431" w:type="dxa"/>
        <w:tblLayout w:type="fixed"/>
        <w:tblCellMar>
          <w:top w:w="0" w:type="dxa"/>
          <w:left w:w="0" w:type="dxa"/>
          <w:bottom w:w="0" w:type="dxa"/>
          <w:right w:w="0" w:type="dxa"/>
        </w:tblCellMar>
        <w:tblLook w:val="01E0"/>
      </w:tblPr>
      <w:tblGrid>
        <w:gridCol w:w="2511"/>
        <w:gridCol w:w="2825"/>
        <w:gridCol w:w="3015"/>
        <w:gridCol w:w="3027"/>
        <w:gridCol w:w="2712"/>
      </w:tblGrid>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本期归属于少数股东的损益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本期向少数股东宣告分派的股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利</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9"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p>
        </w:tc>
      </w:tr>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2" w:right="0"/>
              <w:jc w:val="left"/>
              <w:rPr>
                <w:rFonts w:ascii="宋体" w:hAnsi="宋体" w:cs="宋体" w:eastAsia="宋体" w:hint="default"/>
                <w:sz w:val="21"/>
                <w:szCs w:val="21"/>
              </w:rPr>
            </w:pPr>
            <w:r>
              <w:rPr>
                <w:rFonts w:ascii="宋体"/>
                <w:sz w:val="21"/>
              </w:rPr>
              <w:t>5,994,213.32</w:t>
            </w:r>
          </w:p>
        </w:tc>
        <w:tc>
          <w:tcPr>
            <w:tcW w:w="3027"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5" w:right="0"/>
              <w:jc w:val="left"/>
              <w:rPr>
                <w:rFonts w:ascii="宋体" w:hAnsi="宋体" w:cs="宋体" w:eastAsia="宋体" w:hint="default"/>
                <w:sz w:val="21"/>
                <w:szCs w:val="21"/>
              </w:rPr>
            </w:pPr>
            <w:r>
              <w:rPr>
                <w:rFonts w:ascii="宋体"/>
                <w:sz w:val="21"/>
              </w:rPr>
              <w:t>85,035,151.77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980" w:right="1220"/>
        </w:sectPr>
      </w:pPr>
    </w:p>
    <w:p>
      <w:pPr>
        <w:pStyle w:val="BodyText"/>
        <w:spacing w:line="274" w:lineRule="exact" w:before="36"/>
        <w:ind w:left="544" w:right="0"/>
        <w:jc w:val="left"/>
      </w:pPr>
      <w:r>
        <w:rPr>
          <w:spacing w:val="-2"/>
        </w:rPr>
        <w:t>子公司少数股东的持股比例不同于表决权比例的说明：</w:t>
      </w:r>
    </w:p>
    <w:p>
      <w:pPr>
        <w:pStyle w:val="BodyText"/>
        <w:spacing w:line="272" w:lineRule="exact" w:before="27"/>
        <w:ind w:left="544" w:right="3450"/>
        <w:jc w:val="left"/>
      </w:pPr>
      <w:r>
        <w:rPr/>
        <w:t>□适用 √不适用</w:t>
      </w:r>
      <w:r>
        <w:rPr>
          <w:w w:val="100"/>
        </w:rPr>
        <w:t> </w:t>
      </w:r>
      <w:r>
        <w:rPr/>
        <w:t>其他说明：</w:t>
      </w:r>
    </w:p>
    <w:p>
      <w:pPr>
        <w:pStyle w:val="BodyText"/>
        <w:spacing w:line="249" w:lineRule="exact"/>
        <w:ind w:left="544" w:right="0"/>
        <w:jc w:val="left"/>
      </w:pPr>
      <w:r>
        <w:rPr/>
        <w:t>□适用 √不适用</w:t>
      </w:r>
    </w:p>
    <w:p>
      <w:pPr>
        <w:pStyle w:val="Heading5"/>
        <w:tabs>
          <w:tab w:pos="1187" w:val="left" w:leader="none"/>
        </w:tabs>
        <w:spacing w:line="240" w:lineRule="auto" w:before="56"/>
        <w:ind w:left="544"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spacing w:line="240" w:lineRule="auto" w:before="58"/>
        <w:ind w:left="54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489" w:val="left" w:leader="none"/>
        </w:tabs>
        <w:spacing w:line="240" w:lineRule="auto"/>
        <w:ind w:left="5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980" w:right="1220"/>
          <w:cols w:num="2" w:equalWidth="0">
            <w:col w:w="5590" w:space="6184"/>
            <w:col w:w="286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6"/>
        <w:gridCol w:w="1476"/>
        <w:gridCol w:w="1477"/>
        <w:gridCol w:w="1656"/>
        <w:gridCol w:w="1476"/>
        <w:gridCol w:w="1385"/>
        <w:gridCol w:w="1478"/>
        <w:gridCol w:w="733"/>
        <w:gridCol w:w="739"/>
        <w:gridCol w:w="737"/>
        <w:gridCol w:w="739"/>
        <w:gridCol w:w="737"/>
        <w:gridCol w:w="720"/>
      </w:tblGrid>
      <w:tr>
        <w:trPr>
          <w:trHeight w:val="250" w:hRule="exact"/>
        </w:trPr>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94"/>
              <w:ind w:left="441" w:right="153"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89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05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2" w:right="0"/>
              <w:jc w:val="left"/>
              <w:rPr>
                <w:rFonts w:ascii="宋体" w:hAnsi="宋体" w:cs="宋体" w:eastAsia="宋体" w:hint="default"/>
                <w:sz w:val="18"/>
                <w:szCs w:val="18"/>
              </w:rPr>
            </w:pPr>
            <w:r>
              <w:rPr>
                <w:rFonts w:ascii="宋体" w:hAnsi="宋体" w:cs="宋体" w:eastAsia="宋体" w:hint="default"/>
                <w:sz w:val="18"/>
                <w:szCs w:val="18"/>
              </w:rPr>
              <w:t>流动</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3" w:right="0" w:hanging="89"/>
              <w:jc w:val="left"/>
              <w:rPr>
                <w:rFonts w:ascii="宋体" w:hAnsi="宋体" w:cs="宋体" w:eastAsia="宋体" w:hint="default"/>
                <w:sz w:val="18"/>
                <w:szCs w:val="18"/>
              </w:rPr>
            </w:pPr>
            <w:r>
              <w:rPr>
                <w:rFonts w:ascii="宋体" w:hAnsi="宋体" w:cs="宋体" w:eastAsia="宋体" w:hint="default"/>
                <w:sz w:val="18"/>
                <w:szCs w:val="18"/>
              </w:rPr>
              <w:t>非流动</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4"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hAnsi="宋体" w:cs="宋体" w:eastAsia="宋体" w:hint="default"/>
                <w:sz w:val="18"/>
                <w:szCs w:val="18"/>
              </w:rPr>
              <w:t>流动</w:t>
            </w: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非流动</w:t>
            </w:r>
          </w:p>
          <w:p>
            <w:pPr>
              <w:pStyle w:val="TableParagraph"/>
              <w:spacing w:line="234" w:lineRule="exact"/>
              <w:ind w:left="2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7" w:right="0"/>
              <w:jc w:val="left"/>
              <w:rPr>
                <w:rFonts w:ascii="宋体" w:hAnsi="宋体" w:cs="宋体" w:eastAsia="宋体" w:hint="default"/>
                <w:sz w:val="18"/>
                <w:szCs w:val="18"/>
              </w:rPr>
            </w:pPr>
            <w:r>
              <w:rPr>
                <w:rFonts w:ascii="宋体" w:hAnsi="宋体" w:cs="宋体" w:eastAsia="宋体" w:hint="default"/>
                <w:sz w:val="18"/>
                <w:szCs w:val="18"/>
              </w:rPr>
              <w:t>负债</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浙江帅康</w:t>
            </w:r>
          </w:p>
          <w:p>
            <w:pPr>
              <w:pStyle w:val="TableParagraph"/>
              <w:spacing w:line="232" w:lineRule="exact" w:before="24"/>
              <w:ind w:left="105" w:right="219"/>
              <w:jc w:val="left"/>
              <w:rPr>
                <w:rFonts w:ascii="宋体" w:hAnsi="宋体" w:cs="宋体" w:eastAsia="宋体" w:hint="default"/>
                <w:sz w:val="18"/>
                <w:szCs w:val="18"/>
              </w:rPr>
            </w:pPr>
            <w:r>
              <w:rPr>
                <w:rFonts w:ascii="宋体" w:hAnsi="宋体" w:cs="宋体" w:eastAsia="宋体" w:hint="default"/>
                <w:sz w:val="18"/>
                <w:szCs w:val="18"/>
              </w:rPr>
              <w:t>电气股份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433,029,756.25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729,536,329.70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1,162,566,085.95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780,467,125.69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41,958,353.16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822,425,478.85</w:t>
            </w:r>
          </w:p>
        </w:tc>
        <w:tc>
          <w:tcPr>
            <w:tcW w:w="73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2535"/>
        <w:gridCol w:w="1685"/>
        <w:gridCol w:w="1582"/>
        <w:gridCol w:w="1582"/>
        <w:gridCol w:w="1687"/>
        <w:gridCol w:w="1270"/>
        <w:gridCol w:w="1212"/>
        <w:gridCol w:w="1354"/>
        <w:gridCol w:w="1503"/>
      </w:tblGrid>
      <w:tr>
        <w:trPr>
          <w:trHeight w:val="278" w:hRule="exact"/>
        </w:trPr>
        <w:tc>
          <w:tcPr>
            <w:tcW w:w="25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3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7" w:hRule="exact"/>
        </w:trPr>
        <w:tc>
          <w:tcPr>
            <w:tcW w:w="2535"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5"/>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3"/>
              <w:ind w:left="2"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92"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14" w:right="0"/>
              <w:jc w:val="left"/>
              <w:rPr>
                <w:rFonts w:ascii="宋体" w:hAnsi="宋体" w:cs="宋体" w:eastAsia="宋体" w:hint="default"/>
                <w:sz w:val="18"/>
                <w:szCs w:val="18"/>
              </w:rPr>
            </w:pPr>
            <w:r>
              <w:rPr>
                <w:rFonts w:ascii="宋体"/>
                <w:sz w:val="18"/>
              </w:rPr>
              <w:t>634,720,812.63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97" w:right="0"/>
              <w:jc w:val="left"/>
              <w:rPr>
                <w:rFonts w:ascii="宋体" w:hAnsi="宋体" w:cs="宋体" w:eastAsia="宋体" w:hint="default"/>
                <w:sz w:val="18"/>
                <w:szCs w:val="18"/>
              </w:rPr>
            </w:pPr>
            <w:r>
              <w:rPr>
                <w:rFonts w:ascii="宋体"/>
                <w:sz w:val="18"/>
              </w:rPr>
              <w:t>23,976,853.28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99" w:right="0"/>
              <w:jc w:val="left"/>
              <w:rPr>
                <w:rFonts w:ascii="宋体" w:hAnsi="宋体" w:cs="宋体" w:eastAsia="宋体" w:hint="default"/>
                <w:sz w:val="18"/>
                <w:szCs w:val="18"/>
              </w:rPr>
            </w:pPr>
            <w:r>
              <w:rPr>
                <w:rFonts w:ascii="宋体"/>
                <w:sz w:val="18"/>
              </w:rPr>
              <w:t>23,976,853.28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184,431,409.21</w:t>
            </w:r>
          </w:p>
        </w:tc>
        <w:tc>
          <w:tcPr>
            <w:tcW w:w="127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63"/>
        <w:ind w:left="6797" w:right="6476" w:firstLine="0"/>
        <w:jc w:val="center"/>
        <w:rPr>
          <w:rFonts w:ascii="Calibri" w:hAnsi="Calibri" w:cs="Calibri" w:eastAsia="Calibri" w:hint="default"/>
          <w:sz w:val="18"/>
          <w:szCs w:val="18"/>
        </w:rPr>
      </w:pPr>
      <w:r>
        <w:rPr>
          <w:rFonts w:ascii="Calibri"/>
          <w:b/>
          <w:sz w:val="18"/>
        </w:rPr>
        <w:t>153 </w:t>
      </w:r>
      <w:r>
        <w:rPr>
          <w:rFonts w:ascii="Calibri"/>
          <w:sz w:val="18"/>
        </w:rPr>
        <w:t>/</w:t>
      </w:r>
      <w:r>
        <w:rPr>
          <w:rFonts w:ascii="Calibri"/>
          <w:spacing w:val="-5"/>
          <w:sz w:val="18"/>
        </w:rPr>
        <w:t> </w:t>
      </w:r>
      <w:r>
        <w:rPr>
          <w:rFonts w:ascii="Calibri"/>
          <w:b/>
          <w:sz w:val="18"/>
        </w:rPr>
        <w:t>175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98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8"/>
          <w:szCs w:val="18"/>
        </w:rPr>
      </w:pPr>
    </w:p>
    <w:p>
      <w:pPr>
        <w:pStyle w:val="BodyText"/>
        <w:spacing w:line="272" w:lineRule="exact"/>
        <w:ind w:left="218" w:right="7998"/>
        <w:jc w:val="left"/>
      </w:pPr>
      <w:r>
        <w:rPr/>
        <w:t>其他说明：</w:t>
      </w:r>
      <w:r>
        <w:rPr>
          <w:spacing w:val="-102"/>
        </w:rPr>
        <w:t> </w:t>
      </w:r>
      <w:r>
        <w:rPr>
          <w:spacing w:val="-102"/>
        </w:rPr>
      </w:r>
      <w:r>
        <w:rPr/>
        <w:t>无</w:t>
      </w:r>
    </w:p>
    <w:p>
      <w:pPr>
        <w:spacing w:line="240" w:lineRule="auto" w:before="4"/>
        <w:rPr>
          <w:rFonts w:ascii="宋体" w:hAnsi="宋体" w:cs="宋体" w:eastAsia="宋体" w:hint="default"/>
          <w:sz w:val="23"/>
          <w:szCs w:val="23"/>
        </w:rPr>
      </w:pPr>
    </w:p>
    <w:p>
      <w:pPr>
        <w:pStyle w:val="Heading5"/>
        <w:tabs>
          <w:tab w:pos="861" w:val="left" w:leader="none"/>
        </w:tabs>
        <w:spacing w:line="240" w:lineRule="auto"/>
        <w:ind w:right="2549"/>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tabs>
          <w:tab w:pos="861" w:val="left" w:leader="none"/>
        </w:tabs>
        <w:spacing w:line="240" w:lineRule="auto"/>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5" w:lineRule="exact"/>
        <w:ind w:left="218" w:right="2549"/>
        <w:jc w:val="left"/>
      </w:pPr>
      <w:r>
        <w:rPr/>
        <w:t>其他说明：</w:t>
      </w:r>
    </w:p>
    <w:p>
      <w:pPr>
        <w:pStyle w:val="BodyText"/>
        <w:spacing w:line="275" w:lineRule="exact"/>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218" w:right="25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0"/>
          <w:pgSz w:w="11910" w:h="16840"/>
          <w:pgMar w:footer="1195" w:header="0" w:top="1080" w:bottom="1380" w:left="1580" w:right="1040"/>
          <w:pgNumType w:start="154"/>
        </w:sectPr>
      </w:pPr>
    </w:p>
    <w:p>
      <w:pPr>
        <w:pStyle w:val="Heading5"/>
        <w:spacing w:line="240" w:lineRule="auto" w:before="36"/>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18" w:right="-18"/>
        <w:jc w:val="left"/>
      </w:pPr>
      <w:r>
        <w:rPr/>
        <w:t>√适用</w:t>
      </w:r>
      <w:r>
        <w:rPr>
          <w:spacing w:val="-1"/>
        </w:rPr>
        <w:t> </w:t>
      </w:r>
      <w:r>
        <w:rPr/>
        <w:t>□不适用</w:t>
      </w:r>
    </w:p>
    <w:p>
      <w:pPr>
        <w:pStyle w:val="Heading5"/>
        <w:tabs>
          <w:tab w:pos="849"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060" w:val="left" w:leader="none"/>
        </w:tabs>
        <w:spacing w:line="240" w:lineRule="auto" w:before="56"/>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853"/>
        <w:gridCol w:w="708"/>
        <w:gridCol w:w="1856"/>
        <w:gridCol w:w="1061"/>
        <w:gridCol w:w="768"/>
        <w:gridCol w:w="2137"/>
      </w:tblGrid>
      <w:tr>
        <w:trPr>
          <w:trHeight w:val="46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7"/>
              <w:ind w:left="559" w:right="108" w:hanging="452"/>
              <w:jc w:val="left"/>
              <w:rPr>
                <w:rFonts w:ascii="宋体" w:hAnsi="宋体" w:cs="宋体" w:eastAsia="宋体" w:hint="default"/>
                <w:sz w:val="18"/>
                <w:szCs w:val="18"/>
              </w:rPr>
            </w:pPr>
            <w:r>
              <w:rPr>
                <w:rFonts w:ascii="宋体" w:hAnsi="宋体" w:cs="宋体" w:eastAsia="宋体" w:hint="default"/>
                <w:sz w:val="18"/>
                <w:szCs w:val="18"/>
              </w:rPr>
              <w:t>合营企业或联营企 业名称</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07"/>
              <w:ind w:left="240" w:right="149"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7"/>
              <w:ind w:left="256" w:right="170"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1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137" w:type="dxa"/>
            <w:vMerge w:val="restart"/>
            <w:tcBorders>
              <w:top w:val="single" w:sz="4" w:space="0" w:color="000000"/>
              <w:left w:val="single" w:sz="4" w:space="0" w:color="000000"/>
              <w:right w:val="single" w:sz="4" w:space="0" w:color="000000"/>
            </w:tcBorders>
          </w:tcPr>
          <w:p>
            <w:pPr>
              <w:pStyle w:val="TableParagraph"/>
              <w:spacing w:line="240" w:lineRule="auto" w:before="107"/>
              <w:ind w:left="252" w:right="161" w:hanging="89"/>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288" w:hRule="exact"/>
        </w:trPr>
        <w:tc>
          <w:tcPr>
            <w:tcW w:w="1668"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4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96"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137" w:type="dxa"/>
            <w:vMerge/>
            <w:tcBorders>
              <w:left w:val="single" w:sz="4" w:space="0" w:color="000000"/>
              <w:bottom w:val="single" w:sz="4" w:space="0" w:color="000000"/>
              <w:right w:val="single" w:sz="4" w:space="0" w:color="000000"/>
            </w:tcBorders>
          </w:tcPr>
          <w:p>
            <w:pPr/>
          </w:p>
        </w:tc>
      </w:tr>
      <w:tr>
        <w:trPr>
          <w:trHeight w:val="47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深圳市鹏桑普太阳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能股份有限公司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生产、销售太阳能热</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水器系列产品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江苏苏宁银行股份</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23.60</w:t>
            </w:r>
          </w:p>
        </w:tc>
        <w:tc>
          <w:tcPr>
            <w:tcW w:w="7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7"/>
        <w:rPr>
          <w:rFonts w:ascii="宋体" w:hAnsi="宋体" w:cs="宋体" w:eastAsia="宋体" w:hint="default"/>
          <w:sz w:val="15"/>
          <w:szCs w:val="15"/>
        </w:rPr>
      </w:pPr>
    </w:p>
    <w:p>
      <w:pPr>
        <w:pStyle w:val="BodyText"/>
        <w:spacing w:line="272" w:lineRule="exact" w:before="64"/>
        <w:ind w:left="218" w:right="3262"/>
        <w:jc w:val="left"/>
      </w:pPr>
      <w:r>
        <w:rPr>
          <w:spacing w:val="-2"/>
        </w:rPr>
        <w:t>在合营企业或联营企业的持股比例不同于表决权比例的说明：</w:t>
      </w:r>
      <w:r>
        <w:rPr>
          <w:spacing w:val="-52"/>
        </w:rPr>
        <w:t> </w:t>
      </w:r>
      <w:r>
        <w:rPr>
          <w:spacing w:val="-52"/>
        </w:rPr>
      </w:r>
      <w:r>
        <w:rPr/>
        <w:t>无</w:t>
      </w:r>
    </w:p>
    <w:p>
      <w:pPr>
        <w:spacing w:line="240" w:lineRule="auto" w:before="11"/>
        <w:rPr>
          <w:rFonts w:ascii="宋体" w:hAnsi="宋体" w:cs="宋体" w:eastAsia="宋体" w:hint="default"/>
          <w:sz w:val="20"/>
          <w:szCs w:val="20"/>
        </w:rPr>
      </w:pPr>
    </w:p>
    <w:p>
      <w:pPr>
        <w:pStyle w:val="BodyText"/>
        <w:spacing w:line="272" w:lineRule="exact"/>
        <w:ind w:left="218"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5"/>
        <w:rPr>
          <w:rFonts w:ascii="宋体" w:hAnsi="宋体" w:cs="宋体" w:eastAsia="宋体" w:hint="default"/>
          <w:sz w:val="23"/>
          <w:szCs w:val="23"/>
        </w:rPr>
      </w:pPr>
    </w:p>
    <w:p>
      <w:pPr>
        <w:pStyle w:val="Heading5"/>
        <w:tabs>
          <w:tab w:pos="849" w:val="left" w:leader="none"/>
        </w:tabs>
        <w:spacing w:line="240" w:lineRule="auto"/>
        <w:ind w:right="2549"/>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5"/>
        <w:tabs>
          <w:tab w:pos="849" w:val="left" w:leader="none"/>
        </w:tabs>
        <w:spacing w:line="240" w:lineRule="auto" w:before="36"/>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060" w:val="left" w:leader="none"/>
        </w:tabs>
        <w:spacing w:line="240" w:lineRule="auto" w:before="58"/>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1" w:space="293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0"/>
        <w:gridCol w:w="2000"/>
        <w:gridCol w:w="1687"/>
        <w:gridCol w:w="1323"/>
        <w:gridCol w:w="1320"/>
      </w:tblGrid>
      <w:tr>
        <w:trPr>
          <w:trHeight w:val="283" w:hRule="exact"/>
        </w:trPr>
        <w:tc>
          <w:tcPr>
            <w:tcW w:w="2720" w:type="dxa"/>
            <w:vMerge w:val="restart"/>
            <w:tcBorders>
              <w:top w:val="single" w:sz="4" w:space="0" w:color="000000"/>
              <w:left w:val="single" w:sz="4" w:space="0" w:color="000000"/>
              <w:right w:val="single" w:sz="6" w:space="0" w:color="000000"/>
            </w:tcBorders>
          </w:tcPr>
          <w:p>
            <w:pPr/>
          </w:p>
        </w:tc>
        <w:tc>
          <w:tcPr>
            <w:tcW w:w="368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64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62" w:hRule="exact"/>
        </w:trPr>
        <w:tc>
          <w:tcPr>
            <w:tcW w:w="2720" w:type="dxa"/>
            <w:vMerge/>
            <w:tcBorders>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江苏苏宁银行股份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江苏苏宁银行股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份有限公司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hAnsi="宋体" w:cs="宋体" w:eastAsia="宋体" w:hint="default"/>
                <w:sz w:val="21"/>
                <w:szCs w:val="21"/>
              </w:rPr>
              <w:t>鹏桑普公司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鹏桑普公司</w:t>
            </w:r>
          </w:p>
        </w:tc>
      </w:tr>
      <w:tr>
        <w:trPr>
          <w:trHeight w:val="286"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9,323,360,099.00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5,712,087,426.00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00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15,035,447,525.00</w:t>
            </w:r>
          </w:p>
        </w:tc>
        <w:tc>
          <w:tcPr>
            <w:tcW w:w="1687" w:type="dxa"/>
            <w:tcBorders>
              <w:top w:val="single" w:sz="6" w:space="0" w:color="000000"/>
              <w:left w:val="single" w:sz="6" w:space="0" w:color="000000"/>
              <w:bottom w:val="single" w:sz="4"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720"/>
        <w:gridCol w:w="2000"/>
        <w:gridCol w:w="1687"/>
        <w:gridCol w:w="1323"/>
        <w:gridCol w:w="1320"/>
      </w:tblGrid>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4" w:space="0" w:color="000000"/>
              <w:left w:val="single" w:sz="6" w:space="0" w:color="000000"/>
              <w:bottom w:val="single" w:sz="6" w:space="0" w:color="000000"/>
              <w:right w:val="single" w:sz="6" w:space="0" w:color="000000"/>
            </w:tcBorders>
          </w:tcPr>
          <w:p>
            <w:pPr/>
          </w:p>
        </w:tc>
        <w:tc>
          <w:tcPr>
            <w:tcW w:w="1687" w:type="dxa"/>
            <w:tcBorders>
              <w:top w:val="single" w:sz="4"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11,025,997,166.00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8,720,360.00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11,034,717,526.00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4,000,729,999.00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20"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944,172,279.76</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944,172,279.76</w:t>
            </w: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20"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145,429,557.00</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43,492.00</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686,507.00</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729,999.00</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0"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72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p>
        </w:tc>
        <w:tc>
          <w:tcPr>
            <w:tcW w:w="2000" w:type="dxa"/>
            <w:tcBorders>
              <w:top w:val="single" w:sz="6" w:space="0" w:color="000000"/>
              <w:left w:val="single" w:sz="6" w:space="0" w:color="000000"/>
              <w:bottom w:val="single" w:sz="4" w:space="0" w:color="000000"/>
              <w:right w:val="single" w:sz="6" w:space="0" w:color="000000"/>
            </w:tcBorders>
          </w:tcPr>
          <w:p>
            <w:pPr/>
          </w:p>
        </w:tc>
        <w:tc>
          <w:tcPr>
            <w:tcW w:w="1687" w:type="dxa"/>
            <w:tcBorders>
              <w:top w:val="single" w:sz="6" w:space="0" w:color="000000"/>
              <w:left w:val="single" w:sz="6" w:space="0" w:color="000000"/>
              <w:bottom w:val="single" w:sz="4" w:space="0" w:color="000000"/>
              <w:right w:val="single" w:sz="6" w:space="0" w:color="000000"/>
            </w:tcBorders>
          </w:tcPr>
          <w:p>
            <w:pPr/>
          </w:p>
        </w:tc>
        <w:tc>
          <w:tcPr>
            <w:tcW w:w="1323" w:type="dxa"/>
            <w:tcBorders>
              <w:top w:val="single" w:sz="6" w:space="0" w:color="000000"/>
              <w:left w:val="single" w:sz="6" w:space="0" w:color="000000"/>
              <w:bottom w:val="single" w:sz="4" w:space="0" w:color="000000"/>
              <w:right w:val="single" w:sz="6" w:space="0" w:color="000000"/>
            </w:tcBorders>
          </w:tcPr>
          <w:p>
            <w:pPr/>
          </w:p>
        </w:tc>
        <w:tc>
          <w:tcPr>
            <w:tcW w:w="132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both"/>
      </w:pPr>
      <w:r>
        <w:rPr/>
        <w:t>其他说明</w:t>
      </w:r>
    </w:p>
    <w:p>
      <w:pPr>
        <w:pStyle w:val="BodyText"/>
        <w:spacing w:line="237" w:lineRule="auto"/>
        <w:ind w:left="218" w:right="227"/>
        <w:jc w:val="both"/>
      </w:pPr>
      <w:r>
        <w:rPr>
          <w:spacing w:val="-3"/>
        </w:rPr>
        <w:t>本公司所投资项目深圳市鹏桑普太阳能股份有限公司（简称鹏桑普公司）</w:t>
      </w:r>
      <w:r>
        <w:rPr>
          <w:rFonts w:ascii="宋体" w:hAnsi="宋体" w:cs="宋体" w:eastAsia="宋体" w:hint="default"/>
          <w:spacing w:val="-3"/>
        </w:rPr>
        <w:t>2014 </w:t>
      </w:r>
      <w:r>
        <w:rPr/>
        <w:t>年财务状况严重恶</w:t>
      </w:r>
      <w:r>
        <w:rPr>
          <w:spacing w:val="-95"/>
        </w:rPr>
        <w:t> </w:t>
      </w:r>
      <w:r>
        <w:rPr>
          <w:spacing w:val="-95"/>
        </w:rPr>
      </w:r>
      <w:r>
        <w:rPr/>
        <w:t>化，持续经营能力存在突出问题，债权人已向深圳市中级人民法院申请破产重整。</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w w:val="100"/>
        </w:rPr>
        <w:t> </w:t>
      </w:r>
      <w:r>
        <w:rPr>
          <w:spacing w:val="-3"/>
        </w:rPr>
        <w:t>日，法院已受理鹏桑普公司破产重整案件。鉴于上述情况，</w:t>
      </w:r>
      <w:r>
        <w:rPr>
          <w:rFonts w:ascii="宋体" w:hAnsi="宋体" w:cs="宋体" w:eastAsia="宋体" w:hint="default"/>
          <w:spacing w:val="-3"/>
        </w:rPr>
        <w:t>2014</w:t>
      </w:r>
      <w:r>
        <w:rPr>
          <w:rFonts w:ascii="宋体" w:hAnsi="宋体" w:cs="宋体" w:eastAsia="宋体" w:hint="default"/>
          <w:spacing w:val="-24"/>
        </w:rPr>
        <w:t> </w:t>
      </w:r>
      <w:r>
        <w:rPr/>
        <w:t>年度本公司对该项长期股权投资</w:t>
      </w:r>
      <w:r>
        <w:rPr>
          <w:spacing w:val="-93"/>
        </w:rPr>
        <w:t> </w:t>
      </w:r>
      <w:r>
        <w:rPr>
          <w:spacing w:val="-93"/>
        </w:rPr>
      </w:r>
      <w:r>
        <w:rPr>
          <w:spacing w:val="-3"/>
        </w:rPr>
        <w:t>全额计提减值准备。</w:t>
      </w:r>
      <w:r>
        <w:rPr>
          <w:rFonts w:ascii="宋体" w:hAnsi="宋体" w:cs="宋体" w:eastAsia="宋体" w:hint="default"/>
          <w:spacing w:val="-3"/>
        </w:rPr>
        <w:t>2016</w:t>
      </w:r>
      <w:r>
        <w:rPr>
          <w:rFonts w:ascii="宋体" w:hAnsi="宋体" w:cs="宋体" w:eastAsia="宋体" w:hint="default"/>
          <w:spacing w:val="-33"/>
        </w:rPr>
        <w:t> </w:t>
      </w:r>
      <w:r>
        <w:rPr/>
        <w:t>年</w:t>
      </w:r>
      <w:r>
        <w:rPr>
          <w:spacing w:val="-30"/>
        </w:rPr>
        <w:t> </w:t>
      </w:r>
      <w:r>
        <w:rPr>
          <w:rFonts w:ascii="宋体" w:hAnsi="宋体" w:cs="宋体" w:eastAsia="宋体" w:hint="default"/>
        </w:rPr>
        <w:t>7</w:t>
      </w:r>
      <w:r>
        <w:rPr>
          <w:rFonts w:ascii="宋体" w:hAnsi="宋体" w:cs="宋体" w:eastAsia="宋体" w:hint="default"/>
          <w:spacing w:val="-30"/>
        </w:rPr>
        <w:t> </w:t>
      </w:r>
      <w:r>
        <w:rPr>
          <w:spacing w:val="-3"/>
        </w:rPr>
        <w:t>月广东省深圳市中级人民法院已批准鹏桑普公司的重整计划，终止</w:t>
      </w:r>
      <w:r>
        <w:rPr>
          <w:spacing w:val="-95"/>
        </w:rPr>
        <w:t> </w:t>
      </w:r>
      <w:r>
        <w:rPr>
          <w:spacing w:val="-95"/>
        </w:rPr>
      </w:r>
      <w:r>
        <w:rPr/>
        <w:t>重整程序，鹏桑普公司正依据重整计划开展相关工作。</w:t>
      </w:r>
    </w:p>
    <w:p>
      <w:pPr>
        <w:spacing w:line="240" w:lineRule="auto" w:before="4"/>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(4).</w:t>
      </w:r>
      <w:r>
        <w:rPr>
          <w:rFonts w:ascii="宋体" w:hAnsi="宋体" w:cs="宋体" w:eastAsia="宋体" w:hint="default"/>
          <w:spacing w:val="103"/>
        </w:rPr>
        <w:t> </w:t>
      </w:r>
      <w:r>
        <w:rPr/>
        <w:t>不重要的合营企业和联营企业的汇总财务信息</w:t>
      </w:r>
      <w:r>
        <w:rPr>
          <w:b w:val="0"/>
          <w:bCs w:val="0"/>
        </w:rPr>
      </w:r>
    </w:p>
    <w:p>
      <w:pPr>
        <w:pStyle w:val="BodyText"/>
        <w:spacing w:line="240" w:lineRule="auto" w:before="56"/>
        <w:ind w:left="21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rFonts w:ascii="宋体" w:hAnsi="宋体" w:cs="宋体" w:eastAsia="宋体" w:hint="default"/>
        </w:rPr>
        <w:t>(5).</w:t>
      </w:r>
      <w:r>
        <w:rPr>
          <w:rFonts w:ascii="宋体" w:hAnsi="宋体" w:cs="宋体" w:eastAsia="宋体" w:hint="default"/>
          <w:spacing w:val="101"/>
        </w:rPr>
        <w:t> </w:t>
      </w:r>
      <w:r>
        <w:rPr/>
        <w:t>合营企业或联营企业向本公司转移资金的能力存在重大限制的说明：</w:t>
      </w:r>
      <w:r>
        <w:rPr>
          <w:b w:val="0"/>
          <w:bCs w:val="0"/>
        </w:rPr>
      </w:r>
    </w:p>
    <w:p>
      <w:pPr>
        <w:pStyle w:val="BodyText"/>
        <w:spacing w:line="240" w:lineRule="auto" w:before="56"/>
        <w:ind w:left="2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(6).</w:t>
      </w:r>
      <w:r>
        <w:rPr>
          <w:rFonts w:ascii="宋体" w:hAnsi="宋体" w:cs="宋体" w:eastAsia="宋体" w:hint="default"/>
          <w:spacing w:val="102"/>
        </w:rPr>
        <w:t> </w:t>
      </w:r>
      <w:r>
        <w:rPr/>
        <w:t>合营企业或联营企业发生的超额亏损</w:t>
      </w:r>
      <w:r>
        <w:rPr>
          <w:b w:val="0"/>
          <w:bCs w:val="0"/>
        </w:rPr>
      </w:r>
    </w:p>
    <w:p>
      <w:pPr>
        <w:pStyle w:val="BodyText"/>
        <w:spacing w:line="240" w:lineRule="auto" w:before="58"/>
        <w:ind w:left="218" w:right="0"/>
        <w:jc w:val="both"/>
      </w:pPr>
      <w:r>
        <w:rPr/>
        <w:t>□适用</w:t>
      </w:r>
      <w:r>
        <w:rPr>
          <w:spacing w:val="104"/>
        </w:rPr>
        <w:t> </w:t>
      </w:r>
      <w:r>
        <w:rPr/>
        <w:t>√不适用</w:t>
      </w:r>
    </w:p>
    <w:p>
      <w:pPr>
        <w:spacing w:after="0" w:line="240" w:lineRule="auto"/>
        <w:jc w:val="both"/>
        <w:sectPr>
          <w:pgSz w:w="11910" w:h="16840"/>
          <w:pgMar w:header="0" w:footer="1195" w:top="1080" w:bottom="1380" w:left="1580" w:right="1040"/>
        </w:sectPr>
      </w:pPr>
    </w:p>
    <w:p>
      <w:pPr>
        <w:spacing w:line="240" w:lineRule="auto" w:before="6"/>
        <w:rPr>
          <w:rFonts w:ascii="宋体" w:hAnsi="宋体" w:cs="宋体" w:eastAsia="宋体" w:hint="default"/>
          <w:sz w:val="28"/>
          <w:szCs w:val="28"/>
        </w:rPr>
      </w:pPr>
    </w:p>
    <w:p>
      <w:pPr>
        <w:pStyle w:val="Heading5"/>
        <w:spacing w:line="240" w:lineRule="auto" w:before="36"/>
        <w:ind w:left="538" w:right="0"/>
        <w:jc w:val="both"/>
        <w:rPr>
          <w:b w:val="0"/>
          <w:bCs w:val="0"/>
        </w:rPr>
      </w:pPr>
      <w:r>
        <w:rPr>
          <w:rFonts w:ascii="宋体" w:hAnsi="宋体" w:cs="宋体" w:eastAsia="宋体" w:hint="default"/>
        </w:rPr>
        <w:t>(7).</w:t>
      </w:r>
      <w:r>
        <w:rPr>
          <w:rFonts w:ascii="宋体" w:hAnsi="宋体" w:cs="宋体" w:eastAsia="宋体" w:hint="default"/>
          <w:spacing w:val="101"/>
        </w:rPr>
        <w:t> </w:t>
      </w:r>
      <w:r>
        <w:rPr/>
        <w:t>与合营企业投资相关的未确认承诺</w:t>
      </w:r>
      <w:r>
        <w:rPr>
          <w:b w:val="0"/>
          <w:bCs w:val="0"/>
        </w:rPr>
      </w:r>
    </w:p>
    <w:p>
      <w:pPr>
        <w:pStyle w:val="BodyText"/>
        <w:spacing w:line="240" w:lineRule="auto" w:before="58"/>
        <w:ind w:left="5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left="538" w:right="0"/>
        <w:jc w:val="both"/>
        <w:rPr>
          <w:b w:val="0"/>
          <w:bCs w:val="0"/>
        </w:rPr>
      </w:pPr>
      <w:r>
        <w:rPr>
          <w:rFonts w:ascii="宋体" w:hAnsi="宋体" w:cs="宋体" w:eastAsia="宋体" w:hint="default"/>
        </w:rPr>
        <w:t>(8).</w:t>
      </w:r>
      <w:r>
        <w:rPr>
          <w:rFonts w:ascii="宋体" w:hAnsi="宋体" w:cs="宋体" w:eastAsia="宋体" w:hint="default"/>
          <w:spacing w:val="103"/>
        </w:rPr>
        <w:t> </w:t>
      </w:r>
      <w:r>
        <w:rPr/>
        <w:t>与合营企业或联营企业投资相关的或有负债</w:t>
      </w:r>
      <w:r>
        <w:rPr>
          <w:b w:val="0"/>
          <w:bCs w:val="0"/>
        </w:rPr>
      </w:r>
    </w:p>
    <w:p>
      <w:pPr>
        <w:pStyle w:val="BodyText"/>
        <w:spacing w:line="240" w:lineRule="auto" w:before="56"/>
        <w:ind w:left="5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left="53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53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92" w:lineRule="auto" w:before="0"/>
        <w:ind w:left="5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5" w:lineRule="exact"/>
        <w:ind w:left="5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5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5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left="538" w:right="0"/>
        <w:jc w:val="both"/>
        <w:rPr>
          <w:b w:val="0"/>
          <w:bCs w:val="0"/>
        </w:rPr>
      </w:pPr>
      <w:r>
        <w:rPr/>
        <w:t>十、与金融工具相关的风险</w:t>
      </w:r>
      <w:r>
        <w:rPr>
          <w:b w:val="0"/>
          <w:bCs w:val="0"/>
        </w:rPr>
      </w:r>
    </w:p>
    <w:p>
      <w:pPr>
        <w:pStyle w:val="BodyText"/>
        <w:spacing w:line="240" w:lineRule="auto" w:before="56"/>
        <w:ind w:left="538" w:right="0"/>
        <w:jc w:val="both"/>
      </w:pPr>
      <w:r>
        <w:rPr/>
        <w:t>√适用</w:t>
      </w:r>
      <w:r>
        <w:rPr>
          <w:spacing w:val="-1"/>
        </w:rPr>
        <w:t> </w:t>
      </w:r>
      <w:r>
        <w:rPr/>
        <w:t>□不适用</w:t>
      </w:r>
    </w:p>
    <w:p>
      <w:pPr>
        <w:pStyle w:val="BodyText"/>
        <w:spacing w:line="237" w:lineRule="auto" w:before="119"/>
        <w:ind w:left="538" w:right="137"/>
        <w:jc w:val="both"/>
      </w:pPr>
      <w:r>
        <w:rPr>
          <w:spacing w:val="-2"/>
        </w:rPr>
        <w:t>本公司各项金融工具的详细情况已于相关附注内披露。与这些金融工具有关的风险，以及本公司</w:t>
      </w:r>
      <w:r>
        <w:rPr>
          <w:spacing w:val="-25"/>
        </w:rPr>
        <w:t> </w:t>
      </w:r>
      <w:r>
        <w:rPr>
          <w:spacing w:val="-25"/>
        </w:rPr>
      </w:r>
      <w:r>
        <w:rPr>
          <w:spacing w:val="-2"/>
        </w:rPr>
        <w:t>为降低这些风险所采取的风险管理政策如下所述。本公司管理层对这些风险敞口进行管理和监控</w:t>
      </w:r>
      <w:r>
        <w:rPr>
          <w:spacing w:val="-25"/>
        </w:rPr>
        <w:t> </w:t>
      </w:r>
      <w:r>
        <w:rPr>
          <w:spacing w:val="-25"/>
        </w:rPr>
      </w:r>
      <w:r>
        <w:rPr/>
        <w:t>以确保将上述风险控制在限定的范围之内。</w:t>
      </w:r>
    </w:p>
    <w:p>
      <w:pPr>
        <w:spacing w:line="240" w:lineRule="auto" w:before="6"/>
        <w:rPr>
          <w:rFonts w:ascii="宋体" w:hAnsi="宋体" w:cs="宋体" w:eastAsia="宋体" w:hint="default"/>
          <w:sz w:val="16"/>
          <w:szCs w:val="16"/>
        </w:rPr>
      </w:pPr>
    </w:p>
    <w:p>
      <w:pPr>
        <w:pStyle w:val="BodyText"/>
        <w:spacing w:line="240" w:lineRule="auto"/>
        <w:ind w:left="118" w:right="3891"/>
        <w:jc w:val="left"/>
      </w:pPr>
      <w:r>
        <w:rPr>
          <w:rFonts w:ascii="宋体" w:hAnsi="宋体" w:cs="宋体" w:eastAsia="宋体" w:hint="default"/>
        </w:rPr>
        <w:t>1</w:t>
      </w:r>
      <w:r>
        <w:rPr/>
        <w:t>、风险管理目标和政策</w:t>
      </w:r>
    </w:p>
    <w:p>
      <w:pPr>
        <w:spacing w:line="240" w:lineRule="auto" w:before="5"/>
        <w:rPr>
          <w:rFonts w:ascii="宋体" w:hAnsi="宋体" w:cs="宋体" w:eastAsia="宋体" w:hint="default"/>
          <w:sz w:val="16"/>
          <w:szCs w:val="16"/>
        </w:rPr>
      </w:pPr>
    </w:p>
    <w:p>
      <w:pPr>
        <w:pStyle w:val="BodyText"/>
        <w:spacing w:line="237" w:lineRule="auto"/>
        <w:ind w:left="538" w:right="137"/>
        <w:jc w:val="both"/>
      </w:pPr>
      <w:r>
        <w:rPr>
          <w:spacing w:val="-2"/>
        </w:rPr>
        <w:t>本公司从事风险管理的目标是在风险和收益之间取得适当的平衡，力求降低金融风险对本公司财</w:t>
      </w:r>
      <w:r>
        <w:rPr>
          <w:spacing w:val="-25"/>
        </w:rPr>
        <w:t> </w:t>
      </w:r>
      <w:r>
        <w:rPr>
          <w:spacing w:val="-25"/>
        </w:rPr>
      </w:r>
      <w:r>
        <w:rPr>
          <w:spacing w:val="-2"/>
        </w:rPr>
        <w:t>务业绩的不利影响。基于该风险管理目标，本公司已制定风险管理政策以辨别和分析本公司所面</w:t>
      </w:r>
      <w:r>
        <w:rPr>
          <w:spacing w:val="-25"/>
        </w:rPr>
        <w:t> </w:t>
      </w:r>
      <w:r>
        <w:rPr>
          <w:spacing w:val="-25"/>
        </w:rPr>
      </w:r>
      <w:r>
        <w:rPr>
          <w:spacing w:val="-2"/>
        </w:rPr>
        <w:t>临的风险，设定适当的风险可接受水平并设计相应的内部控制程序，以监控本公司的风险水平。</w:t>
      </w:r>
      <w:r>
        <w:rPr>
          <w:spacing w:val="-25"/>
        </w:rPr>
        <w:t> </w:t>
      </w:r>
      <w:r>
        <w:rPr>
          <w:spacing w:val="-25"/>
        </w:rPr>
      </w:r>
      <w:r>
        <w:rPr>
          <w:spacing w:val="-2"/>
        </w:rPr>
        <w:t>本公司会定期审阅这些风险管理政策及有关内部控制系统，以适应市场情况或本公司经营活动的</w:t>
      </w:r>
      <w:r>
        <w:rPr>
          <w:spacing w:val="-25"/>
        </w:rPr>
        <w:t> </w:t>
      </w:r>
      <w:r>
        <w:rPr>
          <w:spacing w:val="-25"/>
        </w:rPr>
      </w:r>
      <w:r>
        <w:rPr/>
        <w:t>改变。本公司的内部审计部门也定期或随机检查内部控制系统的执行是否符合风险管理政策。</w:t>
      </w:r>
    </w:p>
    <w:p>
      <w:pPr>
        <w:spacing w:line="240" w:lineRule="auto" w:before="7"/>
        <w:rPr>
          <w:rFonts w:ascii="宋体" w:hAnsi="宋体" w:cs="宋体" w:eastAsia="宋体" w:hint="default"/>
          <w:sz w:val="18"/>
          <w:szCs w:val="18"/>
        </w:rPr>
      </w:pPr>
    </w:p>
    <w:p>
      <w:pPr>
        <w:pStyle w:val="BodyText"/>
        <w:spacing w:line="272" w:lineRule="exact"/>
        <w:ind w:left="538" w:right="117"/>
        <w:jc w:val="left"/>
      </w:pPr>
      <w:r>
        <w:rPr>
          <w:spacing w:val="-2"/>
        </w:rPr>
        <w:t>本公司的金融工具导致的主要风险是信用风险、流动性风险、市场风险（包括利率风险、汇率风</w:t>
      </w:r>
      <w:r>
        <w:rPr>
          <w:spacing w:val="-25"/>
        </w:rPr>
        <w:t> </w:t>
      </w:r>
      <w:r>
        <w:rPr>
          <w:spacing w:val="-25"/>
        </w:rPr>
      </w:r>
      <w:r>
        <w:rPr/>
        <w:t>险）。</w:t>
      </w:r>
    </w:p>
    <w:p>
      <w:pPr>
        <w:spacing w:line="240" w:lineRule="auto" w:before="7"/>
        <w:rPr>
          <w:rFonts w:ascii="宋体" w:hAnsi="宋体" w:cs="宋体" w:eastAsia="宋体" w:hint="default"/>
          <w:sz w:val="14"/>
          <w:szCs w:val="14"/>
        </w:rPr>
      </w:pPr>
    </w:p>
    <w:p>
      <w:pPr>
        <w:pStyle w:val="BodyText"/>
        <w:spacing w:line="427" w:lineRule="auto"/>
        <w:ind w:left="538" w:right="117" w:hanging="3"/>
        <w:jc w:val="left"/>
      </w:pPr>
      <w:r>
        <w:rPr/>
        <w:t>（</w:t>
      </w:r>
      <w:r>
        <w:rPr>
          <w:rFonts w:ascii="宋体" w:hAnsi="宋体" w:cs="宋体" w:eastAsia="宋体" w:hint="default"/>
        </w:rPr>
        <w:t>1</w:t>
      </w:r>
      <w:r>
        <w:rPr/>
        <w:t>）信用风险</w:t>
      </w:r>
      <w:r>
        <w:rPr>
          <w:w w:val="100"/>
        </w:rPr>
        <w:t> </w:t>
      </w:r>
      <w:r>
        <w:rPr/>
        <w:t>信用风险，是指交易对手方未能履行合同义务而导致本公司产生财务损失的风险。</w:t>
      </w:r>
      <w:r>
        <w:rPr>
          <w:w w:val="100"/>
        </w:rPr>
        <w:t> </w:t>
      </w:r>
      <w:r>
        <w:rPr/>
        <w:t>本公司对信用风险按组合分类进行管理。信用风险主要产生于银行存款和应收款项等。</w:t>
      </w:r>
    </w:p>
    <w:p>
      <w:pPr>
        <w:pStyle w:val="BodyText"/>
        <w:spacing w:line="240" w:lineRule="auto" w:before="48"/>
        <w:ind w:left="538" w:right="117"/>
        <w:jc w:val="left"/>
      </w:pPr>
      <w:r>
        <w:rPr>
          <w:spacing w:val="-2"/>
        </w:rPr>
        <w:t>本公司银行存款主要存放于声誉良好并拥有较高信用评级的金融机构，本公司预期银行存款不存</w:t>
      </w:r>
      <w:r>
        <w:rPr>
          <w:spacing w:val="-25"/>
        </w:rPr>
        <w:t> </w:t>
      </w:r>
      <w:r>
        <w:rPr>
          <w:spacing w:val="-25"/>
        </w:rPr>
      </w:r>
      <w:r>
        <w:rPr/>
        <w:t>在重大的信用风险。</w:t>
      </w:r>
    </w:p>
    <w:p>
      <w:pPr>
        <w:spacing w:line="240" w:lineRule="auto" w:before="5"/>
        <w:rPr>
          <w:rFonts w:ascii="宋体" w:hAnsi="宋体" w:cs="宋体" w:eastAsia="宋体" w:hint="default"/>
          <w:sz w:val="16"/>
          <w:szCs w:val="16"/>
        </w:rPr>
      </w:pPr>
    </w:p>
    <w:p>
      <w:pPr>
        <w:pStyle w:val="BodyText"/>
        <w:spacing w:line="237" w:lineRule="auto"/>
        <w:ind w:left="538" w:right="137"/>
        <w:jc w:val="both"/>
      </w:pPr>
      <w:r>
        <w:rPr>
          <w:spacing w:val="-2"/>
        </w:rPr>
        <w:t>对于应收款项，本公司设定相关政策以控制信用风险敞口。本公司基于对债务人的财务状况、外</w:t>
      </w:r>
      <w:r>
        <w:rPr>
          <w:spacing w:val="-25"/>
        </w:rPr>
        <w:t> </w:t>
      </w:r>
      <w:r>
        <w:rPr>
          <w:spacing w:val="-25"/>
        </w:rPr>
      </w:r>
      <w:r>
        <w:rPr>
          <w:spacing w:val="-2"/>
        </w:rPr>
        <w:t>部评级、从第三方获取担保的可能性、信用记录及其它因素诸如目前市场状况等评估债务人的信</w:t>
      </w:r>
      <w:r>
        <w:rPr>
          <w:spacing w:val="-25"/>
        </w:rPr>
        <w:t> </w:t>
      </w:r>
      <w:r>
        <w:rPr>
          <w:spacing w:val="-25"/>
        </w:rPr>
      </w:r>
      <w:r>
        <w:rPr>
          <w:spacing w:val="-2"/>
        </w:rPr>
        <w:t>用资质并设置相应欠款额度与信用期限。本公司会定期对债务人信用记录进行监控，对于信用记</w:t>
      </w:r>
      <w:r>
        <w:rPr>
          <w:spacing w:val="-25"/>
        </w:rPr>
        <w:t> </w:t>
      </w:r>
      <w:r>
        <w:rPr>
          <w:spacing w:val="-25"/>
        </w:rPr>
      </w:r>
      <w:r>
        <w:rPr>
          <w:spacing w:val="-2"/>
        </w:rPr>
        <w:t>录不良的债务人，本公司会采用书面催款、缩短信用期或取消信用期等方式，以确保本公司的整</w:t>
      </w:r>
      <w:r>
        <w:rPr>
          <w:spacing w:val="-25"/>
        </w:rPr>
        <w:t> </w:t>
      </w:r>
      <w:r>
        <w:rPr>
          <w:spacing w:val="-25"/>
        </w:rPr>
      </w:r>
      <w:r>
        <w:rPr/>
        <w:t>体信用风险在可控的范围内。</w:t>
      </w:r>
    </w:p>
    <w:p>
      <w:pPr>
        <w:spacing w:after="0" w:line="237" w:lineRule="auto"/>
        <w:jc w:val="both"/>
        <w:sectPr>
          <w:pgSz w:w="11910" w:h="16840"/>
          <w:pgMar w:header="0" w:footer="1195" w:top="1080" w:bottom="1380" w:left="1260" w:right="1140"/>
        </w:sectPr>
      </w:pPr>
    </w:p>
    <w:p>
      <w:pPr>
        <w:spacing w:line="240" w:lineRule="auto" w:before="6"/>
        <w:rPr>
          <w:rFonts w:ascii="宋体" w:hAnsi="宋体" w:cs="宋体" w:eastAsia="宋体" w:hint="default"/>
          <w:sz w:val="28"/>
          <w:szCs w:val="28"/>
        </w:rPr>
      </w:pPr>
    </w:p>
    <w:p>
      <w:pPr>
        <w:pStyle w:val="BodyText"/>
        <w:spacing w:line="240" w:lineRule="auto" w:before="36"/>
        <w:ind w:left="158" w:right="108"/>
        <w:jc w:val="left"/>
      </w:pPr>
      <w:r>
        <w:rPr/>
        <w:t>本公司所承受的最大信用风险敞口为资产负债表中每项金融资产的账面金额。本公司没有提供任</w:t>
      </w:r>
      <w:r>
        <w:rPr>
          <w:w w:val="100"/>
        </w:rPr>
        <w:t> </w:t>
      </w:r>
      <w:r>
        <w:rPr/>
        <w:t>何其他可能令本公司承受信用风险的担保。</w:t>
      </w:r>
    </w:p>
    <w:p>
      <w:pPr>
        <w:spacing w:line="240" w:lineRule="auto" w:before="3"/>
        <w:rPr>
          <w:rFonts w:ascii="宋体" w:hAnsi="宋体" w:cs="宋体" w:eastAsia="宋体" w:hint="default"/>
          <w:sz w:val="16"/>
          <w:szCs w:val="16"/>
        </w:rPr>
      </w:pPr>
    </w:p>
    <w:p>
      <w:pPr>
        <w:pStyle w:val="BodyText"/>
        <w:spacing w:line="240" w:lineRule="auto"/>
        <w:ind w:left="158" w:right="100"/>
        <w:jc w:val="left"/>
      </w:pPr>
      <w:r>
        <w:rPr/>
        <w:t>本公司应收账款中，欠款金额前五大客户的应收账款占本公司应收账款总额的</w:t>
      </w:r>
      <w:r>
        <w:rPr>
          <w:spacing w:val="-52"/>
        </w:rPr>
        <w:t> </w:t>
      </w:r>
      <w:r>
        <w:rPr>
          <w:rFonts w:ascii="宋体" w:hAnsi="宋体" w:cs="宋体" w:eastAsia="宋体" w:hint="default"/>
        </w:rPr>
        <w:t>35.12%</w:t>
      </w:r>
      <w:r>
        <w:rPr/>
        <w:t>（</w:t>
      </w:r>
      <w:r>
        <w:rPr>
          <w:rFonts w:ascii="宋体" w:hAnsi="宋体" w:cs="宋体" w:eastAsia="宋体" w:hint="default"/>
        </w:rPr>
        <w:t>2016</w:t>
      </w:r>
      <w:r>
        <w:rPr>
          <w:rFonts w:ascii="宋体" w:hAnsi="宋体" w:cs="宋体" w:eastAsia="宋体" w:hint="default"/>
          <w:spacing w:val="-50"/>
        </w:rPr>
        <w:t> </w:t>
      </w:r>
      <w:r>
        <w:rPr/>
        <w:t>年：</w:t>
      </w:r>
      <w:r>
        <w:rPr>
          <w:spacing w:val="2"/>
          <w:w w:val="100"/>
        </w:rPr>
        <w:t> </w:t>
      </w:r>
      <w:r>
        <w:rPr>
          <w:rFonts w:ascii="宋体" w:hAnsi="宋体" w:cs="宋体" w:eastAsia="宋体" w:hint="default"/>
        </w:rPr>
        <w:t>13.62%</w:t>
      </w:r>
      <w:r>
        <w:rPr/>
        <w:t>）；本公司其他应收款中，欠款金额前五大公司的其他应收款占本公司其他应收款总额的</w:t>
      </w:r>
    </w:p>
    <w:p>
      <w:pPr>
        <w:pStyle w:val="BodyText"/>
        <w:spacing w:line="271" w:lineRule="exact"/>
        <w:ind w:left="158" w:right="0"/>
        <w:jc w:val="both"/>
      </w:pPr>
      <w:r>
        <w:rPr>
          <w:rFonts w:ascii="宋体" w:hAnsi="宋体" w:cs="宋体" w:eastAsia="宋体" w:hint="default"/>
        </w:rPr>
        <w:t>28.90%</w:t>
      </w:r>
      <w:r>
        <w:rPr/>
        <w:t>（</w:t>
      </w:r>
      <w:r>
        <w:rPr>
          <w:rFonts w:ascii="宋体" w:hAnsi="宋体" w:cs="宋体" w:eastAsia="宋体" w:hint="default"/>
        </w:rPr>
        <w:t>2016</w:t>
      </w:r>
      <w:r>
        <w:rPr>
          <w:rFonts w:ascii="宋体" w:hAnsi="宋体" w:cs="宋体" w:eastAsia="宋体" w:hint="default"/>
          <w:spacing w:val="-54"/>
        </w:rPr>
        <w:t> </w:t>
      </w:r>
      <w:r>
        <w:rPr/>
        <w:t>年：</w:t>
      </w:r>
      <w:r>
        <w:rPr>
          <w:rFonts w:ascii="宋体" w:hAnsi="宋体" w:cs="宋体" w:eastAsia="宋体" w:hint="default"/>
        </w:rPr>
        <w:t>32.50%</w:t>
      </w:r>
      <w:r>
        <w:rPr/>
        <w:t>）。</w:t>
      </w:r>
    </w:p>
    <w:p>
      <w:pPr>
        <w:spacing w:line="240" w:lineRule="auto" w:before="5"/>
        <w:rPr>
          <w:rFonts w:ascii="宋体" w:hAnsi="宋体" w:cs="宋体" w:eastAsia="宋体" w:hint="default"/>
          <w:sz w:val="16"/>
          <w:szCs w:val="16"/>
        </w:rPr>
      </w:pPr>
    </w:p>
    <w:p>
      <w:pPr>
        <w:pStyle w:val="BodyText"/>
        <w:spacing w:line="240" w:lineRule="auto"/>
        <w:ind w:left="155" w:right="0"/>
        <w:jc w:val="both"/>
      </w:pPr>
      <w:r>
        <w:rPr/>
        <w:t>（</w:t>
      </w:r>
      <w:r>
        <w:rPr>
          <w:rFonts w:ascii="宋体" w:hAnsi="宋体" w:cs="宋体" w:eastAsia="宋体" w:hint="default"/>
        </w:rPr>
        <w:t>2</w:t>
      </w:r>
      <w:r>
        <w:rPr/>
        <w:t>）流动性风险</w:t>
      </w:r>
    </w:p>
    <w:p>
      <w:pPr>
        <w:spacing w:line="240" w:lineRule="auto" w:before="3"/>
        <w:rPr>
          <w:rFonts w:ascii="宋体" w:hAnsi="宋体" w:cs="宋体" w:eastAsia="宋体" w:hint="default"/>
          <w:sz w:val="16"/>
          <w:szCs w:val="16"/>
        </w:rPr>
      </w:pPr>
    </w:p>
    <w:p>
      <w:pPr>
        <w:pStyle w:val="BodyText"/>
        <w:spacing w:line="240" w:lineRule="auto"/>
        <w:ind w:left="158" w:right="108"/>
        <w:jc w:val="left"/>
      </w:pPr>
      <w:r>
        <w:rPr>
          <w:spacing w:val="-2"/>
        </w:rPr>
        <w:t>流动性风险，是指本公司在履行以交付现金或其他金融资产的方式结算的义务时发生资金短缺的</w:t>
      </w:r>
      <w:r>
        <w:rPr>
          <w:spacing w:val="-25"/>
        </w:rPr>
        <w:t> </w:t>
      </w:r>
      <w:r>
        <w:rPr>
          <w:spacing w:val="-25"/>
        </w:rPr>
      </w:r>
      <w:r>
        <w:rPr/>
        <w:t>风险。</w:t>
      </w:r>
    </w:p>
    <w:p>
      <w:pPr>
        <w:spacing w:line="240" w:lineRule="auto" w:before="5"/>
        <w:rPr>
          <w:rFonts w:ascii="宋体" w:hAnsi="宋体" w:cs="宋体" w:eastAsia="宋体" w:hint="default"/>
          <w:sz w:val="16"/>
          <w:szCs w:val="16"/>
        </w:rPr>
      </w:pPr>
    </w:p>
    <w:p>
      <w:pPr>
        <w:pStyle w:val="BodyText"/>
        <w:spacing w:line="237" w:lineRule="auto"/>
        <w:ind w:left="158" w:right="217"/>
        <w:jc w:val="both"/>
      </w:pPr>
      <w:r>
        <w:rPr>
          <w:spacing w:val="-2"/>
        </w:rPr>
        <w:t>管理流动风险时，本公司保持管理层认为充分的现金及现金等价物，并对其进行监控，以满足本</w:t>
      </w:r>
      <w:r>
        <w:rPr>
          <w:spacing w:val="-25"/>
        </w:rPr>
        <w:t> </w:t>
      </w:r>
      <w:r>
        <w:rPr>
          <w:spacing w:val="-25"/>
        </w:rPr>
      </w:r>
      <w:r>
        <w:rPr>
          <w:spacing w:val="-2"/>
        </w:rPr>
        <w:t>公司经营需要，并降低现金流量波动的影响。本公司的营运资金主要来自经营业务产生的资金及</w:t>
      </w:r>
      <w:r>
        <w:rPr>
          <w:spacing w:val="-25"/>
        </w:rPr>
        <w:t> </w:t>
      </w:r>
      <w:r>
        <w:rPr>
          <w:spacing w:val="-25"/>
        </w:rPr>
      </w:r>
      <w:r>
        <w:rPr/>
        <w:t>募集资金。</w:t>
      </w:r>
    </w:p>
    <w:p>
      <w:pPr>
        <w:spacing w:line="240" w:lineRule="auto" w:before="6"/>
        <w:rPr>
          <w:rFonts w:ascii="宋体" w:hAnsi="宋体" w:cs="宋体" w:eastAsia="宋体" w:hint="default"/>
          <w:sz w:val="16"/>
          <w:szCs w:val="16"/>
        </w:rPr>
      </w:pPr>
    </w:p>
    <w:p>
      <w:pPr>
        <w:pStyle w:val="BodyText"/>
        <w:spacing w:line="240" w:lineRule="auto"/>
        <w:ind w:left="158" w:right="0"/>
        <w:jc w:val="both"/>
      </w:pPr>
      <w:r>
        <w:rPr/>
        <w:pict>
          <v:group style="position:absolute;margin-left:212.090012pt;margin-top:44.063663pt;width:321.55pt;height:1pt;mso-position-horizontal-relative:page;mso-position-vertical-relative:paragraph;z-index:-1008712" coordorigin="4242,881" coordsize="6431,20">
            <v:group style="position:absolute;left:4251;top:891;width:1512;height:2" coordorigin="4251,891" coordsize="1512,2">
              <v:shape style="position:absolute;left:4251;top:891;width:1512;height:2" coordorigin="4251,891" coordsize="1512,0" path="m4251,891l5763,891e" filled="false" stroked="true" strokeweight=".95999pt" strokecolor="#000000">
                <v:path arrowok="t"/>
              </v:shape>
            </v:group>
            <v:group style="position:absolute;left:5763;top:891;width:20;height:2" coordorigin="5763,891" coordsize="20,2">
              <v:shape style="position:absolute;left:5763;top:891;width:20;height:2" coordorigin="5763,891" coordsize="20,0" path="m5763,891l5783,891e" filled="false" stroked="true" strokeweight=".95999pt" strokecolor="#000000">
                <v:path arrowok="t"/>
              </v:shape>
            </v:group>
            <v:group style="position:absolute;left:5783;top:891;width:1331;height:2" coordorigin="5783,891" coordsize="1331,2">
              <v:shape style="position:absolute;left:5783;top:891;width:1331;height:2" coordorigin="5783,891" coordsize="1331,0" path="m5783,891l7113,891e" filled="false" stroked="true" strokeweight=".95999pt" strokecolor="#000000">
                <v:path arrowok="t"/>
              </v:shape>
            </v:group>
            <v:group style="position:absolute;left:7113;top:891;width:20;height:2" coordorigin="7113,891" coordsize="20,2">
              <v:shape style="position:absolute;left:7113;top:891;width:20;height:2" coordorigin="7113,891" coordsize="20,0" path="m7113,891l7132,891e" filled="false" stroked="true" strokeweight=".95999pt" strokecolor="#000000">
                <v:path arrowok="t"/>
              </v:shape>
            </v:group>
            <v:group style="position:absolute;left:7132;top:891;width:915;height:2" coordorigin="7132,891" coordsize="915,2">
              <v:shape style="position:absolute;left:7132;top:891;width:915;height:2" coordorigin="7132,891" coordsize="915,0" path="m7132,891l8046,891e" filled="false" stroked="true" strokeweight=".95999pt" strokecolor="#000000">
                <v:path arrowok="t"/>
              </v:shape>
            </v:group>
            <v:group style="position:absolute;left:8046;top:891;width:20;height:2" coordorigin="8046,891" coordsize="20,2">
              <v:shape style="position:absolute;left:8046;top:891;width:20;height:2" coordorigin="8046,891" coordsize="20,0" path="m8046,891l8065,891e" filled="false" stroked="true" strokeweight=".95999pt" strokecolor="#000000">
                <v:path arrowok="t"/>
              </v:shape>
            </v:group>
            <v:group style="position:absolute;left:8065;top:891;width:1086;height:2" coordorigin="8065,891" coordsize="1086,2">
              <v:shape style="position:absolute;left:8065;top:891;width:1086;height:2" coordorigin="8065,891" coordsize="1086,0" path="m8065,891l9151,891e" filled="false" stroked="true" strokeweight=".95999pt" strokecolor="#000000">
                <v:path arrowok="t"/>
              </v:shape>
            </v:group>
            <v:group style="position:absolute;left:9151;top:891;width:20;height:2" coordorigin="9151,891" coordsize="20,2">
              <v:shape style="position:absolute;left:9151;top:891;width:20;height:2" coordorigin="9151,891" coordsize="20,0" path="m9151,891l9170,891e" filled="false" stroked="true" strokeweight=".95999pt" strokecolor="#000000">
                <v:path arrowok="t"/>
              </v:shape>
            </v:group>
            <v:group style="position:absolute;left:9170;top:891;width:1493;height:2" coordorigin="9170,891" coordsize="1493,2">
              <v:shape style="position:absolute;left:9170;top:891;width:1493;height:2" coordorigin="9170,891" coordsize="1493,0" path="m9170,891l10663,891e" filled="false" stroked="true" strokeweight=".95999pt" strokecolor="#000000">
                <v:path arrowok="t"/>
              </v:shape>
            </v:group>
            <w10:wrap type="none"/>
          </v:group>
        </w:pict>
      </w:r>
      <w:r>
        <w:rPr>
          <w:spacing w:val="-8"/>
        </w:rPr>
        <w:t>期末本公司持有的金融负债按未折现剩余合同现金流量的到期期限分析如下（单位：人民币元）：</w:t>
      </w:r>
      <w:r>
        <w:rPr/>
      </w:r>
    </w:p>
    <w:p>
      <w:pPr>
        <w:spacing w:line="240" w:lineRule="auto" w:before="11"/>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829"/>
        <w:gridCol w:w="2464"/>
        <w:gridCol w:w="1142"/>
        <w:gridCol w:w="1020"/>
        <w:gridCol w:w="1487"/>
        <w:gridCol w:w="968"/>
      </w:tblGrid>
      <w:tr>
        <w:trPr>
          <w:trHeight w:val="243" w:hRule="exact"/>
        </w:trPr>
        <w:tc>
          <w:tcPr>
            <w:tcW w:w="1829" w:type="dxa"/>
            <w:tcBorders>
              <w:top w:val="single" w:sz="8" w:space="0" w:color="000000"/>
              <w:left w:val="nil" w:sz="6" w:space="0" w:color="auto"/>
              <w:bottom w:val="nil" w:sz="6" w:space="0" w:color="auto"/>
              <w:right w:val="nil" w:sz="6" w:space="0" w:color="auto"/>
            </w:tcBorders>
          </w:tcPr>
          <w:p>
            <w:pPr/>
          </w:p>
        </w:tc>
        <w:tc>
          <w:tcPr>
            <w:tcW w:w="2464" w:type="dxa"/>
            <w:tcBorders>
              <w:top w:val="single" w:sz="8" w:space="0" w:color="000000"/>
              <w:left w:val="nil" w:sz="6" w:space="0" w:color="auto"/>
              <w:bottom w:val="nil" w:sz="6" w:space="0" w:color="auto"/>
              <w:right w:val="nil" w:sz="6" w:space="0" w:color="auto"/>
            </w:tcBorders>
          </w:tcPr>
          <w:p>
            <w:pPr/>
          </w:p>
        </w:tc>
        <w:tc>
          <w:tcPr>
            <w:tcW w:w="1142" w:type="dxa"/>
            <w:tcBorders>
              <w:top w:val="single" w:sz="8" w:space="0" w:color="000000"/>
              <w:left w:val="nil" w:sz="6" w:space="0" w:color="auto"/>
              <w:bottom w:val="nil" w:sz="6" w:space="0" w:color="auto"/>
              <w:right w:val="nil" w:sz="6" w:space="0" w:color="auto"/>
            </w:tcBorders>
          </w:tcPr>
          <w:p>
            <w:pPr/>
          </w:p>
        </w:tc>
        <w:tc>
          <w:tcPr>
            <w:tcW w:w="1020" w:type="dxa"/>
            <w:tcBorders>
              <w:top w:val="single" w:sz="8" w:space="0" w:color="000000"/>
              <w:left w:val="nil" w:sz="6" w:space="0" w:color="auto"/>
              <w:bottom w:val="nil" w:sz="6" w:space="0" w:color="auto"/>
              <w:right w:val="nil" w:sz="6" w:space="0" w:color="auto"/>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87" w:type="dxa"/>
            <w:tcBorders>
              <w:top w:val="single" w:sz="8" w:space="0" w:color="000000"/>
              <w:left w:val="nil" w:sz="6" w:space="0" w:color="auto"/>
              <w:bottom w:val="nil" w:sz="6" w:space="0" w:color="auto"/>
              <w:right w:val="nil" w:sz="6" w:space="0" w:color="auto"/>
            </w:tcBorders>
          </w:tcPr>
          <w:p>
            <w:pPr/>
          </w:p>
        </w:tc>
        <w:tc>
          <w:tcPr>
            <w:tcW w:w="968" w:type="dxa"/>
            <w:tcBorders>
              <w:top w:val="single" w:sz="8" w:space="0" w:color="000000"/>
              <w:left w:val="nil" w:sz="6" w:space="0" w:color="auto"/>
              <w:bottom w:val="nil" w:sz="6" w:space="0" w:color="auto"/>
              <w:right w:val="nil" w:sz="6" w:space="0" w:color="auto"/>
            </w:tcBorders>
          </w:tcPr>
          <w:p>
            <w:pPr/>
          </w:p>
        </w:tc>
      </w:tr>
      <w:tr>
        <w:trPr>
          <w:trHeight w:val="208"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08" w:lineRule="exact"/>
              <w:ind w:left="4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
        </w:tc>
      </w:tr>
      <w:tr>
        <w:trPr>
          <w:trHeight w:val="265" w:hRule="exact"/>
        </w:trPr>
        <w:tc>
          <w:tcPr>
            <w:tcW w:w="1829" w:type="dxa"/>
            <w:tcBorders>
              <w:top w:val="nil" w:sz="6" w:space="0" w:color="auto"/>
              <w:left w:val="nil" w:sz="6" w:space="0" w:color="auto"/>
              <w:bottom w:val="single" w:sz="4" w:space="0" w:color="000000"/>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180" w:lineRule="exact"/>
              <w:ind w:right="311"/>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142" w:type="dxa"/>
            <w:tcBorders>
              <w:top w:val="nil" w:sz="6" w:space="0" w:color="auto"/>
              <w:left w:val="nil" w:sz="6" w:space="0" w:color="auto"/>
              <w:bottom w:val="single" w:sz="4" w:space="0" w:color="000000"/>
              <w:right w:val="nil" w:sz="6" w:space="0" w:color="auto"/>
            </w:tcBorders>
          </w:tcPr>
          <w:p>
            <w:pPr>
              <w:pStyle w:val="TableParagraph"/>
              <w:spacing w:line="180"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一至二年</w:t>
            </w:r>
            <w:r>
              <w:rPr>
                <w:rFonts w:ascii="宋体" w:hAnsi="宋体" w:cs="宋体" w:eastAsia="宋体" w:hint="default"/>
                <w:sz w:val="18"/>
                <w:szCs w:val="18"/>
              </w:rPr>
            </w:r>
          </w:p>
        </w:tc>
        <w:tc>
          <w:tcPr>
            <w:tcW w:w="1020"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二至五年</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180" w:lineRule="exact"/>
              <w:ind w:left="190"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968" w:type="dxa"/>
            <w:tcBorders>
              <w:top w:val="nil" w:sz="6" w:space="0" w:color="auto"/>
              <w:left w:val="nil" w:sz="6" w:space="0" w:color="auto"/>
              <w:bottom w:val="single" w:sz="4" w:space="0" w:color="000000"/>
              <w:right w:val="nil" w:sz="6" w:space="0" w:color="auto"/>
            </w:tcBorders>
          </w:tcPr>
          <w:p>
            <w:pPr>
              <w:pStyle w:val="TableParagraph"/>
              <w:spacing w:line="180" w:lineRule="exact"/>
              <w:ind w:left="57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5" w:hRule="exact"/>
        </w:trPr>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464"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
        </w:tc>
        <w:tc>
          <w:tcPr>
            <w:tcW w:w="2455" w:type="dxa"/>
            <w:gridSpan w:val="2"/>
            <w:tcBorders>
              <w:top w:val="single" w:sz="4" w:space="0" w:color="000000"/>
              <w:left w:val="nil" w:sz="6" w:space="0" w:color="auto"/>
              <w:bottom w:val="nil" w:sz="6" w:space="0" w:color="auto"/>
              <w:right w:val="nil" w:sz="6" w:space="0" w:color="auto"/>
            </w:tcBorders>
          </w:tcPr>
          <w:p>
            <w:pPr/>
          </w:p>
        </w:tc>
      </w:tr>
      <w:tr>
        <w:trPr>
          <w:trHeight w:val="340"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5" w:right="0"/>
              <w:jc w:val="left"/>
              <w:rPr>
                <w:rFonts w:ascii="宋体" w:hAnsi="宋体" w:cs="宋体" w:eastAsia="宋体" w:hint="default"/>
                <w:sz w:val="18"/>
                <w:szCs w:val="18"/>
              </w:rPr>
            </w:pPr>
            <w:r>
              <w:rPr>
                <w:rFonts w:ascii="宋体" w:hAnsi="宋体" w:cs="宋体" w:eastAsia="宋体" w:hint="default"/>
                <w:spacing w:val="-12"/>
                <w:sz w:val="18"/>
                <w:szCs w:val="18"/>
              </w:rPr>
              <w:t>应付票据</w:t>
            </w:r>
            <w:r>
              <w:rPr>
                <w:rFonts w:ascii="宋体" w:hAnsi="宋体" w:cs="宋体" w:eastAsia="宋体" w:hint="default"/>
                <w:sz w:val="18"/>
                <w:szCs w:val="18"/>
              </w:rPr>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1"/>
              <w:jc w:val="right"/>
              <w:rPr>
                <w:rFonts w:ascii="宋体" w:hAnsi="宋体" w:cs="宋体" w:eastAsia="宋体" w:hint="default"/>
                <w:sz w:val="18"/>
                <w:szCs w:val="18"/>
              </w:rPr>
            </w:pPr>
            <w:r>
              <w:rPr>
                <w:rFonts w:ascii="宋体"/>
                <w:spacing w:val="-1"/>
                <w:sz w:val="18"/>
              </w:rPr>
              <w:t>226,130,000.00</w:t>
            </w:r>
          </w:p>
        </w:tc>
        <w:tc>
          <w:tcPr>
            <w:tcW w:w="114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2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163" w:right="0"/>
              <w:jc w:val="left"/>
              <w:rPr>
                <w:rFonts w:ascii="宋体" w:hAnsi="宋体" w:cs="宋体" w:eastAsia="宋体" w:hint="default"/>
                <w:sz w:val="18"/>
                <w:szCs w:val="18"/>
              </w:rPr>
            </w:pPr>
            <w:r>
              <w:rPr>
                <w:rFonts w:ascii="宋体"/>
                <w:sz w:val="18"/>
              </w:rPr>
              <w:t>226,130,000.00</w:t>
            </w:r>
          </w:p>
        </w:tc>
      </w:tr>
      <w:tr>
        <w:trPr>
          <w:trHeight w:val="34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pacing w:val="-12"/>
                <w:sz w:val="18"/>
                <w:szCs w:val="18"/>
              </w:rPr>
              <w:t>应付账款</w:t>
            </w:r>
            <w:r>
              <w:rPr>
                <w:rFonts w:ascii="宋体" w:hAnsi="宋体" w:cs="宋体" w:eastAsia="宋体" w:hint="default"/>
                <w:sz w:val="18"/>
                <w:szCs w:val="18"/>
              </w:rPr>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1"/>
              <w:jc w:val="right"/>
              <w:rPr>
                <w:rFonts w:ascii="宋体" w:hAnsi="宋体" w:cs="宋体" w:eastAsia="宋体" w:hint="default"/>
                <w:sz w:val="18"/>
                <w:szCs w:val="18"/>
              </w:rPr>
            </w:pPr>
            <w:r>
              <w:rPr>
                <w:rFonts w:ascii="宋体"/>
                <w:spacing w:val="-1"/>
                <w:sz w:val="18"/>
              </w:rPr>
              <w:t>409,131,293.74</w:t>
            </w:r>
          </w:p>
        </w:tc>
        <w:tc>
          <w:tcPr>
            <w:tcW w:w="114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2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163" w:right="0"/>
              <w:jc w:val="left"/>
              <w:rPr>
                <w:rFonts w:ascii="宋体" w:hAnsi="宋体" w:cs="宋体" w:eastAsia="宋体" w:hint="default"/>
                <w:sz w:val="18"/>
                <w:szCs w:val="18"/>
              </w:rPr>
            </w:pPr>
            <w:r>
              <w:rPr>
                <w:rFonts w:ascii="宋体"/>
                <w:sz w:val="18"/>
              </w:rPr>
              <w:t>409,131,293.74</w:t>
            </w:r>
          </w:p>
        </w:tc>
      </w:tr>
      <w:tr>
        <w:trPr>
          <w:trHeight w:val="313"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1"/>
              <w:jc w:val="right"/>
              <w:rPr>
                <w:rFonts w:ascii="宋体" w:hAnsi="宋体" w:cs="宋体" w:eastAsia="宋体" w:hint="default"/>
                <w:sz w:val="18"/>
                <w:szCs w:val="18"/>
              </w:rPr>
            </w:pPr>
            <w:r>
              <w:rPr>
                <w:rFonts w:ascii="宋体"/>
                <w:spacing w:val="-1"/>
                <w:sz w:val="18"/>
              </w:rPr>
              <w:t>654,131,157.01</w:t>
            </w:r>
          </w:p>
        </w:tc>
        <w:tc>
          <w:tcPr>
            <w:tcW w:w="114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2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163" w:right="0"/>
              <w:jc w:val="left"/>
              <w:rPr>
                <w:rFonts w:ascii="宋体" w:hAnsi="宋体" w:cs="宋体" w:eastAsia="宋体" w:hint="default"/>
                <w:sz w:val="18"/>
                <w:szCs w:val="18"/>
              </w:rPr>
            </w:pPr>
            <w:r>
              <w:rPr>
                <w:rFonts w:ascii="宋体"/>
                <w:sz w:val="18"/>
              </w:rPr>
              <w:t>654,131,157.01</w:t>
            </w:r>
          </w:p>
        </w:tc>
      </w:tr>
      <w:tr>
        <w:trPr>
          <w:trHeight w:val="520" w:hRule="exact"/>
        </w:trPr>
        <w:tc>
          <w:tcPr>
            <w:tcW w:w="4293"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22"/>
              <w:ind w:left="45" w:right="1905"/>
              <w:jc w:val="left"/>
              <w:rPr>
                <w:rFonts w:ascii="宋体" w:hAnsi="宋体" w:cs="宋体" w:eastAsia="宋体" w:hint="default"/>
                <w:sz w:val="18"/>
                <w:szCs w:val="18"/>
              </w:rPr>
            </w:pPr>
            <w:r>
              <w:rPr>
                <w:rFonts w:ascii="宋体" w:hAnsi="宋体" w:cs="宋体" w:eastAsia="宋体" w:hint="default"/>
                <w:sz w:val="18"/>
                <w:szCs w:val="18"/>
              </w:rPr>
              <w:t>一年内到期的非流动负债（不 含递延收益）</w:t>
            </w:r>
          </w:p>
        </w:tc>
        <w:tc>
          <w:tcPr>
            <w:tcW w:w="114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2455" w:type="dxa"/>
            <w:gridSpan w:val="2"/>
            <w:tcBorders>
              <w:top w:val="nil" w:sz="6" w:space="0" w:color="auto"/>
              <w:left w:val="nil" w:sz="6" w:space="0" w:color="auto"/>
              <w:bottom w:val="nil" w:sz="6" w:space="0" w:color="auto"/>
              <w:right w:val="nil" w:sz="6" w:space="0" w:color="auto"/>
            </w:tcBorders>
          </w:tcPr>
          <w:p>
            <w:pPr/>
          </w:p>
        </w:tc>
      </w:tr>
      <w:tr>
        <w:trPr>
          <w:trHeight w:val="326" w:hRule="exact"/>
        </w:trPr>
        <w:tc>
          <w:tcPr>
            <w:tcW w:w="1829" w:type="dxa"/>
            <w:tcBorders>
              <w:top w:val="nil" w:sz="6" w:space="0" w:color="auto"/>
              <w:left w:val="nil" w:sz="6" w:space="0" w:color="auto"/>
              <w:bottom w:val="single" w:sz="8" w:space="0" w:color="000000"/>
              <w:right w:val="nil" w:sz="6" w:space="0" w:color="auto"/>
            </w:tcBorders>
          </w:tcPr>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2464" w:type="dxa"/>
            <w:tcBorders>
              <w:top w:val="nil" w:sz="6" w:space="0" w:color="auto"/>
              <w:left w:val="nil" w:sz="6" w:space="0" w:color="auto"/>
              <w:bottom w:val="single" w:sz="8" w:space="0" w:color="000000"/>
              <w:right w:val="nil" w:sz="6" w:space="0" w:color="auto"/>
            </w:tcBorders>
          </w:tcPr>
          <w:p>
            <w:pPr>
              <w:pStyle w:val="TableParagraph"/>
              <w:spacing w:line="234" w:lineRule="exact"/>
              <w:ind w:right="311"/>
              <w:jc w:val="right"/>
              <w:rPr>
                <w:rFonts w:ascii="宋体" w:hAnsi="宋体" w:cs="宋体" w:eastAsia="宋体" w:hint="default"/>
                <w:sz w:val="18"/>
                <w:szCs w:val="18"/>
              </w:rPr>
            </w:pPr>
            <w:r>
              <w:rPr>
                <w:rFonts w:ascii="宋体"/>
                <w:b/>
                <w:w w:val="95"/>
                <w:sz w:val="18"/>
              </w:rPr>
              <w:t>1,289,392,450.75</w:t>
            </w:r>
            <w:r>
              <w:rPr>
                <w:rFonts w:ascii="宋体"/>
                <w:sz w:val="18"/>
              </w:rPr>
            </w:r>
          </w:p>
        </w:tc>
        <w:tc>
          <w:tcPr>
            <w:tcW w:w="1142" w:type="dxa"/>
            <w:tcBorders>
              <w:top w:val="nil" w:sz="6" w:space="0" w:color="auto"/>
              <w:left w:val="nil" w:sz="6" w:space="0" w:color="auto"/>
              <w:bottom w:val="single" w:sz="8" w:space="0" w:color="000000"/>
              <w:right w:val="nil" w:sz="6" w:space="0" w:color="auto"/>
            </w:tcBorders>
          </w:tcPr>
          <w:p>
            <w:pPr/>
          </w:p>
        </w:tc>
        <w:tc>
          <w:tcPr>
            <w:tcW w:w="1020" w:type="dxa"/>
            <w:tcBorders>
              <w:top w:val="nil" w:sz="6" w:space="0" w:color="auto"/>
              <w:left w:val="nil" w:sz="6" w:space="0" w:color="auto"/>
              <w:bottom w:val="single" w:sz="8" w:space="0" w:color="000000"/>
              <w:right w:val="nil" w:sz="6" w:space="0" w:color="auto"/>
            </w:tcBorders>
          </w:tcPr>
          <w:p>
            <w:pPr/>
          </w:p>
        </w:tc>
        <w:tc>
          <w:tcPr>
            <w:tcW w:w="2455" w:type="dxa"/>
            <w:gridSpan w:val="2"/>
            <w:tcBorders>
              <w:top w:val="nil" w:sz="6" w:space="0" w:color="auto"/>
              <w:left w:val="nil" w:sz="6" w:space="0" w:color="auto"/>
              <w:bottom w:val="single" w:sz="8" w:space="0" w:color="000000"/>
              <w:right w:val="nil" w:sz="6" w:space="0" w:color="auto"/>
            </w:tcBorders>
          </w:tcPr>
          <w:p>
            <w:pPr>
              <w:pStyle w:val="TableParagraph"/>
              <w:spacing w:line="234" w:lineRule="exact"/>
              <w:ind w:left="971" w:right="0"/>
              <w:jc w:val="left"/>
              <w:rPr>
                <w:rFonts w:ascii="宋体" w:hAnsi="宋体" w:cs="宋体" w:eastAsia="宋体" w:hint="default"/>
                <w:sz w:val="18"/>
                <w:szCs w:val="18"/>
              </w:rPr>
            </w:pPr>
            <w:r>
              <w:rPr>
                <w:rFonts w:ascii="宋体"/>
                <w:b/>
                <w:sz w:val="18"/>
              </w:rPr>
              <w:t>1,289,392,450.75</w:t>
            </w:r>
            <w:r>
              <w:rPr>
                <w:rFonts w:ascii="宋体"/>
                <w:sz w:val="18"/>
              </w:rPr>
            </w:r>
          </w:p>
        </w:tc>
      </w:tr>
    </w:tbl>
    <w:p>
      <w:pPr>
        <w:pStyle w:val="BodyText"/>
        <w:spacing w:line="240" w:lineRule="auto" w:before="86"/>
        <w:ind w:left="158" w:right="108"/>
        <w:jc w:val="left"/>
      </w:pPr>
      <w:r>
        <w:rPr/>
        <w:pict>
          <v:group style="position:absolute;margin-left:213.649994pt;margin-top:48.363644pt;width:320pt;height:1pt;mso-position-horizontal-relative:page;mso-position-vertical-relative:paragraph;z-index:-1008688" coordorigin="4273,967" coordsize="6400,20">
            <v:group style="position:absolute;left:4283;top:977;width:1383;height:2" coordorigin="4283,977" coordsize="1383,2">
              <v:shape style="position:absolute;left:4283;top:977;width:1383;height:2" coordorigin="4283,977" coordsize="1383,0" path="m4283,977l5665,977e" filled="false" stroked="true" strokeweight=".96002pt" strokecolor="#000000">
                <v:path arrowok="t"/>
              </v:shape>
            </v:group>
            <v:group style="position:absolute;left:5665;top:977;width:20;height:2" coordorigin="5665,977" coordsize="20,2">
              <v:shape style="position:absolute;left:5665;top:977;width:20;height:2" coordorigin="5665,977" coordsize="20,0" path="m5665,977l5684,977e" filled="false" stroked="true" strokeweight=".96002pt" strokecolor="#000000">
                <v:path arrowok="t"/>
              </v:shape>
            </v:group>
            <v:group style="position:absolute;left:5684;top:977;width:1364;height:2" coordorigin="5684,977" coordsize="1364,2">
              <v:shape style="position:absolute;left:5684;top:977;width:1364;height:2" coordorigin="5684,977" coordsize="1364,0" path="m5684,977l7048,977e" filled="false" stroked="true" strokeweight=".96002pt" strokecolor="#000000">
                <v:path arrowok="t"/>
              </v:shape>
            </v:group>
            <v:group style="position:absolute;left:7048;top:977;width:20;height:2" coordorigin="7048,977" coordsize="20,2">
              <v:shape style="position:absolute;left:7048;top:977;width:20;height:2" coordorigin="7048,977" coordsize="20,0" path="m7048,977l7067,977e" filled="false" stroked="true" strokeweight=".96002pt" strokecolor="#000000">
                <v:path arrowok="t"/>
              </v:shape>
            </v:group>
            <v:group style="position:absolute;left:7067;top:977;width:948;height:2" coordorigin="7067,977" coordsize="948,2">
              <v:shape style="position:absolute;left:7067;top:977;width:948;height:2" coordorigin="7067,977" coordsize="948,0" path="m7067,977l8015,977e" filled="false" stroked="true" strokeweight=".96002pt" strokecolor="#000000">
                <v:path arrowok="t"/>
              </v:shape>
            </v:group>
            <v:group style="position:absolute;left:8015;top:977;width:20;height:2" coordorigin="8015,977" coordsize="20,2">
              <v:shape style="position:absolute;left:8015;top:977;width:20;height:2" coordorigin="8015,977" coordsize="20,0" path="m8015,977l8034,977e" filled="false" stroked="true" strokeweight=".96002pt" strokecolor="#000000">
                <v:path arrowok="t"/>
              </v:shape>
            </v:group>
            <v:group style="position:absolute;left:8034;top:977;width:1115;height:2" coordorigin="8034,977" coordsize="1115,2">
              <v:shape style="position:absolute;left:8034;top:977;width:1115;height:2" coordorigin="8034,977" coordsize="1115,0" path="m8034,977l9148,977e" filled="false" stroked="true" strokeweight=".96002pt" strokecolor="#000000">
                <v:path arrowok="t"/>
              </v:shape>
            </v:group>
            <v:group style="position:absolute;left:9148;top:977;width:20;height:2" coordorigin="9148,977" coordsize="20,2">
              <v:shape style="position:absolute;left:9148;top:977;width:20;height:2" coordorigin="9148,977" coordsize="20,0" path="m9148,977l9168,977e" filled="false" stroked="true" strokeweight=".96002pt" strokecolor="#000000">
                <v:path arrowok="t"/>
              </v:shape>
            </v:group>
            <v:group style="position:absolute;left:9168;top:977;width:1496;height:2" coordorigin="9168,977" coordsize="1496,2">
              <v:shape style="position:absolute;left:9168;top:977;width:1496;height:2" coordorigin="9168,977" coordsize="1496,0" path="m9168,977l10663,977e" filled="false" stroked="true" strokeweight=".96002pt" strokecolor="#000000">
                <v:path arrowok="t"/>
              </v:shape>
            </v:group>
            <w10:wrap type="none"/>
          </v:group>
        </w:pict>
      </w:r>
      <w:r>
        <w:rPr>
          <w:spacing w:val="-8"/>
        </w:rPr>
        <w:t>期初本公司持有的金融负债按未折现剩余合同现金流量的到期期限分析如下（单位：人民币元）：</w:t>
      </w:r>
      <w:r>
        <w:rPr/>
      </w:r>
    </w:p>
    <w:p>
      <w:pPr>
        <w:spacing w:line="240" w:lineRule="auto" w:before="11"/>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871"/>
        <w:gridCol w:w="2341"/>
        <w:gridCol w:w="1175"/>
        <w:gridCol w:w="1050"/>
        <w:gridCol w:w="1504"/>
        <w:gridCol w:w="970"/>
      </w:tblGrid>
      <w:tr>
        <w:trPr>
          <w:trHeight w:val="243" w:hRule="exact"/>
        </w:trPr>
        <w:tc>
          <w:tcPr>
            <w:tcW w:w="1871" w:type="dxa"/>
            <w:tcBorders>
              <w:top w:val="single" w:sz="8" w:space="0" w:color="000000"/>
              <w:left w:val="nil" w:sz="6" w:space="0" w:color="auto"/>
              <w:bottom w:val="nil" w:sz="6" w:space="0" w:color="auto"/>
              <w:right w:val="nil" w:sz="6" w:space="0" w:color="auto"/>
            </w:tcBorders>
          </w:tcPr>
          <w:p>
            <w:pPr/>
          </w:p>
        </w:tc>
        <w:tc>
          <w:tcPr>
            <w:tcW w:w="2341" w:type="dxa"/>
            <w:tcBorders>
              <w:top w:val="single" w:sz="8" w:space="0" w:color="000000"/>
              <w:left w:val="nil" w:sz="6" w:space="0" w:color="auto"/>
              <w:bottom w:val="nil" w:sz="6" w:space="0" w:color="auto"/>
              <w:right w:val="nil" w:sz="6" w:space="0" w:color="auto"/>
            </w:tcBorders>
          </w:tcPr>
          <w:p>
            <w:pPr/>
          </w:p>
        </w:tc>
        <w:tc>
          <w:tcPr>
            <w:tcW w:w="1175" w:type="dxa"/>
            <w:tcBorders>
              <w:top w:val="single" w:sz="8" w:space="0" w:color="000000"/>
              <w:left w:val="nil" w:sz="6" w:space="0" w:color="auto"/>
              <w:bottom w:val="nil" w:sz="6" w:space="0" w:color="auto"/>
              <w:right w:val="nil" w:sz="6" w:space="0" w:color="auto"/>
            </w:tcBorders>
          </w:tcPr>
          <w:p>
            <w:pPr/>
          </w:p>
        </w:tc>
        <w:tc>
          <w:tcPr>
            <w:tcW w:w="1050" w:type="dxa"/>
            <w:tcBorders>
              <w:top w:val="single" w:sz="8" w:space="0" w:color="000000"/>
              <w:left w:val="nil" w:sz="6" w:space="0" w:color="auto"/>
              <w:bottom w:val="nil" w:sz="6" w:space="0" w:color="auto"/>
              <w:right w:val="nil" w:sz="6" w:space="0" w:color="auto"/>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504" w:type="dxa"/>
            <w:tcBorders>
              <w:top w:val="single" w:sz="8" w:space="0" w:color="000000"/>
              <w:left w:val="nil" w:sz="6" w:space="0" w:color="auto"/>
              <w:bottom w:val="nil" w:sz="6" w:space="0" w:color="auto"/>
              <w:right w:val="nil" w:sz="6" w:space="0" w:color="auto"/>
            </w:tcBorders>
          </w:tcPr>
          <w:p>
            <w:pPr/>
          </w:p>
        </w:tc>
        <w:tc>
          <w:tcPr>
            <w:tcW w:w="970" w:type="dxa"/>
            <w:tcBorders>
              <w:top w:val="single" w:sz="8" w:space="0" w:color="000000"/>
              <w:left w:val="nil" w:sz="6" w:space="0" w:color="auto"/>
              <w:bottom w:val="nil" w:sz="6" w:space="0" w:color="auto"/>
              <w:right w:val="nil" w:sz="6" w:space="0" w:color="auto"/>
            </w:tcBorders>
          </w:tcPr>
          <w:p>
            <w:pPr/>
          </w:p>
        </w:tc>
      </w:tr>
      <w:tr>
        <w:trPr>
          <w:trHeight w:val="208"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08" w:lineRule="exact"/>
              <w:ind w:left="4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r>
      <w:tr>
        <w:trPr>
          <w:trHeight w:val="265" w:hRule="exact"/>
        </w:trPr>
        <w:tc>
          <w:tcPr>
            <w:tcW w:w="1871" w:type="dxa"/>
            <w:tcBorders>
              <w:top w:val="nil" w:sz="6" w:space="0" w:color="auto"/>
              <w:left w:val="nil" w:sz="6" w:space="0" w:color="auto"/>
              <w:bottom w:val="single" w:sz="4" w:space="0" w:color="000000"/>
              <w:right w:val="nil" w:sz="6" w:space="0" w:color="auto"/>
            </w:tcBorders>
          </w:tcPr>
          <w:p>
            <w:pPr/>
          </w:p>
        </w:tc>
        <w:tc>
          <w:tcPr>
            <w:tcW w:w="2341" w:type="dxa"/>
            <w:tcBorders>
              <w:top w:val="nil" w:sz="6" w:space="0" w:color="auto"/>
              <w:left w:val="nil" w:sz="6" w:space="0" w:color="auto"/>
              <w:bottom w:val="single" w:sz="4" w:space="0" w:color="000000"/>
              <w:right w:val="nil" w:sz="6" w:space="0" w:color="auto"/>
            </w:tcBorders>
          </w:tcPr>
          <w:p>
            <w:pPr>
              <w:pStyle w:val="TableParagraph"/>
              <w:spacing w:line="180" w:lineRule="exact"/>
              <w:ind w:right="328"/>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175" w:type="dxa"/>
            <w:tcBorders>
              <w:top w:val="nil" w:sz="6" w:space="0" w:color="auto"/>
              <w:left w:val="nil" w:sz="6" w:space="0" w:color="auto"/>
              <w:bottom w:val="single" w:sz="4" w:space="0" w:color="000000"/>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一至二年</w:t>
            </w:r>
            <w:r>
              <w:rPr>
                <w:rFonts w:ascii="宋体" w:hAnsi="宋体" w:cs="宋体" w:eastAsia="宋体" w:hint="default"/>
                <w:sz w:val="18"/>
                <w:szCs w:val="18"/>
              </w:rPr>
            </w:r>
          </w:p>
        </w:tc>
        <w:tc>
          <w:tcPr>
            <w:tcW w:w="1050" w:type="dxa"/>
            <w:tcBorders>
              <w:top w:val="nil" w:sz="6" w:space="0" w:color="auto"/>
              <w:left w:val="nil" w:sz="6" w:space="0" w:color="auto"/>
              <w:bottom w:val="single" w:sz="4" w:space="0" w:color="000000"/>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二至五年</w:t>
            </w:r>
            <w:r>
              <w:rPr>
                <w:rFonts w:ascii="宋体" w:hAnsi="宋体" w:cs="宋体" w:eastAsia="宋体" w:hint="default"/>
                <w:sz w:val="18"/>
                <w:szCs w:val="18"/>
              </w:rPr>
            </w:r>
          </w:p>
        </w:tc>
        <w:tc>
          <w:tcPr>
            <w:tcW w:w="1504" w:type="dxa"/>
            <w:tcBorders>
              <w:top w:val="nil" w:sz="6" w:space="0" w:color="auto"/>
              <w:left w:val="nil" w:sz="6" w:space="0" w:color="auto"/>
              <w:bottom w:val="single" w:sz="4" w:space="0" w:color="000000"/>
              <w:right w:val="nil" w:sz="6" w:space="0" w:color="auto"/>
            </w:tcBorders>
          </w:tcPr>
          <w:p>
            <w:pPr>
              <w:pStyle w:val="TableParagraph"/>
              <w:spacing w:line="180" w:lineRule="exact"/>
              <w:ind w:left="205"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180"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3" w:hRule="exact"/>
        </w:trPr>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341" w:type="dxa"/>
            <w:tcBorders>
              <w:top w:val="single" w:sz="4" w:space="0" w:color="000000"/>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
        </w:tc>
        <w:tc>
          <w:tcPr>
            <w:tcW w:w="2474" w:type="dxa"/>
            <w:gridSpan w:val="2"/>
            <w:tcBorders>
              <w:top w:val="single" w:sz="4" w:space="0" w:color="000000"/>
              <w:left w:val="nil" w:sz="6" w:space="0" w:color="auto"/>
              <w:bottom w:val="nil" w:sz="6" w:space="0" w:color="auto"/>
              <w:right w:val="nil" w:sz="6" w:space="0" w:color="auto"/>
            </w:tcBorders>
          </w:tcPr>
          <w:p>
            <w:pPr/>
          </w:p>
        </w:tc>
      </w:tr>
      <w:tr>
        <w:trPr>
          <w:trHeight w:val="341"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pacing w:val="-12"/>
                <w:sz w:val="18"/>
                <w:szCs w:val="18"/>
              </w:rPr>
              <w:t>应付票据</w:t>
            </w:r>
            <w:r>
              <w:rPr>
                <w:rFonts w:ascii="宋体" w:hAnsi="宋体" w:cs="宋体" w:eastAsia="宋体" w:hint="default"/>
                <w:sz w:val="18"/>
                <w:szCs w:val="18"/>
              </w:rPr>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29"/>
              <w:jc w:val="right"/>
              <w:rPr>
                <w:rFonts w:ascii="宋体" w:hAnsi="宋体" w:cs="宋体" w:eastAsia="宋体" w:hint="default"/>
                <w:sz w:val="18"/>
                <w:szCs w:val="18"/>
              </w:rPr>
            </w:pPr>
            <w:r>
              <w:rPr>
                <w:rFonts w:ascii="宋体"/>
                <w:spacing w:val="-1"/>
                <w:sz w:val="18"/>
              </w:rPr>
              <w:t>156,340,000.00</w:t>
            </w:r>
          </w:p>
        </w:tc>
        <w:tc>
          <w:tcPr>
            <w:tcW w:w="117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4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182" w:right="0"/>
              <w:jc w:val="left"/>
              <w:rPr>
                <w:rFonts w:ascii="宋体" w:hAnsi="宋体" w:cs="宋体" w:eastAsia="宋体" w:hint="default"/>
                <w:sz w:val="18"/>
                <w:szCs w:val="18"/>
              </w:rPr>
            </w:pPr>
            <w:r>
              <w:rPr>
                <w:rFonts w:ascii="宋体"/>
                <w:sz w:val="18"/>
              </w:rPr>
              <w:t>156,340,000.00</w:t>
            </w:r>
          </w:p>
        </w:tc>
      </w:tr>
      <w:tr>
        <w:trPr>
          <w:trHeight w:val="340"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pacing w:val="-12"/>
                <w:sz w:val="18"/>
                <w:szCs w:val="18"/>
              </w:rPr>
              <w:t>应付账款</w:t>
            </w:r>
            <w:r>
              <w:rPr>
                <w:rFonts w:ascii="宋体" w:hAnsi="宋体" w:cs="宋体" w:eastAsia="宋体" w:hint="default"/>
                <w:sz w:val="18"/>
                <w:szCs w:val="18"/>
              </w:rPr>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29"/>
              <w:jc w:val="right"/>
              <w:rPr>
                <w:rFonts w:ascii="宋体" w:hAnsi="宋体" w:cs="宋体" w:eastAsia="宋体" w:hint="default"/>
                <w:sz w:val="18"/>
                <w:szCs w:val="18"/>
              </w:rPr>
            </w:pPr>
            <w:r>
              <w:rPr>
                <w:rFonts w:ascii="宋体"/>
                <w:spacing w:val="-1"/>
                <w:sz w:val="18"/>
              </w:rPr>
              <w:t>306,946,292.17</w:t>
            </w:r>
          </w:p>
        </w:tc>
        <w:tc>
          <w:tcPr>
            <w:tcW w:w="117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4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182" w:right="0"/>
              <w:jc w:val="left"/>
              <w:rPr>
                <w:rFonts w:ascii="宋体" w:hAnsi="宋体" w:cs="宋体" w:eastAsia="宋体" w:hint="default"/>
                <w:sz w:val="18"/>
                <w:szCs w:val="18"/>
              </w:rPr>
            </w:pPr>
            <w:r>
              <w:rPr>
                <w:rFonts w:ascii="宋体"/>
                <w:sz w:val="18"/>
              </w:rPr>
              <w:t>306,946,292.17</w:t>
            </w:r>
          </w:p>
        </w:tc>
      </w:tr>
      <w:tr>
        <w:trPr>
          <w:trHeight w:val="314"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9"/>
              <w:jc w:val="right"/>
              <w:rPr>
                <w:rFonts w:ascii="宋体" w:hAnsi="宋体" w:cs="宋体" w:eastAsia="宋体" w:hint="default"/>
                <w:sz w:val="18"/>
                <w:szCs w:val="18"/>
              </w:rPr>
            </w:pPr>
            <w:r>
              <w:rPr>
                <w:rFonts w:ascii="宋体"/>
                <w:spacing w:val="-1"/>
                <w:sz w:val="18"/>
              </w:rPr>
              <w:t>151,347,525.46</w:t>
            </w:r>
          </w:p>
        </w:tc>
        <w:tc>
          <w:tcPr>
            <w:tcW w:w="117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4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182" w:right="0"/>
              <w:jc w:val="left"/>
              <w:rPr>
                <w:rFonts w:ascii="宋体" w:hAnsi="宋体" w:cs="宋体" w:eastAsia="宋体" w:hint="default"/>
                <w:sz w:val="18"/>
                <w:szCs w:val="18"/>
              </w:rPr>
            </w:pPr>
            <w:r>
              <w:rPr>
                <w:rFonts w:ascii="宋体"/>
                <w:sz w:val="18"/>
              </w:rPr>
              <w:t>151,347,525.46</w:t>
            </w:r>
          </w:p>
        </w:tc>
      </w:tr>
      <w:tr>
        <w:trPr>
          <w:trHeight w:val="521" w:hRule="exact"/>
        </w:trPr>
        <w:tc>
          <w:tcPr>
            <w:tcW w:w="4211"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23"/>
              <w:ind w:left="45" w:right="1711"/>
              <w:jc w:val="left"/>
              <w:rPr>
                <w:rFonts w:ascii="宋体" w:hAnsi="宋体" w:cs="宋体" w:eastAsia="宋体" w:hint="default"/>
                <w:sz w:val="18"/>
                <w:szCs w:val="18"/>
              </w:rPr>
            </w:pPr>
            <w:r>
              <w:rPr>
                <w:rFonts w:ascii="宋体" w:hAnsi="宋体" w:cs="宋体" w:eastAsia="宋体" w:hint="default"/>
                <w:spacing w:val="-5"/>
                <w:sz w:val="18"/>
                <w:szCs w:val="18"/>
              </w:rPr>
              <w:t>一年内到期的非流动负债（不含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递延收益）</w:t>
            </w:r>
          </w:p>
        </w:tc>
        <w:tc>
          <w:tcPr>
            <w:tcW w:w="117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474" w:type="dxa"/>
            <w:gridSpan w:val="2"/>
            <w:tcBorders>
              <w:top w:val="nil" w:sz="6" w:space="0" w:color="auto"/>
              <w:left w:val="nil" w:sz="6" w:space="0" w:color="auto"/>
              <w:bottom w:val="nil" w:sz="6" w:space="0" w:color="auto"/>
              <w:right w:val="nil" w:sz="6" w:space="0" w:color="auto"/>
            </w:tcBorders>
          </w:tcPr>
          <w:p>
            <w:pPr/>
          </w:p>
        </w:tc>
      </w:tr>
      <w:tr>
        <w:trPr>
          <w:trHeight w:val="324" w:hRule="exact"/>
        </w:trPr>
        <w:tc>
          <w:tcPr>
            <w:tcW w:w="1871" w:type="dxa"/>
            <w:tcBorders>
              <w:top w:val="nil" w:sz="6" w:space="0" w:color="auto"/>
              <w:left w:val="nil" w:sz="6" w:space="0" w:color="auto"/>
              <w:bottom w:val="single" w:sz="8" w:space="0" w:color="000000"/>
              <w:right w:val="nil" w:sz="6" w:space="0" w:color="auto"/>
            </w:tcBorders>
          </w:tcPr>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2341" w:type="dxa"/>
            <w:tcBorders>
              <w:top w:val="nil" w:sz="6" w:space="0" w:color="auto"/>
              <w:left w:val="nil" w:sz="6" w:space="0" w:color="auto"/>
              <w:bottom w:val="single" w:sz="8" w:space="0" w:color="000000"/>
              <w:right w:val="nil" w:sz="6" w:space="0" w:color="auto"/>
            </w:tcBorders>
          </w:tcPr>
          <w:p>
            <w:pPr>
              <w:pStyle w:val="TableParagraph"/>
              <w:spacing w:line="234" w:lineRule="exact"/>
              <w:ind w:right="328"/>
              <w:jc w:val="right"/>
              <w:rPr>
                <w:rFonts w:ascii="宋体" w:hAnsi="宋体" w:cs="宋体" w:eastAsia="宋体" w:hint="default"/>
                <w:sz w:val="18"/>
                <w:szCs w:val="18"/>
              </w:rPr>
            </w:pPr>
            <w:r>
              <w:rPr>
                <w:rFonts w:ascii="宋体"/>
                <w:b/>
                <w:w w:val="95"/>
                <w:sz w:val="18"/>
              </w:rPr>
              <w:t>614,633,817.63</w:t>
            </w:r>
            <w:r>
              <w:rPr>
                <w:rFonts w:ascii="宋体"/>
                <w:sz w:val="18"/>
              </w:rPr>
            </w:r>
          </w:p>
        </w:tc>
        <w:tc>
          <w:tcPr>
            <w:tcW w:w="1175" w:type="dxa"/>
            <w:tcBorders>
              <w:top w:val="nil" w:sz="6" w:space="0" w:color="auto"/>
              <w:left w:val="nil" w:sz="6" w:space="0" w:color="auto"/>
              <w:bottom w:val="single" w:sz="8" w:space="0" w:color="000000"/>
              <w:right w:val="nil" w:sz="6" w:space="0" w:color="auto"/>
            </w:tcBorders>
          </w:tcPr>
          <w:p>
            <w:pPr/>
          </w:p>
        </w:tc>
        <w:tc>
          <w:tcPr>
            <w:tcW w:w="1050" w:type="dxa"/>
            <w:tcBorders>
              <w:top w:val="nil" w:sz="6" w:space="0" w:color="auto"/>
              <w:left w:val="nil" w:sz="6" w:space="0" w:color="auto"/>
              <w:bottom w:val="single" w:sz="8" w:space="0" w:color="000000"/>
              <w:right w:val="nil" w:sz="6" w:space="0" w:color="auto"/>
            </w:tcBorders>
          </w:tcPr>
          <w:p>
            <w:pPr/>
          </w:p>
        </w:tc>
        <w:tc>
          <w:tcPr>
            <w:tcW w:w="2474" w:type="dxa"/>
            <w:gridSpan w:val="2"/>
            <w:tcBorders>
              <w:top w:val="nil" w:sz="6" w:space="0" w:color="auto"/>
              <w:left w:val="nil" w:sz="6" w:space="0" w:color="auto"/>
              <w:bottom w:val="single" w:sz="8" w:space="0" w:color="000000"/>
              <w:right w:val="nil" w:sz="6" w:space="0" w:color="auto"/>
            </w:tcBorders>
          </w:tcPr>
          <w:p>
            <w:pPr>
              <w:pStyle w:val="TableParagraph"/>
              <w:spacing w:line="234" w:lineRule="exact"/>
              <w:ind w:left="1173" w:right="0"/>
              <w:jc w:val="left"/>
              <w:rPr>
                <w:rFonts w:ascii="宋体" w:hAnsi="宋体" w:cs="宋体" w:eastAsia="宋体" w:hint="default"/>
                <w:sz w:val="18"/>
                <w:szCs w:val="18"/>
              </w:rPr>
            </w:pPr>
            <w:r>
              <w:rPr>
                <w:rFonts w:ascii="宋体"/>
                <w:b/>
                <w:sz w:val="18"/>
              </w:rPr>
              <w:t>614,633,817.63</w:t>
            </w:r>
            <w:r>
              <w:rPr>
                <w:rFonts w:ascii="宋体"/>
                <w:sz w:val="18"/>
              </w:rPr>
            </w:r>
          </w:p>
        </w:tc>
      </w:tr>
    </w:tbl>
    <w:p>
      <w:pPr>
        <w:pStyle w:val="BodyText"/>
        <w:spacing w:line="240" w:lineRule="auto" w:before="86"/>
        <w:ind w:left="158" w:right="108"/>
        <w:jc w:val="left"/>
      </w:pPr>
      <w:r>
        <w:rPr>
          <w:spacing w:val="-2"/>
        </w:rPr>
        <w:t>上表中披露的金融负债金额为未经折现的合同现金流量，因而可能与资产负债表中的账面金额有</w:t>
      </w:r>
      <w:r>
        <w:rPr>
          <w:spacing w:val="-25"/>
        </w:rPr>
        <w:t> </w:t>
      </w:r>
      <w:r>
        <w:rPr>
          <w:spacing w:val="-25"/>
        </w:rPr>
      </w:r>
      <w:r>
        <w:rPr/>
        <w:t>所不同。</w:t>
      </w:r>
    </w:p>
    <w:p>
      <w:pPr>
        <w:spacing w:line="240" w:lineRule="auto" w:before="3"/>
        <w:rPr>
          <w:rFonts w:ascii="宋体" w:hAnsi="宋体" w:cs="宋体" w:eastAsia="宋体" w:hint="default"/>
          <w:sz w:val="16"/>
          <w:szCs w:val="16"/>
        </w:rPr>
      </w:pPr>
    </w:p>
    <w:p>
      <w:pPr>
        <w:pStyle w:val="BodyText"/>
        <w:spacing w:line="240" w:lineRule="auto"/>
        <w:ind w:left="155" w:right="108"/>
        <w:jc w:val="left"/>
      </w:pPr>
      <w:r>
        <w:rPr/>
        <w:t>（</w:t>
      </w:r>
      <w:r>
        <w:rPr>
          <w:rFonts w:ascii="宋体" w:hAnsi="宋体" w:cs="宋体" w:eastAsia="宋体" w:hint="default"/>
        </w:rPr>
        <w:t>3</w:t>
      </w:r>
      <w:r>
        <w:rPr/>
        <w:t>）市场风险</w:t>
      </w:r>
    </w:p>
    <w:p>
      <w:pPr>
        <w:spacing w:line="240" w:lineRule="auto" w:before="7"/>
        <w:rPr>
          <w:rFonts w:ascii="宋体" w:hAnsi="宋体" w:cs="宋体" w:eastAsia="宋体" w:hint="default"/>
          <w:sz w:val="18"/>
          <w:szCs w:val="18"/>
        </w:rPr>
      </w:pPr>
    </w:p>
    <w:p>
      <w:pPr>
        <w:pStyle w:val="BodyText"/>
        <w:spacing w:line="272" w:lineRule="exact"/>
        <w:ind w:left="158" w:right="108"/>
        <w:jc w:val="left"/>
      </w:pPr>
      <w:r>
        <w:rPr>
          <w:spacing w:val="-2"/>
        </w:rPr>
        <w:t>金融工具的市场风险，是指金融工具的公允价值或未来现金流量因市场价格变动而发生波动的风</w:t>
      </w:r>
      <w:r>
        <w:rPr>
          <w:spacing w:val="-25"/>
        </w:rPr>
        <w:t> </w:t>
      </w:r>
      <w:r>
        <w:rPr>
          <w:spacing w:val="-25"/>
        </w:rPr>
      </w:r>
      <w:r>
        <w:rPr/>
        <w:t>险，包括利率风险、汇率风险和其他价格风险。</w:t>
      </w:r>
    </w:p>
    <w:p>
      <w:pPr>
        <w:spacing w:line="240" w:lineRule="auto" w:before="7"/>
        <w:rPr>
          <w:rFonts w:ascii="宋体" w:hAnsi="宋体" w:cs="宋体" w:eastAsia="宋体" w:hint="default"/>
          <w:sz w:val="14"/>
          <w:szCs w:val="14"/>
        </w:rPr>
      </w:pPr>
    </w:p>
    <w:p>
      <w:pPr>
        <w:pStyle w:val="BodyText"/>
        <w:spacing w:line="240" w:lineRule="auto"/>
        <w:ind w:left="158" w:right="108"/>
        <w:jc w:val="left"/>
      </w:pPr>
      <w:r>
        <w:rPr/>
        <w:t>利率风险</w:t>
      </w:r>
    </w:p>
    <w:p>
      <w:pPr>
        <w:spacing w:after="0" w:line="240" w:lineRule="auto"/>
        <w:jc w:val="left"/>
        <w:sectPr>
          <w:pgSz w:w="11910" w:h="16840"/>
          <w:pgMar w:header="0" w:footer="1195" w:top="1080" w:bottom="1380" w:left="1640" w:right="1060"/>
        </w:sectPr>
      </w:pPr>
    </w:p>
    <w:p>
      <w:pPr>
        <w:spacing w:line="240" w:lineRule="auto" w:before="6"/>
        <w:rPr>
          <w:rFonts w:ascii="宋体" w:hAnsi="宋体" w:cs="宋体" w:eastAsia="宋体" w:hint="default"/>
          <w:sz w:val="28"/>
          <w:szCs w:val="28"/>
        </w:rPr>
      </w:pPr>
    </w:p>
    <w:p>
      <w:pPr>
        <w:pStyle w:val="BodyText"/>
        <w:spacing w:line="240" w:lineRule="auto" w:before="36"/>
        <w:ind w:left="538" w:right="117"/>
        <w:jc w:val="left"/>
      </w:pPr>
      <w:r>
        <w:rPr>
          <w:spacing w:val="-2"/>
        </w:rPr>
        <w:t>利率风险，是指金融工具的公允价值或未来现金流量因市场利率变动而发生波动的风险。利率风</w:t>
      </w:r>
      <w:r>
        <w:rPr>
          <w:spacing w:val="-25"/>
        </w:rPr>
        <w:t> </w:t>
      </w:r>
      <w:r>
        <w:rPr>
          <w:spacing w:val="-25"/>
        </w:rPr>
      </w:r>
      <w:r>
        <w:rPr/>
        <w:t>险可源于已确认的计息金融工具和未确认的金融工具（如某些贷款承诺）。</w:t>
      </w:r>
    </w:p>
    <w:p>
      <w:pPr>
        <w:spacing w:line="240" w:lineRule="auto" w:before="5"/>
        <w:rPr>
          <w:rFonts w:ascii="宋体" w:hAnsi="宋体" w:cs="宋体" w:eastAsia="宋体" w:hint="default"/>
          <w:sz w:val="16"/>
          <w:szCs w:val="16"/>
        </w:rPr>
      </w:pPr>
    </w:p>
    <w:p>
      <w:pPr>
        <w:pStyle w:val="BodyText"/>
        <w:spacing w:line="237" w:lineRule="auto"/>
        <w:ind w:left="538" w:right="137"/>
        <w:jc w:val="both"/>
      </w:pPr>
      <w:r>
        <w:rPr>
          <w:spacing w:val="-2"/>
        </w:rPr>
        <w:t>本公司密切关注利率变动对本公司利率风险的影响。本公司目前并未采取利率对冲政策。但管理</w:t>
      </w:r>
      <w:r>
        <w:rPr>
          <w:spacing w:val="-25"/>
        </w:rPr>
        <w:t> </w:t>
      </w:r>
      <w:r>
        <w:rPr>
          <w:spacing w:val="-25"/>
        </w:rPr>
      </w:r>
      <w:r>
        <w:rPr>
          <w:spacing w:val="-2"/>
        </w:rPr>
        <w:t>层负责监控利率风险，并将于需要时考虑对冲重大利率风险。由于定期存款为短期存款，故银行</w:t>
      </w:r>
      <w:r>
        <w:rPr>
          <w:spacing w:val="-25"/>
        </w:rPr>
        <w:t> </w:t>
      </w:r>
      <w:r>
        <w:rPr>
          <w:spacing w:val="-25"/>
        </w:rPr>
      </w:r>
      <w:r>
        <w:rPr/>
        <w:t>存款的公允价值利率风险并不重大。</w:t>
      </w:r>
    </w:p>
    <w:p>
      <w:pPr>
        <w:spacing w:line="240" w:lineRule="auto" w:before="6"/>
        <w:rPr>
          <w:rFonts w:ascii="宋体" w:hAnsi="宋体" w:cs="宋体" w:eastAsia="宋体" w:hint="default"/>
          <w:sz w:val="16"/>
          <w:szCs w:val="16"/>
        </w:rPr>
      </w:pPr>
    </w:p>
    <w:p>
      <w:pPr>
        <w:pStyle w:val="BodyText"/>
        <w:spacing w:line="240" w:lineRule="auto"/>
        <w:ind w:left="538" w:right="3891"/>
        <w:jc w:val="left"/>
      </w:pPr>
      <w:r>
        <w:rPr/>
        <w:t>汇率风险</w:t>
      </w:r>
    </w:p>
    <w:p>
      <w:pPr>
        <w:spacing w:line="240" w:lineRule="auto" w:before="3"/>
        <w:rPr>
          <w:rFonts w:ascii="宋体" w:hAnsi="宋体" w:cs="宋体" w:eastAsia="宋体" w:hint="default"/>
          <w:sz w:val="16"/>
          <w:szCs w:val="16"/>
        </w:rPr>
      </w:pPr>
    </w:p>
    <w:p>
      <w:pPr>
        <w:pStyle w:val="BodyText"/>
        <w:spacing w:line="240" w:lineRule="auto"/>
        <w:ind w:left="538" w:right="117"/>
        <w:jc w:val="left"/>
      </w:pPr>
      <w:r>
        <w:rPr>
          <w:spacing w:val="-2"/>
        </w:rPr>
        <w:t>汇率风险，是指金融工具的公允价值或未来现金流量因外汇汇率变动而发生波动的风险。汇率风</w:t>
      </w:r>
      <w:r>
        <w:rPr>
          <w:spacing w:val="-25"/>
        </w:rPr>
        <w:t> </w:t>
      </w:r>
      <w:r>
        <w:rPr>
          <w:spacing w:val="-25"/>
        </w:rPr>
      </w:r>
      <w:r>
        <w:rPr/>
        <w:t>险可源于以记账本位币之外的外币进行计价的金融工具。</w:t>
      </w:r>
    </w:p>
    <w:p>
      <w:pPr>
        <w:spacing w:line="240" w:lineRule="auto" w:before="3"/>
        <w:rPr>
          <w:rFonts w:ascii="宋体" w:hAnsi="宋体" w:cs="宋体" w:eastAsia="宋体" w:hint="default"/>
          <w:sz w:val="16"/>
          <w:szCs w:val="16"/>
        </w:rPr>
      </w:pPr>
    </w:p>
    <w:p>
      <w:pPr>
        <w:pStyle w:val="BodyText"/>
        <w:spacing w:line="240" w:lineRule="auto"/>
        <w:ind w:left="538" w:right="117"/>
        <w:jc w:val="left"/>
      </w:pPr>
      <w:r>
        <w:rPr>
          <w:spacing w:val="-2"/>
        </w:rPr>
        <w:t>本公司的主要经营位于中国境内，主要业务以人民币结算。因此，本公司所承担的外汇变动市场</w:t>
      </w:r>
      <w:r>
        <w:rPr>
          <w:spacing w:val="-25"/>
        </w:rPr>
        <w:t> </w:t>
      </w:r>
      <w:r>
        <w:rPr>
          <w:spacing w:val="-25"/>
        </w:rPr>
      </w:r>
      <w:r>
        <w:rPr/>
        <w:t>风险不重大。本公司期末外币金融资产列示见本附注项目注释其他之外币货币性项目说明。</w:t>
      </w:r>
    </w:p>
    <w:p>
      <w:pPr>
        <w:spacing w:line="240" w:lineRule="auto" w:before="3"/>
        <w:rPr>
          <w:rFonts w:ascii="宋体" w:hAnsi="宋体" w:cs="宋体" w:eastAsia="宋体" w:hint="default"/>
          <w:sz w:val="16"/>
          <w:szCs w:val="16"/>
        </w:rPr>
      </w:pPr>
    </w:p>
    <w:p>
      <w:pPr>
        <w:pStyle w:val="BodyText"/>
        <w:spacing w:line="240" w:lineRule="auto"/>
        <w:ind w:left="118" w:right="3891"/>
        <w:jc w:val="left"/>
      </w:pPr>
      <w:r>
        <w:rPr>
          <w:rFonts w:ascii="宋体" w:hAnsi="宋体" w:cs="宋体" w:eastAsia="宋体" w:hint="default"/>
        </w:rPr>
        <w:t>2</w:t>
      </w:r>
      <w:r>
        <w:rPr/>
        <w:t>、资本管理</w:t>
      </w:r>
    </w:p>
    <w:p>
      <w:pPr>
        <w:spacing w:line="240" w:lineRule="auto" w:before="7"/>
        <w:rPr>
          <w:rFonts w:ascii="宋体" w:hAnsi="宋体" w:cs="宋体" w:eastAsia="宋体" w:hint="default"/>
          <w:sz w:val="18"/>
          <w:szCs w:val="18"/>
        </w:rPr>
      </w:pPr>
    </w:p>
    <w:p>
      <w:pPr>
        <w:pStyle w:val="BodyText"/>
        <w:spacing w:line="272" w:lineRule="exact"/>
        <w:ind w:left="538" w:right="117"/>
        <w:jc w:val="left"/>
      </w:pPr>
      <w:r>
        <w:rPr>
          <w:spacing w:val="-2"/>
        </w:rPr>
        <w:t>本公司资本管理政策的目标是为了保障本公司能够持续经营，从而为股东提供回报，并使其他利</w:t>
      </w:r>
      <w:r>
        <w:rPr>
          <w:spacing w:val="-25"/>
        </w:rPr>
        <w:t> </w:t>
      </w:r>
      <w:r>
        <w:rPr>
          <w:spacing w:val="-25"/>
        </w:rPr>
      </w:r>
      <w:r>
        <w:rPr/>
        <w:t>益相关者获益，同时维持最佳的资本结构以降低资本成本。</w:t>
      </w:r>
    </w:p>
    <w:p>
      <w:pPr>
        <w:spacing w:line="240" w:lineRule="auto" w:before="8"/>
        <w:rPr>
          <w:rFonts w:ascii="宋体" w:hAnsi="宋体" w:cs="宋体" w:eastAsia="宋体" w:hint="default"/>
          <w:sz w:val="16"/>
          <w:szCs w:val="16"/>
        </w:rPr>
      </w:pPr>
    </w:p>
    <w:p>
      <w:pPr>
        <w:pStyle w:val="BodyText"/>
        <w:spacing w:line="272" w:lineRule="exact"/>
        <w:ind w:left="538" w:right="117"/>
        <w:jc w:val="left"/>
      </w:pPr>
      <w:r>
        <w:rPr>
          <w:spacing w:val="-2"/>
        </w:rPr>
        <w:t>为了维持或调整资本结构，本公司可能会调整支付给股东的股利金额、向股东返还资本、发行新</w:t>
      </w:r>
      <w:r>
        <w:rPr>
          <w:spacing w:val="-25"/>
        </w:rPr>
        <w:t> </w:t>
      </w:r>
      <w:r>
        <w:rPr>
          <w:spacing w:val="-25"/>
        </w:rPr>
      </w:r>
      <w:r>
        <w:rPr/>
        <w:t>股或出售资产以减低债务。</w:t>
      </w:r>
    </w:p>
    <w:p>
      <w:pPr>
        <w:spacing w:line="240" w:lineRule="auto" w:before="8"/>
        <w:rPr>
          <w:rFonts w:ascii="宋体" w:hAnsi="宋体" w:cs="宋体" w:eastAsia="宋体" w:hint="default"/>
          <w:sz w:val="16"/>
          <w:szCs w:val="16"/>
        </w:rPr>
      </w:pPr>
    </w:p>
    <w:p>
      <w:pPr>
        <w:pStyle w:val="BodyText"/>
        <w:spacing w:line="272" w:lineRule="exact"/>
        <w:ind w:left="538" w:right="291"/>
        <w:jc w:val="left"/>
      </w:pPr>
      <w:r>
        <w:rPr/>
        <w:t>本公司以资产负债率（即总负债除以总资产）为基础对资本结构进行监控。于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t>日，本公司的资产负债率为</w:t>
      </w:r>
      <w:r>
        <w:rPr>
          <w:spacing w:val="-53"/>
        </w:rPr>
        <w:t> </w:t>
      </w:r>
      <w:r>
        <w:rPr>
          <w:rFonts w:ascii="宋体" w:hAnsi="宋体" w:cs="宋体" w:eastAsia="宋体" w:hint="default"/>
        </w:rPr>
        <w:t>40.07%</w:t>
      </w:r>
      <w:r>
        <w:rPr/>
        <w:t>（</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27.55%</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5"/>
        <w:tabs>
          <w:tab w:pos="1377" w:val="left" w:leader="none"/>
        </w:tabs>
        <w:spacing w:line="240" w:lineRule="auto"/>
        <w:ind w:left="538" w:right="3891"/>
        <w:jc w:val="left"/>
        <w:rPr>
          <w:b w:val="0"/>
          <w:bCs w:val="0"/>
        </w:rPr>
      </w:pPr>
      <w:r>
        <w:rPr/>
        <w:t>十一、</w:t>
        <w:tab/>
        <w:t>公允价值的披露</w:t>
      </w:r>
      <w:r>
        <w:rPr>
          <w:b w:val="0"/>
          <w:bCs w:val="0"/>
        </w:rPr>
      </w:r>
    </w:p>
    <w:p>
      <w:pPr>
        <w:pStyle w:val="Heading5"/>
        <w:spacing w:line="240" w:lineRule="auto" w:before="58"/>
        <w:ind w:left="538" w:right="3891"/>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380" w:val="left" w:leader="none"/>
        </w:tabs>
        <w:spacing w:line="240" w:lineRule="auto" w:before="56"/>
        <w:ind w:left="538" w:right="3891"/>
        <w:jc w:val="left"/>
      </w:pPr>
      <w:r>
        <w:rPr>
          <w:spacing w:val="-1"/>
        </w:rPr>
        <w:t>□适用</w:t>
        <w:tab/>
      </w:r>
      <w:r>
        <w:rPr>
          <w:spacing w:val="-2"/>
        </w:rPr>
        <w:t>√不适用</w:t>
      </w:r>
    </w:p>
    <w:p>
      <w:pPr>
        <w:pStyle w:val="Heading5"/>
        <w:spacing w:line="240" w:lineRule="auto" w:before="58"/>
        <w:ind w:left="538" w:right="11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380" w:val="left" w:leader="none"/>
        </w:tabs>
        <w:spacing w:line="240" w:lineRule="auto" w:before="56"/>
        <w:ind w:left="538" w:right="389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538" w:right="11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380" w:val="left" w:leader="none"/>
        </w:tabs>
        <w:spacing w:line="240" w:lineRule="auto" w:before="58"/>
        <w:ind w:left="538" w:right="389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538" w:right="11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380" w:val="left" w:leader="none"/>
        </w:tabs>
        <w:spacing w:line="240" w:lineRule="auto" w:before="56"/>
        <w:ind w:left="538" w:right="389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9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380" w:val="left" w:leader="none"/>
        </w:tabs>
        <w:spacing w:line="240" w:lineRule="auto" w:before="56"/>
        <w:ind w:left="538" w:right="389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96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380" w:val="left" w:leader="none"/>
        </w:tabs>
        <w:spacing w:line="240" w:lineRule="auto" w:before="56"/>
        <w:ind w:left="538" w:right="3891"/>
        <w:jc w:val="left"/>
      </w:pPr>
      <w:r>
        <w:rPr>
          <w:spacing w:val="-1"/>
        </w:rPr>
        <w:t>□适用</w:t>
        <w:tab/>
      </w:r>
      <w:r>
        <w:rPr>
          <w:spacing w:val="-2"/>
        </w:rPr>
        <w:t>√不适用</w:t>
      </w:r>
    </w:p>
    <w:p>
      <w:pPr>
        <w:spacing w:after="0" w:line="240" w:lineRule="auto"/>
        <w:jc w:val="left"/>
        <w:sectPr>
          <w:pgSz w:w="11910" w:h="16840"/>
          <w:pgMar w:header="0" w:footer="1195" w:top="1080" w:bottom="1380" w:left="1260" w:right="1140"/>
        </w:sectPr>
      </w:pPr>
    </w:p>
    <w:p>
      <w:pPr>
        <w:spacing w:line="240" w:lineRule="auto" w:before="6"/>
        <w:rPr>
          <w:rFonts w:ascii="宋体" w:hAnsi="宋体" w:cs="宋体" w:eastAsia="宋体" w:hint="default"/>
          <w:sz w:val="28"/>
          <w:szCs w:val="28"/>
        </w:rPr>
      </w:pPr>
    </w:p>
    <w:p>
      <w:pPr>
        <w:pStyle w:val="Heading5"/>
        <w:spacing w:line="240" w:lineRule="auto" w:before="36"/>
        <w:ind w:right="2549"/>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580" w:right="1040"/>
        </w:sectPr>
      </w:pPr>
    </w:p>
    <w:p>
      <w:pPr>
        <w:pStyle w:val="Heading5"/>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5"/>
        <w:tabs>
          <w:tab w:pos="1057" w:val="left" w:leader="none"/>
        </w:tabs>
        <w:spacing w:line="290" w:lineRule="auto" w:before="5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3"/>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w:t>
            </w:r>
          </w:p>
          <w:p>
            <w:pPr>
              <w:pStyle w:val="TableParagraph"/>
              <w:spacing w:line="272" w:lineRule="exact" w:before="27"/>
              <w:ind w:left="103" w:right="218"/>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新能源实业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5,000.00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57.75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57.75</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left="218" w:right="2549"/>
        <w:jc w:val="left"/>
      </w:pPr>
      <w:r>
        <w:rPr/>
        <w:t>本企业的母公司情况的说明</w:t>
      </w:r>
    </w:p>
    <w:p>
      <w:pPr>
        <w:pStyle w:val="BodyText"/>
        <w:spacing w:line="240" w:lineRule="auto"/>
        <w:ind w:left="218" w:right="227"/>
        <w:jc w:val="left"/>
      </w:pPr>
      <w:r>
        <w:rPr/>
        <w:t>徐新建持有太阳雨控股集团有限公司</w:t>
      </w:r>
      <w:r>
        <w:rPr>
          <w:spacing w:val="-25"/>
        </w:rPr>
        <w:t> </w:t>
      </w:r>
      <w:r>
        <w:rPr>
          <w:rFonts w:ascii="宋体" w:hAnsi="宋体" w:cs="宋体" w:eastAsia="宋体" w:hint="default"/>
          <w:spacing w:val="-3"/>
        </w:rPr>
        <w:t>90.80%</w:t>
      </w:r>
      <w:r>
        <w:rPr>
          <w:spacing w:val="-3"/>
        </w:rPr>
        <w:t>股权，为本公司的实际控制人。报告期内母公司注册</w:t>
      </w:r>
      <w:r>
        <w:rPr>
          <w:spacing w:val="-95"/>
        </w:rPr>
        <w:t> </w:t>
      </w:r>
      <w:r>
        <w:rPr>
          <w:spacing w:val="-95"/>
        </w:rPr>
      </w:r>
      <w:r>
        <w:rPr/>
        <w:t>资本未发生变化。</w:t>
      </w:r>
    </w:p>
    <w:p>
      <w:pPr>
        <w:pStyle w:val="BodyText"/>
        <w:spacing w:line="274" w:lineRule="exact" w:before="22"/>
        <w:ind w:left="218" w:right="6219"/>
        <w:jc w:val="left"/>
      </w:pPr>
      <w:r>
        <w:rPr>
          <w:spacing w:val="-2"/>
        </w:rPr>
        <w:t>本企业最终控制方是徐新建</w:t>
      </w:r>
      <w:r>
        <w:rPr>
          <w:spacing w:val="-82"/>
        </w:rPr>
        <w:t> </w:t>
      </w:r>
      <w:r>
        <w:rPr>
          <w:spacing w:val="-82"/>
        </w:rPr>
      </w:r>
      <w:r>
        <w:rPr/>
        <w:t>其他说明：</w:t>
      </w:r>
    </w:p>
    <w:p>
      <w:pPr>
        <w:pStyle w:val="BodyText"/>
        <w:spacing w:line="246" w:lineRule="exact"/>
        <w:ind w:left="218" w:right="2549"/>
        <w:jc w:val="left"/>
      </w:pPr>
      <w:r>
        <w:rPr>
          <w:w w:val="100"/>
        </w:rPr>
        <w:t>无</w:t>
      </w:r>
    </w:p>
    <w:p>
      <w:pPr>
        <w:spacing w:line="290" w:lineRule="auto" w:before="58"/>
        <w:ind w:left="218" w:right="62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30" w:lineRule="exact"/>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spacing w:line="290" w:lineRule="auto" w:before="0"/>
        <w:ind w:left="218" w:right="287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left="218" w:right="2549"/>
        <w:jc w:val="left"/>
      </w:pPr>
      <w:r>
        <w:rPr/>
        <w:t>□适用</w:t>
      </w:r>
      <w:r>
        <w:rPr>
          <w:spacing w:val="-1"/>
        </w:rPr>
        <w:t> </w:t>
      </w:r>
      <w:r>
        <w:rPr/>
        <w:t>√不适用</w:t>
      </w:r>
    </w:p>
    <w:p>
      <w:pPr>
        <w:pStyle w:val="BodyText"/>
        <w:spacing w:line="240" w:lineRule="auto"/>
        <w:ind w:left="218"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1" w:lineRule="exact"/>
        <w:ind w:left="218" w:right="254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深圳市鹏桑普太阳能股份有限公司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本公司持股</w:t>
            </w:r>
            <w:r>
              <w:rPr>
                <w:rFonts w:ascii="宋体" w:hAnsi="宋体" w:cs="宋体" w:eastAsia="宋体" w:hint="default"/>
                <w:spacing w:val="-51"/>
                <w:sz w:val="21"/>
                <w:szCs w:val="21"/>
              </w:rPr>
              <w:t> </w:t>
            </w:r>
            <w:r>
              <w:rPr>
                <w:rFonts w:ascii="宋体" w:hAnsi="宋体" w:cs="宋体" w:eastAsia="宋体" w:hint="default"/>
                <w:sz w:val="21"/>
                <w:szCs w:val="21"/>
              </w:rPr>
              <w:t>30%</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西藏鸥美家卫浴用品有限公司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本公司持股</w:t>
            </w:r>
            <w:r>
              <w:rPr>
                <w:rFonts w:ascii="宋体" w:hAnsi="宋体" w:cs="宋体" w:eastAsia="宋体" w:hint="default"/>
                <w:spacing w:val="-51"/>
                <w:sz w:val="21"/>
                <w:szCs w:val="21"/>
              </w:rPr>
              <w:t> </w:t>
            </w:r>
            <w:r>
              <w:rPr>
                <w:rFonts w:ascii="宋体" w:hAnsi="宋体" w:cs="宋体" w:eastAsia="宋体" w:hint="default"/>
                <w:sz w:val="21"/>
                <w:szCs w:val="21"/>
              </w:rPr>
              <w:t>45%</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普罗米司（上海）健康科技有限公司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本公司原持股</w:t>
            </w:r>
            <w:r>
              <w:rPr>
                <w:rFonts w:ascii="宋体" w:hAnsi="宋体" w:cs="宋体" w:eastAsia="宋体" w:hint="default"/>
                <w:spacing w:val="-52"/>
                <w:sz w:val="21"/>
                <w:szCs w:val="21"/>
              </w:rPr>
              <w:t> </w:t>
            </w:r>
            <w:r>
              <w:rPr>
                <w:rFonts w:ascii="宋体" w:hAnsi="宋体" w:cs="宋体" w:eastAsia="宋体" w:hint="default"/>
                <w:sz w:val="21"/>
                <w:szCs w:val="21"/>
              </w:rPr>
              <w:t>49%</w:t>
            </w: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月份退出</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深圳自由生活科技有限公司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本公司持股</w:t>
            </w:r>
            <w:r>
              <w:rPr>
                <w:rFonts w:ascii="宋体" w:hAnsi="宋体" w:cs="宋体" w:eastAsia="宋体" w:hint="default"/>
                <w:spacing w:val="-51"/>
                <w:sz w:val="21"/>
                <w:szCs w:val="21"/>
              </w:rPr>
              <w:t> </w:t>
            </w:r>
            <w:r>
              <w:rPr>
                <w:rFonts w:ascii="宋体" w:hAnsi="宋体" w:cs="宋体" w:eastAsia="宋体" w:hint="default"/>
                <w:sz w:val="21"/>
                <w:szCs w:val="21"/>
              </w:rPr>
              <w:t>27%</w:t>
            </w:r>
          </w:p>
        </w:tc>
      </w:tr>
    </w:tbl>
    <w:p>
      <w:pPr>
        <w:spacing w:line="240" w:lineRule="auto" w:before="5"/>
        <w:rPr>
          <w:rFonts w:ascii="宋体" w:hAnsi="宋体" w:cs="宋体" w:eastAsia="宋体" w:hint="default"/>
          <w:sz w:val="15"/>
          <w:szCs w:val="15"/>
        </w:rPr>
      </w:pPr>
    </w:p>
    <w:p>
      <w:pPr>
        <w:pStyle w:val="BodyText"/>
        <w:spacing w:line="274" w:lineRule="exact" w:before="36"/>
        <w:ind w:left="218" w:right="2549"/>
        <w:jc w:val="left"/>
      </w:pPr>
      <w:r>
        <w:rPr/>
        <w:t>其他说明</w:t>
      </w:r>
    </w:p>
    <w:p>
      <w:pPr>
        <w:pStyle w:val="BodyText"/>
        <w:spacing w:line="274" w:lineRule="exact"/>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2549"/>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实际控制人亲属控制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连云港市金荷纸业包装有限公司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实际控制人亲属控制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连云港仲米贸易有限公司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实际控制人亲属控制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江苏赫尔斯镀膜技术有限公司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实际控制人亲属控制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太阳雨新能源科技（上海）有限公司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受同一实际控制人控制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深圳果食帮科技有限公司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受同一实际控制人控制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深圳市苏商会投资有限公司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实际控制人参股公司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关键管理人员</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其他说明</w:t>
      </w:r>
    </w:p>
    <w:p>
      <w:pPr>
        <w:pStyle w:val="BodyText"/>
        <w:spacing w:line="240" w:lineRule="auto"/>
        <w:ind w:left="218" w:right="0"/>
        <w:jc w:val="left"/>
      </w:pPr>
      <w:r>
        <w:rPr/>
        <w:t>太阳雨控股集团有限公司对深圳市苏商会投资有限公司持股比例为</w:t>
      </w:r>
      <w:r>
        <w:rPr>
          <w:spacing w:val="-40"/>
        </w:rPr>
        <w:t> </w:t>
      </w:r>
      <w:r>
        <w:rPr>
          <w:rFonts w:ascii="宋体" w:hAnsi="宋体" w:cs="宋体" w:eastAsia="宋体" w:hint="default"/>
          <w:spacing w:val="-4"/>
        </w:rPr>
        <w:t>11.00%</w:t>
      </w:r>
      <w:r>
        <w:rPr>
          <w:spacing w:val="-4"/>
        </w:rPr>
        <w:t>，徐新建担任公司监事，</w:t>
      </w:r>
      <w:r>
        <w:rPr>
          <w:spacing w:val="-100"/>
        </w:rPr>
        <w:t> </w:t>
      </w:r>
      <w:r>
        <w:rPr>
          <w:spacing w:val="-100"/>
        </w:rPr>
      </w:r>
      <w:r>
        <w:rPr/>
        <w:t>不对其有重大影响。</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1"/>
          <w:pgSz w:w="11910" w:h="16840"/>
          <w:pgMar w:footer="1195" w:header="0" w:top="1080" w:bottom="1380" w:left="1580" w:right="960"/>
        </w:sectPr>
      </w:pPr>
    </w:p>
    <w:p>
      <w:pPr>
        <w:pStyle w:val="Heading5"/>
        <w:spacing w:line="240" w:lineRule="auto" w:before="36"/>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960"/>
          <w:cols w:num="2" w:equalWidth="0">
            <w:col w:w="4421" w:space="1889"/>
            <w:col w:w="3060"/>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连云港兴和泡沫制品有限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464.80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262.10</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连云港市金荷纸业包装有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0.35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0.65</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西藏鸥美家卫浴用品有限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380.95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1,601.10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623.32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960"/>
        </w:sectPr>
      </w:pPr>
    </w:p>
    <w:p>
      <w:pPr>
        <w:pStyle w:val="BodyText"/>
        <w:spacing w:line="273" w:lineRule="exact" w:before="36"/>
        <w:ind w:left="21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2636" w:space="3886"/>
            <w:col w:w="284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普罗米司（上海）健康科</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0.62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江苏赫尔斯镀膜技术有限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天然气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22.77</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0"/>
        <w:jc w:val="left"/>
      </w:pPr>
      <w:r>
        <w:rPr/>
        <w:t>购销商品、提供和接受劳务的关联交易说明</w:t>
      </w:r>
    </w:p>
    <w:p>
      <w:pPr>
        <w:pStyle w:val="BodyText"/>
        <w:spacing w:line="274" w:lineRule="exact"/>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1" w:lineRule="auto" w:before="0"/>
        <w:ind w:left="218" w:right="471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72" w:lineRule="exact"/>
        <w:ind w:left="218" w:right="5412"/>
        <w:jc w:val="left"/>
      </w:pPr>
      <w:r>
        <w:rPr/>
        <w:t>□适用</w:t>
      </w:r>
      <w:r>
        <w:rPr>
          <w:spacing w:val="-2"/>
        </w:rPr>
        <w:t> </w:t>
      </w:r>
      <w:r>
        <w:rPr/>
        <w:t>√不适用</w:t>
      </w:r>
      <w:r>
        <w:rPr>
          <w:w w:val="100"/>
        </w:rPr>
        <w:t> </w:t>
      </w:r>
      <w:r>
        <w:rPr>
          <w:spacing w:val="-2"/>
        </w:rPr>
        <w:t>关联托管</w:t>
      </w:r>
      <w:r>
        <w:rPr>
          <w:rFonts w:ascii="宋体" w:hAnsi="宋体" w:cs="宋体" w:eastAsia="宋体" w:hint="default"/>
          <w:spacing w:val="-2"/>
        </w:rPr>
        <w:t>/</w:t>
      </w:r>
      <w:r>
        <w:rPr>
          <w:spacing w:val="-2"/>
        </w:rPr>
        <w:t>承包情况说明</w:t>
      </w:r>
    </w:p>
    <w:p>
      <w:pPr>
        <w:spacing w:after="0" w:line="272" w:lineRule="exact"/>
        <w:jc w:val="left"/>
        <w:sectPr>
          <w:type w:val="continuous"/>
          <w:pgSz w:w="11910" w:h="16840"/>
          <w:pgMar w:top="1120" w:bottom="1380" w:left="1580" w:right="960"/>
        </w:sectPr>
      </w:pPr>
    </w:p>
    <w:p>
      <w:pPr>
        <w:spacing w:line="240" w:lineRule="auto" w:before="6"/>
        <w:rPr>
          <w:rFonts w:ascii="宋体" w:hAnsi="宋体" w:cs="宋体" w:eastAsia="宋体" w:hint="default"/>
          <w:sz w:val="28"/>
          <w:szCs w:val="28"/>
        </w:rPr>
      </w:pPr>
    </w:p>
    <w:p>
      <w:pPr>
        <w:pStyle w:val="BodyText"/>
        <w:spacing w:line="240" w:lineRule="auto" w:before="36"/>
        <w:ind w:left="218" w:right="254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2549"/>
        <w:jc w:val="left"/>
      </w:pPr>
      <w:r>
        <w:rPr/>
        <w:t>本公司委托管理</w:t>
      </w:r>
      <w:r>
        <w:rPr>
          <w:rFonts w:ascii="宋体" w:hAnsi="宋体" w:cs="宋体" w:eastAsia="宋体" w:hint="default"/>
        </w:rPr>
        <w:t>/</w:t>
      </w:r>
      <w:r>
        <w:rPr/>
        <w:t>出包情况表：</w:t>
      </w:r>
    </w:p>
    <w:p>
      <w:pPr>
        <w:pStyle w:val="BodyText"/>
        <w:spacing w:line="272" w:lineRule="exact" w:before="27"/>
        <w:ind w:left="218" w:right="6219"/>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left="218" w:right="25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2"/>
          <w:pgSz w:w="11910" w:h="16840"/>
          <w:pgMar w:footer="1195" w:header="0" w:top="1080" w:bottom="1380" w:left="1580" w:right="1040"/>
          <w:pgNumType w:start="161"/>
        </w:sectPr>
      </w:pPr>
    </w:p>
    <w:p>
      <w:pPr>
        <w:spacing w:line="290" w:lineRule="auto" w:before="36"/>
        <w:ind w:left="21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9" w:lineRule="exact"/>
        <w:ind w:left="21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349"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135,135.14</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444,444.44</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2549"/>
        <w:jc w:val="left"/>
      </w:pPr>
      <w:r>
        <w:rPr/>
        <w:t>本公司作为承租方：</w:t>
      </w:r>
    </w:p>
    <w:p>
      <w:pPr>
        <w:pStyle w:val="BodyText"/>
        <w:spacing w:line="272" w:lineRule="exact" w:before="26"/>
        <w:ind w:left="218" w:right="6219"/>
        <w:jc w:val="left"/>
      </w:pPr>
      <w:r>
        <w:rPr/>
        <w:t>□适用</w:t>
      </w:r>
      <w:r>
        <w:rPr>
          <w:spacing w:val="-2"/>
        </w:rPr>
        <w:t> </w:t>
      </w:r>
      <w:r>
        <w:rPr/>
        <w:t>√不适用</w:t>
      </w:r>
      <w:r>
        <w:rPr>
          <w:w w:val="100"/>
        </w:rPr>
        <w:t> </w:t>
      </w:r>
      <w:r>
        <w:rPr>
          <w:spacing w:val="-2"/>
        </w:rPr>
        <w:t>关联租赁情况说明</w:t>
      </w:r>
    </w:p>
    <w:p>
      <w:pPr>
        <w:pStyle w:val="BodyText"/>
        <w:spacing w:line="249" w:lineRule="exact"/>
        <w:ind w:left="218" w:right="25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spacing w:line="290" w:lineRule="auto" w:before="36"/>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9" w:lineRule="exact"/>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03" w:space="441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浙江帅康电气股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浙江帅康电气股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123,200,000.00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left="218" w:right="-8"/>
        <w:jc w:val="left"/>
      </w:pPr>
      <w:r>
        <w:rPr>
          <w:spacing w:val="-1"/>
        </w:rPr>
        <w:t>本公司作为被担保方</w:t>
      </w:r>
    </w:p>
    <w:p>
      <w:pPr>
        <w:pStyle w:val="BodyText"/>
        <w:spacing w:line="273" w:lineRule="exact"/>
        <w:ind w:left="21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center"/>
              <w:rPr>
                <w:rFonts w:ascii="宋体" w:hAnsi="宋体" w:cs="宋体" w:eastAsia="宋体" w:hint="default"/>
                <w:sz w:val="21"/>
                <w:szCs w:val="21"/>
              </w:rPr>
            </w:pPr>
            <w:r>
              <w:rPr>
                <w:rFonts w:ascii="宋体"/>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7"/>
        <w:rPr>
          <w:rFonts w:ascii="宋体" w:hAnsi="宋体" w:cs="宋体" w:eastAsia="宋体" w:hint="default"/>
          <w:sz w:val="15"/>
          <w:szCs w:val="15"/>
        </w:rPr>
      </w:pPr>
    </w:p>
    <w:p>
      <w:pPr>
        <w:pStyle w:val="BodyText"/>
        <w:spacing w:line="273" w:lineRule="exact" w:before="36"/>
        <w:ind w:left="218" w:right="2549"/>
        <w:jc w:val="left"/>
      </w:pPr>
      <w:r>
        <w:rPr/>
        <w:t>关联担保情况说明</w:t>
      </w:r>
    </w:p>
    <w:p>
      <w:pPr>
        <w:pStyle w:val="BodyText"/>
        <w:spacing w:line="273" w:lineRule="exact"/>
        <w:ind w:left="218" w:right="2549"/>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5"/>
        <w:spacing w:line="240" w:lineRule="auto" w:before="36"/>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连云港仲米贸易有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不超过三年，双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方协商可续期</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580" w:right="1040"/>
        </w:sectPr>
      </w:pPr>
    </w:p>
    <w:p>
      <w:pPr>
        <w:pStyle w:val="Heading5"/>
        <w:spacing w:line="240" w:lineRule="auto" w:before="36"/>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left="218" w:right="-18"/>
        <w:jc w:val="left"/>
      </w:pPr>
      <w:r>
        <w:rPr/>
        <w:t>□适用</w:t>
      </w:r>
      <w:r>
        <w:rPr>
          <w:spacing w:val="-1"/>
        </w:rPr>
        <w:t> </w:t>
      </w:r>
      <w:r>
        <w:rPr/>
        <w:t>√不适用</w:t>
      </w:r>
    </w:p>
    <w:p>
      <w:pPr>
        <w:pStyle w:val="Heading5"/>
        <w:spacing w:line="240" w:lineRule="auto" w:before="56"/>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78" w:val="left" w:leader="none"/>
        </w:tabs>
        <w:spacing w:line="240" w:lineRule="auto"/>
        <w:ind w:left="218"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87" w:space="2523"/>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828.39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768.65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right="0"/>
        <w:jc w:val="both"/>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72" w:lineRule="exact" w:before="86"/>
        <w:ind w:left="218" w:right="7172"/>
        <w:jc w:val="left"/>
      </w:pPr>
      <w:r>
        <w:rPr>
          <w:spacing w:val="-1"/>
        </w:rPr>
        <w:t>√适用</w:t>
        <w:tab/>
      </w:r>
      <w:r>
        <w:rPr>
          <w:spacing w:val="-2"/>
        </w:rPr>
        <w:t>□不适用</w:t>
      </w:r>
      <w:r>
        <w:rPr>
          <w:spacing w:val="-99"/>
        </w:rPr>
        <w:t> </w:t>
      </w:r>
      <w:r>
        <w:rPr>
          <w:spacing w:val="-99"/>
        </w:rPr>
      </w:r>
      <w:r>
        <w:rPr>
          <w:spacing w:val="-1"/>
        </w:rPr>
        <w:t>关联方资金拆借说明</w:t>
      </w:r>
    </w:p>
    <w:p>
      <w:pPr>
        <w:pStyle w:val="BodyText"/>
        <w:spacing w:line="247" w:lineRule="exact"/>
        <w:ind w:left="218" w:right="0"/>
        <w:jc w:val="both"/>
      </w:pPr>
      <w:r>
        <w:rPr/>
        <w:t>说明</w:t>
      </w:r>
      <w:r>
        <w:rPr>
          <w:spacing w:val="-43"/>
        </w:rPr>
        <w:t> </w:t>
      </w:r>
      <w:r>
        <w:rPr>
          <w:rFonts w:ascii="宋体" w:hAnsi="宋体" w:cs="宋体" w:eastAsia="宋体" w:hint="default"/>
          <w:spacing w:val="-7"/>
        </w:rPr>
        <w:t>1</w:t>
      </w:r>
      <w:r>
        <w:rPr>
          <w:spacing w:val="-7"/>
        </w:rPr>
        <w:t>：</w:t>
      </w:r>
      <w:r>
        <w:rPr>
          <w:rFonts w:ascii="宋体" w:hAnsi="宋体" w:cs="宋体" w:eastAsia="宋体" w:hint="default"/>
          <w:spacing w:val="-7"/>
        </w:rPr>
        <w:t>2017</w:t>
      </w:r>
      <w:r>
        <w:rPr>
          <w:rFonts w:ascii="宋体" w:hAnsi="宋体" w:cs="宋体" w:eastAsia="宋体" w:hint="default"/>
          <w:spacing w:val="-43"/>
        </w:rPr>
        <w:t> </w:t>
      </w:r>
      <w:r>
        <w:rPr/>
        <w:t>年</w:t>
      </w:r>
      <w:r>
        <w:rPr>
          <w:spacing w:val="-46"/>
        </w:rPr>
        <w:t> </w:t>
      </w:r>
      <w:r>
        <w:rPr>
          <w:rFonts w:ascii="宋体" w:hAnsi="宋体" w:cs="宋体" w:eastAsia="宋体" w:hint="default"/>
        </w:rPr>
        <w:t>1</w:t>
      </w:r>
      <w:r>
        <w:rPr>
          <w:rFonts w:ascii="宋体" w:hAnsi="宋体" w:cs="宋体" w:eastAsia="宋体" w:hint="default"/>
          <w:spacing w:val="-43"/>
        </w:rPr>
        <w:t> </w:t>
      </w:r>
      <w:r>
        <w:rPr/>
        <w:t>月</w:t>
      </w:r>
      <w:r>
        <w:rPr>
          <w:spacing w:val="-46"/>
        </w:rPr>
        <w:t> </w:t>
      </w:r>
      <w:r>
        <w:rPr>
          <w:rFonts w:ascii="宋体" w:hAnsi="宋体" w:cs="宋体" w:eastAsia="宋体" w:hint="default"/>
        </w:rPr>
        <w:t>23</w:t>
      </w:r>
      <w:r>
        <w:rPr>
          <w:rFonts w:ascii="宋体" w:hAnsi="宋体" w:cs="宋体" w:eastAsia="宋体" w:hint="default"/>
          <w:spacing w:val="-42"/>
        </w:rPr>
        <w:t> </w:t>
      </w:r>
      <w:r>
        <w:rPr>
          <w:spacing w:val="-4"/>
        </w:rPr>
        <w:t>日，本公司向连云港仲米贸易有限公司借款</w:t>
      </w:r>
      <w:r>
        <w:rPr>
          <w:spacing w:val="-43"/>
        </w:rPr>
        <w:t> </w:t>
      </w:r>
      <w:r>
        <w:rPr>
          <w:rFonts w:ascii="宋体" w:hAnsi="宋体" w:cs="宋体" w:eastAsia="宋体" w:hint="default"/>
        </w:rPr>
        <w:t>1</w:t>
      </w:r>
      <w:r>
        <w:rPr>
          <w:rFonts w:ascii="宋体" w:hAnsi="宋体" w:cs="宋体" w:eastAsia="宋体" w:hint="default"/>
          <w:spacing w:val="-43"/>
        </w:rPr>
        <w:t> </w:t>
      </w:r>
      <w:r>
        <w:rPr>
          <w:spacing w:val="-5"/>
        </w:rPr>
        <w:t>亿元用于临时资金周转，年</w:t>
      </w:r>
    </w:p>
    <w:p>
      <w:pPr>
        <w:pStyle w:val="BodyText"/>
        <w:spacing w:line="272" w:lineRule="exact"/>
        <w:ind w:left="218" w:right="0"/>
        <w:jc w:val="both"/>
      </w:pPr>
      <w:r>
        <w:rPr/>
        <w:t>利率</w:t>
      </w:r>
      <w:r>
        <w:rPr>
          <w:spacing w:val="-53"/>
        </w:rPr>
        <w:t> </w:t>
      </w:r>
      <w:r>
        <w:rPr>
          <w:rFonts w:ascii="宋体" w:hAnsi="宋体" w:cs="宋体" w:eastAsia="宋体" w:hint="default"/>
        </w:rPr>
        <w:t>5%</w:t>
      </w:r>
      <w:r>
        <w:rPr/>
        <w:t>，已于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日归还本金</w:t>
      </w:r>
      <w:r>
        <w:rPr>
          <w:spacing w:val="-53"/>
        </w:rPr>
        <w:t> </w:t>
      </w:r>
      <w:r>
        <w:rPr>
          <w:rFonts w:ascii="宋体" w:hAnsi="宋体" w:cs="宋体" w:eastAsia="宋体" w:hint="default"/>
        </w:rPr>
        <w:t>1</w:t>
      </w:r>
      <w:r>
        <w:rPr>
          <w:rFonts w:ascii="宋体" w:hAnsi="宋体" w:cs="宋体" w:eastAsia="宋体" w:hint="default"/>
          <w:spacing w:val="-55"/>
        </w:rPr>
        <w:t> </w:t>
      </w:r>
      <w:r>
        <w:rPr/>
        <w:t>亿元及利息</w:t>
      </w:r>
      <w:r>
        <w:rPr>
          <w:spacing w:val="-52"/>
        </w:rPr>
        <w:t> </w:t>
      </w:r>
      <w:r>
        <w:rPr>
          <w:rFonts w:ascii="宋体" w:hAnsi="宋体" w:cs="宋体" w:eastAsia="宋体" w:hint="default"/>
        </w:rPr>
        <w:t>41.67</w:t>
      </w:r>
      <w:r>
        <w:rPr>
          <w:rFonts w:ascii="宋体" w:hAnsi="宋体" w:cs="宋体" w:eastAsia="宋体" w:hint="default"/>
          <w:spacing w:val="-55"/>
        </w:rPr>
        <w:t> </w:t>
      </w:r>
      <w:r>
        <w:rPr/>
        <w:t>万元。</w:t>
      </w:r>
    </w:p>
    <w:p>
      <w:pPr>
        <w:pStyle w:val="BodyText"/>
        <w:spacing w:line="237" w:lineRule="auto" w:before="2"/>
        <w:ind w:left="218" w:right="237"/>
        <w:jc w:val="both"/>
      </w:pPr>
      <w:r>
        <w:rPr/>
        <w:t>说明</w:t>
      </w:r>
      <w:r>
        <w:rPr>
          <w:spacing w:val="-54"/>
        </w:rPr>
        <w:t> </w:t>
      </w:r>
      <w:r>
        <w:rPr>
          <w:rFonts w:ascii="宋体" w:hAnsi="宋体" w:cs="宋体" w:eastAsia="宋体" w:hint="default"/>
        </w:rPr>
        <w:t>2</w:t>
      </w: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日召开的</w:t>
      </w:r>
      <w:r>
        <w:rPr>
          <w:spacing w:val="-54"/>
        </w:rPr>
        <w:t> </w:t>
      </w:r>
      <w:r>
        <w:rPr>
          <w:rFonts w:ascii="宋体" w:hAnsi="宋体" w:cs="宋体" w:eastAsia="宋体" w:hint="default"/>
        </w:rPr>
        <w:t>2017</w:t>
      </w:r>
      <w:r>
        <w:rPr>
          <w:rFonts w:ascii="宋体" w:hAnsi="宋体" w:cs="宋体" w:eastAsia="宋体" w:hint="default"/>
          <w:spacing w:val="-56"/>
        </w:rPr>
        <w:t> </w:t>
      </w:r>
      <w:r>
        <w:rPr/>
        <w:t>年第三次临时股东大会审议通过《关于控股股</w:t>
      </w:r>
      <w:r>
        <w:rPr>
          <w:w w:val="100"/>
        </w:rPr>
        <w:t> </w:t>
      </w:r>
      <w:r>
        <w:rPr>
          <w:spacing w:val="-2"/>
        </w:rPr>
        <w:t>东向公司提供财务资助的议案》，议案内容如下：公司控股股东太阳雨控股拟向公司提供总额不</w:t>
      </w:r>
      <w:r>
        <w:rPr>
          <w:spacing w:val="-25"/>
        </w:rPr>
        <w:t> </w:t>
      </w:r>
      <w:r>
        <w:rPr>
          <w:spacing w:val="-25"/>
        </w:rPr>
      </w:r>
      <w:r>
        <w:rPr/>
        <w:t>超过人民币</w:t>
      </w:r>
      <w:r>
        <w:rPr>
          <w:spacing w:val="-55"/>
        </w:rPr>
        <w:t> </w:t>
      </w:r>
      <w:r>
        <w:rPr>
          <w:rFonts w:ascii="宋体" w:hAnsi="宋体" w:cs="宋体" w:eastAsia="宋体" w:hint="default"/>
        </w:rPr>
        <w:t>5</w:t>
      </w:r>
      <w:r>
        <w:rPr>
          <w:rFonts w:ascii="宋体" w:hAnsi="宋体" w:cs="宋体" w:eastAsia="宋体" w:hint="default"/>
          <w:spacing w:val="-55"/>
        </w:rPr>
        <w:t> </w:t>
      </w:r>
      <w:r>
        <w:rPr/>
        <w:t>亿元的无息财务资助，由公司根据资金使用计划在借款额度内申请借款。上述借款</w:t>
      </w:r>
      <w:r>
        <w:rPr>
          <w:w w:val="100"/>
        </w:rPr>
        <w:t> </w:t>
      </w:r>
      <w:r>
        <w:rPr>
          <w:spacing w:val="-2"/>
        </w:rPr>
        <w:t>期限不超过三年，经双方协商可续期。该借款主要用于公司及子公司开展业务、补充流动资金归</w:t>
      </w:r>
      <w:r>
        <w:rPr>
          <w:spacing w:val="-25"/>
        </w:rPr>
        <w:t> </w:t>
      </w:r>
      <w:r>
        <w:rPr>
          <w:spacing w:val="-25"/>
        </w:rPr>
      </w:r>
      <w:r>
        <w:rPr>
          <w:spacing w:val="-2"/>
        </w:rPr>
        <w:t>还银行贷款或其他太阳雨控股认可的用途。本次财务资助控股股东无需公司及下属子公司提供任</w:t>
      </w:r>
      <w:r>
        <w:rPr>
          <w:spacing w:val="-25"/>
        </w:rPr>
        <w:t> </w:t>
      </w:r>
      <w:r>
        <w:rPr>
          <w:spacing w:val="-25"/>
        </w:rPr>
      </w:r>
      <w:r>
        <w:rPr/>
        <w:t>何抵押或担保。</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5"/>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4"/>
        <w:ind w:left="2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深圳市鹏桑普</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太阳能股份有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连云港市金荷</w:t>
            </w:r>
          </w:p>
          <w:p>
            <w:pPr>
              <w:pStyle w:val="TableParagraph"/>
              <w:spacing w:line="240" w:lineRule="auto"/>
              <w:ind w:left="23" w:right="65"/>
              <w:jc w:val="left"/>
              <w:rPr>
                <w:rFonts w:ascii="宋体" w:hAnsi="宋体" w:cs="宋体" w:eastAsia="宋体" w:hint="default"/>
                <w:sz w:val="21"/>
                <w:szCs w:val="21"/>
              </w:rPr>
            </w:pPr>
            <w:r>
              <w:rPr>
                <w:rFonts w:ascii="宋体" w:hAnsi="宋体" w:cs="宋体" w:eastAsia="宋体" w:hint="default"/>
                <w:sz w:val="21"/>
                <w:szCs w:val="21"/>
              </w:rPr>
              <w:t>纸业包装有限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山东汇商工谷</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园区开发建设</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115,000.00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普罗米司（上</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海）健康科技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1,173,890.00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267,389.00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普罗米司（上</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海）健康科技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7,293.59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729.36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深圳果食帮科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83,246.00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72,613.71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sz w:val="21"/>
              </w:rPr>
              <w:t>7,261.37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99,760.84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9,976.08</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58,819.83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17,645.95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660" w:right="1120"/>
        </w:sectPr>
      </w:pPr>
    </w:p>
    <w:p>
      <w:pPr>
        <w:pStyle w:val="Heading5"/>
        <w:spacing w:line="240" w:lineRule="auto" w:before="36"/>
        <w:ind w:left="1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80" w:val="left" w:leader="none"/>
        </w:tabs>
        <w:spacing w:line="240" w:lineRule="auto" w:before="56"/>
        <w:ind w:left="1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821" w:space="4912"/>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连云港兴和泡沫制品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1,031,097.21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648,736.80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连云港兴和泡沫制品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连云港市金荷纸业包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装有限公司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深圳市鹏桑普太阳能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西藏鸥美家卫浴用品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1,115,018.41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5,703,630.79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西藏鸥美家卫浴用品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深圳果食帮科技有限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134,658.85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江苏赫尔斯镀膜技术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6,184,224.63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2,231,601.20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太阳雨新能源科技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太阳雨控股集团有限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3,780,000.00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138" w:right="0"/>
        <w:jc w:val="both"/>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7"/>
        <w:ind w:left="138" w:right="5412"/>
        <w:jc w:val="left"/>
      </w:pPr>
      <w:r>
        <w:rPr>
          <w:spacing w:val="-1"/>
        </w:rPr>
        <w:t>√适用</w:t>
        <w:tab/>
      </w:r>
      <w:r>
        <w:rPr>
          <w:spacing w:val="-2"/>
        </w:rPr>
        <w:t>□不适用</w:t>
      </w:r>
      <w:r>
        <w:rPr>
          <w:spacing w:val="-99"/>
        </w:rPr>
        <w:t> </w:t>
      </w:r>
      <w:r>
        <w:rPr>
          <w:spacing w:val="-99"/>
        </w:rPr>
      </w:r>
      <w:r>
        <w:rPr>
          <w:spacing w:val="-2"/>
        </w:rPr>
        <w:t>其他关联交易—控股股东业绩承诺事项</w:t>
      </w:r>
    </w:p>
    <w:p>
      <w:pPr>
        <w:pStyle w:val="BodyText"/>
        <w:spacing w:line="237" w:lineRule="auto"/>
        <w:ind w:left="138" w:right="150" w:firstLine="422"/>
        <w:jc w:val="both"/>
      </w:pP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2</w:t>
      </w:r>
      <w:r>
        <w:rPr>
          <w:rFonts w:ascii="宋体" w:hAnsi="宋体" w:cs="宋体" w:eastAsia="宋体" w:hint="default"/>
          <w:spacing w:val="-48"/>
        </w:rPr>
        <w:t> </w:t>
      </w:r>
      <w:r>
        <w:rPr/>
        <w:t>月</w:t>
      </w:r>
      <w:r>
        <w:rPr>
          <w:spacing w:val="-45"/>
        </w:rPr>
        <w:t> </w:t>
      </w:r>
      <w:r>
        <w:rPr>
          <w:rFonts w:ascii="宋体" w:hAnsi="宋体" w:cs="宋体" w:eastAsia="宋体" w:hint="default"/>
        </w:rPr>
        <w:t>17</w:t>
      </w:r>
      <w:r>
        <w:rPr>
          <w:rFonts w:ascii="宋体" w:hAnsi="宋体" w:cs="宋体" w:eastAsia="宋体" w:hint="default"/>
          <w:spacing w:val="-48"/>
        </w:rPr>
        <w:t> </w:t>
      </w:r>
      <w:r>
        <w:rPr>
          <w:spacing w:val="-4"/>
        </w:rPr>
        <w:t>日，本公司与帅康集团签署《股份转让协议》，本公司以现金</w:t>
      </w:r>
      <w:r>
        <w:rPr>
          <w:spacing w:val="-44"/>
        </w:rPr>
        <w:t> </w:t>
      </w:r>
      <w:r>
        <w:rPr>
          <w:rFonts w:ascii="宋体" w:hAnsi="宋体" w:cs="宋体" w:eastAsia="宋体" w:hint="default"/>
        </w:rPr>
        <w:t>7.35</w:t>
      </w:r>
      <w:r>
        <w:rPr>
          <w:rFonts w:ascii="宋体" w:hAnsi="宋体" w:cs="宋体" w:eastAsia="宋体" w:hint="default"/>
          <w:spacing w:val="-45"/>
        </w:rPr>
        <w:t> </w:t>
      </w:r>
      <w:r>
        <w:rPr/>
        <w:t>亿元收购</w:t>
      </w:r>
      <w:r>
        <w:rPr>
          <w:w w:val="100"/>
        </w:rPr>
        <w:t> </w:t>
      </w:r>
      <w:r>
        <w:rPr/>
        <w:t>帅康电气</w:t>
      </w:r>
      <w:r>
        <w:rPr>
          <w:spacing w:val="-55"/>
        </w:rPr>
        <w:t> </w:t>
      </w:r>
      <w:r>
        <w:rPr>
          <w:rFonts w:ascii="宋体" w:hAnsi="宋体" w:cs="宋体" w:eastAsia="宋体" w:hint="default"/>
        </w:rPr>
        <w:t>75%</w:t>
      </w:r>
      <w:r>
        <w:rPr/>
        <w:t>的股份。根据股权转让协议之补充协议约定，帅康集团与太阳雨控股承诺，帅康电</w:t>
      </w:r>
      <w:r>
        <w:rPr>
          <w:w w:val="100"/>
        </w:rPr>
        <w:t> </w:t>
      </w:r>
      <w:r>
        <w:rPr/>
        <w:t>气在</w:t>
      </w:r>
      <w:r>
        <w:rPr>
          <w:spacing w:val="-54"/>
        </w:rPr>
        <w:t> </w:t>
      </w:r>
      <w:r>
        <w:rPr>
          <w:rFonts w:ascii="宋体" w:hAnsi="宋体" w:cs="宋体" w:eastAsia="宋体" w:hint="default"/>
        </w:rPr>
        <w:t>2016-2020</w:t>
      </w:r>
      <w:r>
        <w:rPr>
          <w:rFonts w:ascii="宋体" w:hAnsi="宋体" w:cs="宋体" w:eastAsia="宋体" w:hint="default"/>
          <w:spacing w:val="-56"/>
        </w:rPr>
        <w:t> </w:t>
      </w:r>
      <w:r>
        <w:rPr/>
        <w:t>年的利润补偿期内经会计师事务所审计后的累计净利润（剔除关联方资金占用导</w:t>
      </w:r>
    </w:p>
    <w:p>
      <w:pPr>
        <w:pStyle w:val="BodyText"/>
        <w:spacing w:line="237" w:lineRule="auto" w:before="1"/>
        <w:ind w:left="138" w:right="147"/>
        <w:jc w:val="both"/>
      </w:pPr>
      <w:r>
        <w:rPr/>
        <w:t>致非经营性负债而产生的相关财务费用）不低于</w:t>
      </w:r>
      <w:r>
        <w:rPr>
          <w:spacing w:val="-56"/>
        </w:rPr>
        <w:t> </w:t>
      </w:r>
      <w:r>
        <w:rPr>
          <w:rFonts w:ascii="宋体" w:hAnsi="宋体" w:cs="宋体" w:eastAsia="宋体" w:hint="default"/>
        </w:rPr>
        <w:t>51,106.34</w:t>
      </w:r>
      <w:r>
        <w:rPr>
          <w:rFonts w:ascii="宋体" w:hAnsi="宋体" w:cs="宋体" w:eastAsia="宋体" w:hint="default"/>
          <w:spacing w:val="-56"/>
        </w:rPr>
        <w:t> </w:t>
      </w:r>
      <w:r>
        <w:rPr/>
        <w:t>万元，如利润补偿期届满时经审计的</w:t>
      </w:r>
      <w:r>
        <w:rPr>
          <w:w w:val="100"/>
        </w:rPr>
        <w:t> </w:t>
      </w:r>
      <w:r>
        <w:rPr>
          <w:spacing w:val="-2"/>
        </w:rPr>
        <w:t>帅康电气累积实际净利润不足承诺净利润数的，则由帅康集团与太阳雨控股按照</w:t>
      </w:r>
      <w:r>
        <w:rPr/>
        <w:t> </w:t>
      </w:r>
      <w:r>
        <w:rPr>
          <w:rFonts w:ascii="宋体" w:hAnsi="宋体" w:cs="宋体" w:eastAsia="宋体" w:hint="default"/>
          <w:spacing w:val="-4"/>
        </w:rPr>
        <w:t>10%</w:t>
      </w:r>
      <w:r>
        <w:rPr>
          <w:spacing w:val="-4"/>
        </w:rPr>
        <w:t>：</w:t>
      </w:r>
      <w:r>
        <w:rPr>
          <w:rFonts w:ascii="宋体" w:hAnsi="宋体" w:cs="宋体" w:eastAsia="宋体" w:hint="default"/>
          <w:spacing w:val="-4"/>
        </w:rPr>
        <w:t>90%</w:t>
      </w:r>
      <w:r>
        <w:rPr>
          <w:spacing w:val="-4"/>
        </w:rPr>
        <w:t>的比例</w:t>
      </w:r>
      <w:r>
        <w:rPr>
          <w:spacing w:val="-96"/>
        </w:rPr>
        <w:t> </w:t>
      </w:r>
      <w:r>
        <w:rPr>
          <w:spacing w:val="-96"/>
        </w:rPr>
      </w:r>
      <w:r>
        <w:rPr/>
        <w:t>向本公司进行利润补偿。</w:t>
      </w:r>
    </w:p>
    <w:p>
      <w:pPr>
        <w:spacing w:line="240" w:lineRule="auto" w:before="3"/>
        <w:rPr>
          <w:rFonts w:ascii="宋体" w:hAnsi="宋体" w:cs="宋体" w:eastAsia="宋体" w:hint="default"/>
          <w:sz w:val="25"/>
          <w:szCs w:val="25"/>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6"/>
        <w:ind w:left="138" w:right="0"/>
        <w:jc w:val="both"/>
      </w:pPr>
      <w:r>
        <w:rPr/>
        <w:t>□适用</w:t>
      </w:r>
      <w:r>
        <w:rPr>
          <w:spacing w:val="104"/>
        </w:rPr>
        <w:t> </w:t>
      </w:r>
      <w:r>
        <w:rPr/>
        <w:t>√不适用</w:t>
      </w:r>
    </w:p>
    <w:p>
      <w:pPr>
        <w:spacing w:after="0" w:line="240" w:lineRule="auto"/>
        <w:jc w:val="both"/>
        <w:sectPr>
          <w:type w:val="continuous"/>
          <w:pgSz w:w="11910" w:h="16840"/>
          <w:pgMar w:top="1120" w:bottom="1380" w:left="1660" w:right="1120"/>
        </w:sectPr>
      </w:pPr>
    </w:p>
    <w:p>
      <w:pPr>
        <w:spacing w:line="240" w:lineRule="auto" w:before="6"/>
        <w:rPr>
          <w:rFonts w:ascii="宋体" w:hAnsi="宋体" w:cs="宋体" w:eastAsia="宋体" w:hint="default"/>
          <w:sz w:val="28"/>
          <w:szCs w:val="28"/>
        </w:rPr>
      </w:pPr>
    </w:p>
    <w:p>
      <w:pPr>
        <w:pStyle w:val="Heading5"/>
        <w:tabs>
          <w:tab w:pos="1057" w:val="left" w:leader="none"/>
        </w:tabs>
        <w:spacing w:line="240" w:lineRule="auto" w:before="36"/>
        <w:ind w:right="2549"/>
        <w:jc w:val="left"/>
        <w:rPr>
          <w:b w:val="0"/>
          <w:bCs w:val="0"/>
        </w:rPr>
      </w:pPr>
      <w:r>
        <w:rPr/>
        <w:t>十三、</w:t>
        <w:tab/>
        <w:t>股份支付</w:t>
      </w:r>
      <w:r>
        <w:rPr>
          <w:b w:val="0"/>
          <w:bCs w:val="0"/>
        </w:rPr>
      </w:r>
    </w:p>
    <w:p>
      <w:pPr>
        <w:pStyle w:val="Heading5"/>
        <w:spacing w:line="240" w:lineRule="auto" w:before="58"/>
        <w:ind w:right="2549"/>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18" w:right="254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580" w:right="1040"/>
        </w:sectPr>
      </w:pPr>
    </w:p>
    <w:p>
      <w:pPr>
        <w:pStyle w:val="Heading5"/>
        <w:spacing w:line="240" w:lineRule="auto" w:before="36"/>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子公司账面经审计的净资产额</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股权激励协议</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1,411,290.65</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18"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5"/>
        <w:spacing w:line="240" w:lineRule="auto"/>
        <w:ind w:right="2549"/>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18" w:right="254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4</w:t>
      </w:r>
      <w:r>
        <w:rPr/>
        <w:t>、 股份支付的修改、终止情况</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4"/>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5"/>
        <w:spacing w:line="240" w:lineRule="auto" w:before="56"/>
        <w:ind w:right="2549"/>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060" w:val="left" w:leader="none"/>
        </w:tabs>
        <w:spacing w:line="240" w:lineRule="auto" w:before="59"/>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060" w:val="left" w:leader="none"/>
        </w:tabs>
        <w:spacing w:line="240" w:lineRule="auto" w:before="56"/>
        <w:ind w:left="218" w:right="2549"/>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5"/>
        <w:spacing w:line="240" w:lineRule="auto"/>
        <w:ind w:right="2549"/>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tabs>
          <w:tab w:pos="1057" w:val="left" w:leader="none"/>
        </w:tabs>
        <w:spacing w:line="240" w:lineRule="auto"/>
        <w:ind w:right="2549"/>
        <w:jc w:val="left"/>
        <w:rPr>
          <w:b w:val="0"/>
          <w:bCs w:val="0"/>
        </w:rPr>
      </w:pPr>
      <w:r>
        <w:rPr/>
        <w:t>十五、</w:t>
        <w:tab/>
        <w:t>资产负债表日后事项</w:t>
      </w:r>
      <w:r>
        <w:rPr>
          <w:b w:val="0"/>
          <w:bCs w:val="0"/>
        </w:rPr>
      </w:r>
    </w:p>
    <w:p>
      <w:pPr>
        <w:pStyle w:val="Heading5"/>
        <w:spacing w:line="240" w:lineRule="auto" w:before="56"/>
        <w:ind w:right="2549"/>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2549"/>
        <w:jc w:val="left"/>
      </w:pPr>
      <w:r>
        <w:rPr/>
        <w:t>□适用</w:t>
      </w:r>
      <w:r>
        <w:rPr>
          <w:spacing w:val="-1"/>
        </w:rPr>
        <w:t> </w:t>
      </w:r>
      <w:r>
        <w:rPr/>
        <w:t>√不适用</w:t>
      </w:r>
    </w:p>
    <w:p>
      <w:pPr>
        <w:pStyle w:val="Heading5"/>
        <w:spacing w:line="240" w:lineRule="auto" w:before="56"/>
        <w:ind w:right="254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2549"/>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6"/>
        <w:rPr>
          <w:rFonts w:ascii="宋体" w:hAnsi="宋体" w:cs="宋体" w:eastAsia="宋体" w:hint="default"/>
          <w:sz w:val="28"/>
          <w:szCs w:val="28"/>
        </w:rPr>
      </w:pPr>
    </w:p>
    <w:p>
      <w:pPr>
        <w:pStyle w:val="BodyText"/>
        <w:tabs>
          <w:tab w:pos="1262" w:val="left" w:leader="none"/>
        </w:tabs>
        <w:spacing w:line="240" w:lineRule="auto" w:before="3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3,200.00</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5"/>
        <w:spacing w:line="240" w:lineRule="auto" w:before="36"/>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left="218" w:right="0"/>
        <w:jc w:val="both"/>
      </w:pPr>
      <w:r>
        <w:rPr/>
        <w:t>√适用</w:t>
      </w:r>
      <w:r>
        <w:rPr>
          <w:spacing w:val="104"/>
        </w:rPr>
        <w:t> </w:t>
      </w:r>
      <w:r>
        <w:rPr/>
        <w:t>□不适用</w:t>
      </w:r>
    </w:p>
    <w:p>
      <w:pPr>
        <w:pStyle w:val="BodyText"/>
        <w:spacing w:line="237" w:lineRule="auto"/>
        <w:ind w:left="218" w:right="227"/>
        <w:jc w:val="both"/>
        <w:rPr>
          <w:rFonts w:ascii="宋体" w:hAnsi="宋体" w:cs="宋体" w:eastAsia="宋体" w:hint="default"/>
        </w:rPr>
      </w:pPr>
      <w:r>
        <w:rPr/>
        <w:t>本公司于</w:t>
      </w:r>
      <w:r>
        <w:rPr>
          <w:spacing w:val="-48"/>
        </w:rPr>
        <w:t> </w:t>
      </w: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6"/>
        </w:rPr>
        <w:t> </w:t>
      </w:r>
      <w:r>
        <w:rPr>
          <w:rFonts w:ascii="宋体" w:hAnsi="宋体" w:cs="宋体" w:eastAsia="宋体" w:hint="default"/>
        </w:rPr>
        <w:t>12</w:t>
      </w:r>
      <w:r>
        <w:rPr>
          <w:rFonts w:ascii="宋体" w:hAnsi="宋体" w:cs="宋体" w:eastAsia="宋体" w:hint="default"/>
          <w:spacing w:val="-50"/>
        </w:rPr>
        <w:t> </w:t>
      </w:r>
      <w:r>
        <w:rPr>
          <w:spacing w:val="-7"/>
        </w:rPr>
        <w:t>日与帅康集团签署了《股权转让协议》，拟通过使用募集资金</w:t>
      </w:r>
      <w:r>
        <w:rPr>
          <w:spacing w:val="-46"/>
        </w:rPr>
        <w:t> </w:t>
      </w:r>
      <w:r>
        <w:rPr>
          <w:rFonts w:ascii="宋体" w:hAnsi="宋体" w:cs="宋体" w:eastAsia="宋体" w:hint="default"/>
        </w:rPr>
        <w:t>16,200.00</w:t>
      </w:r>
      <w:r>
        <w:rPr>
          <w:rFonts w:ascii="宋体" w:hAnsi="宋体" w:cs="宋体" w:eastAsia="宋体" w:hint="default"/>
          <w:spacing w:val="-103"/>
        </w:rPr>
        <w:t> </w:t>
      </w:r>
      <w:r>
        <w:rPr>
          <w:rFonts w:ascii="宋体" w:hAnsi="宋体" w:cs="宋体" w:eastAsia="宋体" w:hint="default"/>
          <w:spacing w:val="-103"/>
        </w:rPr>
      </w:r>
      <w:r>
        <w:rPr/>
        <w:t>万元收购帅康电气</w:t>
      </w:r>
      <w:r>
        <w:rPr>
          <w:spacing w:val="-34"/>
        </w:rPr>
        <w:t> </w:t>
      </w:r>
      <w:r>
        <w:rPr>
          <w:rFonts w:ascii="宋体" w:hAnsi="宋体" w:cs="宋体" w:eastAsia="宋体" w:hint="default"/>
          <w:spacing w:val="-4"/>
        </w:rPr>
        <w:t>15%</w:t>
      </w:r>
      <w:r>
        <w:rPr>
          <w:spacing w:val="-4"/>
        </w:rPr>
        <w:t>的股权。本次收购完成后，本公司将持有帅康电气</w:t>
      </w:r>
      <w:r>
        <w:rPr>
          <w:spacing w:val="-34"/>
        </w:rPr>
        <w:t> </w:t>
      </w:r>
      <w:r>
        <w:rPr>
          <w:rFonts w:ascii="宋体" w:hAnsi="宋体" w:cs="宋体" w:eastAsia="宋体" w:hint="default"/>
          <w:spacing w:val="-4"/>
        </w:rPr>
        <w:t>90%</w:t>
      </w:r>
      <w:r>
        <w:rPr>
          <w:spacing w:val="-4"/>
        </w:rPr>
        <w:t>股份，帅康电气仍为</w:t>
      </w:r>
      <w:r>
        <w:rPr>
          <w:spacing w:val="-97"/>
        </w:rPr>
        <w:t> </w:t>
      </w:r>
      <w:r>
        <w:rPr>
          <w:spacing w:val="-97"/>
        </w:rPr>
      </w:r>
      <w:r>
        <w:rPr>
          <w:spacing w:val="-3"/>
        </w:rPr>
        <w:t>上市公司控股子公司，纳入本公司合并报表范围。本次收购于</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29</w:t>
      </w:r>
      <w:r>
        <w:rPr>
          <w:rFonts w:ascii="宋体" w:hAnsi="宋体" w:cs="宋体" w:eastAsia="宋体" w:hint="default"/>
          <w:spacing w:val="-47"/>
        </w:rPr>
        <w:t> </w:t>
      </w:r>
      <w:r>
        <w:rPr/>
        <w:t>日获得本公司</w:t>
      </w:r>
      <w:r>
        <w:rPr>
          <w:spacing w:val="-50"/>
        </w:rPr>
        <w:t> </w:t>
      </w:r>
      <w:r>
        <w:rPr>
          <w:rFonts w:ascii="宋体" w:hAnsi="宋体" w:cs="宋体" w:eastAsia="宋体" w:hint="default"/>
        </w:rPr>
        <w:t>2018</w:t>
      </w:r>
    </w:p>
    <w:p>
      <w:pPr>
        <w:pStyle w:val="BodyText"/>
        <w:spacing w:line="272" w:lineRule="exact"/>
        <w:ind w:left="218" w:right="0"/>
        <w:jc w:val="both"/>
      </w:pPr>
      <w:r>
        <w:rPr/>
        <w:t>年第一次临时股东大会决议批准通过。帅康电气已于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日进行工商变更。本公司已</w:t>
      </w:r>
    </w:p>
    <w:p>
      <w:pPr>
        <w:pStyle w:val="BodyText"/>
        <w:spacing w:line="240" w:lineRule="auto"/>
        <w:ind w:left="218" w:right="227"/>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日支付股权收购款</w:t>
      </w:r>
      <w:r>
        <w:rPr>
          <w:spacing w:val="-52"/>
        </w:rPr>
        <w:t> </w:t>
      </w:r>
      <w:r>
        <w:rPr>
          <w:rFonts w:ascii="宋体" w:hAnsi="宋体" w:cs="宋体" w:eastAsia="宋体" w:hint="default"/>
        </w:rPr>
        <w:t>6,200,000.00</w:t>
      </w:r>
      <w:r>
        <w:rPr>
          <w:rFonts w:ascii="宋体" w:hAnsi="宋体" w:cs="宋体" w:eastAsia="宋体" w:hint="default"/>
          <w:spacing w:val="-55"/>
        </w:rPr>
        <w:t> </w:t>
      </w:r>
      <w:r>
        <w:rPr/>
        <w:t>元。截止</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日，上述股权收购事</w:t>
      </w:r>
      <w:r>
        <w:rPr>
          <w:w w:val="100"/>
        </w:rPr>
        <w:t> </w:t>
      </w:r>
      <w:r>
        <w:rPr/>
        <w:t>项已完成。</w:t>
      </w:r>
    </w:p>
    <w:p>
      <w:pPr>
        <w:spacing w:line="240" w:lineRule="auto" w:before="3"/>
        <w:rPr>
          <w:rFonts w:ascii="宋体" w:hAnsi="宋体" w:cs="宋体" w:eastAsia="宋体" w:hint="default"/>
          <w:sz w:val="25"/>
          <w:szCs w:val="25"/>
        </w:rPr>
      </w:pPr>
    </w:p>
    <w:p>
      <w:pPr>
        <w:pStyle w:val="Heading5"/>
        <w:spacing w:line="290" w:lineRule="auto"/>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218" w:right="73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4"/>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5"/>
        <w:spacing w:line="240" w:lineRule="auto" w:before="56"/>
        <w:ind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5"/>
        <w:ind w:left="218" w:right="0"/>
        <w:jc w:val="both"/>
      </w:pPr>
      <w:r>
        <w:rPr/>
        <w:t>□适用</w:t>
      </w:r>
      <w:r>
        <w:rPr>
          <w:spacing w:val="104"/>
        </w:rPr>
        <w:t> </w:t>
      </w:r>
      <w:r>
        <w:rPr/>
        <w:t>√不适用</w:t>
      </w:r>
    </w:p>
    <w:p>
      <w:pPr>
        <w:spacing w:line="240" w:lineRule="auto" w:before="12"/>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8"/>
        <w:ind w:left="2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5"/>
        <w:spacing w:line="240" w:lineRule="auto" w:before="58"/>
        <w:ind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tabs>
          <w:tab w:pos="1060" w:val="left" w:leader="none"/>
        </w:tabs>
        <w:spacing w:line="237" w:lineRule="auto" w:before="59"/>
        <w:ind w:left="218" w:right="228"/>
        <w:jc w:val="left"/>
      </w:pPr>
      <w:r>
        <w:rPr>
          <w:spacing w:val="-1"/>
        </w:rPr>
        <w:t>√适用</w:t>
        <w:tab/>
      </w:r>
      <w:r>
        <w:rPr>
          <w:spacing w:val="-2"/>
        </w:rPr>
        <w:t>□不适用</w:t>
      </w:r>
      <w:r>
        <w:rPr>
          <w:spacing w:val="-99"/>
        </w:rPr>
        <w:t> </w:t>
      </w:r>
      <w:r>
        <w:rPr>
          <w:spacing w:val="-99"/>
        </w:rPr>
      </w:r>
      <w:r>
        <w:rPr>
          <w:spacing w:val="-6"/>
          <w:w w:val="100"/>
        </w:rPr>
        <w:t>根据本公司的内部组织结构、管理要求及内部报告制度，本公司的经营业务划分为三个报告分部。</w:t>
      </w:r>
      <w:r>
        <w:rPr>
          <w:spacing w:val="-104"/>
          <w:w w:val="100"/>
        </w:rPr>
        <w:t> </w:t>
      </w:r>
      <w:r>
        <w:rPr>
          <w:spacing w:val="-104"/>
          <w:w w:val="100"/>
        </w:rPr>
      </w:r>
      <w:r>
        <w:rPr>
          <w:spacing w:val="-2"/>
        </w:rPr>
        <w:t>这些报告分部是以公司日常内部管理要求的财务信息为基础确定的。公司的管理层定期评价这些</w:t>
      </w:r>
      <w:r>
        <w:rPr>
          <w:spacing w:val="-25"/>
        </w:rPr>
        <w:t> </w:t>
      </w:r>
      <w:r>
        <w:rPr>
          <w:spacing w:val="-25"/>
        </w:rPr>
      </w:r>
      <w:r>
        <w:rPr/>
        <w:t>报告分部的经营成果，以决定向其分配资源及评价其业绩。</w:t>
      </w:r>
    </w:p>
    <w:p>
      <w:pPr>
        <w:spacing w:after="0" w:line="237" w:lineRule="auto"/>
        <w:jc w:val="left"/>
        <w:sectPr>
          <w:pgSz w:w="11910" w:h="16840"/>
          <w:pgMar w:header="0" w:footer="1195" w:top="1080" w:bottom="1380" w:left="1580" w:right="1040"/>
        </w:sectPr>
      </w:pPr>
    </w:p>
    <w:p>
      <w:pPr>
        <w:spacing w:line="240" w:lineRule="auto" w:before="6"/>
        <w:rPr>
          <w:rFonts w:ascii="宋体" w:hAnsi="宋体" w:cs="宋体" w:eastAsia="宋体" w:hint="default"/>
          <w:sz w:val="28"/>
          <w:szCs w:val="28"/>
        </w:rPr>
      </w:pPr>
    </w:p>
    <w:p>
      <w:pPr>
        <w:pStyle w:val="BodyText"/>
        <w:spacing w:line="274" w:lineRule="exact" w:before="36"/>
        <w:ind w:left="538" w:right="237"/>
        <w:jc w:val="left"/>
      </w:pPr>
      <w:r>
        <w:rPr/>
        <w:t>本公司报告分部包括：</w:t>
      </w:r>
    </w:p>
    <w:p>
      <w:pPr>
        <w:pStyle w:val="BodyText"/>
        <w:spacing w:line="272" w:lineRule="exact"/>
        <w:ind w:left="538" w:right="237"/>
        <w:jc w:val="left"/>
      </w:pPr>
      <w:r>
        <w:rPr/>
        <w:t>（</w:t>
      </w:r>
      <w:r>
        <w:rPr>
          <w:rFonts w:ascii="宋体" w:hAnsi="宋体" w:cs="宋体" w:eastAsia="宋体" w:hint="default"/>
        </w:rPr>
        <w:t>1</w:t>
      </w:r>
      <w:r>
        <w:rPr/>
        <w:t>）太阳能热水器分部，生产及销售太阳能热水器产品；</w:t>
      </w:r>
    </w:p>
    <w:p>
      <w:pPr>
        <w:pStyle w:val="BodyText"/>
        <w:spacing w:line="272" w:lineRule="exact"/>
        <w:ind w:left="538" w:right="237"/>
        <w:jc w:val="left"/>
      </w:pPr>
      <w:r>
        <w:rPr/>
        <w:t>（</w:t>
      </w:r>
      <w:r>
        <w:rPr>
          <w:rFonts w:ascii="宋体" w:hAnsi="宋体" w:cs="宋体" w:eastAsia="宋体" w:hint="default"/>
        </w:rPr>
        <w:t>2</w:t>
      </w:r>
      <w:r>
        <w:rPr/>
        <w:t>）空气能分部，生产及销售空气能产品；</w:t>
      </w:r>
    </w:p>
    <w:p>
      <w:pPr>
        <w:pStyle w:val="BodyText"/>
        <w:spacing w:line="272" w:lineRule="exact"/>
        <w:ind w:left="538" w:right="237"/>
        <w:jc w:val="left"/>
      </w:pPr>
      <w:r>
        <w:rPr/>
        <w:t>（</w:t>
      </w:r>
      <w:r>
        <w:rPr>
          <w:rFonts w:ascii="宋体" w:hAnsi="宋体" w:cs="宋体" w:eastAsia="宋体" w:hint="default"/>
        </w:rPr>
        <w:t>3</w:t>
      </w:r>
      <w:r>
        <w:rPr/>
        <w:t>）净水机分部，生产及销售净水机产品；</w:t>
      </w:r>
    </w:p>
    <w:p>
      <w:pPr>
        <w:pStyle w:val="BodyText"/>
        <w:spacing w:line="272" w:lineRule="exact"/>
        <w:ind w:left="538" w:right="237"/>
        <w:jc w:val="left"/>
      </w:pPr>
      <w:r>
        <w:rPr/>
        <w:t>（</w:t>
      </w:r>
      <w:r>
        <w:rPr>
          <w:rFonts w:ascii="宋体" w:hAnsi="宋体" w:cs="宋体" w:eastAsia="宋体" w:hint="default"/>
        </w:rPr>
        <w:t>4</w:t>
      </w:r>
      <w:r>
        <w:rPr/>
        <w:t>）光伏分部，生产及销售光伏产品；</w:t>
      </w:r>
    </w:p>
    <w:p>
      <w:pPr>
        <w:pStyle w:val="BodyText"/>
        <w:spacing w:line="272" w:lineRule="exact"/>
        <w:ind w:left="538" w:right="237"/>
        <w:jc w:val="left"/>
      </w:pPr>
      <w:r>
        <w:rPr/>
        <w:t>（</w:t>
      </w:r>
      <w:r>
        <w:rPr>
          <w:rFonts w:ascii="宋体" w:hAnsi="宋体" w:cs="宋体" w:eastAsia="宋体" w:hint="default"/>
        </w:rPr>
        <w:t>5</w:t>
      </w:r>
      <w:r>
        <w:rPr/>
        <w:t>）厨电分部，生产及销售厨电产品；</w:t>
      </w:r>
    </w:p>
    <w:p>
      <w:pPr>
        <w:pStyle w:val="BodyText"/>
        <w:spacing w:line="237" w:lineRule="auto"/>
        <w:ind w:left="538" w:right="237"/>
        <w:jc w:val="left"/>
      </w:pPr>
      <w:r>
        <w:rPr/>
        <w:t>（</w:t>
      </w:r>
      <w:r>
        <w:rPr>
          <w:rFonts w:ascii="宋体" w:hAnsi="宋体" w:cs="宋体" w:eastAsia="宋体" w:hint="default"/>
        </w:rPr>
        <w:t>6</w:t>
      </w:r>
      <w:r>
        <w:rPr/>
        <w:t>）电热水器分部，生产及销售电热水器产品。</w:t>
      </w:r>
      <w:r>
        <w:rPr>
          <w:w w:val="100"/>
        </w:rPr>
        <w:t> </w:t>
      </w:r>
      <w:r>
        <w:rPr>
          <w:spacing w:val="-2"/>
        </w:rPr>
        <w:t>分部报告信息根据各分部向管理层报告时采用的会计政策及计量标准披露，这些会计政策及计量</w:t>
      </w:r>
      <w:r>
        <w:rPr>
          <w:spacing w:val="-25"/>
        </w:rPr>
        <w:t> </w:t>
      </w:r>
      <w:r>
        <w:rPr>
          <w:spacing w:val="-25"/>
        </w:rPr>
      </w:r>
      <w:r>
        <w:rPr/>
        <w:t>基础与编制财务报表时的会计政策及计量基础保持一致。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260" w:right="1040"/>
        </w:sectPr>
      </w:pPr>
    </w:p>
    <w:p>
      <w:pPr>
        <w:pStyle w:val="Heading5"/>
        <w:tabs>
          <w:tab w:pos="1181" w:val="left" w:leader="none"/>
        </w:tabs>
        <w:spacing w:line="240" w:lineRule="auto" w:before="36"/>
        <w:ind w:left="538"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380" w:val="left" w:leader="none"/>
        </w:tabs>
        <w:spacing w:line="240" w:lineRule="auto" w:before="58"/>
        <w:ind w:left="53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3083" w:space="3439"/>
            <w:col w:w="308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9"/>
        <w:gridCol w:w="852"/>
        <w:gridCol w:w="1138"/>
        <w:gridCol w:w="1138"/>
        <w:gridCol w:w="1071"/>
        <w:gridCol w:w="1138"/>
        <w:gridCol w:w="1138"/>
        <w:gridCol w:w="348"/>
        <w:gridCol w:w="1267"/>
      </w:tblGrid>
      <w:tr>
        <w:trPr>
          <w:trHeight w:val="117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太阳能</w:t>
            </w:r>
          </w:p>
          <w:p>
            <w:pPr>
              <w:pStyle w:val="TableParagraph"/>
              <w:spacing w:line="232" w:lineRule="exact" w:before="23"/>
              <w:ind w:left="240" w:right="151" w:hanging="92"/>
              <w:jc w:val="left"/>
              <w:rPr>
                <w:rFonts w:ascii="宋体" w:hAnsi="宋体" w:cs="宋体" w:eastAsia="宋体" w:hint="default"/>
                <w:sz w:val="18"/>
                <w:szCs w:val="18"/>
              </w:rPr>
            </w:pPr>
            <w:r>
              <w:rPr>
                <w:rFonts w:ascii="宋体" w:hAnsi="宋体" w:cs="宋体" w:eastAsia="宋体" w:hint="default"/>
                <w:sz w:val="18"/>
                <w:szCs w:val="18"/>
              </w:rPr>
              <w:t>热水器 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空气能分部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净水机分部</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光伏分部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厨电分部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电热水器分</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部</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分</w:t>
            </w:r>
          </w:p>
          <w:p>
            <w:pPr>
              <w:pStyle w:val="TableParagraph"/>
              <w:spacing w:line="237" w:lineRule="auto"/>
              <w:ind w:left="100" w:right="55"/>
              <w:jc w:val="both"/>
              <w:rPr>
                <w:rFonts w:ascii="宋体" w:hAnsi="宋体" w:cs="宋体" w:eastAsia="宋体" w:hint="default"/>
                <w:sz w:val="18"/>
                <w:szCs w:val="18"/>
              </w:rPr>
            </w:pPr>
            <w:r>
              <w:rPr>
                <w:rFonts w:ascii="宋体" w:hAnsi="宋体" w:cs="宋体" w:eastAsia="宋体" w:hint="default"/>
                <w:sz w:val="18"/>
                <w:szCs w:val="18"/>
              </w:rPr>
              <w:t>部 间 抵 销</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1,568,1</w:t>
            </w:r>
          </w:p>
          <w:p>
            <w:pPr>
              <w:pStyle w:val="TableParagraph"/>
              <w:spacing w:line="234" w:lineRule="exact"/>
              <w:ind w:left="107" w:right="0"/>
              <w:jc w:val="left"/>
              <w:rPr>
                <w:rFonts w:ascii="宋体" w:hAnsi="宋体" w:cs="宋体" w:eastAsia="宋体" w:hint="default"/>
                <w:sz w:val="18"/>
                <w:szCs w:val="18"/>
              </w:rPr>
            </w:pPr>
            <w:r>
              <w:rPr>
                <w:rFonts w:ascii="宋体"/>
                <w:sz w:val="18"/>
              </w:rPr>
              <w:t>16,751.</w:t>
            </w:r>
          </w:p>
          <w:p>
            <w:pPr>
              <w:pStyle w:val="TableParagraph"/>
              <w:spacing w:line="234" w:lineRule="exact"/>
              <w:ind w:left="559" w:right="0"/>
              <w:jc w:val="left"/>
              <w:rPr>
                <w:rFonts w:ascii="宋体" w:hAnsi="宋体" w:cs="宋体" w:eastAsia="宋体" w:hint="default"/>
                <w:sz w:val="18"/>
                <w:szCs w:val="18"/>
              </w:rPr>
            </w:pPr>
            <w:r>
              <w:rPr>
                <w:rFonts w:ascii="宋体"/>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164,100,93</w:t>
            </w:r>
          </w:p>
          <w:p>
            <w:pPr>
              <w:pStyle w:val="TableParagraph"/>
              <w:spacing w:line="240" w:lineRule="auto"/>
              <w:ind w:left="665" w:right="0"/>
              <w:jc w:val="left"/>
              <w:rPr>
                <w:rFonts w:ascii="宋体" w:hAnsi="宋体" w:cs="宋体" w:eastAsia="宋体" w:hint="default"/>
                <w:sz w:val="18"/>
                <w:szCs w:val="18"/>
              </w:rPr>
            </w:pPr>
            <w:r>
              <w:rPr>
                <w:rFonts w:ascii="宋体"/>
                <w:sz w:val="18"/>
              </w:rPr>
              <w:t>2.53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144,135,20</w:t>
            </w:r>
          </w:p>
          <w:p>
            <w:pPr>
              <w:pStyle w:val="TableParagraph"/>
              <w:spacing w:line="240" w:lineRule="auto"/>
              <w:ind w:left="664" w:right="0"/>
              <w:jc w:val="left"/>
              <w:rPr>
                <w:rFonts w:ascii="宋体" w:hAnsi="宋体" w:cs="宋体" w:eastAsia="宋体" w:hint="default"/>
                <w:sz w:val="18"/>
                <w:szCs w:val="18"/>
              </w:rPr>
            </w:pPr>
            <w:r>
              <w:rPr>
                <w:rFonts w:ascii="宋体"/>
                <w:sz w:val="18"/>
              </w:rPr>
              <w:t>1.01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81,567,97</w:t>
            </w:r>
          </w:p>
          <w:p>
            <w:pPr>
              <w:pStyle w:val="TableParagraph"/>
              <w:spacing w:line="240" w:lineRule="auto"/>
              <w:ind w:left="598" w:right="0"/>
              <w:jc w:val="left"/>
              <w:rPr>
                <w:rFonts w:ascii="宋体" w:hAnsi="宋体" w:cs="宋体" w:eastAsia="宋体" w:hint="default"/>
                <w:sz w:val="18"/>
                <w:szCs w:val="18"/>
              </w:rPr>
            </w:pPr>
            <w:r>
              <w:rPr>
                <w:rFonts w:ascii="宋体"/>
                <w:sz w:val="18"/>
              </w:rPr>
              <w:t>5.58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579,112,73</w:t>
            </w:r>
          </w:p>
          <w:p>
            <w:pPr>
              <w:pStyle w:val="TableParagraph"/>
              <w:spacing w:line="240" w:lineRule="auto"/>
              <w:ind w:left="664" w:right="0"/>
              <w:jc w:val="left"/>
              <w:rPr>
                <w:rFonts w:ascii="宋体" w:hAnsi="宋体" w:cs="宋体" w:eastAsia="宋体" w:hint="default"/>
                <w:sz w:val="18"/>
                <w:szCs w:val="18"/>
              </w:rPr>
            </w:pPr>
            <w:r>
              <w:rPr>
                <w:rFonts w:ascii="宋体"/>
                <w:sz w:val="18"/>
              </w:rPr>
              <w:t>3.07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246,880,76</w:t>
            </w:r>
          </w:p>
          <w:p>
            <w:pPr>
              <w:pStyle w:val="TableParagraph"/>
              <w:spacing w:line="240" w:lineRule="auto"/>
              <w:ind w:left="664" w:right="0"/>
              <w:jc w:val="left"/>
              <w:rPr>
                <w:rFonts w:ascii="宋体" w:hAnsi="宋体" w:cs="宋体" w:eastAsia="宋体" w:hint="default"/>
                <w:sz w:val="18"/>
                <w:szCs w:val="18"/>
              </w:rPr>
            </w:pPr>
            <w:r>
              <w:rPr>
                <w:rFonts w:ascii="宋体"/>
                <w:sz w:val="18"/>
              </w:rPr>
              <w:t>7.01</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2,783,914,3</w:t>
            </w:r>
          </w:p>
          <w:p>
            <w:pPr>
              <w:pStyle w:val="TableParagraph"/>
              <w:spacing w:line="240" w:lineRule="auto"/>
              <w:ind w:left="703" w:right="0"/>
              <w:jc w:val="left"/>
              <w:rPr>
                <w:rFonts w:ascii="宋体" w:hAnsi="宋体" w:cs="宋体" w:eastAsia="宋体" w:hint="default"/>
                <w:sz w:val="18"/>
                <w:szCs w:val="18"/>
              </w:rPr>
            </w:pPr>
            <w:r>
              <w:rPr>
                <w:rFonts w:ascii="宋体"/>
                <w:sz w:val="18"/>
              </w:rPr>
              <w:t>60.60</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其中：对外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1,568,1</w:t>
            </w:r>
          </w:p>
          <w:p>
            <w:pPr>
              <w:pStyle w:val="TableParagraph"/>
              <w:spacing w:line="234" w:lineRule="exact"/>
              <w:ind w:left="107" w:right="0"/>
              <w:jc w:val="left"/>
              <w:rPr>
                <w:rFonts w:ascii="宋体" w:hAnsi="宋体" w:cs="宋体" w:eastAsia="宋体" w:hint="default"/>
                <w:sz w:val="18"/>
                <w:szCs w:val="18"/>
              </w:rPr>
            </w:pPr>
            <w:r>
              <w:rPr>
                <w:rFonts w:ascii="宋体"/>
                <w:sz w:val="18"/>
              </w:rPr>
              <w:t>16,751.</w:t>
            </w:r>
          </w:p>
          <w:p>
            <w:pPr>
              <w:pStyle w:val="TableParagraph"/>
              <w:spacing w:line="234" w:lineRule="exact"/>
              <w:ind w:left="559" w:right="0"/>
              <w:jc w:val="left"/>
              <w:rPr>
                <w:rFonts w:ascii="宋体" w:hAnsi="宋体" w:cs="宋体" w:eastAsia="宋体" w:hint="default"/>
                <w:sz w:val="18"/>
                <w:szCs w:val="18"/>
              </w:rPr>
            </w:pPr>
            <w:r>
              <w:rPr>
                <w:rFonts w:ascii="宋体"/>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164,100,93</w:t>
            </w:r>
          </w:p>
          <w:p>
            <w:pPr>
              <w:pStyle w:val="TableParagraph"/>
              <w:spacing w:line="240" w:lineRule="auto"/>
              <w:ind w:left="665" w:right="0"/>
              <w:jc w:val="left"/>
              <w:rPr>
                <w:rFonts w:ascii="宋体" w:hAnsi="宋体" w:cs="宋体" w:eastAsia="宋体" w:hint="default"/>
                <w:sz w:val="18"/>
                <w:szCs w:val="18"/>
              </w:rPr>
            </w:pPr>
            <w:r>
              <w:rPr>
                <w:rFonts w:ascii="宋体"/>
                <w:sz w:val="18"/>
              </w:rPr>
              <w:t>2.53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144,135,20</w:t>
            </w:r>
          </w:p>
          <w:p>
            <w:pPr>
              <w:pStyle w:val="TableParagraph"/>
              <w:spacing w:line="240" w:lineRule="auto"/>
              <w:ind w:left="664" w:right="0"/>
              <w:jc w:val="left"/>
              <w:rPr>
                <w:rFonts w:ascii="宋体" w:hAnsi="宋体" w:cs="宋体" w:eastAsia="宋体" w:hint="default"/>
                <w:sz w:val="18"/>
                <w:szCs w:val="18"/>
              </w:rPr>
            </w:pPr>
            <w:r>
              <w:rPr>
                <w:rFonts w:ascii="宋体"/>
                <w:sz w:val="18"/>
              </w:rPr>
              <w:t>1.01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81,567,97</w:t>
            </w:r>
          </w:p>
          <w:p>
            <w:pPr>
              <w:pStyle w:val="TableParagraph"/>
              <w:spacing w:line="240" w:lineRule="auto"/>
              <w:ind w:left="598" w:right="0"/>
              <w:jc w:val="left"/>
              <w:rPr>
                <w:rFonts w:ascii="宋体" w:hAnsi="宋体" w:cs="宋体" w:eastAsia="宋体" w:hint="default"/>
                <w:sz w:val="18"/>
                <w:szCs w:val="18"/>
              </w:rPr>
            </w:pPr>
            <w:r>
              <w:rPr>
                <w:rFonts w:ascii="宋体"/>
                <w:sz w:val="18"/>
              </w:rPr>
              <w:t>5.58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579,112,73</w:t>
            </w:r>
          </w:p>
          <w:p>
            <w:pPr>
              <w:pStyle w:val="TableParagraph"/>
              <w:spacing w:line="240" w:lineRule="auto"/>
              <w:ind w:left="664" w:right="0"/>
              <w:jc w:val="left"/>
              <w:rPr>
                <w:rFonts w:ascii="宋体" w:hAnsi="宋体" w:cs="宋体" w:eastAsia="宋体" w:hint="default"/>
                <w:sz w:val="18"/>
                <w:szCs w:val="18"/>
              </w:rPr>
            </w:pPr>
            <w:r>
              <w:rPr>
                <w:rFonts w:ascii="宋体"/>
                <w:sz w:val="18"/>
              </w:rPr>
              <w:t>3.07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246,880,76</w:t>
            </w:r>
          </w:p>
          <w:p>
            <w:pPr>
              <w:pStyle w:val="TableParagraph"/>
              <w:spacing w:line="240" w:lineRule="auto"/>
              <w:ind w:left="664" w:right="0"/>
              <w:jc w:val="left"/>
              <w:rPr>
                <w:rFonts w:ascii="宋体" w:hAnsi="宋体" w:cs="宋体" w:eastAsia="宋体" w:hint="default"/>
                <w:sz w:val="18"/>
                <w:szCs w:val="18"/>
              </w:rPr>
            </w:pPr>
            <w:r>
              <w:rPr>
                <w:rFonts w:ascii="宋体"/>
                <w:sz w:val="18"/>
              </w:rPr>
              <w:t>7.01</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2,783,914,3</w:t>
            </w:r>
          </w:p>
          <w:p>
            <w:pPr>
              <w:pStyle w:val="TableParagraph"/>
              <w:spacing w:line="240" w:lineRule="auto"/>
              <w:ind w:left="703" w:right="0"/>
              <w:jc w:val="left"/>
              <w:rPr>
                <w:rFonts w:ascii="宋体" w:hAnsi="宋体" w:cs="宋体" w:eastAsia="宋体" w:hint="default"/>
                <w:sz w:val="18"/>
                <w:szCs w:val="18"/>
              </w:rPr>
            </w:pPr>
            <w:r>
              <w:rPr>
                <w:rFonts w:ascii="宋体"/>
                <w:sz w:val="18"/>
              </w:rPr>
              <w:t>60.60</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z w:val="18"/>
                <w:szCs w:val="18"/>
              </w:rPr>
              <w:t>分部间交易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z w:val="18"/>
                <w:szCs w:val="18"/>
              </w:rPr>
              <w:t>其中：主营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1,400,4</w:t>
            </w:r>
          </w:p>
          <w:p>
            <w:pPr>
              <w:pStyle w:val="TableParagraph"/>
              <w:spacing w:line="233" w:lineRule="exact"/>
              <w:ind w:left="107" w:right="0"/>
              <w:jc w:val="left"/>
              <w:rPr>
                <w:rFonts w:ascii="宋体" w:hAnsi="宋体" w:cs="宋体" w:eastAsia="宋体" w:hint="default"/>
                <w:sz w:val="18"/>
                <w:szCs w:val="18"/>
              </w:rPr>
            </w:pPr>
            <w:r>
              <w:rPr>
                <w:rFonts w:ascii="宋体"/>
                <w:sz w:val="18"/>
              </w:rPr>
              <w:t>34,973.</w:t>
            </w:r>
          </w:p>
          <w:p>
            <w:pPr>
              <w:pStyle w:val="TableParagraph"/>
              <w:spacing w:line="234" w:lineRule="exact"/>
              <w:ind w:left="559" w:right="0"/>
              <w:jc w:val="left"/>
              <w:rPr>
                <w:rFonts w:ascii="宋体" w:hAnsi="宋体" w:cs="宋体" w:eastAsia="宋体" w:hint="default"/>
                <w:sz w:val="18"/>
                <w:szCs w:val="18"/>
              </w:rPr>
            </w:pPr>
            <w:r>
              <w:rPr>
                <w:rFonts w:ascii="宋体"/>
                <w:sz w:val="18"/>
              </w:rPr>
              <w:t>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162,755,92</w:t>
            </w:r>
          </w:p>
          <w:p>
            <w:pPr>
              <w:pStyle w:val="TableParagraph"/>
              <w:spacing w:line="234" w:lineRule="exact"/>
              <w:ind w:left="665" w:right="0"/>
              <w:jc w:val="left"/>
              <w:rPr>
                <w:rFonts w:ascii="宋体" w:hAnsi="宋体" w:cs="宋体" w:eastAsia="宋体" w:hint="default"/>
                <w:sz w:val="18"/>
                <w:szCs w:val="18"/>
              </w:rPr>
            </w:pPr>
            <w:r>
              <w:rPr>
                <w:rFonts w:ascii="宋体"/>
                <w:sz w:val="18"/>
              </w:rPr>
              <w:t>8.09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137,739,24</w:t>
            </w:r>
          </w:p>
          <w:p>
            <w:pPr>
              <w:pStyle w:val="TableParagraph"/>
              <w:spacing w:line="234" w:lineRule="exact"/>
              <w:ind w:left="664" w:right="0"/>
              <w:jc w:val="left"/>
              <w:rPr>
                <w:rFonts w:ascii="宋体" w:hAnsi="宋体" w:cs="宋体" w:eastAsia="宋体" w:hint="default"/>
                <w:sz w:val="18"/>
                <w:szCs w:val="18"/>
              </w:rPr>
            </w:pPr>
            <w:r>
              <w:rPr>
                <w:rFonts w:ascii="宋体"/>
                <w:sz w:val="18"/>
              </w:rPr>
              <w:t>2.96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50,658,36</w:t>
            </w:r>
          </w:p>
          <w:p>
            <w:pPr>
              <w:pStyle w:val="TableParagraph"/>
              <w:spacing w:line="234" w:lineRule="exact"/>
              <w:ind w:left="598" w:right="0"/>
              <w:jc w:val="left"/>
              <w:rPr>
                <w:rFonts w:ascii="宋体" w:hAnsi="宋体" w:cs="宋体" w:eastAsia="宋体" w:hint="default"/>
                <w:sz w:val="18"/>
                <w:szCs w:val="18"/>
              </w:rPr>
            </w:pPr>
            <w:r>
              <w:rPr>
                <w:rFonts w:ascii="宋体"/>
                <w:sz w:val="18"/>
              </w:rPr>
              <w:t>0.73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565,875,05</w:t>
            </w:r>
          </w:p>
          <w:p>
            <w:pPr>
              <w:pStyle w:val="TableParagraph"/>
              <w:spacing w:line="234" w:lineRule="exact"/>
              <w:ind w:left="664" w:right="0"/>
              <w:jc w:val="left"/>
              <w:rPr>
                <w:rFonts w:ascii="宋体" w:hAnsi="宋体" w:cs="宋体" w:eastAsia="宋体" w:hint="default"/>
                <w:sz w:val="18"/>
                <w:szCs w:val="18"/>
              </w:rPr>
            </w:pPr>
            <w:r>
              <w:rPr>
                <w:rFonts w:ascii="宋体"/>
                <w:sz w:val="18"/>
              </w:rPr>
              <w:t>8.51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183,602,80</w:t>
            </w:r>
          </w:p>
          <w:p>
            <w:pPr>
              <w:pStyle w:val="TableParagraph"/>
              <w:spacing w:line="234" w:lineRule="exact"/>
              <w:ind w:left="664" w:right="0"/>
              <w:jc w:val="left"/>
              <w:rPr>
                <w:rFonts w:ascii="宋体" w:hAnsi="宋体" w:cs="宋体" w:eastAsia="宋体" w:hint="default"/>
                <w:sz w:val="18"/>
                <w:szCs w:val="18"/>
              </w:rPr>
            </w:pPr>
            <w:r>
              <w:rPr>
                <w:rFonts w:ascii="宋体"/>
                <w:sz w:val="18"/>
              </w:rPr>
              <w:t>2.23</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2,501,066,3</w:t>
            </w:r>
          </w:p>
          <w:p>
            <w:pPr>
              <w:pStyle w:val="TableParagraph"/>
              <w:spacing w:line="234" w:lineRule="exact"/>
              <w:ind w:left="703" w:right="0"/>
              <w:jc w:val="left"/>
              <w:rPr>
                <w:rFonts w:ascii="宋体" w:hAnsi="宋体" w:cs="宋体" w:eastAsia="宋体" w:hint="default"/>
                <w:sz w:val="18"/>
                <w:szCs w:val="18"/>
              </w:rPr>
            </w:pPr>
            <w:r>
              <w:rPr>
                <w:rFonts w:ascii="宋体"/>
                <w:sz w:val="18"/>
              </w:rPr>
              <w:t>65.89</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1,055,1</w:t>
            </w:r>
          </w:p>
          <w:p>
            <w:pPr>
              <w:pStyle w:val="TableParagraph"/>
              <w:spacing w:line="233" w:lineRule="exact"/>
              <w:ind w:left="107" w:right="0"/>
              <w:jc w:val="left"/>
              <w:rPr>
                <w:rFonts w:ascii="宋体" w:hAnsi="宋体" w:cs="宋体" w:eastAsia="宋体" w:hint="default"/>
                <w:sz w:val="18"/>
                <w:szCs w:val="18"/>
              </w:rPr>
            </w:pPr>
            <w:r>
              <w:rPr>
                <w:rFonts w:ascii="宋体"/>
                <w:sz w:val="18"/>
              </w:rPr>
              <w:t>76,027.</w:t>
            </w:r>
          </w:p>
          <w:p>
            <w:pPr>
              <w:pStyle w:val="TableParagraph"/>
              <w:spacing w:line="234" w:lineRule="exact"/>
              <w:ind w:left="559" w:right="0"/>
              <w:jc w:val="left"/>
              <w:rPr>
                <w:rFonts w:ascii="宋体" w:hAnsi="宋体" w:cs="宋体" w:eastAsia="宋体" w:hint="default"/>
                <w:sz w:val="18"/>
                <w:szCs w:val="18"/>
              </w:rPr>
            </w:pPr>
            <w:r>
              <w:rPr>
                <w:rFonts w:ascii="宋体"/>
                <w:sz w:val="18"/>
              </w:rPr>
              <w:t>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121,356,90</w:t>
            </w:r>
          </w:p>
          <w:p>
            <w:pPr>
              <w:pStyle w:val="TableParagraph"/>
              <w:spacing w:line="234" w:lineRule="exact"/>
              <w:ind w:left="665" w:right="0"/>
              <w:jc w:val="left"/>
              <w:rPr>
                <w:rFonts w:ascii="宋体" w:hAnsi="宋体" w:cs="宋体" w:eastAsia="宋体" w:hint="default"/>
                <w:sz w:val="18"/>
                <w:szCs w:val="18"/>
              </w:rPr>
            </w:pPr>
            <w:r>
              <w:rPr>
                <w:rFonts w:ascii="宋体"/>
                <w:sz w:val="18"/>
              </w:rPr>
              <w:t>4.98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84,671,136</w:t>
            </w:r>
          </w:p>
          <w:p>
            <w:pPr>
              <w:pStyle w:val="TableParagraph"/>
              <w:spacing w:line="234" w:lineRule="exact"/>
              <w:ind w:right="98"/>
              <w:jc w:val="right"/>
              <w:rPr>
                <w:rFonts w:ascii="宋体" w:hAnsi="宋体" w:cs="宋体" w:eastAsia="宋体" w:hint="default"/>
                <w:sz w:val="18"/>
                <w:szCs w:val="18"/>
              </w:rPr>
            </w:pPr>
            <w:r>
              <w:rPr>
                <w:rFonts w:ascii="宋体"/>
                <w:sz w:val="18"/>
              </w:rPr>
              <w:t>.93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60,810,89</w:t>
            </w:r>
          </w:p>
          <w:p>
            <w:pPr>
              <w:pStyle w:val="TableParagraph"/>
              <w:spacing w:line="234" w:lineRule="exact"/>
              <w:ind w:left="598" w:right="0"/>
              <w:jc w:val="left"/>
              <w:rPr>
                <w:rFonts w:ascii="宋体" w:hAnsi="宋体" w:cs="宋体" w:eastAsia="宋体" w:hint="default"/>
                <w:sz w:val="18"/>
                <w:szCs w:val="18"/>
              </w:rPr>
            </w:pPr>
            <w:r>
              <w:rPr>
                <w:rFonts w:ascii="宋体"/>
                <w:sz w:val="18"/>
              </w:rPr>
              <w:t>7.78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274,763,35</w:t>
            </w:r>
          </w:p>
          <w:p>
            <w:pPr>
              <w:pStyle w:val="TableParagraph"/>
              <w:spacing w:line="234" w:lineRule="exact"/>
              <w:ind w:left="664" w:right="0"/>
              <w:jc w:val="left"/>
              <w:rPr>
                <w:rFonts w:ascii="宋体" w:hAnsi="宋体" w:cs="宋体" w:eastAsia="宋体" w:hint="default"/>
                <w:sz w:val="18"/>
                <w:szCs w:val="18"/>
              </w:rPr>
            </w:pPr>
            <w:r>
              <w:rPr>
                <w:rFonts w:ascii="宋体"/>
                <w:sz w:val="18"/>
              </w:rPr>
              <w:t>6.79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163,428,92</w:t>
            </w:r>
          </w:p>
          <w:p>
            <w:pPr>
              <w:pStyle w:val="TableParagraph"/>
              <w:spacing w:line="234" w:lineRule="exact"/>
              <w:ind w:left="664" w:right="0"/>
              <w:jc w:val="left"/>
              <w:rPr>
                <w:rFonts w:ascii="宋体" w:hAnsi="宋体" w:cs="宋体" w:eastAsia="宋体" w:hint="default"/>
                <w:sz w:val="18"/>
                <w:szCs w:val="18"/>
              </w:rPr>
            </w:pPr>
            <w:r>
              <w:rPr>
                <w:rFonts w:ascii="宋体"/>
                <w:sz w:val="18"/>
              </w:rPr>
              <w:t>9.45</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1,760,207,2</w:t>
            </w:r>
          </w:p>
          <w:p>
            <w:pPr>
              <w:pStyle w:val="TableParagraph"/>
              <w:spacing w:line="234" w:lineRule="exact"/>
              <w:ind w:left="703" w:right="0"/>
              <w:jc w:val="left"/>
              <w:rPr>
                <w:rFonts w:ascii="宋体" w:hAnsi="宋体" w:cs="宋体" w:eastAsia="宋体" w:hint="default"/>
                <w:sz w:val="18"/>
                <w:szCs w:val="18"/>
              </w:rPr>
            </w:pPr>
            <w:r>
              <w:rPr>
                <w:rFonts w:ascii="宋体"/>
                <w:sz w:val="18"/>
              </w:rPr>
              <w:t>53.18</w:t>
            </w:r>
          </w:p>
        </w:tc>
      </w:tr>
      <w:tr>
        <w:trPr>
          <w:trHeight w:val="47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z w:val="18"/>
                <w:szCs w:val="18"/>
              </w:rPr>
              <w:t>其中：主营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897,864</w:t>
            </w:r>
          </w:p>
          <w:p>
            <w:pPr>
              <w:pStyle w:val="TableParagraph"/>
              <w:spacing w:line="234" w:lineRule="exact"/>
              <w:ind w:left="107" w:right="0"/>
              <w:jc w:val="left"/>
              <w:rPr>
                <w:rFonts w:ascii="宋体" w:hAnsi="宋体" w:cs="宋体" w:eastAsia="宋体" w:hint="default"/>
                <w:sz w:val="18"/>
                <w:szCs w:val="18"/>
              </w:rPr>
            </w:pPr>
            <w:r>
              <w:rPr>
                <w:rFonts w:ascii="宋体"/>
                <w:sz w:val="18"/>
              </w:rPr>
              <w:t>,838.00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120,789,58</w:t>
            </w:r>
          </w:p>
          <w:p>
            <w:pPr>
              <w:pStyle w:val="TableParagraph"/>
              <w:spacing w:line="234" w:lineRule="exact"/>
              <w:ind w:left="665" w:right="0"/>
              <w:jc w:val="left"/>
              <w:rPr>
                <w:rFonts w:ascii="宋体" w:hAnsi="宋体" w:cs="宋体" w:eastAsia="宋体" w:hint="default"/>
                <w:sz w:val="18"/>
                <w:szCs w:val="18"/>
              </w:rPr>
            </w:pPr>
            <w:r>
              <w:rPr>
                <w:rFonts w:ascii="宋体"/>
                <w:sz w:val="18"/>
              </w:rPr>
              <w:t>4.54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79,683,829</w:t>
            </w:r>
          </w:p>
          <w:p>
            <w:pPr>
              <w:pStyle w:val="TableParagraph"/>
              <w:spacing w:line="234" w:lineRule="exact"/>
              <w:ind w:right="98"/>
              <w:jc w:val="right"/>
              <w:rPr>
                <w:rFonts w:ascii="宋体" w:hAnsi="宋体" w:cs="宋体" w:eastAsia="宋体" w:hint="default"/>
                <w:sz w:val="18"/>
                <w:szCs w:val="18"/>
              </w:rPr>
            </w:pPr>
            <w:r>
              <w:rPr>
                <w:rFonts w:ascii="宋体"/>
                <w:sz w:val="18"/>
              </w:rPr>
              <w:t>.63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37,962,72</w:t>
            </w:r>
          </w:p>
          <w:p>
            <w:pPr>
              <w:pStyle w:val="TableParagraph"/>
              <w:spacing w:line="234" w:lineRule="exact"/>
              <w:ind w:left="598" w:right="0"/>
              <w:jc w:val="left"/>
              <w:rPr>
                <w:rFonts w:ascii="宋体" w:hAnsi="宋体" w:cs="宋体" w:eastAsia="宋体" w:hint="default"/>
                <w:sz w:val="18"/>
                <w:szCs w:val="18"/>
              </w:rPr>
            </w:pPr>
            <w:r>
              <w:rPr>
                <w:rFonts w:ascii="宋体"/>
                <w:sz w:val="18"/>
              </w:rPr>
              <w:t>0.56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264,581,84</w:t>
            </w:r>
          </w:p>
          <w:p>
            <w:pPr>
              <w:pStyle w:val="TableParagraph"/>
              <w:spacing w:line="234" w:lineRule="exact"/>
              <w:ind w:left="664" w:right="0"/>
              <w:jc w:val="left"/>
              <w:rPr>
                <w:rFonts w:ascii="宋体" w:hAnsi="宋体" w:cs="宋体" w:eastAsia="宋体" w:hint="default"/>
                <w:sz w:val="18"/>
                <w:szCs w:val="18"/>
              </w:rPr>
            </w:pPr>
            <w:r>
              <w:rPr>
                <w:rFonts w:ascii="宋体"/>
                <w:sz w:val="18"/>
              </w:rPr>
              <w:t>9.40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117,651,22</w:t>
            </w:r>
          </w:p>
          <w:p>
            <w:pPr>
              <w:pStyle w:val="TableParagraph"/>
              <w:spacing w:line="234" w:lineRule="exact"/>
              <w:ind w:left="664" w:right="0"/>
              <w:jc w:val="left"/>
              <w:rPr>
                <w:rFonts w:ascii="宋体" w:hAnsi="宋体" w:cs="宋体" w:eastAsia="宋体" w:hint="default"/>
                <w:sz w:val="18"/>
                <w:szCs w:val="18"/>
              </w:rPr>
            </w:pPr>
            <w:r>
              <w:rPr>
                <w:rFonts w:ascii="宋体"/>
                <w:sz w:val="18"/>
              </w:rPr>
              <w:t>8.96</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1,518,534,0</w:t>
            </w:r>
          </w:p>
          <w:p>
            <w:pPr>
              <w:pStyle w:val="TableParagraph"/>
              <w:spacing w:line="234" w:lineRule="exact"/>
              <w:ind w:left="703" w:right="0"/>
              <w:jc w:val="left"/>
              <w:rPr>
                <w:rFonts w:ascii="宋体" w:hAnsi="宋体" w:cs="宋体" w:eastAsia="宋体" w:hint="default"/>
                <w:sz w:val="18"/>
                <w:szCs w:val="18"/>
              </w:rPr>
            </w:pPr>
            <w:r>
              <w:rPr>
                <w:rFonts w:ascii="宋体"/>
                <w:sz w:val="18"/>
              </w:rPr>
              <w:t>51.09</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332,407</w:t>
            </w:r>
          </w:p>
          <w:p>
            <w:pPr>
              <w:pStyle w:val="TableParagraph"/>
              <w:spacing w:line="234" w:lineRule="exact"/>
              <w:ind w:left="107" w:right="0"/>
              <w:jc w:val="left"/>
              <w:rPr>
                <w:rFonts w:ascii="宋体" w:hAnsi="宋体" w:cs="宋体" w:eastAsia="宋体" w:hint="default"/>
                <w:sz w:val="18"/>
                <w:szCs w:val="18"/>
              </w:rPr>
            </w:pPr>
            <w:r>
              <w:rPr>
                <w:rFonts w:ascii="宋体"/>
                <w:sz w:val="18"/>
              </w:rPr>
              <w:t>,762.18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38,956,585</w:t>
            </w:r>
          </w:p>
          <w:p>
            <w:pPr>
              <w:pStyle w:val="TableParagraph"/>
              <w:spacing w:line="234" w:lineRule="exact"/>
              <w:ind w:right="98"/>
              <w:jc w:val="right"/>
              <w:rPr>
                <w:rFonts w:ascii="宋体" w:hAnsi="宋体" w:cs="宋体" w:eastAsia="宋体" w:hint="default"/>
                <w:sz w:val="18"/>
                <w:szCs w:val="18"/>
              </w:rPr>
            </w:pPr>
            <w:r>
              <w:rPr>
                <w:rFonts w:ascii="宋体"/>
                <w:sz w:val="18"/>
              </w:rPr>
              <w:t>.82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47,945,444</w:t>
            </w:r>
          </w:p>
          <w:p>
            <w:pPr>
              <w:pStyle w:val="TableParagraph"/>
              <w:spacing w:line="234" w:lineRule="exact"/>
              <w:ind w:right="98"/>
              <w:jc w:val="right"/>
              <w:rPr>
                <w:rFonts w:ascii="宋体" w:hAnsi="宋体" w:cs="宋体" w:eastAsia="宋体" w:hint="default"/>
                <w:sz w:val="18"/>
                <w:szCs w:val="18"/>
              </w:rPr>
            </w:pPr>
            <w:r>
              <w:rPr>
                <w:rFonts w:ascii="宋体"/>
                <w:sz w:val="18"/>
              </w:rPr>
              <w:t>.53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sz w:val="18"/>
              </w:rPr>
              <w:t>20,006,17</w:t>
            </w:r>
          </w:p>
          <w:p>
            <w:pPr>
              <w:pStyle w:val="TableParagraph"/>
              <w:spacing w:line="234" w:lineRule="exact"/>
              <w:ind w:left="598" w:right="0"/>
              <w:jc w:val="left"/>
              <w:rPr>
                <w:rFonts w:ascii="宋体" w:hAnsi="宋体" w:cs="宋体" w:eastAsia="宋体" w:hint="default"/>
                <w:sz w:val="18"/>
                <w:szCs w:val="18"/>
              </w:rPr>
            </w:pPr>
            <w:r>
              <w:rPr>
                <w:rFonts w:ascii="宋体"/>
                <w:sz w:val="18"/>
              </w:rPr>
              <w:t>6.57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188,778,62</w:t>
            </w:r>
          </w:p>
          <w:p>
            <w:pPr>
              <w:pStyle w:val="TableParagraph"/>
              <w:spacing w:line="234" w:lineRule="exact"/>
              <w:ind w:left="664" w:right="0"/>
              <w:jc w:val="left"/>
              <w:rPr>
                <w:rFonts w:ascii="宋体" w:hAnsi="宋体" w:cs="宋体" w:eastAsia="宋体" w:hint="default"/>
                <w:sz w:val="18"/>
                <w:szCs w:val="18"/>
              </w:rPr>
            </w:pPr>
            <w:r>
              <w:rPr>
                <w:rFonts w:ascii="宋体"/>
                <w:sz w:val="18"/>
              </w:rPr>
              <w:t>3.59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66,538,006</w:t>
            </w:r>
          </w:p>
          <w:p>
            <w:pPr>
              <w:pStyle w:val="TableParagraph"/>
              <w:spacing w:line="234" w:lineRule="exact"/>
              <w:ind w:right="99"/>
              <w:jc w:val="right"/>
              <w:rPr>
                <w:rFonts w:ascii="宋体" w:hAnsi="宋体" w:cs="宋体" w:eastAsia="宋体" w:hint="default"/>
                <w:sz w:val="18"/>
                <w:szCs w:val="18"/>
              </w:rPr>
            </w:pPr>
            <w:r>
              <w:rPr>
                <w:rFonts w:ascii="宋体"/>
                <w:sz w:val="18"/>
              </w:rPr>
              <w:t>.43</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694,632,599</w:t>
            </w:r>
          </w:p>
          <w:p>
            <w:pPr>
              <w:pStyle w:val="TableParagraph"/>
              <w:spacing w:line="234" w:lineRule="exact"/>
              <w:ind w:right="98"/>
              <w:jc w:val="right"/>
              <w:rPr>
                <w:rFonts w:ascii="宋体" w:hAnsi="宋体" w:cs="宋体" w:eastAsia="宋体" w:hint="default"/>
                <w:sz w:val="18"/>
                <w:szCs w:val="18"/>
              </w:rPr>
            </w:pPr>
            <w:r>
              <w:rPr>
                <w:rFonts w:ascii="宋体"/>
                <w:sz w:val="18"/>
              </w:rPr>
              <w:t>.12</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154,691</w:t>
            </w:r>
          </w:p>
          <w:p>
            <w:pPr>
              <w:pStyle w:val="TableParagraph"/>
              <w:spacing w:line="234" w:lineRule="exact"/>
              <w:ind w:left="107" w:right="0"/>
              <w:jc w:val="left"/>
              <w:rPr>
                <w:rFonts w:ascii="宋体" w:hAnsi="宋体" w:cs="宋体" w:eastAsia="宋体" w:hint="default"/>
                <w:sz w:val="18"/>
                <w:szCs w:val="18"/>
              </w:rPr>
            </w:pPr>
            <w:r>
              <w:rPr>
                <w:rFonts w:ascii="宋体"/>
                <w:sz w:val="18"/>
              </w:rPr>
              <w:t>,727.79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13,657,793</w:t>
            </w:r>
          </w:p>
          <w:p>
            <w:pPr>
              <w:pStyle w:val="TableParagraph"/>
              <w:spacing w:line="234" w:lineRule="exact"/>
              <w:ind w:right="98"/>
              <w:jc w:val="right"/>
              <w:rPr>
                <w:rFonts w:ascii="宋体" w:hAnsi="宋体" w:cs="宋体" w:eastAsia="宋体" w:hint="default"/>
                <w:sz w:val="18"/>
                <w:szCs w:val="18"/>
              </w:rPr>
            </w:pPr>
            <w:r>
              <w:rPr>
                <w:rFonts w:ascii="宋体"/>
                <w:sz w:val="18"/>
              </w:rPr>
              <w:t>.87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23,983,670</w:t>
            </w:r>
          </w:p>
          <w:p>
            <w:pPr>
              <w:pStyle w:val="TableParagraph"/>
              <w:spacing w:line="234" w:lineRule="exact"/>
              <w:ind w:right="98"/>
              <w:jc w:val="right"/>
              <w:rPr>
                <w:rFonts w:ascii="宋体" w:hAnsi="宋体" w:cs="宋体" w:eastAsia="宋体" w:hint="default"/>
                <w:sz w:val="18"/>
                <w:szCs w:val="18"/>
              </w:rPr>
            </w:pPr>
            <w:r>
              <w:rPr>
                <w:rFonts w:ascii="宋体"/>
                <w:sz w:val="18"/>
              </w:rPr>
              <w:t>.88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3,738,088</w:t>
            </w:r>
          </w:p>
          <w:p>
            <w:pPr>
              <w:pStyle w:val="TableParagraph"/>
              <w:spacing w:line="234" w:lineRule="exact"/>
              <w:ind w:left="686" w:right="0"/>
              <w:jc w:val="left"/>
              <w:rPr>
                <w:rFonts w:ascii="宋体" w:hAnsi="宋体" w:cs="宋体" w:eastAsia="宋体" w:hint="default"/>
                <w:sz w:val="18"/>
                <w:szCs w:val="18"/>
              </w:rPr>
            </w:pPr>
            <w:r>
              <w:rPr>
                <w:rFonts w:ascii="宋体"/>
                <w:sz w:val="18"/>
              </w:rPr>
              <w:t>.11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54,003,785</w:t>
            </w:r>
          </w:p>
          <w:p>
            <w:pPr>
              <w:pStyle w:val="TableParagraph"/>
              <w:spacing w:line="234" w:lineRule="exact"/>
              <w:ind w:right="98"/>
              <w:jc w:val="right"/>
              <w:rPr>
                <w:rFonts w:ascii="宋体" w:hAnsi="宋体" w:cs="宋体" w:eastAsia="宋体" w:hint="default"/>
                <w:sz w:val="18"/>
                <w:szCs w:val="18"/>
              </w:rPr>
            </w:pPr>
            <w:r>
              <w:rPr>
                <w:rFonts w:ascii="宋体"/>
                <w:sz w:val="18"/>
              </w:rPr>
              <w:t>.42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10,284,961</w:t>
            </w:r>
          </w:p>
          <w:p>
            <w:pPr>
              <w:pStyle w:val="TableParagraph"/>
              <w:spacing w:line="234" w:lineRule="exact"/>
              <w:ind w:right="99"/>
              <w:jc w:val="right"/>
              <w:rPr>
                <w:rFonts w:ascii="宋体" w:hAnsi="宋体" w:cs="宋体" w:eastAsia="宋体" w:hint="default"/>
                <w:sz w:val="18"/>
                <w:szCs w:val="18"/>
              </w:rPr>
            </w:pPr>
            <w:r>
              <w:rPr>
                <w:rFonts w:ascii="宋体"/>
                <w:sz w:val="18"/>
              </w:rPr>
              <w:t>.76</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260,360,027</w:t>
            </w:r>
          </w:p>
          <w:p>
            <w:pPr>
              <w:pStyle w:val="TableParagraph"/>
              <w:spacing w:line="234" w:lineRule="exact"/>
              <w:ind w:right="98"/>
              <w:jc w:val="right"/>
              <w:rPr>
                <w:rFonts w:ascii="宋体" w:hAnsi="宋体" w:cs="宋体" w:eastAsia="宋体" w:hint="default"/>
                <w:sz w:val="18"/>
                <w:szCs w:val="18"/>
              </w:rPr>
            </w:pPr>
            <w:r>
              <w:rPr>
                <w:rFonts w:ascii="宋体"/>
                <w:sz w:val="18"/>
              </w:rPr>
              <w:t>.83</w:t>
            </w:r>
          </w:p>
        </w:tc>
      </w:tr>
      <w:tr>
        <w:trPr>
          <w:trHeight w:val="47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亏损</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52,028,</w:t>
            </w:r>
          </w:p>
          <w:p>
            <w:pPr>
              <w:pStyle w:val="TableParagraph"/>
              <w:spacing w:line="234" w:lineRule="exact"/>
              <w:ind w:left="199" w:right="0"/>
              <w:jc w:val="left"/>
              <w:rPr>
                <w:rFonts w:ascii="宋体" w:hAnsi="宋体" w:cs="宋体" w:eastAsia="宋体" w:hint="default"/>
                <w:sz w:val="18"/>
                <w:szCs w:val="18"/>
              </w:rPr>
            </w:pPr>
            <w:r>
              <w:rPr>
                <w:rFonts w:ascii="宋体"/>
                <w:sz w:val="18"/>
              </w:rPr>
              <w:t>192.98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-7,512,633</w:t>
            </w:r>
          </w:p>
          <w:p>
            <w:pPr>
              <w:pStyle w:val="TableParagraph"/>
              <w:spacing w:line="234" w:lineRule="exact"/>
              <w:ind w:right="98"/>
              <w:jc w:val="right"/>
              <w:rPr>
                <w:rFonts w:ascii="宋体" w:hAnsi="宋体" w:cs="宋体" w:eastAsia="宋体" w:hint="default"/>
                <w:sz w:val="18"/>
                <w:szCs w:val="18"/>
              </w:rPr>
            </w:pPr>
            <w:r>
              <w:rPr>
                <w:rFonts w:ascii="宋体"/>
                <w:sz w:val="18"/>
              </w:rPr>
              <w:t>.23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-10,394,18</w:t>
            </w:r>
          </w:p>
          <w:p>
            <w:pPr>
              <w:pStyle w:val="TableParagraph"/>
              <w:spacing w:line="234" w:lineRule="exact"/>
              <w:ind w:left="664" w:right="0"/>
              <w:jc w:val="left"/>
              <w:rPr>
                <w:rFonts w:ascii="宋体" w:hAnsi="宋体" w:cs="宋体" w:eastAsia="宋体" w:hint="default"/>
                <w:sz w:val="18"/>
                <w:szCs w:val="18"/>
              </w:rPr>
            </w:pPr>
            <w:r>
              <w:rPr>
                <w:rFonts w:ascii="宋体"/>
                <w:sz w:val="18"/>
              </w:rPr>
              <w:t>9.90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-1,815,25</w:t>
            </w:r>
          </w:p>
          <w:p>
            <w:pPr>
              <w:pStyle w:val="TableParagraph"/>
              <w:spacing w:line="234" w:lineRule="exact"/>
              <w:ind w:left="598" w:right="0"/>
              <w:jc w:val="left"/>
              <w:rPr>
                <w:rFonts w:ascii="宋体" w:hAnsi="宋体" w:cs="宋体" w:eastAsia="宋体" w:hint="default"/>
                <w:sz w:val="18"/>
                <w:szCs w:val="18"/>
              </w:rPr>
            </w:pPr>
            <w:r>
              <w:rPr>
                <w:rFonts w:ascii="宋体"/>
                <w:sz w:val="18"/>
              </w:rPr>
              <w:t>9.61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49,811,998</w:t>
            </w:r>
          </w:p>
          <w:p>
            <w:pPr>
              <w:pStyle w:val="TableParagraph"/>
              <w:spacing w:line="234" w:lineRule="exact"/>
              <w:ind w:right="98"/>
              <w:jc w:val="right"/>
              <w:rPr>
                <w:rFonts w:ascii="宋体" w:hAnsi="宋体" w:cs="宋体" w:eastAsia="宋体" w:hint="default"/>
                <w:sz w:val="18"/>
                <w:szCs w:val="18"/>
              </w:rPr>
            </w:pPr>
            <w:r>
              <w:rPr>
                <w:rFonts w:ascii="宋体"/>
                <w:sz w:val="18"/>
              </w:rPr>
              <w:t>.23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3,468,913.</w:t>
            </w:r>
          </w:p>
          <w:p>
            <w:pPr>
              <w:pStyle w:val="TableParagraph"/>
              <w:spacing w:line="234" w:lineRule="exact"/>
              <w:ind w:right="99"/>
              <w:jc w:val="right"/>
              <w:rPr>
                <w:rFonts w:ascii="宋体" w:hAnsi="宋体" w:cs="宋体" w:eastAsia="宋体" w:hint="default"/>
                <w:sz w:val="18"/>
                <w:szCs w:val="18"/>
              </w:rPr>
            </w:pPr>
            <w:r>
              <w:rPr>
                <w:rFonts w:ascii="宋体"/>
                <w:sz w:val="18"/>
              </w:rPr>
              <w:t>25</w:t>
            </w: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85,587,021.</w:t>
            </w:r>
          </w:p>
          <w:p>
            <w:pPr>
              <w:pStyle w:val="TableParagraph"/>
              <w:spacing w:line="234" w:lineRule="exact"/>
              <w:ind w:right="98"/>
              <w:jc w:val="right"/>
              <w:rPr>
                <w:rFonts w:ascii="宋体" w:hAnsi="宋体" w:cs="宋体" w:eastAsia="宋体" w:hint="default"/>
                <w:sz w:val="18"/>
                <w:szCs w:val="18"/>
              </w:rPr>
            </w:pPr>
            <w:r>
              <w:rPr>
                <w:rFonts w:ascii="宋体"/>
                <w:sz w:val="18"/>
              </w:rPr>
              <w:t>72</w:t>
            </w:r>
          </w:p>
        </w:tc>
      </w:tr>
      <w:tr>
        <w:trPr>
          <w:trHeight w:val="11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上期或上期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9" w:right="0"/>
              <w:jc w:val="left"/>
              <w:rPr>
                <w:rFonts w:ascii="宋体" w:hAnsi="宋体" w:cs="宋体" w:eastAsia="宋体" w:hint="default"/>
                <w:sz w:val="18"/>
                <w:szCs w:val="18"/>
              </w:rPr>
            </w:pPr>
            <w:r>
              <w:rPr>
                <w:rFonts w:ascii="宋体" w:hAnsi="宋体" w:cs="宋体" w:eastAsia="宋体" w:hint="default"/>
                <w:sz w:val="18"/>
                <w:szCs w:val="18"/>
              </w:rPr>
              <w:t>太阳能</w:t>
            </w:r>
          </w:p>
          <w:p>
            <w:pPr>
              <w:pStyle w:val="TableParagraph"/>
              <w:spacing w:line="232" w:lineRule="exact" w:before="23"/>
              <w:ind w:left="379" w:right="101" w:hanging="180"/>
              <w:jc w:val="left"/>
              <w:rPr>
                <w:rFonts w:ascii="宋体" w:hAnsi="宋体" w:cs="宋体" w:eastAsia="宋体" w:hint="default"/>
                <w:sz w:val="18"/>
                <w:szCs w:val="18"/>
              </w:rPr>
            </w:pPr>
            <w:r>
              <w:rPr>
                <w:rFonts w:ascii="宋体" w:hAnsi="宋体" w:cs="宋体" w:eastAsia="宋体" w:hint="default"/>
                <w:sz w:val="18"/>
                <w:szCs w:val="18"/>
              </w:rPr>
              <w:t>热水器 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空气能分部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center"/>
              <w:rPr>
                <w:rFonts w:ascii="宋体" w:hAnsi="宋体" w:cs="宋体" w:eastAsia="宋体" w:hint="default"/>
                <w:sz w:val="18"/>
                <w:szCs w:val="18"/>
              </w:rPr>
            </w:pPr>
            <w:r>
              <w:rPr>
                <w:rFonts w:ascii="宋体" w:hAnsi="宋体" w:cs="宋体" w:eastAsia="宋体" w:hint="default"/>
                <w:sz w:val="18"/>
                <w:szCs w:val="18"/>
              </w:rPr>
              <w:t>净水机分部</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7" w:right="0"/>
              <w:jc w:val="left"/>
              <w:rPr>
                <w:rFonts w:ascii="宋体" w:hAnsi="宋体" w:cs="宋体" w:eastAsia="宋体" w:hint="default"/>
                <w:sz w:val="18"/>
                <w:szCs w:val="18"/>
              </w:rPr>
            </w:pPr>
            <w:r>
              <w:rPr>
                <w:rFonts w:ascii="宋体" w:hAnsi="宋体" w:cs="宋体" w:eastAsia="宋体" w:hint="default"/>
                <w:sz w:val="18"/>
                <w:szCs w:val="18"/>
              </w:rPr>
              <w:t>光伏分部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4" w:right="0"/>
              <w:jc w:val="left"/>
              <w:rPr>
                <w:rFonts w:ascii="宋体" w:hAnsi="宋体" w:cs="宋体" w:eastAsia="宋体" w:hint="default"/>
                <w:sz w:val="18"/>
                <w:szCs w:val="18"/>
              </w:rPr>
            </w:pPr>
            <w:r>
              <w:rPr>
                <w:rFonts w:ascii="宋体" w:hAnsi="宋体" w:cs="宋体" w:eastAsia="宋体" w:hint="default"/>
                <w:sz w:val="18"/>
                <w:szCs w:val="18"/>
              </w:rPr>
              <w:t>厨电分部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电热水器分</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部</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分</w:t>
            </w:r>
          </w:p>
          <w:p>
            <w:pPr>
              <w:pStyle w:val="TableParagraph"/>
              <w:spacing w:line="237" w:lineRule="auto"/>
              <w:ind w:left="100" w:right="55"/>
              <w:jc w:val="both"/>
              <w:rPr>
                <w:rFonts w:ascii="宋体" w:hAnsi="宋体" w:cs="宋体" w:eastAsia="宋体" w:hint="default"/>
                <w:sz w:val="18"/>
                <w:szCs w:val="18"/>
              </w:rPr>
            </w:pPr>
            <w:r>
              <w:rPr>
                <w:rFonts w:ascii="宋体" w:hAnsi="宋体" w:cs="宋体" w:eastAsia="宋体" w:hint="default"/>
                <w:sz w:val="18"/>
                <w:szCs w:val="18"/>
              </w:rPr>
              <w:t>部 间 抵 销</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9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上期营业收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2,052,7</w:t>
            </w:r>
          </w:p>
          <w:p>
            <w:pPr>
              <w:pStyle w:val="TableParagraph"/>
              <w:spacing w:line="234" w:lineRule="exact"/>
              <w:ind w:left="107" w:right="0"/>
              <w:jc w:val="left"/>
              <w:rPr>
                <w:rFonts w:ascii="宋体" w:hAnsi="宋体" w:cs="宋体" w:eastAsia="宋体" w:hint="default"/>
                <w:sz w:val="18"/>
                <w:szCs w:val="18"/>
              </w:rPr>
            </w:pPr>
            <w:r>
              <w:rPr>
                <w:rFonts w:ascii="宋体"/>
                <w:sz w:val="18"/>
              </w:rPr>
              <w:t>12,756.</w:t>
            </w:r>
          </w:p>
          <w:p>
            <w:pPr>
              <w:pStyle w:val="TableParagraph"/>
              <w:spacing w:line="240" w:lineRule="auto"/>
              <w:ind w:left="559" w:right="0"/>
              <w:jc w:val="left"/>
              <w:rPr>
                <w:rFonts w:ascii="宋体" w:hAnsi="宋体" w:cs="宋体" w:eastAsia="宋体" w:hint="default"/>
                <w:sz w:val="18"/>
                <w:szCs w:val="18"/>
              </w:rPr>
            </w:pPr>
            <w:r>
              <w:rPr>
                <w:rFonts w:ascii="宋体"/>
                <w:sz w:val="18"/>
              </w:rPr>
              <w:t>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118,017,92</w:t>
            </w:r>
          </w:p>
          <w:p>
            <w:pPr>
              <w:pStyle w:val="TableParagraph"/>
              <w:spacing w:line="234" w:lineRule="exact"/>
              <w:ind w:left="665" w:right="0"/>
              <w:jc w:val="left"/>
              <w:rPr>
                <w:rFonts w:ascii="宋体" w:hAnsi="宋体" w:cs="宋体" w:eastAsia="宋体" w:hint="default"/>
                <w:sz w:val="18"/>
                <w:szCs w:val="18"/>
              </w:rPr>
            </w:pPr>
            <w:r>
              <w:rPr>
                <w:rFonts w:ascii="宋体"/>
                <w:sz w:val="18"/>
              </w:rPr>
              <w:t>7.45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181,029,56</w:t>
            </w:r>
          </w:p>
          <w:p>
            <w:pPr>
              <w:pStyle w:val="TableParagraph"/>
              <w:spacing w:line="234" w:lineRule="exact"/>
              <w:ind w:left="664" w:right="0"/>
              <w:jc w:val="left"/>
              <w:rPr>
                <w:rFonts w:ascii="宋体" w:hAnsi="宋体" w:cs="宋体" w:eastAsia="宋体" w:hint="default"/>
                <w:sz w:val="18"/>
                <w:szCs w:val="18"/>
              </w:rPr>
            </w:pPr>
            <w:r>
              <w:rPr>
                <w:rFonts w:ascii="宋体"/>
                <w:sz w:val="18"/>
              </w:rPr>
              <w:t>6.15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2,351,760,2</w:t>
            </w:r>
          </w:p>
          <w:p>
            <w:pPr>
              <w:pStyle w:val="TableParagraph"/>
              <w:spacing w:line="234" w:lineRule="exact"/>
              <w:ind w:left="703" w:right="0"/>
              <w:jc w:val="left"/>
              <w:rPr>
                <w:rFonts w:ascii="宋体" w:hAnsi="宋体" w:cs="宋体" w:eastAsia="宋体" w:hint="default"/>
                <w:sz w:val="18"/>
                <w:szCs w:val="18"/>
              </w:rPr>
            </w:pPr>
            <w:r>
              <w:rPr>
                <w:rFonts w:ascii="宋体"/>
                <w:sz w:val="18"/>
              </w:rPr>
              <w:t>50.50</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其中：对外交</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易收入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2,052,7</w:t>
            </w:r>
          </w:p>
          <w:p>
            <w:pPr>
              <w:pStyle w:val="TableParagraph"/>
              <w:spacing w:line="234" w:lineRule="exact"/>
              <w:ind w:left="107" w:right="0"/>
              <w:jc w:val="left"/>
              <w:rPr>
                <w:rFonts w:ascii="宋体" w:hAnsi="宋体" w:cs="宋体" w:eastAsia="宋体" w:hint="default"/>
                <w:sz w:val="18"/>
                <w:szCs w:val="18"/>
              </w:rPr>
            </w:pPr>
            <w:r>
              <w:rPr>
                <w:rFonts w:ascii="宋体"/>
                <w:sz w:val="18"/>
              </w:rPr>
              <w:t>12,756.</w:t>
            </w:r>
          </w:p>
          <w:p>
            <w:pPr>
              <w:pStyle w:val="TableParagraph"/>
              <w:spacing w:line="240" w:lineRule="auto"/>
              <w:ind w:left="559" w:right="0"/>
              <w:jc w:val="left"/>
              <w:rPr>
                <w:rFonts w:ascii="宋体" w:hAnsi="宋体" w:cs="宋体" w:eastAsia="宋体" w:hint="default"/>
                <w:sz w:val="18"/>
                <w:szCs w:val="18"/>
              </w:rPr>
            </w:pPr>
            <w:r>
              <w:rPr>
                <w:rFonts w:ascii="宋体"/>
                <w:sz w:val="18"/>
              </w:rPr>
              <w:t>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118,017,92</w:t>
            </w:r>
          </w:p>
          <w:p>
            <w:pPr>
              <w:pStyle w:val="TableParagraph"/>
              <w:spacing w:line="234" w:lineRule="exact"/>
              <w:ind w:left="665" w:right="0"/>
              <w:jc w:val="left"/>
              <w:rPr>
                <w:rFonts w:ascii="宋体" w:hAnsi="宋体" w:cs="宋体" w:eastAsia="宋体" w:hint="default"/>
                <w:sz w:val="18"/>
                <w:szCs w:val="18"/>
              </w:rPr>
            </w:pPr>
            <w:r>
              <w:rPr>
                <w:rFonts w:ascii="宋体"/>
                <w:sz w:val="18"/>
              </w:rPr>
              <w:t>7.45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181,029,56</w:t>
            </w:r>
          </w:p>
          <w:p>
            <w:pPr>
              <w:pStyle w:val="TableParagraph"/>
              <w:spacing w:line="234" w:lineRule="exact"/>
              <w:ind w:left="664" w:right="0"/>
              <w:jc w:val="left"/>
              <w:rPr>
                <w:rFonts w:ascii="宋体" w:hAnsi="宋体" w:cs="宋体" w:eastAsia="宋体" w:hint="default"/>
                <w:sz w:val="18"/>
                <w:szCs w:val="18"/>
              </w:rPr>
            </w:pPr>
            <w:r>
              <w:rPr>
                <w:rFonts w:ascii="宋体"/>
                <w:sz w:val="18"/>
              </w:rPr>
              <w:t>6.15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2,351,760,2</w:t>
            </w:r>
          </w:p>
          <w:p>
            <w:pPr>
              <w:pStyle w:val="TableParagraph"/>
              <w:spacing w:line="234" w:lineRule="exact"/>
              <w:ind w:left="703" w:right="0"/>
              <w:jc w:val="left"/>
              <w:rPr>
                <w:rFonts w:ascii="宋体" w:hAnsi="宋体" w:cs="宋体" w:eastAsia="宋体" w:hint="default"/>
                <w:sz w:val="18"/>
                <w:szCs w:val="18"/>
              </w:rPr>
            </w:pPr>
            <w:r>
              <w:rPr>
                <w:rFonts w:ascii="宋体"/>
                <w:sz w:val="18"/>
              </w:rPr>
              <w:t>50.50</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分部间交易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其中：主营业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1,717,6</w:t>
            </w:r>
          </w:p>
          <w:p>
            <w:pPr>
              <w:pStyle w:val="TableParagraph"/>
              <w:spacing w:line="233" w:lineRule="exact"/>
              <w:ind w:left="107" w:right="0"/>
              <w:jc w:val="left"/>
              <w:rPr>
                <w:rFonts w:ascii="宋体" w:hAnsi="宋体" w:cs="宋体" w:eastAsia="宋体" w:hint="default"/>
                <w:sz w:val="18"/>
                <w:szCs w:val="18"/>
              </w:rPr>
            </w:pPr>
            <w:r>
              <w:rPr>
                <w:rFonts w:ascii="宋体"/>
                <w:sz w:val="18"/>
              </w:rPr>
              <w:t>04,165.</w:t>
            </w:r>
          </w:p>
          <w:p>
            <w:pPr>
              <w:pStyle w:val="TableParagraph"/>
              <w:spacing w:line="234" w:lineRule="exact"/>
              <w:ind w:left="559" w:right="0"/>
              <w:jc w:val="left"/>
              <w:rPr>
                <w:rFonts w:ascii="宋体" w:hAnsi="宋体" w:cs="宋体" w:eastAsia="宋体" w:hint="default"/>
                <w:sz w:val="18"/>
                <w:szCs w:val="18"/>
              </w:rPr>
            </w:pPr>
            <w:r>
              <w:rPr>
                <w:rFonts w:ascii="宋体"/>
                <w:sz w:val="18"/>
              </w:rPr>
              <w:t>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118,017,92</w:t>
            </w:r>
          </w:p>
          <w:p>
            <w:pPr>
              <w:pStyle w:val="TableParagraph"/>
              <w:spacing w:line="234" w:lineRule="exact"/>
              <w:ind w:left="665" w:right="0"/>
              <w:jc w:val="left"/>
              <w:rPr>
                <w:rFonts w:ascii="宋体" w:hAnsi="宋体" w:cs="宋体" w:eastAsia="宋体" w:hint="default"/>
                <w:sz w:val="18"/>
                <w:szCs w:val="18"/>
              </w:rPr>
            </w:pPr>
            <w:r>
              <w:rPr>
                <w:rFonts w:ascii="宋体"/>
                <w:sz w:val="18"/>
              </w:rPr>
              <w:t>7.45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171,154,08</w:t>
            </w:r>
          </w:p>
          <w:p>
            <w:pPr>
              <w:pStyle w:val="TableParagraph"/>
              <w:spacing w:line="234" w:lineRule="exact"/>
              <w:ind w:left="664" w:right="0"/>
              <w:jc w:val="left"/>
              <w:rPr>
                <w:rFonts w:ascii="宋体" w:hAnsi="宋体" w:cs="宋体" w:eastAsia="宋体" w:hint="default"/>
                <w:sz w:val="18"/>
                <w:szCs w:val="18"/>
              </w:rPr>
            </w:pPr>
            <w:r>
              <w:rPr>
                <w:rFonts w:ascii="宋体"/>
                <w:sz w:val="18"/>
              </w:rPr>
              <w:t>6.45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sz w:val="18"/>
              </w:rPr>
              <w:t>2,006,776,1</w:t>
            </w:r>
          </w:p>
          <w:p>
            <w:pPr>
              <w:pStyle w:val="TableParagraph"/>
              <w:spacing w:line="234" w:lineRule="exact"/>
              <w:ind w:left="703" w:right="0"/>
              <w:jc w:val="left"/>
              <w:rPr>
                <w:rFonts w:ascii="宋体" w:hAnsi="宋体" w:cs="宋体" w:eastAsia="宋体" w:hint="default"/>
                <w:sz w:val="18"/>
                <w:szCs w:val="18"/>
              </w:rPr>
            </w:pPr>
            <w:r>
              <w:rPr>
                <w:rFonts w:ascii="宋体"/>
                <w:sz w:val="18"/>
              </w:rPr>
              <w:t>79.48</w:t>
            </w:r>
          </w:p>
        </w:tc>
      </w:tr>
    </w:tbl>
    <w:p>
      <w:pPr>
        <w:spacing w:after="0" w:line="234" w:lineRule="exact"/>
        <w:jc w:val="left"/>
        <w:rPr>
          <w:rFonts w:ascii="宋体" w:hAnsi="宋体" w:cs="宋体" w:eastAsia="宋体" w:hint="default"/>
          <w:sz w:val="18"/>
          <w:szCs w:val="18"/>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279"/>
        <w:gridCol w:w="852"/>
        <w:gridCol w:w="1138"/>
        <w:gridCol w:w="1138"/>
        <w:gridCol w:w="1071"/>
        <w:gridCol w:w="1138"/>
        <w:gridCol w:w="1138"/>
        <w:gridCol w:w="348"/>
        <w:gridCol w:w="1267"/>
      </w:tblGrid>
      <w:tr>
        <w:trPr>
          <w:trHeight w:val="71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上期营业成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sz w:val="18"/>
              </w:rPr>
              <w:t>1,239,6</w:t>
            </w:r>
          </w:p>
          <w:p>
            <w:pPr>
              <w:pStyle w:val="TableParagraph"/>
              <w:spacing w:line="233" w:lineRule="exact"/>
              <w:ind w:left="107" w:right="0"/>
              <w:jc w:val="left"/>
              <w:rPr>
                <w:rFonts w:ascii="宋体" w:hAnsi="宋体" w:cs="宋体" w:eastAsia="宋体" w:hint="default"/>
                <w:sz w:val="18"/>
                <w:szCs w:val="18"/>
              </w:rPr>
            </w:pPr>
            <w:r>
              <w:rPr>
                <w:rFonts w:ascii="宋体"/>
                <w:sz w:val="18"/>
              </w:rPr>
              <w:t>81,413.</w:t>
            </w:r>
          </w:p>
          <w:p>
            <w:pPr>
              <w:pStyle w:val="TableParagraph"/>
              <w:spacing w:line="234" w:lineRule="exact"/>
              <w:ind w:left="559" w:right="0"/>
              <w:jc w:val="left"/>
              <w:rPr>
                <w:rFonts w:ascii="宋体" w:hAnsi="宋体" w:cs="宋体" w:eastAsia="宋体" w:hint="default"/>
                <w:sz w:val="18"/>
                <w:szCs w:val="18"/>
              </w:rPr>
            </w:pPr>
            <w:r>
              <w:rPr>
                <w:rFonts w:ascii="宋体"/>
                <w:sz w:val="18"/>
              </w:rPr>
              <w:t>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87,415,320</w:t>
            </w:r>
          </w:p>
          <w:p>
            <w:pPr>
              <w:pStyle w:val="TableParagraph"/>
              <w:spacing w:line="234" w:lineRule="exact"/>
              <w:ind w:right="98"/>
              <w:jc w:val="right"/>
              <w:rPr>
                <w:rFonts w:ascii="宋体" w:hAnsi="宋体" w:cs="宋体" w:eastAsia="宋体" w:hint="default"/>
                <w:sz w:val="18"/>
                <w:szCs w:val="18"/>
              </w:rPr>
            </w:pPr>
            <w:r>
              <w:rPr>
                <w:rFonts w:ascii="宋体"/>
                <w:sz w:val="18"/>
              </w:rPr>
              <w:t>.31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4" w:right="0"/>
              <w:jc w:val="left"/>
              <w:rPr>
                <w:rFonts w:ascii="宋体" w:hAnsi="宋体" w:cs="宋体" w:eastAsia="宋体" w:hint="default"/>
                <w:sz w:val="18"/>
                <w:szCs w:val="18"/>
              </w:rPr>
            </w:pPr>
            <w:r>
              <w:rPr>
                <w:rFonts w:ascii="宋体"/>
                <w:sz w:val="18"/>
              </w:rPr>
              <w:t>111,597,71</w:t>
            </w:r>
          </w:p>
          <w:p>
            <w:pPr>
              <w:pStyle w:val="TableParagraph"/>
              <w:spacing w:line="234" w:lineRule="exact"/>
              <w:ind w:left="664" w:right="0"/>
              <w:jc w:val="left"/>
              <w:rPr>
                <w:rFonts w:ascii="宋体" w:hAnsi="宋体" w:cs="宋体" w:eastAsia="宋体" w:hint="default"/>
                <w:sz w:val="18"/>
                <w:szCs w:val="18"/>
              </w:rPr>
            </w:pPr>
            <w:r>
              <w:rPr>
                <w:rFonts w:ascii="宋体"/>
                <w:sz w:val="18"/>
              </w:rPr>
              <w:t>0.18</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3" w:right="0"/>
              <w:jc w:val="left"/>
              <w:rPr>
                <w:rFonts w:ascii="宋体" w:hAnsi="宋体" w:cs="宋体" w:eastAsia="宋体" w:hint="default"/>
                <w:sz w:val="18"/>
                <w:szCs w:val="18"/>
              </w:rPr>
            </w:pPr>
            <w:r>
              <w:rPr>
                <w:rFonts w:ascii="宋体"/>
                <w:sz w:val="18"/>
              </w:rPr>
              <w:t>1,438,694,4</w:t>
            </w:r>
          </w:p>
          <w:p>
            <w:pPr>
              <w:pStyle w:val="TableParagraph"/>
              <w:spacing w:line="234" w:lineRule="exact"/>
              <w:ind w:left="703" w:right="0"/>
              <w:jc w:val="left"/>
              <w:rPr>
                <w:rFonts w:ascii="宋体" w:hAnsi="宋体" w:cs="宋体" w:eastAsia="宋体" w:hint="default"/>
                <w:sz w:val="18"/>
                <w:szCs w:val="18"/>
              </w:rPr>
            </w:pPr>
            <w:r>
              <w:rPr>
                <w:rFonts w:ascii="宋体"/>
                <w:sz w:val="18"/>
              </w:rPr>
              <w:t>43.50</w:t>
            </w:r>
          </w:p>
        </w:tc>
      </w:tr>
      <w:tr>
        <w:trPr>
          <w:trHeight w:val="7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其中：主营业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1,013,3</w:t>
            </w:r>
          </w:p>
          <w:p>
            <w:pPr>
              <w:pStyle w:val="TableParagraph"/>
              <w:spacing w:line="233" w:lineRule="exact"/>
              <w:ind w:left="107" w:right="0"/>
              <w:jc w:val="left"/>
              <w:rPr>
                <w:rFonts w:ascii="宋体" w:hAnsi="宋体" w:cs="宋体" w:eastAsia="宋体" w:hint="default"/>
                <w:sz w:val="18"/>
                <w:szCs w:val="18"/>
              </w:rPr>
            </w:pPr>
            <w:r>
              <w:rPr>
                <w:rFonts w:ascii="宋体"/>
                <w:sz w:val="18"/>
              </w:rPr>
              <w:t>22,936.</w:t>
            </w:r>
          </w:p>
          <w:p>
            <w:pPr>
              <w:pStyle w:val="TableParagraph"/>
              <w:spacing w:line="234" w:lineRule="exact"/>
              <w:ind w:left="559" w:right="0"/>
              <w:jc w:val="left"/>
              <w:rPr>
                <w:rFonts w:ascii="宋体" w:hAnsi="宋体" w:cs="宋体" w:eastAsia="宋体" w:hint="default"/>
                <w:sz w:val="18"/>
                <w:szCs w:val="18"/>
              </w:rPr>
            </w:pPr>
            <w:r>
              <w:rPr>
                <w:rFonts w:ascii="宋体"/>
                <w:sz w:val="18"/>
              </w:rPr>
              <w:t>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86,987,509</w:t>
            </w:r>
          </w:p>
          <w:p>
            <w:pPr>
              <w:pStyle w:val="TableParagraph"/>
              <w:spacing w:line="234" w:lineRule="exact"/>
              <w:ind w:right="98"/>
              <w:jc w:val="right"/>
              <w:rPr>
                <w:rFonts w:ascii="宋体" w:hAnsi="宋体" w:cs="宋体" w:eastAsia="宋体" w:hint="default"/>
                <w:sz w:val="18"/>
                <w:szCs w:val="18"/>
              </w:rPr>
            </w:pPr>
            <w:r>
              <w:rPr>
                <w:rFonts w:ascii="宋体"/>
                <w:sz w:val="18"/>
              </w:rPr>
              <w:t>.39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105,323,82</w:t>
            </w:r>
          </w:p>
          <w:p>
            <w:pPr>
              <w:pStyle w:val="TableParagraph"/>
              <w:spacing w:line="234" w:lineRule="exact"/>
              <w:ind w:left="664" w:right="0"/>
              <w:jc w:val="left"/>
              <w:rPr>
                <w:rFonts w:ascii="宋体" w:hAnsi="宋体" w:cs="宋体" w:eastAsia="宋体" w:hint="default"/>
                <w:sz w:val="18"/>
                <w:szCs w:val="18"/>
              </w:rPr>
            </w:pPr>
            <w:r>
              <w:rPr>
                <w:rFonts w:ascii="宋体"/>
                <w:sz w:val="18"/>
              </w:rPr>
              <w:t>0.83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sz w:val="18"/>
              </w:rPr>
              <w:t>1,205,634,2</w:t>
            </w:r>
          </w:p>
          <w:p>
            <w:pPr>
              <w:pStyle w:val="TableParagraph"/>
              <w:spacing w:line="234" w:lineRule="exact"/>
              <w:ind w:left="703" w:right="0"/>
              <w:jc w:val="left"/>
              <w:rPr>
                <w:rFonts w:ascii="宋体" w:hAnsi="宋体" w:cs="宋体" w:eastAsia="宋体" w:hint="default"/>
                <w:sz w:val="18"/>
                <w:szCs w:val="18"/>
              </w:rPr>
            </w:pPr>
            <w:r>
              <w:rPr>
                <w:rFonts w:ascii="宋体"/>
                <w:sz w:val="18"/>
              </w:rPr>
              <w:t>66.72</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上期销售费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417,703</w:t>
            </w:r>
          </w:p>
          <w:p>
            <w:pPr>
              <w:pStyle w:val="TableParagraph"/>
              <w:spacing w:line="234" w:lineRule="exact"/>
              <w:ind w:left="107" w:right="0"/>
              <w:jc w:val="left"/>
              <w:rPr>
                <w:rFonts w:ascii="宋体" w:hAnsi="宋体" w:cs="宋体" w:eastAsia="宋体" w:hint="default"/>
                <w:sz w:val="18"/>
                <w:szCs w:val="18"/>
              </w:rPr>
            </w:pPr>
            <w:r>
              <w:rPr>
                <w:rFonts w:ascii="宋体"/>
                <w:sz w:val="18"/>
              </w:rPr>
              <w:t>,094.79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29,184,922</w:t>
            </w:r>
          </w:p>
          <w:p>
            <w:pPr>
              <w:pStyle w:val="TableParagraph"/>
              <w:spacing w:line="234" w:lineRule="exact"/>
              <w:ind w:right="98"/>
              <w:jc w:val="right"/>
              <w:rPr>
                <w:rFonts w:ascii="宋体" w:hAnsi="宋体" w:cs="宋体" w:eastAsia="宋体" w:hint="default"/>
                <w:sz w:val="18"/>
                <w:szCs w:val="18"/>
              </w:rPr>
            </w:pPr>
            <w:r>
              <w:rPr>
                <w:rFonts w:ascii="宋体"/>
                <w:sz w:val="18"/>
              </w:rPr>
              <w:t>.98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73,631,375</w:t>
            </w:r>
          </w:p>
          <w:p>
            <w:pPr>
              <w:pStyle w:val="TableParagraph"/>
              <w:spacing w:line="234" w:lineRule="exact"/>
              <w:ind w:right="98"/>
              <w:jc w:val="right"/>
              <w:rPr>
                <w:rFonts w:ascii="宋体" w:hAnsi="宋体" w:cs="宋体" w:eastAsia="宋体" w:hint="default"/>
                <w:sz w:val="18"/>
                <w:szCs w:val="18"/>
              </w:rPr>
            </w:pPr>
            <w:r>
              <w:rPr>
                <w:rFonts w:ascii="宋体"/>
                <w:sz w:val="18"/>
              </w:rPr>
              <w:t>.01</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520,519,392</w:t>
            </w:r>
          </w:p>
          <w:p>
            <w:pPr>
              <w:pStyle w:val="TableParagraph"/>
              <w:spacing w:line="234" w:lineRule="exact"/>
              <w:ind w:right="98"/>
              <w:jc w:val="right"/>
              <w:rPr>
                <w:rFonts w:ascii="宋体" w:hAnsi="宋体" w:cs="宋体" w:eastAsia="宋体" w:hint="default"/>
                <w:sz w:val="18"/>
                <w:szCs w:val="18"/>
              </w:rPr>
            </w:pPr>
            <w:r>
              <w:rPr>
                <w:rFonts w:ascii="宋体"/>
                <w:sz w:val="18"/>
              </w:rPr>
              <w:t>.78</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上期管理费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163,892</w:t>
            </w:r>
          </w:p>
          <w:p>
            <w:pPr>
              <w:pStyle w:val="TableParagraph"/>
              <w:spacing w:line="234" w:lineRule="exact"/>
              <w:ind w:left="107" w:right="0"/>
              <w:jc w:val="left"/>
              <w:rPr>
                <w:rFonts w:ascii="宋体" w:hAnsi="宋体" w:cs="宋体" w:eastAsia="宋体" w:hint="default"/>
                <w:sz w:val="18"/>
                <w:szCs w:val="18"/>
              </w:rPr>
            </w:pPr>
            <w:r>
              <w:rPr>
                <w:rFonts w:ascii="宋体"/>
                <w:sz w:val="18"/>
              </w:rPr>
              <w:t>,442.68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7,746,442.</w:t>
            </w:r>
          </w:p>
          <w:p>
            <w:pPr>
              <w:pStyle w:val="TableParagraph"/>
              <w:spacing w:line="234" w:lineRule="exact"/>
              <w:ind w:right="98"/>
              <w:jc w:val="right"/>
              <w:rPr>
                <w:rFonts w:ascii="宋体" w:hAnsi="宋体" w:cs="宋体" w:eastAsia="宋体" w:hint="default"/>
                <w:sz w:val="18"/>
                <w:szCs w:val="18"/>
              </w:rPr>
            </w:pPr>
            <w:r>
              <w:rPr>
                <w:rFonts w:ascii="宋体"/>
                <w:sz w:val="18"/>
              </w:rPr>
              <w:t>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24,169,809</w:t>
            </w:r>
          </w:p>
          <w:p>
            <w:pPr>
              <w:pStyle w:val="TableParagraph"/>
              <w:spacing w:line="234" w:lineRule="exact"/>
              <w:ind w:right="98"/>
              <w:jc w:val="right"/>
              <w:rPr>
                <w:rFonts w:ascii="宋体" w:hAnsi="宋体" w:cs="宋体" w:eastAsia="宋体" w:hint="default"/>
                <w:sz w:val="18"/>
                <w:szCs w:val="18"/>
              </w:rPr>
            </w:pPr>
            <w:r>
              <w:rPr>
                <w:rFonts w:ascii="宋体"/>
                <w:sz w:val="18"/>
              </w:rPr>
              <w:t>.69</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195,808,694</w:t>
            </w:r>
          </w:p>
          <w:p>
            <w:pPr>
              <w:pStyle w:val="TableParagraph"/>
              <w:spacing w:line="234" w:lineRule="exact"/>
              <w:ind w:right="98"/>
              <w:jc w:val="right"/>
              <w:rPr>
                <w:rFonts w:ascii="宋体" w:hAnsi="宋体" w:cs="宋体" w:eastAsia="宋体" w:hint="default"/>
                <w:sz w:val="18"/>
                <w:szCs w:val="18"/>
              </w:rPr>
            </w:pPr>
            <w:r>
              <w:rPr>
                <w:rFonts w:ascii="宋体"/>
                <w:sz w:val="18"/>
              </w:rPr>
              <w:t>.99</w:t>
            </w:r>
          </w:p>
        </w:tc>
      </w:tr>
      <w:tr>
        <w:trPr>
          <w:trHeight w:val="47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上期营业利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z w:val="18"/>
                <w:szCs w:val="18"/>
              </w:rPr>
              <w:t>/(</w:t>
            </w:r>
            <w:r>
              <w:rPr>
                <w:rFonts w:ascii="宋体" w:hAnsi="宋体" w:cs="宋体" w:eastAsia="宋体" w:hint="default"/>
                <w:sz w:val="18"/>
                <w:szCs w:val="18"/>
              </w:rPr>
              <w:t>亏损</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308,923</w:t>
            </w:r>
          </w:p>
          <w:p>
            <w:pPr>
              <w:pStyle w:val="TableParagraph"/>
              <w:spacing w:line="234" w:lineRule="exact"/>
              <w:ind w:left="107" w:right="0"/>
              <w:jc w:val="left"/>
              <w:rPr>
                <w:rFonts w:ascii="宋体" w:hAnsi="宋体" w:cs="宋体" w:eastAsia="宋体" w:hint="default"/>
                <w:sz w:val="18"/>
                <w:szCs w:val="18"/>
              </w:rPr>
            </w:pPr>
            <w:r>
              <w:rPr>
                <w:rFonts w:ascii="宋体"/>
                <w:sz w:val="18"/>
              </w:rPr>
              <w:t>,682.59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-1,873,698</w:t>
            </w:r>
          </w:p>
          <w:p>
            <w:pPr>
              <w:pStyle w:val="TableParagraph"/>
              <w:spacing w:line="234" w:lineRule="exact"/>
              <w:ind w:right="98"/>
              <w:jc w:val="right"/>
              <w:rPr>
                <w:rFonts w:ascii="宋体" w:hAnsi="宋体" w:cs="宋体" w:eastAsia="宋体" w:hint="default"/>
                <w:sz w:val="18"/>
                <w:szCs w:val="18"/>
              </w:rPr>
            </w:pPr>
            <w:r>
              <w:rPr>
                <w:rFonts w:ascii="宋体"/>
                <w:sz w:val="18"/>
              </w:rPr>
              <w:t>.43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-21,535,64</w:t>
            </w:r>
          </w:p>
          <w:p>
            <w:pPr>
              <w:pStyle w:val="TableParagraph"/>
              <w:spacing w:line="234" w:lineRule="exact"/>
              <w:ind w:left="664" w:right="0"/>
              <w:jc w:val="left"/>
              <w:rPr>
                <w:rFonts w:ascii="宋体" w:hAnsi="宋体" w:cs="宋体" w:eastAsia="宋体" w:hint="default"/>
                <w:sz w:val="18"/>
                <w:szCs w:val="18"/>
              </w:rPr>
            </w:pPr>
            <w:r>
              <w:rPr>
                <w:rFonts w:ascii="宋体"/>
                <w:sz w:val="18"/>
              </w:rPr>
              <w:t>1.67</w:t>
            </w:r>
          </w:p>
        </w:tc>
        <w:tc>
          <w:tcPr>
            <w:tcW w:w="107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285,514,342</w:t>
            </w:r>
          </w:p>
          <w:p>
            <w:pPr>
              <w:pStyle w:val="TableParagraph"/>
              <w:spacing w:line="234" w:lineRule="exact"/>
              <w:ind w:right="98"/>
              <w:jc w:val="right"/>
              <w:rPr>
                <w:rFonts w:ascii="宋体" w:hAnsi="宋体" w:cs="宋体" w:eastAsia="宋体" w:hint="default"/>
                <w:sz w:val="18"/>
                <w:szCs w:val="18"/>
              </w:rPr>
            </w:pPr>
            <w:r>
              <w:rPr>
                <w:rFonts w:ascii="宋体"/>
                <w:sz w:val="18"/>
              </w:rPr>
              <w:t>.49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5"/>
        <w:tabs>
          <w:tab w:pos="1181" w:val="left" w:leader="none"/>
        </w:tabs>
        <w:spacing w:line="240" w:lineRule="auto" w:before="36"/>
        <w:ind w:left="538" w:right="23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380" w:val="left" w:leader="none"/>
        </w:tabs>
        <w:spacing w:line="237" w:lineRule="auto" w:before="59"/>
        <w:ind w:left="538" w:right="237"/>
        <w:jc w:val="left"/>
      </w:pPr>
      <w:r>
        <w:rPr>
          <w:spacing w:val="-1"/>
        </w:rPr>
        <w:t>√适用</w:t>
        <w:tab/>
      </w:r>
      <w:r>
        <w:rPr>
          <w:spacing w:val="-2"/>
        </w:rPr>
        <w:t>□不适用</w:t>
      </w:r>
      <w:r>
        <w:rPr>
          <w:spacing w:val="-99"/>
        </w:rPr>
        <w:t> </w:t>
      </w:r>
      <w:r>
        <w:rPr>
          <w:spacing w:val="-99"/>
        </w:rPr>
      </w:r>
      <w:r>
        <w:rPr>
          <w:spacing w:val="-2"/>
        </w:rPr>
        <w:t>公司不能披露各报告分部的资产总额和负债总额，原因系本公司业务和产品不存在跨行业、跨区</w:t>
      </w:r>
      <w:r>
        <w:rPr>
          <w:spacing w:val="-25"/>
        </w:rPr>
        <w:t> </w:t>
      </w:r>
      <w:r>
        <w:rPr>
          <w:spacing w:val="-25"/>
        </w:rPr>
      </w:r>
      <w:r>
        <w:rPr>
          <w:spacing w:val="-2"/>
        </w:rPr>
        <w:t>域情况，存在一定同质性，其主要资产根据不同业务类别由本公司管理层统一管理和调配，故本</w:t>
      </w:r>
      <w:r>
        <w:rPr>
          <w:spacing w:val="-25"/>
        </w:rPr>
        <w:t> </w:t>
      </w:r>
      <w:r>
        <w:rPr>
          <w:spacing w:val="-25"/>
        </w:rPr>
      </w:r>
      <w:r>
        <w:rPr/>
        <w:t>公司不拟披露分部的资产总额和负债总额。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tabs>
          <w:tab w:pos="1181" w:val="left" w:leader="none"/>
        </w:tabs>
        <w:spacing w:line="240" w:lineRule="auto"/>
        <w:ind w:left="538" w:right="237"/>
        <w:jc w:val="left"/>
        <w:rPr>
          <w:b w:val="0"/>
          <w:bCs w:val="0"/>
        </w:rPr>
      </w:pPr>
      <w:r>
        <w:rPr>
          <w:rFonts w:ascii="宋体" w:hAnsi="宋体" w:cs="宋体" w:eastAsia="宋体" w:hint="default"/>
          <w:w w:val="95"/>
        </w:rPr>
        <w:t>(4).</w:t>
        <w:tab/>
      </w:r>
      <w:r>
        <w:rPr/>
        <w:t>其他说明：</w:t>
      </w:r>
      <w:r>
        <w:rPr>
          <w:b w:val="0"/>
          <w:bCs w:val="0"/>
        </w:rPr>
      </w:r>
    </w:p>
    <w:p>
      <w:pPr>
        <w:pStyle w:val="BodyText"/>
        <w:tabs>
          <w:tab w:pos="1380" w:val="left" w:leader="none"/>
        </w:tabs>
        <w:spacing w:line="240" w:lineRule="auto" w:before="56"/>
        <w:ind w:left="538" w:right="23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538" w:right="237"/>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380" w:val="left" w:leader="none"/>
        </w:tabs>
        <w:spacing w:line="240" w:lineRule="auto" w:before="135"/>
        <w:ind w:left="538" w:right="237"/>
        <w:jc w:val="left"/>
      </w:pPr>
      <w:r>
        <w:rPr>
          <w:spacing w:val="-1"/>
        </w:rPr>
        <w:t>□适用</w:t>
        <w:tab/>
      </w:r>
      <w:r>
        <w:rPr>
          <w:spacing w:val="-2"/>
        </w:rPr>
        <w:t>√不适用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080" w:bottom="1380" w:left="1260" w:right="1040"/>
        </w:sectPr>
      </w:pPr>
    </w:p>
    <w:p>
      <w:pPr>
        <w:pStyle w:val="Heading5"/>
        <w:spacing w:line="240" w:lineRule="auto" w:before="36"/>
        <w:ind w:left="5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380" w:val="left" w:leader="none"/>
        </w:tabs>
        <w:spacing w:line="240" w:lineRule="auto" w:before="58"/>
        <w:ind w:left="538" w:right="0"/>
        <w:jc w:val="left"/>
      </w:pPr>
      <w:r>
        <w:rPr>
          <w:spacing w:val="-1"/>
        </w:rPr>
        <w:t>□适用</w:t>
        <w:tab/>
      </w:r>
      <w:r>
        <w:rPr>
          <w:spacing w:val="-2"/>
        </w:rPr>
        <w:t>√不适用</w:t>
      </w:r>
    </w:p>
    <w:p>
      <w:pPr>
        <w:pStyle w:val="Heading5"/>
        <w:tabs>
          <w:tab w:pos="1377" w:val="left" w:leader="none"/>
        </w:tabs>
        <w:spacing w:line="290" w:lineRule="auto" w:before="56"/>
        <w:ind w:left="5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5"/>
        <w:tabs>
          <w:tab w:pos="1377" w:val="left" w:leader="none"/>
        </w:tabs>
        <w:spacing w:line="240" w:lineRule="auto" w:before="12"/>
        <w:ind w:left="679"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380" w:val="left" w:leader="none"/>
        </w:tabs>
        <w:spacing w:line="240" w:lineRule="auto" w:before="58"/>
        <w:ind w:left="5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589" w:val="left" w:leader="none"/>
        </w:tabs>
        <w:spacing w:line="240" w:lineRule="auto" w:before="138"/>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4119" w:space="2402"/>
            <w:col w:w="3089"/>
          </w:cols>
        </w:sectPr>
      </w:pPr>
    </w:p>
    <w:p>
      <w:pPr>
        <w:spacing w:line="240" w:lineRule="auto" w:before="7"/>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866"/>
        <w:gridCol w:w="1037"/>
        <w:gridCol w:w="464"/>
        <w:gridCol w:w="960"/>
        <w:gridCol w:w="516"/>
        <w:gridCol w:w="1037"/>
        <w:gridCol w:w="1039"/>
        <w:gridCol w:w="461"/>
        <w:gridCol w:w="963"/>
        <w:gridCol w:w="516"/>
        <w:gridCol w:w="1037"/>
      </w:tblGrid>
      <w:tr>
        <w:trPr>
          <w:trHeight w:val="269" w:hRule="exact"/>
        </w:trPr>
        <w:tc>
          <w:tcPr>
            <w:tcW w:w="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种类</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5" w:hRule="exact"/>
        </w:trPr>
        <w:tc>
          <w:tcPr>
            <w:tcW w:w="866" w:type="dxa"/>
            <w:vMerge/>
            <w:tcBorders>
              <w:left w:val="single" w:sz="4" w:space="0" w:color="000000"/>
              <w:right w:val="single" w:sz="4" w:space="0" w:color="000000"/>
            </w:tcBorders>
          </w:tcPr>
          <w:p>
            <w:pPr/>
          </w:p>
        </w:tc>
        <w:tc>
          <w:tcPr>
            <w:tcW w:w="1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4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93"/>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4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93"/>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401" w:hRule="exact"/>
        </w:trPr>
        <w:tc>
          <w:tcPr>
            <w:tcW w:w="866"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0"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10" w:right="0"/>
              <w:jc w:val="left"/>
              <w:rPr>
                <w:rFonts w:ascii="宋体" w:hAnsi="宋体" w:cs="宋体" w:eastAsia="宋体" w:hint="default"/>
                <w:sz w:val="15"/>
                <w:szCs w:val="15"/>
              </w:rPr>
            </w:pPr>
            <w:r>
              <w:rPr>
                <w:rFonts w:ascii="宋体"/>
                <w:sz w:val="15"/>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4"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4"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0"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10" w:right="0"/>
              <w:jc w:val="left"/>
              <w:rPr>
                <w:rFonts w:ascii="宋体" w:hAnsi="宋体" w:cs="宋体" w:eastAsia="宋体" w:hint="default"/>
                <w:sz w:val="15"/>
                <w:szCs w:val="15"/>
              </w:rPr>
            </w:pPr>
            <w:r>
              <w:rPr>
                <w:rFonts w:ascii="宋体"/>
                <w:sz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4"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4"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78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w:t>
            </w:r>
          </w:p>
          <w:p>
            <w:pPr>
              <w:pStyle w:val="TableParagraph"/>
              <w:spacing w:line="240" w:lineRule="auto"/>
              <w:ind w:left="26" w:right="74"/>
              <w:jc w:val="both"/>
              <w:rPr>
                <w:rFonts w:ascii="宋体" w:hAnsi="宋体" w:cs="宋体" w:eastAsia="宋体" w:hint="default"/>
                <w:sz w:val="15"/>
                <w:szCs w:val="15"/>
              </w:rPr>
            </w:pPr>
            <w:r>
              <w:rPr>
                <w:rFonts w:ascii="宋体" w:hAnsi="宋体" w:cs="宋体" w:eastAsia="宋体" w:hint="default"/>
                <w:sz w:val="15"/>
                <w:szCs w:val="15"/>
              </w:rPr>
              <w:t>大并单独计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的应收账款</w:t>
            </w:r>
          </w:p>
        </w:tc>
        <w:tc>
          <w:tcPr>
            <w:tcW w:w="1037"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w:t>
            </w:r>
          </w:p>
          <w:p>
            <w:pPr>
              <w:pStyle w:val="TableParagraph"/>
              <w:spacing w:line="240" w:lineRule="auto"/>
              <w:ind w:left="26" w:right="74"/>
              <w:jc w:val="both"/>
              <w:rPr>
                <w:rFonts w:ascii="宋体" w:hAnsi="宋体" w:cs="宋体" w:eastAsia="宋体" w:hint="default"/>
                <w:sz w:val="15"/>
                <w:szCs w:val="15"/>
              </w:rPr>
            </w:pPr>
            <w:r>
              <w:rPr>
                <w:rFonts w:ascii="宋体" w:hAnsi="宋体" w:cs="宋体" w:eastAsia="宋体" w:hint="default"/>
                <w:sz w:val="15"/>
                <w:szCs w:val="15"/>
              </w:rPr>
              <w:t>特征组合计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的应收账款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18,361,580.86</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2" w:right="0"/>
              <w:jc w:val="center"/>
              <w:rPr>
                <w:rFonts w:ascii="宋体" w:hAnsi="宋体" w:cs="宋体" w:eastAsia="宋体" w:hint="default"/>
                <w:sz w:val="15"/>
                <w:szCs w:val="15"/>
              </w:rPr>
            </w:pPr>
            <w:r>
              <w:rPr>
                <w:rFonts w:ascii="宋体"/>
                <w:sz w:val="15"/>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1,383,311.29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16,978,269.57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16,712,209.38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2,218,029.64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13.27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14,494,179.74</w:t>
            </w:r>
          </w:p>
        </w:tc>
      </w:tr>
      <w:tr>
        <w:trPr>
          <w:trHeight w:val="20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w w:val="100"/>
                <w:sz w:val="15"/>
                <w:szCs w:val="15"/>
              </w:rPr>
              <w:t>其中</w:t>
            </w:r>
            <w:r>
              <w:rPr>
                <w:rFonts w:ascii="宋体" w:hAnsi="宋体" w:cs="宋体" w:eastAsia="宋体" w:hint="default"/>
                <w:spacing w:val="-63"/>
                <w:w w:val="100"/>
                <w:sz w:val="15"/>
                <w:szCs w:val="15"/>
              </w:rPr>
              <w:t>：</w:t>
            </w:r>
            <w:r>
              <w:rPr>
                <w:rFonts w:ascii="宋体" w:hAnsi="宋体" w:cs="宋体" w:eastAsia="宋体" w:hint="default"/>
                <w:spacing w:val="-3"/>
                <w:w w:val="100"/>
                <w:sz w:val="15"/>
                <w:szCs w:val="15"/>
              </w:rPr>
              <w:t>组</w:t>
            </w:r>
            <w:r>
              <w:rPr>
                <w:rFonts w:ascii="宋体" w:hAnsi="宋体" w:cs="宋体" w:eastAsia="宋体" w:hint="default"/>
                <w:w w:val="100"/>
                <w:sz w:val="15"/>
                <w:szCs w:val="15"/>
              </w:rPr>
              <w:t>合</w:t>
            </w:r>
            <w:r>
              <w:rPr>
                <w:rFonts w:ascii="宋体" w:hAnsi="宋体" w:cs="宋体" w:eastAsia="宋体" w:hint="default"/>
                <w:spacing w:val="-37"/>
                <w:sz w:val="15"/>
                <w:szCs w:val="15"/>
              </w:rPr>
              <w:t> </w:t>
            </w:r>
            <w:r>
              <w:rPr>
                <w:rFonts w:ascii="宋体" w:hAnsi="宋体" w:cs="宋体" w:eastAsia="宋体" w:hint="default"/>
                <w:w w:val="100"/>
                <w:sz w:val="15"/>
                <w:szCs w:val="15"/>
              </w:rPr>
              <w:t>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16,833,474.42</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2" w:right="0"/>
              <w:jc w:val="center"/>
              <w:rPr>
                <w:rFonts w:ascii="宋体" w:hAnsi="宋体" w:cs="宋体" w:eastAsia="宋体" w:hint="default"/>
                <w:sz w:val="15"/>
                <w:szCs w:val="15"/>
              </w:rPr>
            </w:pPr>
            <w:r>
              <w:rPr>
                <w:rFonts w:ascii="宋体"/>
                <w:sz w:val="15"/>
              </w:rPr>
              <w:t>91.68</w:t>
            </w:r>
          </w:p>
        </w:tc>
        <w:tc>
          <w:tcPr>
            <w:tcW w:w="96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16,833,474.42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sz w:val="15"/>
              </w:rPr>
              <w:t>12,135,605.76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72.62</w:t>
            </w:r>
          </w:p>
        </w:tc>
        <w:tc>
          <w:tcPr>
            <w:tcW w:w="96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12,135,605.76</w:t>
            </w:r>
          </w:p>
        </w:tc>
      </w:tr>
      <w:tr>
        <w:trPr>
          <w:trHeight w:val="39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77" w:right="0"/>
              <w:jc w:val="left"/>
              <w:rPr>
                <w:rFonts w:ascii="宋体" w:hAnsi="宋体" w:cs="宋体" w:eastAsia="宋体" w:hint="default"/>
                <w:sz w:val="15"/>
                <w:szCs w:val="15"/>
              </w:rPr>
            </w:pPr>
            <w:r>
              <w:rPr>
                <w:rFonts w:ascii="宋体" w:hAnsi="宋体" w:cs="宋体" w:eastAsia="宋体" w:hint="default"/>
                <w:sz w:val="15"/>
                <w:szCs w:val="15"/>
              </w:rPr>
              <w:t>组合</w:t>
            </w:r>
          </w:p>
          <w:p>
            <w:pPr>
              <w:pStyle w:val="TableParagraph"/>
              <w:spacing w:line="195" w:lineRule="exact"/>
              <w:ind w:left="26" w:right="0"/>
              <w:jc w:val="left"/>
              <w:rPr>
                <w:rFonts w:ascii="宋体" w:hAnsi="宋体" w:cs="宋体" w:eastAsia="宋体" w:hint="default"/>
                <w:sz w:val="15"/>
                <w:szCs w:val="15"/>
              </w:rPr>
            </w:pPr>
            <w:r>
              <w:rPr>
                <w:rFonts w:ascii="宋体"/>
                <w:w w:val="100"/>
                <w:sz w:val="15"/>
              </w:rPr>
              <w:t>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1,528,106.44</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6" w:right="0"/>
              <w:jc w:val="center"/>
              <w:rPr>
                <w:rFonts w:ascii="宋体" w:hAnsi="宋体" w:cs="宋体" w:eastAsia="宋体" w:hint="default"/>
                <w:sz w:val="15"/>
                <w:szCs w:val="15"/>
              </w:rPr>
            </w:pPr>
            <w:r>
              <w:rPr>
                <w:rFonts w:ascii="宋体"/>
                <w:sz w:val="15"/>
              </w:rPr>
              <w:t>8.32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1,383,311.29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90.52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144,795.15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2" w:right="0"/>
              <w:jc w:val="center"/>
              <w:rPr>
                <w:rFonts w:ascii="宋体" w:hAnsi="宋体" w:cs="宋体" w:eastAsia="宋体" w:hint="default"/>
                <w:sz w:val="15"/>
                <w:szCs w:val="15"/>
              </w:rPr>
            </w:pPr>
            <w:r>
              <w:rPr>
                <w:rFonts w:ascii="宋体"/>
                <w:sz w:val="15"/>
              </w:rPr>
              <w:t>4,576,603.62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27.38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2,218,029.64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48.46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2,358,573.98</w:t>
            </w:r>
          </w:p>
        </w:tc>
      </w:tr>
      <w:tr>
        <w:trPr>
          <w:trHeight w:val="98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w:t>
            </w:r>
          </w:p>
          <w:p>
            <w:pPr>
              <w:pStyle w:val="TableParagraph"/>
              <w:spacing w:line="240" w:lineRule="auto"/>
              <w:ind w:left="26" w:right="74"/>
              <w:jc w:val="both"/>
              <w:rPr>
                <w:rFonts w:ascii="宋体" w:hAnsi="宋体" w:cs="宋体" w:eastAsia="宋体" w:hint="default"/>
                <w:sz w:val="15"/>
                <w:szCs w:val="15"/>
              </w:rPr>
            </w:pPr>
            <w:r>
              <w:rPr>
                <w:rFonts w:ascii="宋体" w:hAnsi="宋体" w:cs="宋体" w:eastAsia="宋体" w:hint="default"/>
                <w:sz w:val="15"/>
                <w:szCs w:val="15"/>
              </w:rPr>
              <w:t>重大但单独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计提坏账准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备的应收账</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款</w:t>
            </w:r>
          </w:p>
        </w:tc>
        <w:tc>
          <w:tcPr>
            <w:tcW w:w="1037"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202" w:type="dxa"/>
        <w:tblLayout w:type="fixed"/>
        <w:tblCellMar>
          <w:top w:w="0" w:type="dxa"/>
          <w:left w:w="0" w:type="dxa"/>
          <w:bottom w:w="0" w:type="dxa"/>
          <w:right w:w="0" w:type="dxa"/>
        </w:tblCellMar>
        <w:tblLook w:val="01E0"/>
      </w:tblPr>
      <w:tblGrid>
        <w:gridCol w:w="866"/>
        <w:gridCol w:w="1037"/>
        <w:gridCol w:w="464"/>
        <w:gridCol w:w="960"/>
        <w:gridCol w:w="516"/>
        <w:gridCol w:w="1037"/>
        <w:gridCol w:w="1039"/>
        <w:gridCol w:w="461"/>
        <w:gridCol w:w="963"/>
        <w:gridCol w:w="516"/>
        <w:gridCol w:w="1037"/>
      </w:tblGrid>
      <w:tr>
        <w:trPr>
          <w:trHeight w:val="20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7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sz w:val="15"/>
              </w:rPr>
              <w:t>18,361,580.86</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
              <w:jc w:val="center"/>
              <w:rPr>
                <w:rFonts w:ascii="宋体" w:hAnsi="宋体" w:cs="宋体" w:eastAsia="宋体" w:hint="default"/>
                <w:sz w:val="15"/>
                <w:szCs w:val="15"/>
              </w:rPr>
            </w:pPr>
            <w:r>
              <w:rPr>
                <w:rFonts w:ascii="宋体"/>
                <w:w w:val="100"/>
                <w:sz w:val="15"/>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sz w:val="15"/>
              </w:rPr>
              <w:t>1,383,311.29</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sz w:val="15"/>
              </w:rPr>
              <w:t>16,978,269.57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sz w:val="15"/>
              </w:rPr>
              <w:t>16,712,209.38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sz w:val="15"/>
              </w:rPr>
              <w:t>2,218,029.64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sz w:val="15"/>
              </w:rPr>
              <w:t>14,494,179.74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080" w:bottom="1380" w:left="1560" w:right="1040"/>
        </w:sectPr>
      </w:pPr>
    </w:p>
    <w:p>
      <w:pPr>
        <w:pStyle w:val="BodyText"/>
        <w:spacing w:line="240" w:lineRule="auto" w:before="36"/>
        <w:ind w:left="238" w:right="0"/>
        <w:jc w:val="left"/>
      </w:pPr>
      <w:r>
        <w:rPr>
          <w:spacing w:val="-2"/>
        </w:rPr>
        <w:t>期末单项金额重大并单项计提坏账准备的应收账款：</w:t>
      </w:r>
    </w:p>
    <w:p>
      <w:pPr>
        <w:pStyle w:val="BodyText"/>
        <w:spacing w:line="290" w:lineRule="auto" w:before="56"/>
        <w:ind w:left="23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5073" w:space="144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2,913.13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291.31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40,422.64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12,126.79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227,754.97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113,877.49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1,257,015.70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1,257,015.70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1,528,106.44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1,383,311.29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90.52</w:t>
            </w:r>
          </w:p>
        </w:tc>
      </w:tr>
    </w:tbl>
    <w:p>
      <w:pPr>
        <w:spacing w:line="240" w:lineRule="auto" w:before="2"/>
        <w:rPr>
          <w:rFonts w:ascii="宋体" w:hAnsi="宋体" w:cs="宋体" w:eastAsia="宋体" w:hint="default"/>
          <w:sz w:val="20"/>
          <w:szCs w:val="20"/>
        </w:rPr>
      </w:pPr>
    </w:p>
    <w:p>
      <w:pPr>
        <w:pStyle w:val="BodyText"/>
        <w:spacing w:line="290" w:lineRule="auto" w:before="36"/>
        <w:ind w:left="238" w:right="6590"/>
        <w:jc w:val="left"/>
      </w:pPr>
      <w:r>
        <w:rPr>
          <w:spacing w:val="-2"/>
        </w:rPr>
        <w:t>确定该组合依据的说明：</w:t>
      </w:r>
      <w:r>
        <w:rPr>
          <w:spacing w:val="-83"/>
        </w:rPr>
        <w:t> </w:t>
      </w:r>
      <w:r>
        <w:rPr>
          <w:spacing w:val="-83"/>
        </w:rPr>
      </w:r>
      <w:r>
        <w:rPr/>
        <w:t>无</w:t>
      </w:r>
    </w:p>
    <w:p>
      <w:pPr>
        <w:spacing w:line="240" w:lineRule="auto" w:before="11"/>
        <w:rPr>
          <w:rFonts w:ascii="宋体" w:hAnsi="宋体" w:cs="宋体" w:eastAsia="宋体" w:hint="default"/>
          <w:sz w:val="21"/>
          <w:szCs w:val="21"/>
        </w:rPr>
      </w:pPr>
    </w:p>
    <w:p>
      <w:pPr>
        <w:pStyle w:val="BodyText"/>
        <w:spacing w:line="240" w:lineRule="auto"/>
        <w:ind w:left="238" w:right="25"/>
        <w:jc w:val="left"/>
      </w:pPr>
      <w:r>
        <w:rPr/>
        <w:t>组合中，采用余额百分比法计提坏账准备的应收账款：</w:t>
      </w:r>
    </w:p>
    <w:p>
      <w:pPr>
        <w:pStyle w:val="BodyText"/>
        <w:spacing w:line="240" w:lineRule="auto" w:before="58"/>
        <w:ind w:left="238" w:right="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238" w:right="25"/>
        <w:jc w:val="left"/>
      </w:pPr>
      <w:r>
        <w:rPr/>
        <w:t>组合中，采用其他方法计提坏账准备的应收账款：</w:t>
      </w:r>
    </w:p>
    <w:p>
      <w:pPr>
        <w:pStyle w:val="BodyText"/>
        <w:spacing w:line="240" w:lineRule="auto" w:before="58"/>
        <w:ind w:left="238" w:right="2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5"/>
        <w:tabs>
          <w:tab w:pos="1077" w:val="left" w:leader="none"/>
        </w:tabs>
        <w:spacing w:line="240" w:lineRule="auto"/>
        <w:ind w:left="379" w:right="25"/>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238" w:right="25"/>
        <w:jc w:val="left"/>
      </w:pPr>
      <w:r>
        <w:rPr/>
        <w:t>本期计提坏账准备金额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834,718.35</w:t>
      </w:r>
      <w:r>
        <w:rPr>
          <w:rFonts w:ascii="宋体" w:hAnsi="宋体" w:cs="宋体" w:eastAsia="宋体" w:hint="default"/>
          <w:spacing w:val="-57"/>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left="238" w:right="25"/>
        <w:jc w:val="left"/>
      </w:pPr>
      <w:r>
        <w:rPr/>
        <w:t>其中本期坏账准备收回或转回金额重要的：</w:t>
      </w:r>
    </w:p>
    <w:p>
      <w:pPr>
        <w:pStyle w:val="BodyText"/>
        <w:spacing w:line="274" w:lineRule="exact"/>
        <w:ind w:left="238" w:right="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tabs>
          <w:tab w:pos="1077" w:val="left" w:leader="none"/>
        </w:tabs>
        <w:spacing w:line="240" w:lineRule="auto"/>
        <w:ind w:left="379" w:right="25"/>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238" w:right="5789"/>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238" w:right="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tabs>
          <w:tab w:pos="1077" w:val="left" w:leader="none"/>
        </w:tabs>
        <w:spacing w:line="240" w:lineRule="auto"/>
        <w:ind w:left="379" w:right="2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080" w:val="left" w:leader="none"/>
        </w:tabs>
        <w:spacing w:line="240" w:lineRule="auto" w:before="56"/>
        <w:ind w:left="238" w:right="25"/>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3458"/>
        <w:gridCol w:w="1969"/>
        <w:gridCol w:w="2385"/>
        <w:gridCol w:w="1252"/>
      </w:tblGrid>
      <w:tr>
        <w:trPr>
          <w:trHeight w:val="936" w:hRule="exact"/>
        </w:trPr>
        <w:tc>
          <w:tcPr>
            <w:tcW w:w="345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69"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944" w:right="178"/>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c>
          <w:tcPr>
            <w:tcW w:w="2385"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708" w:right="301" w:hanging="528"/>
              <w:jc w:val="left"/>
              <w:rPr>
                <w:rFonts w:ascii="宋体" w:hAnsi="宋体" w:cs="宋体" w:eastAsia="宋体" w:hint="default"/>
                <w:sz w:val="21"/>
                <w:szCs w:val="21"/>
              </w:rPr>
            </w:pPr>
            <w:r>
              <w:rPr>
                <w:rFonts w:ascii="宋体" w:hAnsi="宋体" w:cs="宋体" w:eastAsia="宋体" w:hint="default"/>
                <w:b/>
                <w:bCs/>
                <w:sz w:val="21"/>
                <w:szCs w:val="21"/>
              </w:rPr>
              <w:t>占应收账款期末余额</w:t>
            </w:r>
            <w:r>
              <w:rPr>
                <w:rFonts w:ascii="宋体" w:hAnsi="宋体" w:cs="宋体" w:eastAsia="宋体" w:hint="default"/>
                <w:b/>
                <w:bCs/>
                <w:spacing w:val="-103"/>
                <w:sz w:val="21"/>
                <w:szCs w:val="21"/>
              </w:rPr>
              <w:t> </w:t>
            </w:r>
            <w:r>
              <w:rPr>
                <w:rFonts w:ascii="宋体" w:hAnsi="宋体" w:cs="宋体" w:eastAsia="宋体" w:hint="default"/>
                <w:b/>
                <w:bCs/>
                <w:sz w:val="21"/>
                <w:szCs w:val="21"/>
              </w:rPr>
              <w:t>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252"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303" w:right="101"/>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96" w:hRule="exact"/>
        </w:trPr>
        <w:tc>
          <w:tcPr>
            <w:tcW w:w="3458"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江苏四季沐歌电子商务有限公司</w:t>
            </w:r>
          </w:p>
        </w:tc>
        <w:tc>
          <w:tcPr>
            <w:tcW w:w="1969"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90" w:right="0"/>
              <w:jc w:val="left"/>
              <w:rPr>
                <w:rFonts w:ascii="宋体" w:hAnsi="宋体" w:cs="宋体" w:eastAsia="宋体" w:hint="default"/>
                <w:sz w:val="21"/>
                <w:szCs w:val="21"/>
              </w:rPr>
            </w:pPr>
            <w:r>
              <w:rPr>
                <w:rFonts w:ascii="宋体"/>
                <w:sz w:val="21"/>
              </w:rPr>
              <w:t>16,234,934.2</w:t>
            </w:r>
          </w:p>
        </w:tc>
        <w:tc>
          <w:tcPr>
            <w:tcW w:w="238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552" w:right="0"/>
              <w:jc w:val="left"/>
              <w:rPr>
                <w:rFonts w:ascii="宋体" w:hAnsi="宋体" w:cs="宋体" w:eastAsia="宋体" w:hint="default"/>
                <w:sz w:val="21"/>
                <w:szCs w:val="21"/>
              </w:rPr>
            </w:pPr>
            <w:r>
              <w:rPr>
                <w:rFonts w:ascii="宋体"/>
                <w:sz w:val="21"/>
              </w:rPr>
              <w:t>88.42</w:t>
            </w:r>
          </w:p>
        </w:tc>
        <w:tc>
          <w:tcPr>
            <w:tcW w:w="1252" w:type="dxa"/>
            <w:tcBorders>
              <w:top w:val="single" w:sz="4" w:space="0" w:color="000000"/>
              <w:left w:val="nil" w:sz="6" w:space="0" w:color="auto"/>
              <w:bottom w:val="single" w:sz="4" w:space="0" w:color="000000"/>
              <w:right w:val="nil" w:sz="6" w:space="0" w:color="auto"/>
            </w:tcBorders>
          </w:tcPr>
          <w:p>
            <w:pPr/>
          </w:p>
        </w:tc>
      </w:tr>
    </w:tbl>
    <w:p>
      <w:pPr>
        <w:spacing w:after="0"/>
        <w:sectPr>
          <w:type w:val="continuous"/>
          <w:pgSz w:w="11910" w:h="16840"/>
          <w:pgMar w:top="1120" w:bottom="1380" w:left="1560" w:right="1040"/>
        </w:sectPr>
      </w:pPr>
    </w:p>
    <w:p>
      <w:pPr>
        <w:spacing w:line="240" w:lineRule="auto" w:before="3"/>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2991"/>
        <w:gridCol w:w="2960"/>
        <w:gridCol w:w="1554"/>
        <w:gridCol w:w="1367"/>
      </w:tblGrid>
      <w:tr>
        <w:trPr>
          <w:trHeight w:val="410" w:hRule="exact"/>
        </w:trPr>
        <w:tc>
          <w:tcPr>
            <w:tcW w:w="2991" w:type="dxa"/>
            <w:tcBorders>
              <w:top w:val="single" w:sz="6" w:space="0" w:color="000000"/>
              <w:left w:val="nil" w:sz="6" w:space="0" w:color="auto"/>
              <w:bottom w:val="single" w:sz="4" w:space="0" w:color="000000"/>
              <w:right w:val="nil" w:sz="6" w:space="0" w:color="auto"/>
            </w:tcBorders>
          </w:tcPr>
          <w:p>
            <w:pPr/>
          </w:p>
        </w:tc>
        <w:tc>
          <w:tcPr>
            <w:tcW w:w="2960" w:type="dxa"/>
            <w:tcBorders>
              <w:top w:val="single" w:sz="6" w:space="0" w:color="000000"/>
              <w:left w:val="nil" w:sz="6" w:space="0" w:color="auto"/>
              <w:bottom w:val="single" w:sz="4" w:space="0" w:color="000000"/>
              <w:right w:val="nil" w:sz="6" w:space="0" w:color="auto"/>
            </w:tcBorders>
          </w:tcPr>
          <w:p>
            <w:pPr/>
          </w:p>
        </w:tc>
        <w:tc>
          <w:tcPr>
            <w:tcW w:w="1554" w:type="dxa"/>
            <w:tcBorders>
              <w:top w:val="single" w:sz="6" w:space="0" w:color="000000"/>
              <w:left w:val="nil" w:sz="6" w:space="0" w:color="auto"/>
              <w:bottom w:val="single" w:sz="4" w:space="0" w:color="000000"/>
              <w:right w:val="nil" w:sz="6" w:space="0" w:color="auto"/>
            </w:tcBorders>
          </w:tcPr>
          <w:p>
            <w:pPr/>
          </w:p>
        </w:tc>
        <w:tc>
          <w:tcPr>
            <w:tcW w:w="1367"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2991"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28" w:right="0"/>
              <w:jc w:val="left"/>
              <w:rPr>
                <w:rFonts w:ascii="宋体" w:hAnsi="宋体" w:cs="宋体" w:eastAsia="宋体" w:hint="default"/>
                <w:sz w:val="21"/>
                <w:szCs w:val="21"/>
              </w:rPr>
            </w:pPr>
            <w:r>
              <w:rPr>
                <w:rFonts w:ascii="宋体" w:hAnsi="宋体" w:cs="宋体" w:eastAsia="宋体" w:hint="default"/>
                <w:sz w:val="21"/>
                <w:szCs w:val="21"/>
              </w:rPr>
              <w:t>连云港西湾置业有限公司</w:t>
            </w:r>
          </w:p>
        </w:tc>
        <w:tc>
          <w:tcPr>
            <w:tcW w:w="2960"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931"/>
              <w:jc w:val="right"/>
              <w:rPr>
                <w:rFonts w:ascii="宋体" w:hAnsi="宋体" w:cs="宋体" w:eastAsia="宋体" w:hint="default"/>
                <w:sz w:val="21"/>
                <w:szCs w:val="21"/>
              </w:rPr>
            </w:pPr>
            <w:r>
              <w:rPr>
                <w:rFonts w:ascii="宋体"/>
                <w:spacing w:val="-1"/>
                <w:sz w:val="21"/>
              </w:rPr>
              <w:t>1,023,160.00</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88"/>
              <w:jc w:val="right"/>
              <w:rPr>
                <w:rFonts w:ascii="宋体" w:hAnsi="宋体" w:cs="宋体" w:eastAsia="宋体" w:hint="default"/>
                <w:sz w:val="21"/>
                <w:szCs w:val="21"/>
              </w:rPr>
            </w:pPr>
            <w:r>
              <w:rPr>
                <w:rFonts w:ascii="宋体"/>
                <w:sz w:val="21"/>
              </w:rPr>
              <w:t>5.57</w:t>
            </w:r>
          </w:p>
        </w:tc>
        <w:tc>
          <w:tcPr>
            <w:tcW w:w="1367" w:type="dxa"/>
            <w:tcBorders>
              <w:top w:val="single" w:sz="4" w:space="0" w:color="000000"/>
              <w:left w:val="nil" w:sz="6" w:space="0" w:color="auto"/>
              <w:bottom w:val="nil" w:sz="6" w:space="0" w:color="auto"/>
              <w:right w:val="nil" w:sz="6" w:space="0" w:color="auto"/>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1,023,160.0</w:t>
            </w:r>
          </w:p>
        </w:tc>
      </w:tr>
      <w:tr>
        <w:trPr>
          <w:trHeight w:val="396"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连云港市体育局</w:t>
            </w:r>
          </w:p>
        </w:tc>
        <w:tc>
          <w:tcPr>
            <w:tcW w:w="2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31"/>
              <w:jc w:val="right"/>
              <w:rPr>
                <w:rFonts w:ascii="宋体" w:hAnsi="宋体" w:cs="宋体" w:eastAsia="宋体" w:hint="default"/>
                <w:sz w:val="21"/>
                <w:szCs w:val="21"/>
              </w:rPr>
            </w:pPr>
            <w:r>
              <w:rPr>
                <w:rFonts w:ascii="宋体"/>
                <w:spacing w:val="-1"/>
                <w:sz w:val="21"/>
              </w:rPr>
              <w:t>266,155.10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8"/>
              <w:jc w:val="right"/>
              <w:rPr>
                <w:rFonts w:ascii="宋体" w:hAnsi="宋体" w:cs="宋体" w:eastAsia="宋体" w:hint="default"/>
                <w:sz w:val="21"/>
                <w:szCs w:val="21"/>
              </w:rPr>
            </w:pPr>
            <w:r>
              <w:rPr>
                <w:rFonts w:ascii="宋体"/>
                <w:sz w:val="21"/>
              </w:rPr>
              <w:t>1.45</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
              <w:jc w:val="right"/>
              <w:rPr>
                <w:rFonts w:ascii="宋体" w:hAnsi="宋体" w:cs="宋体" w:eastAsia="宋体" w:hint="default"/>
                <w:sz w:val="21"/>
                <w:szCs w:val="21"/>
              </w:rPr>
            </w:pPr>
            <w:r>
              <w:rPr>
                <w:rFonts w:ascii="宋体"/>
                <w:spacing w:val="-1"/>
                <w:sz w:val="21"/>
              </w:rPr>
              <w:t>125,151.95</w:t>
            </w:r>
          </w:p>
        </w:tc>
      </w:tr>
      <w:tr>
        <w:trPr>
          <w:trHeight w:val="397"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九龙云天集团有限公司</w:t>
            </w:r>
          </w:p>
        </w:tc>
        <w:tc>
          <w:tcPr>
            <w:tcW w:w="2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31"/>
              <w:jc w:val="right"/>
              <w:rPr>
                <w:rFonts w:ascii="宋体" w:hAnsi="宋体" w:cs="宋体" w:eastAsia="宋体" w:hint="default"/>
                <w:sz w:val="21"/>
                <w:szCs w:val="21"/>
              </w:rPr>
            </w:pPr>
            <w:r>
              <w:rPr>
                <w:rFonts w:ascii="宋体"/>
                <w:spacing w:val="-1"/>
                <w:sz w:val="21"/>
              </w:rPr>
              <w:t>172,493.70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8"/>
              <w:jc w:val="right"/>
              <w:rPr>
                <w:rFonts w:ascii="宋体" w:hAnsi="宋体" w:cs="宋体" w:eastAsia="宋体" w:hint="default"/>
                <w:sz w:val="21"/>
                <w:szCs w:val="21"/>
              </w:rPr>
            </w:pPr>
            <w:r>
              <w:rPr>
                <w:rFonts w:ascii="宋体"/>
                <w:sz w:val="21"/>
              </w:rPr>
              <w:t>0.94</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
              <w:jc w:val="right"/>
              <w:rPr>
                <w:rFonts w:ascii="宋体" w:hAnsi="宋体" w:cs="宋体" w:eastAsia="宋体" w:hint="default"/>
                <w:sz w:val="21"/>
                <w:szCs w:val="21"/>
              </w:rPr>
            </w:pPr>
            <w:r>
              <w:rPr>
                <w:rFonts w:ascii="宋体"/>
                <w:spacing w:val="-1"/>
                <w:sz w:val="21"/>
              </w:rPr>
              <w:t>172,493.70</w:t>
            </w:r>
          </w:p>
        </w:tc>
      </w:tr>
      <w:tr>
        <w:trPr>
          <w:trHeight w:val="407" w:hRule="exact"/>
        </w:trPr>
        <w:tc>
          <w:tcPr>
            <w:tcW w:w="2991"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祥升物流有限公司</w:t>
            </w:r>
          </w:p>
        </w:tc>
        <w:tc>
          <w:tcPr>
            <w:tcW w:w="2960"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931"/>
              <w:jc w:val="right"/>
              <w:rPr>
                <w:rFonts w:ascii="宋体" w:hAnsi="宋体" w:cs="宋体" w:eastAsia="宋体" w:hint="default"/>
                <w:sz w:val="21"/>
                <w:szCs w:val="21"/>
              </w:rPr>
            </w:pPr>
            <w:r>
              <w:rPr>
                <w:rFonts w:ascii="宋体"/>
                <w:spacing w:val="-1"/>
                <w:sz w:val="21"/>
              </w:rPr>
              <w:t>32,490.00</w:t>
            </w:r>
          </w:p>
        </w:tc>
        <w:tc>
          <w:tcPr>
            <w:tcW w:w="1554"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88"/>
              <w:jc w:val="right"/>
              <w:rPr>
                <w:rFonts w:ascii="宋体" w:hAnsi="宋体" w:cs="宋体" w:eastAsia="宋体" w:hint="default"/>
                <w:sz w:val="21"/>
                <w:szCs w:val="21"/>
              </w:rPr>
            </w:pPr>
            <w:r>
              <w:rPr>
                <w:rFonts w:ascii="宋体"/>
                <w:sz w:val="21"/>
              </w:rPr>
              <w:t>0.18</w:t>
            </w:r>
          </w:p>
        </w:tc>
        <w:tc>
          <w:tcPr>
            <w:tcW w:w="1367"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2"/>
              <w:jc w:val="right"/>
              <w:rPr>
                <w:rFonts w:ascii="宋体" w:hAnsi="宋体" w:cs="宋体" w:eastAsia="宋体" w:hint="default"/>
                <w:sz w:val="21"/>
                <w:szCs w:val="21"/>
              </w:rPr>
            </w:pPr>
            <w:r>
              <w:rPr>
                <w:rFonts w:ascii="宋体"/>
                <w:spacing w:val="-1"/>
                <w:sz w:val="21"/>
              </w:rPr>
              <w:t>32,490.00</w:t>
            </w:r>
          </w:p>
        </w:tc>
      </w:tr>
      <w:tr>
        <w:trPr>
          <w:trHeight w:val="398" w:hRule="exact"/>
        </w:trPr>
        <w:tc>
          <w:tcPr>
            <w:tcW w:w="2991" w:type="dxa"/>
            <w:tcBorders>
              <w:top w:val="single" w:sz="8" w:space="0" w:color="000000"/>
              <w:left w:val="nil" w:sz="6" w:space="0" w:color="auto"/>
              <w:bottom w:val="single" w:sz="8" w:space="0" w:color="000000"/>
              <w:right w:val="nil" w:sz="6" w:space="0" w:color="auto"/>
            </w:tcBorders>
          </w:tcPr>
          <w:p>
            <w:pPr>
              <w:pStyle w:val="TableParagraph"/>
              <w:tabs>
                <w:tab w:pos="451" w:val="left" w:leader="none"/>
              </w:tabs>
              <w:spacing w:line="240" w:lineRule="auto" w:before="18"/>
              <w:ind w:left="2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right="934"/>
              <w:jc w:val="right"/>
              <w:rPr>
                <w:rFonts w:ascii="宋体" w:hAnsi="宋体" w:cs="宋体" w:eastAsia="宋体" w:hint="default"/>
                <w:sz w:val="21"/>
                <w:szCs w:val="21"/>
              </w:rPr>
            </w:pPr>
            <w:r>
              <w:rPr>
                <w:rFonts w:ascii="宋体"/>
                <w:b/>
                <w:w w:val="95"/>
                <w:sz w:val="21"/>
              </w:rPr>
              <w:t>17,729,233.04</w:t>
            </w:r>
            <w:r>
              <w:rPr>
                <w:rFonts w:ascii="宋体"/>
                <w:sz w:val="21"/>
              </w:rPr>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right="90"/>
              <w:jc w:val="right"/>
              <w:rPr>
                <w:rFonts w:ascii="宋体" w:hAnsi="宋体" w:cs="宋体" w:eastAsia="宋体" w:hint="default"/>
                <w:sz w:val="21"/>
                <w:szCs w:val="21"/>
              </w:rPr>
            </w:pPr>
            <w:r>
              <w:rPr>
                <w:rFonts w:ascii="宋体"/>
                <w:b/>
                <w:w w:val="95"/>
                <w:sz w:val="21"/>
              </w:rPr>
              <w:t>96.56</w:t>
            </w:r>
            <w:r>
              <w:rPr>
                <w:rFonts w:ascii="宋体"/>
                <w:sz w:val="21"/>
              </w:rPr>
            </w:r>
          </w:p>
        </w:tc>
        <w:tc>
          <w:tcPr>
            <w:tcW w:w="1367"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right="5"/>
              <w:jc w:val="right"/>
              <w:rPr>
                <w:rFonts w:ascii="宋体" w:hAnsi="宋体" w:cs="宋体" w:eastAsia="宋体" w:hint="default"/>
                <w:sz w:val="21"/>
                <w:szCs w:val="21"/>
              </w:rPr>
            </w:pPr>
            <w:r>
              <w:rPr>
                <w:rFonts w:ascii="宋体"/>
                <w:b/>
                <w:w w:val="95"/>
                <w:sz w:val="21"/>
              </w:rPr>
              <w:t>1,353,295.65</w:t>
            </w:r>
            <w:r>
              <w:rPr>
                <w:rFonts w:ascii="宋体"/>
                <w:sz w:val="21"/>
              </w:rPr>
            </w:r>
          </w:p>
        </w:tc>
      </w:tr>
    </w:tbl>
    <w:p>
      <w:pPr>
        <w:spacing w:line="240" w:lineRule="auto" w:before="12"/>
        <w:rPr>
          <w:rFonts w:ascii="宋体" w:hAnsi="宋体" w:cs="宋体" w:eastAsia="宋体" w:hint="default"/>
          <w:sz w:val="19"/>
          <w:szCs w:val="19"/>
        </w:rPr>
      </w:pPr>
    </w:p>
    <w:p>
      <w:pPr>
        <w:pStyle w:val="Heading5"/>
        <w:tabs>
          <w:tab w:pos="1057" w:val="left" w:leader="none"/>
        </w:tabs>
        <w:spacing w:line="240" w:lineRule="auto" w:before="36"/>
        <w:ind w:left="359" w:right="2549"/>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5"/>
        <w:tabs>
          <w:tab w:pos="1057" w:val="left" w:leader="none"/>
        </w:tabs>
        <w:spacing w:line="240" w:lineRule="auto"/>
        <w:ind w:left="359" w:right="2549"/>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080" w:bottom="1380" w:left="1580" w:right="1040"/>
        </w:sectPr>
      </w:pPr>
    </w:p>
    <w:p>
      <w:pPr>
        <w:pStyle w:val="BodyText"/>
        <w:spacing w:line="273" w:lineRule="exact" w:before="36"/>
        <w:ind w:left="218" w:right="1044"/>
        <w:jc w:val="left"/>
      </w:pPr>
      <w:r>
        <w:rPr/>
        <w:t>其他说明：</w:t>
      </w:r>
    </w:p>
    <w:p>
      <w:pPr>
        <w:spacing w:line="290" w:lineRule="auto" w:before="0"/>
        <w:ind w:left="218" w:right="10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5"/>
        <w:spacing w:line="240" w:lineRule="auto" w:before="12"/>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060" w:val="left" w:leader="none"/>
        </w:tabs>
        <w:spacing w:line="240" w:lineRule="auto" w:before="58"/>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7" w:space="366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78"/>
        <w:gridCol w:w="1037"/>
        <w:gridCol w:w="481"/>
        <w:gridCol w:w="1037"/>
        <w:gridCol w:w="485"/>
        <w:gridCol w:w="1037"/>
        <w:gridCol w:w="1037"/>
        <w:gridCol w:w="454"/>
        <w:gridCol w:w="963"/>
        <w:gridCol w:w="451"/>
        <w:gridCol w:w="1037"/>
      </w:tblGrid>
      <w:tr>
        <w:trPr>
          <w:trHeight w:val="295" w:hRule="exact"/>
        </w:trPr>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0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878" w:type="dxa"/>
            <w:vMerge/>
            <w:tcBorders>
              <w:left w:val="single" w:sz="4" w:space="0" w:color="000000"/>
              <w:right w:val="single" w:sz="4" w:space="0" w:color="000000"/>
            </w:tcBorders>
          </w:tcPr>
          <w:p>
            <w:pP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5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5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0" w:right="36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878"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0" w:right="86"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3"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2" w:right="86"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7" w:right="67"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9"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5" w:right="67"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98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w:t>
            </w:r>
          </w:p>
          <w:p>
            <w:pPr>
              <w:pStyle w:val="TableParagraph"/>
              <w:spacing w:line="240" w:lineRule="auto"/>
              <w:ind w:left="26" w:right="86"/>
              <w:jc w:val="both"/>
              <w:rPr>
                <w:rFonts w:ascii="宋体" w:hAnsi="宋体" w:cs="宋体" w:eastAsia="宋体" w:hint="default"/>
                <w:sz w:val="15"/>
                <w:szCs w:val="15"/>
              </w:rPr>
            </w:pPr>
            <w:r>
              <w:rPr>
                <w:rFonts w:ascii="宋体" w:hAnsi="宋体" w:cs="宋体" w:eastAsia="宋体" w:hint="default"/>
                <w:sz w:val="15"/>
                <w:szCs w:val="15"/>
              </w:rPr>
              <w:t>大并单独计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的其他应收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款</w:t>
            </w:r>
          </w:p>
        </w:tc>
        <w:tc>
          <w:tcPr>
            <w:tcW w:w="10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w:t>
            </w:r>
          </w:p>
          <w:p>
            <w:pPr>
              <w:pStyle w:val="TableParagraph"/>
              <w:spacing w:line="240" w:lineRule="auto"/>
              <w:ind w:left="26" w:right="86"/>
              <w:jc w:val="both"/>
              <w:rPr>
                <w:rFonts w:ascii="宋体" w:hAnsi="宋体" w:cs="宋体" w:eastAsia="宋体" w:hint="default"/>
                <w:sz w:val="15"/>
                <w:szCs w:val="15"/>
              </w:rPr>
            </w:pPr>
            <w:r>
              <w:rPr>
                <w:rFonts w:ascii="宋体" w:hAnsi="宋体" w:cs="宋体" w:eastAsia="宋体" w:hint="default"/>
                <w:sz w:val="15"/>
                <w:szCs w:val="15"/>
              </w:rPr>
              <w:t>特征组合计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的其他应收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55,468,312.40</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97.11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12,483,702.12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22.51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42,984,610.28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60,572,166.63</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z w:val="15"/>
              </w:rPr>
              <w:t>99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7,472,351.77</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12.34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53,099,814.86</w:t>
            </w:r>
          </w:p>
        </w:tc>
      </w:tr>
      <w:tr>
        <w:trPr>
          <w:trHeight w:val="20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pacing w:val="-3"/>
                <w:sz w:val="15"/>
                <w:szCs w:val="15"/>
              </w:rPr>
              <w:t>其中：组合</w:t>
            </w:r>
            <w:r>
              <w:rPr>
                <w:rFonts w:ascii="宋体" w:hAnsi="宋体" w:cs="宋体" w:eastAsia="宋体" w:hint="default"/>
                <w:spacing w:val="-3"/>
                <w:sz w:val="15"/>
                <w:szCs w:val="15"/>
              </w:rPr>
              <w:t>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14,569,067.53</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25.51</w:t>
            </w:r>
          </w:p>
        </w:tc>
        <w:tc>
          <w:tcPr>
            <w:tcW w:w="103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14,569,067.53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28,417,579.15</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46.45</w:t>
            </w:r>
          </w:p>
        </w:tc>
        <w:tc>
          <w:tcPr>
            <w:tcW w:w="963"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28,417,579.15</w:t>
            </w:r>
          </w:p>
        </w:tc>
      </w:tr>
      <w:tr>
        <w:trPr>
          <w:trHeight w:val="20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hAnsi="宋体" w:cs="宋体" w:eastAsia="宋体" w:hint="default"/>
                <w:sz w:val="15"/>
                <w:szCs w:val="15"/>
              </w:rPr>
              <w:t>组合</w:t>
            </w:r>
            <w:r>
              <w:rPr>
                <w:rFonts w:ascii="宋体" w:hAnsi="宋体" w:cs="宋体" w:eastAsia="宋体" w:hint="default"/>
                <w:sz w:val="15"/>
                <w:szCs w:val="15"/>
              </w:rPr>
              <w:t>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40,899,244.87</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71.6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12,483,702.12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30.52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28,415,542.75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32,154,587.48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52.55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7,472,351.77</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23.24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24,682,235.71</w:t>
            </w:r>
          </w:p>
        </w:tc>
      </w:tr>
      <w:tr>
        <w:trPr>
          <w:trHeight w:val="985"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w:t>
            </w:r>
          </w:p>
          <w:p>
            <w:pPr>
              <w:pStyle w:val="TableParagraph"/>
              <w:spacing w:line="240" w:lineRule="auto"/>
              <w:ind w:left="26" w:right="86"/>
              <w:jc w:val="both"/>
              <w:rPr>
                <w:rFonts w:ascii="宋体" w:hAnsi="宋体" w:cs="宋体" w:eastAsia="宋体" w:hint="default"/>
                <w:sz w:val="15"/>
                <w:szCs w:val="15"/>
              </w:rPr>
            </w:pPr>
            <w:r>
              <w:rPr>
                <w:rFonts w:ascii="宋体" w:hAnsi="宋体" w:cs="宋体" w:eastAsia="宋体" w:hint="default"/>
                <w:sz w:val="15"/>
                <w:szCs w:val="15"/>
              </w:rPr>
              <w:t>重大但单独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计提坏账准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备的其他应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收款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0" w:right="0"/>
              <w:jc w:val="center"/>
              <w:rPr>
                <w:rFonts w:ascii="宋体" w:hAnsi="宋体" w:cs="宋体" w:eastAsia="宋体" w:hint="default"/>
                <w:sz w:val="15"/>
                <w:szCs w:val="15"/>
              </w:rPr>
            </w:pPr>
            <w:r>
              <w:rPr>
                <w:rFonts w:ascii="宋体"/>
                <w:sz w:val="15"/>
              </w:rPr>
              <w:t>1,654,056.06</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2.89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0" w:right="0"/>
              <w:jc w:val="center"/>
              <w:rPr>
                <w:rFonts w:ascii="宋体" w:hAnsi="宋体" w:cs="宋体" w:eastAsia="宋体" w:hint="default"/>
                <w:sz w:val="15"/>
                <w:szCs w:val="15"/>
              </w:rPr>
            </w:pPr>
            <w:r>
              <w:rPr>
                <w:rFonts w:ascii="宋体"/>
                <w:sz w:val="15"/>
              </w:rPr>
              <w:t>1,654,056.06</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100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614,056.06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1"/>
                <w:sz w:val="15"/>
              </w:rPr>
              <w:t>614,056.06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100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57,122,368.46</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14,137,758.18</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42,984,610.28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61,186,222.69</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8,086,407.83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53,099,814.86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left="218" w:right="0"/>
        <w:jc w:val="left"/>
      </w:pPr>
      <w:r>
        <w:rPr>
          <w:spacing w:val="-2"/>
        </w:rPr>
        <w:t>期末单项金额重大并单项计提坏账准备的其他应收款：</w:t>
      </w:r>
    </w:p>
    <w:p>
      <w:pPr>
        <w:pStyle w:val="BodyText"/>
        <w:spacing w:line="290" w:lineRule="auto" w:before="58"/>
        <w:ind w:left="21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16,441,009.28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1,644,100.93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14,688,754.72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4,406,626.42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6,673,012.21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3,336,506.11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3,096,468.66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3,096,468.66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40,899,244.87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12,483,702.12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30.52</w:t>
            </w:r>
          </w:p>
        </w:tc>
      </w:tr>
    </w:tbl>
    <w:p>
      <w:pPr>
        <w:spacing w:line="240" w:lineRule="auto" w:before="5"/>
        <w:rPr>
          <w:rFonts w:ascii="宋体" w:hAnsi="宋体" w:cs="宋体" w:eastAsia="宋体" w:hint="default"/>
          <w:sz w:val="15"/>
          <w:szCs w:val="15"/>
        </w:rPr>
      </w:pPr>
    </w:p>
    <w:p>
      <w:pPr>
        <w:pStyle w:val="BodyText"/>
        <w:spacing w:line="272" w:lineRule="exact" w:before="64"/>
        <w:ind w:left="218" w:right="6740"/>
        <w:jc w:val="left"/>
      </w:pPr>
      <w:r>
        <w:rPr>
          <w:spacing w:val="-2"/>
        </w:rPr>
        <w:t>确定该组合依据的说明：</w:t>
      </w:r>
      <w:r>
        <w:rPr>
          <w:spacing w:val="-83"/>
        </w:rPr>
        <w:t> </w:t>
      </w:r>
      <w:r>
        <w:rPr>
          <w:spacing w:val="-83"/>
        </w:rPr>
      </w:r>
      <w:r>
        <w:rPr/>
        <w:t>无</w:t>
      </w:r>
    </w:p>
    <w:p>
      <w:pPr>
        <w:spacing w:line="240" w:lineRule="auto" w:before="4"/>
        <w:rPr>
          <w:rFonts w:ascii="宋体" w:hAnsi="宋体" w:cs="宋体" w:eastAsia="宋体" w:hint="default"/>
          <w:sz w:val="23"/>
          <w:szCs w:val="23"/>
        </w:rPr>
      </w:pPr>
    </w:p>
    <w:p>
      <w:pPr>
        <w:pStyle w:val="BodyText"/>
        <w:spacing w:line="240" w:lineRule="auto"/>
        <w:ind w:left="218" w:right="2549"/>
        <w:jc w:val="left"/>
      </w:pPr>
      <w:r>
        <w:rPr/>
        <w:t>组合中，采用余额百分比法计提坏账准备的其他应收款：</w:t>
      </w:r>
    </w:p>
    <w:p>
      <w:pPr>
        <w:pStyle w:val="BodyText"/>
        <w:spacing w:line="240" w:lineRule="auto" w:before="58"/>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2549"/>
        <w:jc w:val="left"/>
      </w:pPr>
      <w:r>
        <w:rPr/>
        <w:t>组合中，采用其他方法计提坏账准备的其他应收款：</w:t>
      </w:r>
    </w:p>
    <w:p>
      <w:pPr>
        <w:pStyle w:val="BodyText"/>
        <w:tabs>
          <w:tab w:pos="1060" w:val="left" w:leader="none"/>
        </w:tabs>
        <w:spacing w:line="240" w:lineRule="auto" w:before="57"/>
        <w:ind w:left="218" w:right="25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1500"/>
        <w:jc w:val="left"/>
      </w:pPr>
      <w:r>
        <w:rPr/>
        <w:t>本期计提坏账准备金额</w:t>
      </w:r>
      <w:r>
        <w:rPr>
          <w:spacing w:val="-55"/>
        </w:rPr>
        <w:t> </w:t>
      </w:r>
      <w:r>
        <w:rPr>
          <w:rFonts w:ascii="宋体" w:hAnsi="宋体" w:cs="宋体" w:eastAsia="宋体" w:hint="default"/>
        </w:rPr>
        <w:t>8,158,187.96</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9" w:lineRule="exact"/>
        <w:ind w:left="218" w:right="254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3"/>
          <w:pgSz w:w="11910" w:h="16840"/>
          <w:pgMar w:footer="1195" w:header="0" w:top="1080" w:bottom="1380" w:left="1580" w:right="1040"/>
        </w:sectPr>
      </w:pPr>
    </w:p>
    <w:p>
      <w:pPr>
        <w:pStyle w:val="Heading5"/>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2,106,837.61</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left="218" w:right="0"/>
        <w:jc w:val="left"/>
      </w:pPr>
      <w:r>
        <w:rPr>
          <w:spacing w:val="-2"/>
        </w:rPr>
        <w:t>其中重要的其他应收款核销情况：</w:t>
      </w:r>
    </w:p>
    <w:p>
      <w:pPr>
        <w:pStyle w:val="BodyText"/>
        <w:spacing w:line="274"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373" w:space="336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8"/>
        <w:gridCol w:w="1448"/>
        <w:gridCol w:w="1476"/>
        <w:gridCol w:w="1335"/>
        <w:gridCol w:w="1462"/>
        <w:gridCol w:w="1730"/>
      </w:tblGrid>
      <w:tr>
        <w:trPr>
          <w:trHeight w:val="55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孙信军</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1,264,102.56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张锐</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842,735.05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2,106,837.61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8" w:right="2549"/>
        <w:jc w:val="left"/>
      </w:pPr>
      <w:r>
        <w:rPr/>
        <w:t>其他应收款核销说明：</w:t>
      </w:r>
    </w:p>
    <w:p>
      <w:pPr>
        <w:pStyle w:val="BodyText"/>
        <w:tabs>
          <w:tab w:pos="1060" w:val="left" w:leader="none"/>
        </w:tabs>
        <w:spacing w:line="273" w:lineRule="exact"/>
        <w:ind w:left="218" w:right="254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5"/>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6,955,690.54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7,245,922.42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15,597,499.35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8,306,309.98</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975,836.06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16,168,466.24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29,197,579.15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17,113,981.00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14,823,981.00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84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786,731.33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636,594.08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57,122,368.46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61,186,222.69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4"/>
          <w:pgSz w:w="11910" w:h="16840"/>
          <w:pgMar w:footer="1195" w:header="0" w:top="1080" w:bottom="1380" w:left="840" w:right="1040"/>
          <w:pgNumType w:start="171"/>
        </w:sectPr>
      </w:pPr>
    </w:p>
    <w:p>
      <w:pPr>
        <w:pStyle w:val="Heading5"/>
        <w:spacing w:line="240" w:lineRule="auto" w:before="36"/>
        <w:ind w:left="95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9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6335" w:space="187"/>
            <w:col w:w="3508"/>
          </w:cols>
        </w:sectPr>
      </w:pPr>
    </w:p>
    <w:p>
      <w:pPr>
        <w:spacing w:line="240" w:lineRule="auto" w:before="4"/>
        <w:rPr>
          <w:rFonts w:ascii="宋体" w:hAnsi="宋体" w:cs="宋体" w:eastAsia="宋体" w:hint="default"/>
          <w:sz w:val="2"/>
          <w:szCs w:val="2"/>
        </w:rPr>
      </w:pPr>
    </w:p>
    <w:tbl>
      <w:tblPr>
        <w:tblW w:w="0" w:type="auto"/>
        <w:jc w:val="left"/>
        <w:tblInd w:w="811" w:type="dxa"/>
        <w:tblLayout w:type="fixed"/>
        <w:tblCellMar>
          <w:top w:w="0" w:type="dxa"/>
          <w:left w:w="0" w:type="dxa"/>
          <w:bottom w:w="0" w:type="dxa"/>
          <w:right w:w="0" w:type="dxa"/>
        </w:tblCellMar>
        <w:tblLook w:val="01E0"/>
      </w:tblPr>
      <w:tblGrid>
        <w:gridCol w:w="1632"/>
        <w:gridCol w:w="1342"/>
        <w:gridCol w:w="1306"/>
        <w:gridCol w:w="1316"/>
        <w:gridCol w:w="1748"/>
        <w:gridCol w:w="1663"/>
      </w:tblGrid>
      <w:tr>
        <w:trPr>
          <w:trHeight w:val="47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hanging="44"/>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连云港宝翔置业有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非关联方往来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10,200,000.00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17.86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3,060,000.00</w:t>
            </w:r>
          </w:p>
        </w:tc>
      </w:tr>
      <w:tr>
        <w:trPr>
          <w:trHeight w:val="47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浙江帅康电气股份</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17.51</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环境保护部环境保</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护对外合作中心</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非关联方往来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6,013,981.00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期末余额中</w:t>
            </w:r>
            <w:r>
              <w:rPr>
                <w:rFonts w:ascii="宋体" w:hAnsi="宋体" w:cs="宋体" w:eastAsia="宋体" w:hint="default"/>
                <w:spacing w:val="-44"/>
                <w:sz w:val="18"/>
                <w:szCs w:val="18"/>
              </w:rPr>
              <w:t> </w:t>
            </w:r>
            <w:r>
              <w:rPr>
                <w:rFonts w:ascii="宋体" w:hAnsi="宋体" w:cs="宋体" w:eastAsia="宋体" w:hint="default"/>
                <w:sz w:val="18"/>
                <w:szCs w:val="18"/>
              </w:rPr>
              <w:t>1</w:t>
            </w:r>
          </w:p>
          <w:p>
            <w:pPr>
              <w:pStyle w:val="TableParagraph"/>
              <w:spacing w:line="232" w:lineRule="exact" w:before="23"/>
              <w:ind w:left="23" w:right="198"/>
              <w:jc w:val="left"/>
              <w:rPr>
                <w:rFonts w:ascii="宋体" w:hAnsi="宋体" w:cs="宋体" w:eastAsia="宋体" w:hint="default"/>
                <w:sz w:val="18"/>
                <w:szCs w:val="18"/>
              </w:rPr>
            </w:pPr>
            <w:r>
              <w:rPr>
                <w:rFonts w:ascii="宋体" w:hAnsi="宋体" w:cs="宋体" w:eastAsia="宋体" w:hint="default"/>
                <w:sz w:val="18"/>
                <w:szCs w:val="18"/>
              </w:rPr>
              <w:t>年以内为 </w:t>
            </w:r>
            <w:r>
              <w:rPr>
                <w:rFonts w:ascii="宋体" w:hAnsi="宋体" w:cs="宋体" w:eastAsia="宋体" w:hint="default"/>
                <w:sz w:val="18"/>
                <w:szCs w:val="18"/>
              </w:rPr>
              <w:t>1390000</w:t>
            </w:r>
            <w:r>
              <w:rPr>
                <w:rFonts w:ascii="宋体" w:hAnsi="宋体" w:cs="宋体" w:eastAsia="宋体" w:hint="default"/>
                <w:sz w:val="18"/>
                <w:szCs w:val="18"/>
              </w:rPr>
              <w:t>；</w:t>
            </w:r>
            <w:r>
              <w:rPr>
                <w:rFonts w:ascii="宋体" w:hAnsi="宋体" w:cs="宋体" w:eastAsia="宋体" w:hint="default"/>
                <w:sz w:val="18"/>
                <w:szCs w:val="18"/>
              </w:rPr>
              <w:t>1-2</w:t>
            </w:r>
          </w:p>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年为</w:t>
            </w:r>
            <w:r>
              <w:rPr>
                <w:rFonts w:ascii="宋体" w:hAnsi="宋体" w:cs="宋体" w:eastAsia="宋体" w:hint="default"/>
                <w:spacing w:val="-44"/>
                <w:sz w:val="18"/>
                <w:szCs w:val="18"/>
              </w:rPr>
              <w:t> </w:t>
            </w:r>
            <w:r>
              <w:rPr>
                <w:rFonts w:ascii="宋体" w:hAnsi="宋体" w:cs="宋体" w:eastAsia="宋体" w:hint="default"/>
                <w:sz w:val="18"/>
                <w:szCs w:val="18"/>
              </w:rPr>
              <w:t>186306</w:t>
            </w:r>
            <w:r>
              <w:rPr>
                <w:rFonts w:ascii="宋体" w:hAnsi="宋体" w:cs="宋体" w:eastAsia="宋体" w:hint="default"/>
                <w:sz w:val="18"/>
                <w:szCs w:val="18"/>
              </w:rPr>
              <w:t>；</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年为</w:t>
            </w:r>
          </w:p>
          <w:p>
            <w:pPr>
              <w:pStyle w:val="TableParagraph"/>
              <w:spacing w:line="234" w:lineRule="exact"/>
              <w:ind w:left="23" w:right="0"/>
              <w:jc w:val="left"/>
              <w:rPr>
                <w:rFonts w:ascii="宋体" w:hAnsi="宋体" w:cs="宋体" w:eastAsia="宋体" w:hint="default"/>
                <w:sz w:val="18"/>
                <w:szCs w:val="18"/>
              </w:rPr>
            </w:pPr>
            <w:r>
              <w:rPr>
                <w:rFonts w:ascii="宋体"/>
                <w:sz w:val="18"/>
              </w:rPr>
              <w:t>4437675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z w:val="18"/>
              </w:rPr>
              <w:t>10.53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2,413,729.30</w:t>
            </w:r>
          </w:p>
        </w:tc>
      </w:tr>
      <w:tr>
        <w:trPr>
          <w:trHeight w:val="47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上海好景投资有限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3.26</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吴行远</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非关联方往来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2.63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w:t>
            </w:r>
          </w:p>
        </w:tc>
      </w:tr>
      <w:tr>
        <w:trPr>
          <w:trHeight w:val="24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4"/>
              <w:jc w:val="center"/>
              <w:rPr>
                <w:rFonts w:ascii="宋体" w:hAnsi="宋体" w:cs="宋体" w:eastAsia="宋体" w:hint="default"/>
                <w:sz w:val="18"/>
                <w:szCs w:val="18"/>
              </w:rPr>
            </w:pPr>
            <w:r>
              <w:rPr>
                <w:rFonts w:ascii="宋体"/>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29,573,981.00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5"/>
              <w:jc w:val="center"/>
              <w:rPr>
                <w:rFonts w:ascii="宋体" w:hAnsi="宋体" w:cs="宋体" w:eastAsia="宋体" w:hint="default"/>
                <w:sz w:val="18"/>
                <w:szCs w:val="18"/>
              </w:rPr>
            </w:pPr>
            <w:r>
              <w:rPr>
                <w:rFonts w:ascii="宋体"/>
                <w:sz w:val="18"/>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51.79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5,623,729.30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5"/>
        <w:spacing w:line="240" w:lineRule="auto" w:before="36"/>
        <w:ind w:left="95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left="95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800" w:val="left" w:leader="none"/>
        </w:tabs>
        <w:spacing w:line="240" w:lineRule="auto" w:before="56"/>
        <w:ind w:left="9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5"/>
        <w:spacing w:line="240" w:lineRule="auto"/>
        <w:ind w:left="95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800" w:val="left" w:leader="none"/>
        </w:tabs>
        <w:spacing w:line="240" w:lineRule="auto" w:before="58"/>
        <w:ind w:left="95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958" w:right="0"/>
        <w:jc w:val="left"/>
      </w:pPr>
      <w:r>
        <w:rPr/>
        <w:t>其他说明：</w:t>
      </w:r>
    </w:p>
    <w:p>
      <w:pPr>
        <w:pStyle w:val="BodyText"/>
        <w:tabs>
          <w:tab w:pos="1800" w:val="left" w:leader="none"/>
        </w:tabs>
        <w:spacing w:line="273" w:lineRule="exact"/>
        <w:ind w:left="95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40" w:right="1040"/>
        </w:sectPr>
      </w:pPr>
    </w:p>
    <w:p>
      <w:pPr>
        <w:pStyle w:val="Heading5"/>
        <w:spacing w:line="240" w:lineRule="auto" w:before="36"/>
        <w:ind w:left="95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9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2651" w:space="3871"/>
            <w:col w:w="35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64"/>
        <w:gridCol w:w="1502"/>
        <w:gridCol w:w="1323"/>
        <w:gridCol w:w="1500"/>
        <w:gridCol w:w="1503"/>
        <w:gridCol w:w="1325"/>
        <w:gridCol w:w="1500"/>
      </w:tblGrid>
      <w:tr>
        <w:trPr>
          <w:trHeight w:val="245"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2"/>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064"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对子公司投</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2,250,139,863.24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2,774,944.80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2,247,364,918.44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1,494,139,863.24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2,774,944.80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1,491,364,918.44</w:t>
            </w:r>
          </w:p>
        </w:tc>
      </w:tr>
      <w:tr>
        <w:trPr>
          <w:trHeight w:val="4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对联营</w:t>
            </w:r>
            <w:r>
              <w:rPr>
                <w:rFonts w:ascii="宋体" w:hAnsi="宋体" w:cs="宋体" w:eastAsia="宋体" w:hint="default"/>
                <w:spacing w:val="-80"/>
                <w:sz w:val="18"/>
                <w:szCs w:val="18"/>
              </w:rPr>
              <w:t>、</w:t>
            </w:r>
            <w:r>
              <w:rPr>
                <w:rFonts w:ascii="宋体" w:hAnsi="宋体" w:cs="宋体" w:eastAsia="宋体" w:hint="default"/>
                <w:sz w:val="18"/>
                <w:szCs w:val="18"/>
              </w:rPr>
              <w:t>合营</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企业投资</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1,136,873,209.17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186,421,876.22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950,451,332.95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188,466,352.18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186,421,876.22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2,044,475.96</w:t>
            </w:r>
          </w:p>
        </w:tc>
      </w:tr>
      <w:tr>
        <w:trPr>
          <w:trHeight w:val="24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3,387,013,072.41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189,196,821.02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3,197,816,251.39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1,682,606,215.42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189,196,821.02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1,493,409,394.40</w:t>
            </w:r>
          </w:p>
        </w:tc>
      </w:tr>
    </w:tbl>
    <w:p>
      <w:pPr>
        <w:spacing w:after="0" w:line="205" w:lineRule="exact"/>
        <w:jc w:val="right"/>
        <w:rPr>
          <w:rFonts w:ascii="宋体" w:hAnsi="宋体" w:cs="宋体" w:eastAsia="宋体" w:hint="default"/>
          <w:sz w:val="18"/>
          <w:szCs w:val="18"/>
        </w:rPr>
        <w:sectPr>
          <w:type w:val="continuous"/>
          <w:pgSz w:w="11910" w:h="16840"/>
          <w:pgMar w:top="1120" w:bottom="1380" w:left="840" w:right="104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080" w:bottom="1380" w:left="540" w:right="1040"/>
        </w:sectPr>
      </w:pPr>
    </w:p>
    <w:p>
      <w:pPr>
        <w:pStyle w:val="Heading5"/>
        <w:spacing w:line="240" w:lineRule="auto" w:before="36"/>
        <w:ind w:left="125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1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2951" w:space="3571"/>
            <w:col w:w="3808"/>
          </w:cols>
        </w:sectPr>
      </w:pPr>
    </w:p>
    <w:p>
      <w:pPr>
        <w:spacing w:line="240" w:lineRule="auto" w:before="7"/>
        <w:rPr>
          <w:rFonts w:ascii="宋体" w:hAnsi="宋体" w:cs="宋体" w:eastAsia="宋体" w:hint="default"/>
          <w:sz w:val="2"/>
          <w:szCs w:val="2"/>
        </w:rPr>
      </w:pPr>
    </w:p>
    <w:tbl>
      <w:tblPr>
        <w:tblW w:w="0" w:type="auto"/>
        <w:jc w:val="left"/>
        <w:tblInd w:w="970" w:type="dxa"/>
        <w:tblLayout w:type="fixed"/>
        <w:tblCellMar>
          <w:top w:w="0" w:type="dxa"/>
          <w:left w:w="0" w:type="dxa"/>
          <w:bottom w:w="0" w:type="dxa"/>
          <w:right w:w="0" w:type="dxa"/>
        </w:tblCellMar>
        <w:tblLook w:val="01E0"/>
      </w:tblPr>
      <w:tblGrid>
        <w:gridCol w:w="1418"/>
        <w:gridCol w:w="1757"/>
        <w:gridCol w:w="1688"/>
        <w:gridCol w:w="494"/>
        <w:gridCol w:w="1898"/>
        <w:gridCol w:w="495"/>
        <w:gridCol w:w="1474"/>
      </w:tblGrid>
      <w:tr>
        <w:trPr>
          <w:trHeight w:val="187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51" w:right="151"/>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51" w:right="151"/>
              <w:jc w:val="both"/>
              <w:rPr>
                <w:rFonts w:ascii="宋体" w:hAnsi="宋体" w:cs="宋体" w:eastAsia="宋体" w:hint="default"/>
                <w:sz w:val="18"/>
                <w:szCs w:val="18"/>
              </w:rPr>
            </w:pPr>
            <w:r>
              <w:rPr>
                <w:rFonts w:ascii="宋体" w:hAnsi="宋体" w:cs="宋体" w:eastAsia="宋体" w:hint="default"/>
                <w:sz w:val="18"/>
                <w:szCs w:val="18"/>
              </w:rPr>
              <w:t>期 计 提 减 值 准 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551" w:right="191"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北京四季沐歌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169,774,262.70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169,774,262.70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洛阳四季沐歌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283,500,000.00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283,500,000.00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江苏四季沐歌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13,068,673.39</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13,068,673.39</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北京工程技术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24,904,500.00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24,904,500.00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2,774,944.80</w:t>
            </w: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太阳雨公司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205,439,268.50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205,439,268.50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连云港四季沐</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歌</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广东空气能</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217,670,220.00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217,670,220.00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北京太阳神</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200,000,000.00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上海好景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198,831,648.00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208,831,648.00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江苏水滤康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美意美家</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5,527,500.00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5,527,500.00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创蓝国际</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146,000,000.00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146,000,000.00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江苏弗瑞斯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4,923,790.65</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4,923,790.65</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阿桑康马克</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帅康电气</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735,000,000.00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735,000,000.00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1,494,139,863.24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756,000,000.00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2,250,139,863.24</w:t>
            </w:r>
          </w:p>
        </w:tc>
        <w:tc>
          <w:tcPr>
            <w:tcW w:w="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2,774,944.80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1040"/>
        </w:sectPr>
      </w:pPr>
    </w:p>
    <w:p>
      <w:pPr>
        <w:pStyle w:val="Heading5"/>
        <w:spacing w:line="240" w:lineRule="auto" w:before="36"/>
        <w:ind w:left="125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left="12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3793" w:space="2729"/>
            <w:col w:w="3808"/>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36"/>
        <w:gridCol w:w="1274"/>
        <w:gridCol w:w="958"/>
        <w:gridCol w:w="672"/>
        <w:gridCol w:w="787"/>
        <w:gridCol w:w="706"/>
        <w:gridCol w:w="711"/>
        <w:gridCol w:w="785"/>
        <w:gridCol w:w="775"/>
        <w:gridCol w:w="757"/>
        <w:gridCol w:w="773"/>
        <w:gridCol w:w="734"/>
      </w:tblGrid>
      <w:tr>
        <w:trPr>
          <w:trHeight w:val="24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381" w:right="382"/>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51" w:right="451"/>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61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199" w:right="203"/>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4" w:type="dxa"/>
            <w:vMerge w:val="restart"/>
            <w:tcBorders>
              <w:top w:val="single" w:sz="4" w:space="0" w:color="000000"/>
              <w:left w:val="single" w:sz="4" w:space="0" w:color="000000"/>
              <w:right w:val="single" w:sz="4" w:space="0" w:color="000000"/>
            </w:tcBorders>
          </w:tcPr>
          <w:p>
            <w:pPr>
              <w:pStyle w:val="TableParagraph"/>
              <w:spacing w:line="237" w:lineRule="auto" w:before="94"/>
              <w:ind w:left="180" w:right="18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6" w:hRule="exact"/>
        </w:trPr>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48" w:right="15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2" w:lineRule="exact" w:before="24"/>
              <w:ind w:left="115" w:right="120"/>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165" w:right="168"/>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68" w:right="170"/>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2" w:lineRule="exact" w:before="24"/>
              <w:ind w:left="117" w:right="115"/>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2" w:right="11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3"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r>
      <w:tr>
        <w:trPr>
          <w:trHeight w:val="242" w:hRule="exact"/>
        </w:trPr>
        <w:tc>
          <w:tcPr>
            <w:tcW w:w="1006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06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深圳市鹏桑</w:t>
            </w:r>
          </w:p>
          <w:p>
            <w:pPr>
              <w:pStyle w:val="TableParagraph"/>
              <w:spacing w:line="232" w:lineRule="exact" w:before="23"/>
              <w:ind w:left="103" w:right="120"/>
              <w:jc w:val="left"/>
              <w:rPr>
                <w:rFonts w:ascii="宋体" w:hAnsi="宋体" w:cs="宋体" w:eastAsia="宋体" w:hint="default"/>
                <w:sz w:val="18"/>
                <w:szCs w:val="18"/>
              </w:rPr>
            </w:pPr>
            <w:r>
              <w:rPr>
                <w:rFonts w:ascii="宋体" w:hAnsi="宋体" w:cs="宋体" w:eastAsia="宋体" w:hint="default"/>
                <w:sz w:val="18"/>
                <w:szCs w:val="18"/>
              </w:rPr>
              <w:t>普太阳能股 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186,421,876</w:t>
            </w:r>
          </w:p>
          <w:p>
            <w:pPr>
              <w:pStyle w:val="TableParagraph"/>
              <w:spacing w:line="234" w:lineRule="exact"/>
              <w:ind w:right="98"/>
              <w:jc w:val="right"/>
              <w:rPr>
                <w:rFonts w:ascii="宋体" w:hAnsi="宋体" w:cs="宋体" w:eastAsia="宋体" w:hint="default"/>
                <w:sz w:val="18"/>
                <w:szCs w:val="18"/>
              </w:rPr>
            </w:pPr>
            <w:r>
              <w:rPr>
                <w:rFonts w:ascii="宋体"/>
                <w:sz w:val="18"/>
              </w:rPr>
              <w:t>.22</w:t>
            </w:r>
          </w:p>
        </w:tc>
        <w:tc>
          <w:tcPr>
            <w:tcW w:w="95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186,42</w:t>
            </w:r>
          </w:p>
          <w:p>
            <w:pPr>
              <w:pStyle w:val="TableParagraph"/>
              <w:spacing w:line="233" w:lineRule="exact"/>
              <w:ind w:left="117" w:right="0"/>
              <w:jc w:val="left"/>
              <w:rPr>
                <w:rFonts w:ascii="宋体" w:hAnsi="宋体" w:cs="宋体" w:eastAsia="宋体" w:hint="default"/>
                <w:sz w:val="18"/>
                <w:szCs w:val="18"/>
              </w:rPr>
            </w:pPr>
            <w:r>
              <w:rPr>
                <w:rFonts w:ascii="宋体"/>
                <w:sz w:val="18"/>
              </w:rPr>
              <w:t>1,876.</w:t>
            </w:r>
          </w:p>
          <w:p>
            <w:pPr>
              <w:pStyle w:val="TableParagraph"/>
              <w:spacing w:line="234" w:lineRule="exact"/>
              <w:ind w:left="477" w:right="0"/>
              <w:jc w:val="left"/>
              <w:rPr>
                <w:rFonts w:ascii="宋体" w:hAnsi="宋体" w:cs="宋体" w:eastAsia="宋体" w:hint="default"/>
                <w:sz w:val="18"/>
                <w:szCs w:val="18"/>
              </w:rPr>
            </w:pPr>
            <w:r>
              <w:rPr>
                <w:rFonts w:ascii="宋体"/>
                <w:sz w:val="18"/>
              </w:rPr>
              <w:t>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left"/>
              <w:rPr>
                <w:rFonts w:ascii="宋体" w:hAnsi="宋体" w:cs="宋体" w:eastAsia="宋体" w:hint="default"/>
                <w:sz w:val="18"/>
                <w:szCs w:val="18"/>
              </w:rPr>
            </w:pPr>
            <w:r>
              <w:rPr>
                <w:rFonts w:ascii="宋体"/>
                <w:sz w:val="18"/>
              </w:rPr>
              <w:t>186,4</w:t>
            </w:r>
          </w:p>
          <w:p>
            <w:pPr>
              <w:pStyle w:val="TableParagraph"/>
              <w:spacing w:line="233" w:lineRule="exact"/>
              <w:ind w:left="168" w:right="0"/>
              <w:jc w:val="left"/>
              <w:rPr>
                <w:rFonts w:ascii="宋体" w:hAnsi="宋体" w:cs="宋体" w:eastAsia="宋体" w:hint="default"/>
                <w:sz w:val="18"/>
                <w:szCs w:val="18"/>
              </w:rPr>
            </w:pPr>
            <w:r>
              <w:rPr>
                <w:rFonts w:ascii="宋体"/>
                <w:sz w:val="18"/>
              </w:rPr>
              <w:t>21,87</w:t>
            </w:r>
          </w:p>
          <w:p>
            <w:pPr>
              <w:pStyle w:val="TableParagraph"/>
              <w:spacing w:line="234" w:lineRule="exact"/>
              <w:ind w:left="259" w:right="0"/>
              <w:jc w:val="left"/>
              <w:rPr>
                <w:rFonts w:ascii="宋体" w:hAnsi="宋体" w:cs="宋体" w:eastAsia="宋体" w:hint="default"/>
                <w:sz w:val="18"/>
                <w:szCs w:val="18"/>
              </w:rPr>
            </w:pPr>
            <w:r>
              <w:rPr>
                <w:rFonts w:ascii="宋体"/>
                <w:sz w:val="18"/>
              </w:rPr>
              <w:t>6.22</w:t>
            </w:r>
          </w:p>
        </w:tc>
      </w:tr>
      <w:tr>
        <w:trPr>
          <w:trHeight w:val="94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普罗米司</w:t>
            </w:r>
          </w:p>
          <w:p>
            <w:pPr>
              <w:pStyle w:val="TableParagraph"/>
              <w:spacing w:line="237" w:lineRule="auto"/>
              <w:ind w:left="103" w:right="120"/>
              <w:jc w:val="both"/>
              <w:rPr>
                <w:rFonts w:ascii="宋体" w:hAnsi="宋体" w:cs="宋体" w:eastAsia="宋体" w:hint="default"/>
                <w:sz w:val="18"/>
                <w:szCs w:val="18"/>
              </w:rPr>
            </w:pPr>
            <w:r>
              <w:rPr>
                <w:rFonts w:ascii="宋体" w:hAnsi="宋体" w:cs="宋体" w:eastAsia="宋体" w:hint="default"/>
                <w:sz w:val="18"/>
                <w:szCs w:val="18"/>
              </w:rPr>
              <w:t>（上海）健 康科技有限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2,044,475.9</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95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2,044</w:t>
            </w:r>
          </w:p>
          <w:p>
            <w:pPr>
              <w:pStyle w:val="TableParagraph"/>
              <w:spacing w:line="233" w:lineRule="exact"/>
              <w:ind w:left="105" w:right="0"/>
              <w:jc w:val="left"/>
              <w:rPr>
                <w:rFonts w:ascii="宋体" w:hAnsi="宋体" w:cs="宋体" w:eastAsia="宋体" w:hint="default"/>
                <w:sz w:val="18"/>
                <w:szCs w:val="18"/>
              </w:rPr>
            </w:pPr>
            <w:r>
              <w:rPr>
                <w:rFonts w:ascii="宋体"/>
                <w:sz w:val="18"/>
              </w:rPr>
              <w:t>,475.</w:t>
            </w:r>
          </w:p>
          <w:p>
            <w:pPr>
              <w:pStyle w:val="TableParagraph"/>
              <w:spacing w:line="234" w:lineRule="exact"/>
              <w:ind w:left="376" w:right="0"/>
              <w:jc w:val="left"/>
              <w:rPr>
                <w:rFonts w:ascii="宋体" w:hAnsi="宋体" w:cs="宋体" w:eastAsia="宋体" w:hint="default"/>
                <w:sz w:val="18"/>
                <w:szCs w:val="18"/>
              </w:rPr>
            </w:pPr>
            <w:r>
              <w:rPr>
                <w:rFonts w:ascii="宋体"/>
                <w:sz w:val="18"/>
              </w:rPr>
              <w:t>96</w:t>
            </w: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江苏苏宁银</w:t>
            </w:r>
          </w:p>
          <w:p>
            <w:pPr>
              <w:pStyle w:val="TableParagraph"/>
              <w:spacing w:line="240" w:lineRule="auto"/>
              <w:ind w:left="103" w:right="120"/>
              <w:jc w:val="left"/>
              <w:rPr>
                <w:rFonts w:ascii="宋体" w:hAnsi="宋体" w:cs="宋体" w:eastAsia="宋体" w:hint="default"/>
                <w:sz w:val="18"/>
                <w:szCs w:val="18"/>
              </w:rPr>
            </w:pPr>
            <w:r>
              <w:rPr>
                <w:rFonts w:ascii="宋体" w:hAnsi="宋体" w:cs="宋体" w:eastAsia="宋体" w:hint="default"/>
                <w:sz w:val="18"/>
                <w:szCs w:val="18"/>
              </w:rPr>
              <w:t>行股份有限 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center"/>
              <w:rPr>
                <w:rFonts w:ascii="宋体" w:hAnsi="宋体" w:cs="宋体" w:eastAsia="宋体" w:hint="default"/>
                <w:sz w:val="18"/>
                <w:szCs w:val="18"/>
              </w:rPr>
            </w:pPr>
            <w:r>
              <w:rPr>
                <w:rFonts w:ascii="宋体"/>
                <w:sz w:val="18"/>
              </w:rPr>
              <w:t>944,000,</w:t>
            </w:r>
          </w:p>
          <w:p>
            <w:pPr>
              <w:pStyle w:val="TableParagraph"/>
              <w:spacing w:line="234" w:lineRule="exact"/>
              <w:ind w:left="201" w:right="0"/>
              <w:jc w:val="center"/>
              <w:rPr>
                <w:rFonts w:ascii="宋体" w:hAnsi="宋体" w:cs="宋体" w:eastAsia="宋体" w:hint="default"/>
                <w:sz w:val="18"/>
                <w:szCs w:val="18"/>
              </w:rPr>
            </w:pPr>
            <w:r>
              <w:rPr>
                <w:rFonts w:ascii="宋体"/>
                <w:sz w:val="18"/>
              </w:rPr>
              <w:t>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10,264</w:t>
            </w:r>
          </w:p>
          <w:p>
            <w:pPr>
              <w:pStyle w:val="TableParagraph"/>
              <w:spacing w:line="234" w:lineRule="exact"/>
              <w:ind w:left="400" w:right="0"/>
              <w:jc w:val="left"/>
              <w:rPr>
                <w:rFonts w:ascii="宋体" w:hAnsi="宋体" w:cs="宋体" w:eastAsia="宋体" w:hint="default"/>
                <w:sz w:val="18"/>
                <w:szCs w:val="18"/>
              </w:rPr>
            </w:pPr>
            <w:r>
              <w:rPr>
                <w:rFonts w:ascii="宋体"/>
                <w:sz w:val="18"/>
              </w:rPr>
              <w:t>.11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left"/>
              <w:rPr>
                <w:rFonts w:ascii="宋体" w:hAnsi="宋体" w:cs="宋体" w:eastAsia="宋体" w:hint="default"/>
                <w:sz w:val="18"/>
                <w:szCs w:val="18"/>
              </w:rPr>
            </w:pPr>
            <w:r>
              <w:rPr>
                <w:rFonts w:ascii="宋体"/>
                <w:sz w:val="18"/>
              </w:rPr>
              <w:t>162,0</w:t>
            </w:r>
          </w:p>
          <w:p>
            <w:pPr>
              <w:pStyle w:val="TableParagraph"/>
              <w:spacing w:line="234" w:lineRule="exact"/>
              <w:ind w:left="139" w:right="0"/>
              <w:jc w:val="left"/>
              <w:rPr>
                <w:rFonts w:ascii="宋体" w:hAnsi="宋体" w:cs="宋体" w:eastAsia="宋体" w:hint="default"/>
                <w:sz w:val="18"/>
                <w:szCs w:val="18"/>
              </w:rPr>
            </w:pPr>
            <w:r>
              <w:rPr>
                <w:rFonts w:ascii="宋体"/>
                <w:sz w:val="18"/>
              </w:rPr>
              <w:t>15.65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944,17</w:t>
            </w:r>
          </w:p>
          <w:p>
            <w:pPr>
              <w:pStyle w:val="TableParagraph"/>
              <w:spacing w:line="234" w:lineRule="exact"/>
              <w:ind w:left="117" w:right="0"/>
              <w:jc w:val="left"/>
              <w:rPr>
                <w:rFonts w:ascii="宋体" w:hAnsi="宋体" w:cs="宋体" w:eastAsia="宋体" w:hint="default"/>
                <w:sz w:val="18"/>
                <w:szCs w:val="18"/>
              </w:rPr>
            </w:pPr>
            <w:r>
              <w:rPr>
                <w:rFonts w:ascii="宋体"/>
                <w:sz w:val="18"/>
              </w:rPr>
              <w:t>2,279.</w:t>
            </w:r>
          </w:p>
          <w:p>
            <w:pPr>
              <w:pStyle w:val="TableParagraph"/>
              <w:spacing w:line="240" w:lineRule="auto"/>
              <w:ind w:left="477" w:right="0"/>
              <w:jc w:val="left"/>
              <w:rPr>
                <w:rFonts w:ascii="宋体" w:hAnsi="宋体" w:cs="宋体" w:eastAsia="宋体" w:hint="default"/>
                <w:sz w:val="18"/>
                <w:szCs w:val="18"/>
              </w:rPr>
            </w:pPr>
            <w:r>
              <w:rPr>
                <w:rFonts w:ascii="宋体"/>
                <w:sz w:val="18"/>
              </w:rPr>
              <w:t>76</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国泰君安上</w:t>
            </w:r>
          </w:p>
          <w:p>
            <w:pPr>
              <w:pStyle w:val="TableParagraph"/>
              <w:spacing w:line="240" w:lineRule="auto"/>
              <w:ind w:left="103" w:right="120"/>
              <w:jc w:val="left"/>
              <w:rPr>
                <w:rFonts w:ascii="宋体" w:hAnsi="宋体" w:cs="宋体" w:eastAsia="宋体" w:hint="default"/>
                <w:sz w:val="18"/>
                <w:szCs w:val="18"/>
              </w:rPr>
            </w:pPr>
            <w:r>
              <w:rPr>
                <w:rFonts w:ascii="宋体" w:hAnsi="宋体" w:cs="宋体" w:eastAsia="宋体" w:hint="default"/>
                <w:sz w:val="18"/>
                <w:szCs w:val="18"/>
              </w:rPr>
              <w:t>海好景投资 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5,079,</w:t>
            </w:r>
          </w:p>
          <w:p>
            <w:pPr>
              <w:pStyle w:val="TableParagraph"/>
              <w:spacing w:line="234" w:lineRule="exact"/>
              <w:ind w:left="131" w:right="0"/>
              <w:jc w:val="left"/>
              <w:rPr>
                <w:rFonts w:ascii="宋体" w:hAnsi="宋体" w:cs="宋体" w:eastAsia="宋体" w:hint="default"/>
                <w:sz w:val="18"/>
                <w:szCs w:val="18"/>
              </w:rPr>
            </w:pPr>
            <w:r>
              <w:rPr>
                <w:rFonts w:ascii="宋体"/>
                <w:sz w:val="18"/>
              </w:rPr>
              <w:t>053.19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1,800,</w:t>
            </w:r>
          </w:p>
          <w:p>
            <w:pPr>
              <w:pStyle w:val="TableParagraph"/>
              <w:spacing w:line="234" w:lineRule="exact"/>
              <w:ind w:left="131" w:right="0"/>
              <w:jc w:val="left"/>
              <w:rPr>
                <w:rFonts w:ascii="宋体" w:hAnsi="宋体" w:cs="宋体" w:eastAsia="宋体" w:hint="default"/>
                <w:sz w:val="18"/>
                <w:szCs w:val="18"/>
              </w:rPr>
            </w:pPr>
            <w:r>
              <w:rPr>
                <w:rFonts w:ascii="宋体"/>
                <w:sz w:val="18"/>
              </w:rPr>
              <w:t>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3,000,</w:t>
            </w:r>
          </w:p>
          <w:p>
            <w:pPr>
              <w:pStyle w:val="TableParagraph"/>
              <w:spacing w:line="234" w:lineRule="exact"/>
              <w:ind w:left="103" w:right="0"/>
              <w:jc w:val="left"/>
              <w:rPr>
                <w:rFonts w:ascii="宋体" w:hAnsi="宋体" w:cs="宋体" w:eastAsia="宋体" w:hint="default"/>
                <w:sz w:val="18"/>
                <w:szCs w:val="18"/>
              </w:rPr>
            </w:pPr>
            <w:r>
              <w:rPr>
                <w:rFonts w:ascii="宋体"/>
                <w:sz w:val="18"/>
              </w:rPr>
              <w:t>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6,279,</w:t>
            </w:r>
          </w:p>
          <w:p>
            <w:pPr>
              <w:pStyle w:val="TableParagraph"/>
              <w:spacing w:line="234" w:lineRule="exact"/>
              <w:ind w:left="117" w:right="0"/>
              <w:jc w:val="left"/>
              <w:rPr>
                <w:rFonts w:ascii="宋体" w:hAnsi="宋体" w:cs="宋体" w:eastAsia="宋体" w:hint="default"/>
                <w:sz w:val="18"/>
                <w:szCs w:val="18"/>
              </w:rPr>
            </w:pPr>
            <w:r>
              <w:rPr>
                <w:rFonts w:ascii="宋体"/>
                <w:sz w:val="18"/>
              </w:rPr>
              <w:t>053.19</w:t>
            </w: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136"/>
        <w:gridCol w:w="1274"/>
        <w:gridCol w:w="958"/>
        <w:gridCol w:w="672"/>
        <w:gridCol w:w="787"/>
        <w:gridCol w:w="706"/>
        <w:gridCol w:w="711"/>
        <w:gridCol w:w="785"/>
        <w:gridCol w:w="775"/>
        <w:gridCol w:w="757"/>
        <w:gridCol w:w="773"/>
        <w:gridCol w:w="734"/>
      </w:tblGrid>
      <w:tr>
        <w:trPr>
          <w:trHeight w:val="71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pacing w:val="-1"/>
                <w:sz w:val="18"/>
              </w:rPr>
              <w:t>188,466,352</w:t>
            </w:r>
          </w:p>
          <w:p>
            <w:pPr>
              <w:pStyle w:val="TableParagraph"/>
              <w:spacing w:line="234" w:lineRule="exact"/>
              <w:ind w:right="98"/>
              <w:jc w:val="right"/>
              <w:rPr>
                <w:rFonts w:ascii="宋体" w:hAnsi="宋体" w:cs="宋体" w:eastAsia="宋体" w:hint="default"/>
                <w:sz w:val="18"/>
                <w:szCs w:val="18"/>
              </w:rPr>
            </w:pPr>
            <w:r>
              <w:rPr>
                <w:rFonts w:ascii="宋体"/>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center"/>
              <w:rPr>
                <w:rFonts w:ascii="宋体" w:hAnsi="宋体" w:cs="宋体" w:eastAsia="宋体" w:hint="default"/>
                <w:sz w:val="18"/>
                <w:szCs w:val="18"/>
              </w:rPr>
            </w:pPr>
            <w:r>
              <w:rPr>
                <w:rFonts w:ascii="宋体"/>
                <w:sz w:val="18"/>
              </w:rPr>
              <w:t>944,000,</w:t>
            </w:r>
          </w:p>
          <w:p>
            <w:pPr>
              <w:pStyle w:val="TableParagraph"/>
              <w:spacing w:line="234" w:lineRule="exact"/>
              <w:ind w:left="201" w:right="0"/>
              <w:jc w:val="center"/>
              <w:rPr>
                <w:rFonts w:ascii="宋体" w:hAnsi="宋体" w:cs="宋体" w:eastAsia="宋体" w:hint="default"/>
                <w:sz w:val="18"/>
                <w:szCs w:val="18"/>
              </w:rPr>
            </w:pPr>
            <w:r>
              <w:rPr>
                <w:rFonts w:ascii="宋体"/>
                <w:sz w:val="18"/>
              </w:rPr>
              <w:t>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sz w:val="18"/>
              </w:rPr>
              <w:t>2,044</w:t>
            </w:r>
          </w:p>
          <w:p>
            <w:pPr>
              <w:pStyle w:val="TableParagraph"/>
              <w:spacing w:line="233" w:lineRule="exact"/>
              <w:ind w:left="105" w:right="0"/>
              <w:jc w:val="left"/>
              <w:rPr>
                <w:rFonts w:ascii="宋体" w:hAnsi="宋体" w:cs="宋体" w:eastAsia="宋体" w:hint="default"/>
                <w:sz w:val="18"/>
                <w:szCs w:val="18"/>
              </w:rPr>
            </w:pPr>
            <w:r>
              <w:rPr>
                <w:rFonts w:ascii="宋体"/>
                <w:sz w:val="18"/>
              </w:rPr>
              <w:t>,475.</w:t>
            </w:r>
          </w:p>
          <w:p>
            <w:pPr>
              <w:pStyle w:val="TableParagraph"/>
              <w:spacing w:line="234" w:lineRule="exact"/>
              <w:ind w:left="376" w:right="0"/>
              <w:jc w:val="left"/>
              <w:rPr>
                <w:rFonts w:ascii="宋体" w:hAnsi="宋体" w:cs="宋体" w:eastAsia="宋体" w:hint="default"/>
                <w:sz w:val="18"/>
                <w:szCs w:val="18"/>
              </w:rPr>
            </w:pPr>
            <w:r>
              <w:rPr>
                <w:rFonts w:ascii="宋体"/>
                <w:sz w:val="18"/>
              </w:rPr>
              <w:t>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1" w:right="0"/>
              <w:jc w:val="left"/>
              <w:rPr>
                <w:rFonts w:ascii="宋体" w:hAnsi="宋体" w:cs="宋体" w:eastAsia="宋体" w:hint="default"/>
                <w:sz w:val="18"/>
                <w:szCs w:val="18"/>
              </w:rPr>
            </w:pPr>
            <w:r>
              <w:rPr>
                <w:rFonts w:ascii="宋体"/>
                <w:sz w:val="18"/>
              </w:rPr>
              <w:t>5,089,</w:t>
            </w:r>
          </w:p>
          <w:p>
            <w:pPr>
              <w:pStyle w:val="TableParagraph"/>
              <w:spacing w:line="234" w:lineRule="exact"/>
              <w:ind w:left="131" w:right="0"/>
              <w:jc w:val="left"/>
              <w:rPr>
                <w:rFonts w:ascii="宋体" w:hAnsi="宋体" w:cs="宋体" w:eastAsia="宋体" w:hint="default"/>
                <w:sz w:val="18"/>
                <w:szCs w:val="18"/>
              </w:rPr>
            </w:pPr>
            <w:r>
              <w:rPr>
                <w:rFonts w:ascii="宋体"/>
                <w:sz w:val="18"/>
              </w:rPr>
              <w:t>317.30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9" w:right="0"/>
              <w:jc w:val="left"/>
              <w:rPr>
                <w:rFonts w:ascii="宋体" w:hAnsi="宋体" w:cs="宋体" w:eastAsia="宋体" w:hint="default"/>
                <w:sz w:val="18"/>
                <w:szCs w:val="18"/>
              </w:rPr>
            </w:pPr>
            <w:r>
              <w:rPr>
                <w:rFonts w:ascii="宋体"/>
                <w:sz w:val="18"/>
              </w:rPr>
              <w:t>162,0</w:t>
            </w:r>
          </w:p>
          <w:p>
            <w:pPr>
              <w:pStyle w:val="TableParagraph"/>
              <w:spacing w:line="234" w:lineRule="exact"/>
              <w:ind w:left="139" w:right="0"/>
              <w:jc w:val="left"/>
              <w:rPr>
                <w:rFonts w:ascii="宋体" w:hAnsi="宋体" w:cs="宋体" w:eastAsia="宋体" w:hint="default"/>
                <w:sz w:val="18"/>
                <w:szCs w:val="18"/>
              </w:rPr>
            </w:pPr>
            <w:r>
              <w:rPr>
                <w:rFonts w:ascii="宋体"/>
                <w:sz w:val="18"/>
              </w:rPr>
              <w:t>15.65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1" w:right="0"/>
              <w:jc w:val="left"/>
              <w:rPr>
                <w:rFonts w:ascii="宋体" w:hAnsi="宋体" w:cs="宋体" w:eastAsia="宋体" w:hint="default"/>
                <w:sz w:val="18"/>
                <w:szCs w:val="18"/>
              </w:rPr>
            </w:pPr>
            <w:r>
              <w:rPr>
                <w:rFonts w:ascii="宋体"/>
                <w:sz w:val="18"/>
              </w:rPr>
              <w:t>1,800,</w:t>
            </w:r>
          </w:p>
          <w:p>
            <w:pPr>
              <w:pStyle w:val="TableParagraph"/>
              <w:spacing w:line="234" w:lineRule="exact"/>
              <w:ind w:left="131" w:right="0"/>
              <w:jc w:val="left"/>
              <w:rPr>
                <w:rFonts w:ascii="宋体" w:hAnsi="宋体" w:cs="宋体" w:eastAsia="宋体" w:hint="default"/>
                <w:sz w:val="18"/>
                <w:szCs w:val="18"/>
              </w:rPr>
            </w:pPr>
            <w:r>
              <w:rPr>
                <w:rFonts w:ascii="宋体"/>
                <w:sz w:val="18"/>
              </w:rPr>
              <w:t>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3,000,</w:t>
            </w:r>
          </w:p>
          <w:p>
            <w:pPr>
              <w:pStyle w:val="TableParagraph"/>
              <w:spacing w:line="234" w:lineRule="exact"/>
              <w:ind w:left="103" w:right="0"/>
              <w:jc w:val="left"/>
              <w:rPr>
                <w:rFonts w:ascii="宋体" w:hAnsi="宋体" w:cs="宋体" w:eastAsia="宋体" w:hint="default"/>
                <w:sz w:val="18"/>
                <w:szCs w:val="18"/>
              </w:rPr>
            </w:pPr>
            <w:r>
              <w:rPr>
                <w:rFonts w:ascii="宋体"/>
                <w:sz w:val="18"/>
              </w:rPr>
              <w:t>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sz w:val="18"/>
              </w:rPr>
              <w:t>1,136,</w:t>
            </w:r>
          </w:p>
          <w:p>
            <w:pPr>
              <w:pStyle w:val="TableParagraph"/>
              <w:spacing w:line="233" w:lineRule="exact"/>
              <w:ind w:left="12" w:right="0"/>
              <w:jc w:val="center"/>
              <w:rPr>
                <w:rFonts w:ascii="宋体" w:hAnsi="宋体" w:cs="宋体" w:eastAsia="宋体" w:hint="default"/>
                <w:sz w:val="18"/>
                <w:szCs w:val="18"/>
              </w:rPr>
            </w:pPr>
            <w:r>
              <w:rPr>
                <w:rFonts w:ascii="宋体"/>
                <w:sz w:val="18"/>
              </w:rPr>
              <w:t>873,20</w:t>
            </w:r>
          </w:p>
          <w:p>
            <w:pPr>
              <w:pStyle w:val="TableParagraph"/>
              <w:spacing w:line="234" w:lineRule="exact"/>
              <w:ind w:left="192" w:right="0"/>
              <w:jc w:val="center"/>
              <w:rPr>
                <w:rFonts w:ascii="宋体" w:hAnsi="宋体" w:cs="宋体" w:eastAsia="宋体" w:hint="default"/>
                <w:sz w:val="18"/>
                <w:szCs w:val="18"/>
              </w:rPr>
            </w:pPr>
            <w:r>
              <w:rPr>
                <w:rFonts w:ascii="宋体"/>
                <w:sz w:val="18"/>
              </w:rPr>
              <w:t>9.17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8" w:right="0"/>
              <w:jc w:val="left"/>
              <w:rPr>
                <w:rFonts w:ascii="宋体" w:hAnsi="宋体" w:cs="宋体" w:eastAsia="宋体" w:hint="default"/>
                <w:sz w:val="18"/>
                <w:szCs w:val="18"/>
              </w:rPr>
            </w:pPr>
            <w:r>
              <w:rPr>
                <w:rFonts w:ascii="宋体"/>
                <w:sz w:val="18"/>
              </w:rPr>
              <w:t>186,4</w:t>
            </w:r>
          </w:p>
          <w:p>
            <w:pPr>
              <w:pStyle w:val="TableParagraph"/>
              <w:spacing w:line="233" w:lineRule="exact"/>
              <w:ind w:left="168" w:right="0"/>
              <w:jc w:val="left"/>
              <w:rPr>
                <w:rFonts w:ascii="宋体" w:hAnsi="宋体" w:cs="宋体" w:eastAsia="宋体" w:hint="default"/>
                <w:sz w:val="18"/>
                <w:szCs w:val="18"/>
              </w:rPr>
            </w:pPr>
            <w:r>
              <w:rPr>
                <w:rFonts w:ascii="宋体"/>
                <w:sz w:val="18"/>
              </w:rPr>
              <w:t>21,87</w:t>
            </w:r>
          </w:p>
          <w:p>
            <w:pPr>
              <w:pStyle w:val="TableParagraph"/>
              <w:spacing w:line="234" w:lineRule="exact"/>
              <w:ind w:left="259" w:right="0"/>
              <w:jc w:val="left"/>
              <w:rPr>
                <w:rFonts w:ascii="宋体" w:hAnsi="宋体" w:cs="宋体" w:eastAsia="宋体" w:hint="default"/>
                <w:sz w:val="18"/>
                <w:szCs w:val="18"/>
              </w:rPr>
            </w:pPr>
            <w:r>
              <w:rPr>
                <w:rFonts w:ascii="宋体"/>
                <w:sz w:val="18"/>
              </w:rPr>
              <w:t>6.22</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188,466,352</w:t>
            </w:r>
          </w:p>
          <w:p>
            <w:pPr>
              <w:pStyle w:val="TableParagraph"/>
              <w:spacing w:line="234" w:lineRule="exact"/>
              <w:ind w:right="98"/>
              <w:jc w:val="right"/>
              <w:rPr>
                <w:rFonts w:ascii="宋体" w:hAnsi="宋体" w:cs="宋体" w:eastAsia="宋体" w:hint="default"/>
                <w:sz w:val="18"/>
                <w:szCs w:val="18"/>
              </w:rPr>
            </w:pPr>
            <w:r>
              <w:rPr>
                <w:rFonts w:ascii="宋体"/>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sz w:val="18"/>
              </w:rPr>
              <w:t>944,000,</w:t>
            </w:r>
          </w:p>
          <w:p>
            <w:pPr>
              <w:pStyle w:val="TableParagraph"/>
              <w:spacing w:line="234" w:lineRule="exact"/>
              <w:ind w:left="201" w:right="0"/>
              <w:jc w:val="center"/>
              <w:rPr>
                <w:rFonts w:ascii="宋体" w:hAnsi="宋体" w:cs="宋体" w:eastAsia="宋体" w:hint="default"/>
                <w:sz w:val="18"/>
                <w:szCs w:val="18"/>
              </w:rPr>
            </w:pPr>
            <w:r>
              <w:rPr>
                <w:rFonts w:ascii="宋体"/>
                <w:sz w:val="18"/>
              </w:rPr>
              <w:t>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2,044</w:t>
            </w:r>
          </w:p>
          <w:p>
            <w:pPr>
              <w:pStyle w:val="TableParagraph"/>
              <w:spacing w:line="233" w:lineRule="exact"/>
              <w:ind w:left="105" w:right="0"/>
              <w:jc w:val="left"/>
              <w:rPr>
                <w:rFonts w:ascii="宋体" w:hAnsi="宋体" w:cs="宋体" w:eastAsia="宋体" w:hint="default"/>
                <w:sz w:val="18"/>
                <w:szCs w:val="18"/>
              </w:rPr>
            </w:pPr>
            <w:r>
              <w:rPr>
                <w:rFonts w:ascii="宋体"/>
                <w:sz w:val="18"/>
              </w:rPr>
              <w:t>,475.</w:t>
            </w:r>
          </w:p>
          <w:p>
            <w:pPr>
              <w:pStyle w:val="TableParagraph"/>
              <w:spacing w:line="234" w:lineRule="exact"/>
              <w:ind w:left="376" w:right="0"/>
              <w:jc w:val="left"/>
              <w:rPr>
                <w:rFonts w:ascii="宋体" w:hAnsi="宋体" w:cs="宋体" w:eastAsia="宋体" w:hint="default"/>
                <w:sz w:val="18"/>
                <w:szCs w:val="18"/>
              </w:rPr>
            </w:pPr>
            <w:r>
              <w:rPr>
                <w:rFonts w:ascii="宋体"/>
                <w:sz w:val="18"/>
              </w:rPr>
              <w:t>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1" w:right="0"/>
              <w:jc w:val="left"/>
              <w:rPr>
                <w:rFonts w:ascii="宋体" w:hAnsi="宋体" w:cs="宋体" w:eastAsia="宋体" w:hint="default"/>
                <w:sz w:val="18"/>
                <w:szCs w:val="18"/>
              </w:rPr>
            </w:pPr>
            <w:r>
              <w:rPr>
                <w:rFonts w:ascii="宋体"/>
                <w:sz w:val="18"/>
              </w:rPr>
              <w:t>5,089,</w:t>
            </w:r>
          </w:p>
          <w:p>
            <w:pPr>
              <w:pStyle w:val="TableParagraph"/>
              <w:spacing w:line="234" w:lineRule="exact"/>
              <w:ind w:left="131" w:right="0"/>
              <w:jc w:val="left"/>
              <w:rPr>
                <w:rFonts w:ascii="宋体" w:hAnsi="宋体" w:cs="宋体" w:eastAsia="宋体" w:hint="default"/>
                <w:sz w:val="18"/>
                <w:szCs w:val="18"/>
              </w:rPr>
            </w:pPr>
            <w:r>
              <w:rPr>
                <w:rFonts w:ascii="宋体"/>
                <w:sz w:val="18"/>
              </w:rPr>
              <w:t>317.30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9" w:right="0"/>
              <w:jc w:val="left"/>
              <w:rPr>
                <w:rFonts w:ascii="宋体" w:hAnsi="宋体" w:cs="宋体" w:eastAsia="宋体" w:hint="default"/>
                <w:sz w:val="18"/>
                <w:szCs w:val="18"/>
              </w:rPr>
            </w:pPr>
            <w:r>
              <w:rPr>
                <w:rFonts w:ascii="宋体"/>
                <w:sz w:val="18"/>
              </w:rPr>
              <w:t>162,0</w:t>
            </w:r>
          </w:p>
          <w:p>
            <w:pPr>
              <w:pStyle w:val="TableParagraph"/>
              <w:spacing w:line="234" w:lineRule="exact"/>
              <w:ind w:left="139" w:right="0"/>
              <w:jc w:val="left"/>
              <w:rPr>
                <w:rFonts w:ascii="宋体" w:hAnsi="宋体" w:cs="宋体" w:eastAsia="宋体" w:hint="default"/>
                <w:sz w:val="18"/>
                <w:szCs w:val="18"/>
              </w:rPr>
            </w:pPr>
            <w:r>
              <w:rPr>
                <w:rFonts w:ascii="宋体"/>
                <w:sz w:val="18"/>
              </w:rPr>
              <w:t>15.65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1" w:right="0"/>
              <w:jc w:val="left"/>
              <w:rPr>
                <w:rFonts w:ascii="宋体" w:hAnsi="宋体" w:cs="宋体" w:eastAsia="宋体" w:hint="default"/>
                <w:sz w:val="18"/>
                <w:szCs w:val="18"/>
              </w:rPr>
            </w:pPr>
            <w:r>
              <w:rPr>
                <w:rFonts w:ascii="宋体"/>
                <w:sz w:val="18"/>
              </w:rPr>
              <w:t>1,800,</w:t>
            </w:r>
          </w:p>
          <w:p>
            <w:pPr>
              <w:pStyle w:val="TableParagraph"/>
              <w:spacing w:line="234" w:lineRule="exact"/>
              <w:ind w:left="131" w:right="0"/>
              <w:jc w:val="left"/>
              <w:rPr>
                <w:rFonts w:ascii="宋体" w:hAnsi="宋体" w:cs="宋体" w:eastAsia="宋体" w:hint="default"/>
                <w:sz w:val="18"/>
                <w:szCs w:val="18"/>
              </w:rPr>
            </w:pPr>
            <w:r>
              <w:rPr>
                <w:rFonts w:ascii="宋体"/>
                <w:sz w:val="18"/>
              </w:rPr>
              <w:t>000.00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3,000,</w:t>
            </w:r>
          </w:p>
          <w:p>
            <w:pPr>
              <w:pStyle w:val="TableParagraph"/>
              <w:spacing w:line="234" w:lineRule="exact"/>
              <w:ind w:left="103" w:right="0"/>
              <w:jc w:val="left"/>
              <w:rPr>
                <w:rFonts w:ascii="宋体" w:hAnsi="宋体" w:cs="宋体" w:eastAsia="宋体" w:hint="default"/>
                <w:sz w:val="18"/>
                <w:szCs w:val="18"/>
              </w:rPr>
            </w:pPr>
            <w:r>
              <w:rPr>
                <w:rFonts w:ascii="宋体"/>
                <w:sz w:val="18"/>
              </w:rPr>
              <w:t>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sz w:val="18"/>
              </w:rPr>
              <w:t>1,136,</w:t>
            </w:r>
          </w:p>
          <w:p>
            <w:pPr>
              <w:pStyle w:val="TableParagraph"/>
              <w:spacing w:line="233" w:lineRule="exact"/>
              <w:ind w:left="12" w:right="0"/>
              <w:jc w:val="center"/>
              <w:rPr>
                <w:rFonts w:ascii="宋体" w:hAnsi="宋体" w:cs="宋体" w:eastAsia="宋体" w:hint="default"/>
                <w:sz w:val="18"/>
                <w:szCs w:val="18"/>
              </w:rPr>
            </w:pPr>
            <w:r>
              <w:rPr>
                <w:rFonts w:ascii="宋体"/>
                <w:sz w:val="18"/>
              </w:rPr>
              <w:t>873,20</w:t>
            </w:r>
          </w:p>
          <w:p>
            <w:pPr>
              <w:pStyle w:val="TableParagraph"/>
              <w:spacing w:line="234" w:lineRule="exact"/>
              <w:ind w:left="192" w:right="0"/>
              <w:jc w:val="center"/>
              <w:rPr>
                <w:rFonts w:ascii="宋体" w:hAnsi="宋体" w:cs="宋体" w:eastAsia="宋体" w:hint="default"/>
                <w:sz w:val="18"/>
                <w:szCs w:val="18"/>
              </w:rPr>
            </w:pPr>
            <w:r>
              <w:rPr>
                <w:rFonts w:ascii="宋体"/>
                <w:sz w:val="18"/>
              </w:rPr>
              <w:t>9.17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8" w:right="0"/>
              <w:jc w:val="left"/>
              <w:rPr>
                <w:rFonts w:ascii="宋体" w:hAnsi="宋体" w:cs="宋体" w:eastAsia="宋体" w:hint="default"/>
                <w:sz w:val="18"/>
                <w:szCs w:val="18"/>
              </w:rPr>
            </w:pPr>
            <w:r>
              <w:rPr>
                <w:rFonts w:ascii="宋体"/>
                <w:sz w:val="18"/>
              </w:rPr>
              <w:t>186,4</w:t>
            </w:r>
          </w:p>
          <w:p>
            <w:pPr>
              <w:pStyle w:val="TableParagraph"/>
              <w:spacing w:line="233" w:lineRule="exact"/>
              <w:ind w:left="168" w:right="0"/>
              <w:jc w:val="left"/>
              <w:rPr>
                <w:rFonts w:ascii="宋体" w:hAnsi="宋体" w:cs="宋体" w:eastAsia="宋体" w:hint="default"/>
                <w:sz w:val="18"/>
                <w:szCs w:val="18"/>
              </w:rPr>
            </w:pPr>
            <w:r>
              <w:rPr>
                <w:rFonts w:ascii="宋体"/>
                <w:sz w:val="18"/>
              </w:rPr>
              <w:t>21,87</w:t>
            </w:r>
          </w:p>
          <w:p>
            <w:pPr>
              <w:pStyle w:val="TableParagraph"/>
              <w:spacing w:line="234" w:lineRule="exact"/>
              <w:ind w:left="259" w:right="0"/>
              <w:jc w:val="left"/>
              <w:rPr>
                <w:rFonts w:ascii="宋体" w:hAnsi="宋体" w:cs="宋体" w:eastAsia="宋体" w:hint="default"/>
                <w:sz w:val="18"/>
                <w:szCs w:val="18"/>
              </w:rPr>
            </w:pPr>
            <w:r>
              <w:rPr>
                <w:rFonts w:ascii="宋体"/>
                <w:sz w:val="18"/>
              </w:rPr>
              <w:t>6.22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6"/>
        <w:ind w:left="1258"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540" w:right="1040"/>
        </w:sectPr>
      </w:pPr>
    </w:p>
    <w:p>
      <w:pPr>
        <w:pStyle w:val="Heading5"/>
        <w:spacing w:line="240" w:lineRule="auto" w:before="36"/>
        <w:ind w:left="125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2100" w:val="left" w:leader="none"/>
        </w:tabs>
        <w:spacing w:line="240" w:lineRule="auto" w:before="57"/>
        <w:ind w:left="125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040"/>
          <w:cols w:num="2" w:equalWidth="0">
            <w:col w:w="3793" w:space="2729"/>
            <w:col w:w="3808"/>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095"/>
        <w:gridCol w:w="1685"/>
        <w:gridCol w:w="1688"/>
        <w:gridCol w:w="1897"/>
        <w:gridCol w:w="1685"/>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820,648,381.94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747,235,112.83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1,041,905,446.59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812,108,625.54</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113,368,034.50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71,008,516.55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101,580,882.65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84,930,661.65</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934,016,416.44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818,243,629.38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1,143,486,329.24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897,039,287.19</w:t>
            </w:r>
          </w:p>
        </w:tc>
      </w:tr>
    </w:tbl>
    <w:p>
      <w:pPr>
        <w:spacing w:line="240" w:lineRule="auto" w:before="12"/>
        <w:rPr>
          <w:rFonts w:ascii="宋体" w:hAnsi="宋体" w:cs="宋体" w:eastAsia="宋体" w:hint="default"/>
          <w:sz w:val="19"/>
          <w:szCs w:val="19"/>
        </w:rPr>
      </w:pPr>
    </w:p>
    <w:p>
      <w:pPr>
        <w:pStyle w:val="BodyText"/>
        <w:spacing w:line="290" w:lineRule="auto" w:before="36"/>
        <w:ind w:left="125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540" w:right="1040"/>
        </w:sectPr>
      </w:pPr>
    </w:p>
    <w:p>
      <w:pPr>
        <w:pStyle w:val="Heading5"/>
        <w:spacing w:line="240" w:lineRule="auto" w:before="36"/>
        <w:ind w:left="125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t>币种：人民币</w:t>
      </w:r>
    </w:p>
    <w:p>
      <w:pPr>
        <w:spacing w:after="0" w:line="240" w:lineRule="auto"/>
        <w:jc w:val="left"/>
        <w:sectPr>
          <w:type w:val="continuous"/>
          <w:pgSz w:w="11910" w:h="16840"/>
          <w:pgMar w:top="1120" w:bottom="1380" w:left="540" w:right="1040"/>
          <w:cols w:num="2" w:equalWidth="0">
            <w:col w:w="2835" w:space="3686"/>
            <w:col w:w="3809"/>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5,089,317.30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-405,524.04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-260,875.96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15,622,029.57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178,186.93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12,189,112.13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50,644,754.64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117,563,349.14</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83,462,524.61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117,157,825.10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left="1258" w:right="7998"/>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2100" w:val="left" w:leader="none"/>
        </w:tabs>
        <w:spacing w:line="240" w:lineRule="auto" w:before="56"/>
        <w:ind w:left="1258" w:right="0"/>
        <w:jc w:val="left"/>
      </w:pPr>
      <w:r>
        <w:rPr>
          <w:spacing w:val="-1"/>
        </w:rPr>
        <w:t>□适用</w:t>
        <w:tab/>
      </w:r>
      <w:r>
        <w:rPr>
          <w:spacing w:val="-2"/>
        </w:rPr>
        <w:t>√不适用</w:t>
      </w:r>
    </w:p>
    <w:p>
      <w:pPr>
        <w:spacing w:after="0" w:line="240" w:lineRule="auto"/>
        <w:jc w:val="left"/>
        <w:sectPr>
          <w:type w:val="continuous"/>
          <w:pgSz w:w="11910" w:h="16840"/>
          <w:pgMar w:top="1120" w:bottom="1380" w:left="540" w:right="1040"/>
        </w:sect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080" w:bottom="1380" w:left="1580" w:right="1040"/>
        </w:sectPr>
      </w:pPr>
    </w:p>
    <w:p>
      <w:pPr>
        <w:pStyle w:val="Heading5"/>
        <w:tabs>
          <w:tab w:pos="1057" w:val="left" w:leader="none"/>
        </w:tabs>
        <w:spacing w:line="240" w:lineRule="auto" w:before="36"/>
        <w:ind w:right="-19"/>
        <w:jc w:val="left"/>
        <w:rPr>
          <w:b w:val="0"/>
          <w:bCs w:val="0"/>
        </w:rPr>
      </w:pPr>
      <w:r>
        <w:rPr/>
        <w:t>十八、</w:t>
        <w:tab/>
        <w:t>补充资料</w:t>
      </w:r>
      <w:r>
        <w:rPr>
          <w:b w:val="0"/>
          <w:bCs w:val="0"/>
        </w:rPr>
      </w:r>
    </w:p>
    <w:p>
      <w:pPr>
        <w:pStyle w:val="Heading5"/>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-2,395,557.14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20,837,824.10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77,244,821.95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16,828,265.33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-4,942,998.43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-16,385,083.03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-766,564.96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90,420,707.82</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73" w:lineRule="exact" w:before="36"/>
        <w:ind w:left="218" w:right="121"/>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8" w:right="2549"/>
        <w:jc w:val="left"/>
      </w:pPr>
      <w:r>
        <w:rPr/>
        <w:t>□适用</w:t>
      </w:r>
      <w:r>
        <w:rPr>
          <w:spacing w:val="-1"/>
        </w:rPr>
        <w:t> </w:t>
      </w:r>
      <w:r>
        <w:rPr/>
        <w:t>√不适用</w:t>
      </w:r>
    </w:p>
    <w:p>
      <w:pPr>
        <w:pStyle w:val="Heading5"/>
        <w:spacing w:line="240" w:lineRule="auto" w:before="58"/>
        <w:ind w:right="2549"/>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18" w:right="254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0.0685</w:t>
            </w:r>
          </w:p>
        </w:tc>
        <w:tc>
          <w:tcPr>
            <w:tcW w:w="21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-0.95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-0.0446</w:t>
            </w:r>
          </w:p>
        </w:tc>
        <w:tc>
          <w:tcPr>
            <w:tcW w:w="21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before="36"/>
        <w:ind w:right="2549"/>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5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5"/>
        <w:spacing w:line="240" w:lineRule="auto"/>
        <w:ind w:right="2549"/>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8"/>
        <w:ind w:left="218" w:right="254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载有董事长签名的</w:t>
            </w:r>
            <w:r>
              <w:rPr>
                <w:rFonts w:ascii="宋体" w:hAnsi="宋体" w:cs="宋体" w:eastAsia="宋体" w:hint="default"/>
                <w:sz w:val="21"/>
                <w:szCs w:val="21"/>
              </w:rPr>
              <w:t>2017</w:t>
            </w:r>
            <w:r>
              <w:rPr>
                <w:rFonts w:ascii="宋体" w:hAnsi="宋体" w:cs="宋体" w:eastAsia="宋体" w:hint="default"/>
                <w:sz w:val="21"/>
                <w:szCs w:val="21"/>
              </w:rPr>
              <w:t>年年度报告原文</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bl>
    <w:p>
      <w:pPr>
        <w:spacing w:line="240" w:lineRule="auto" w:before="3"/>
        <w:rPr>
          <w:rFonts w:ascii="宋体" w:hAnsi="宋体" w:cs="宋体" w:eastAsia="宋体" w:hint="default"/>
          <w:b/>
          <w:bCs/>
          <w:sz w:val="21"/>
          <w:szCs w:val="21"/>
        </w:rPr>
      </w:pPr>
    </w:p>
    <w:p>
      <w:pPr>
        <w:pStyle w:val="BodyText"/>
        <w:spacing w:line="314" w:lineRule="auto" w:before="36"/>
        <w:ind w:left="5319" w:right="228" w:firstLine="2256"/>
        <w:jc w:val="left"/>
      </w:pPr>
      <w:r>
        <w:rPr>
          <w:spacing w:val="-1"/>
        </w:rPr>
        <w:t>董事长：徐新建</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left="218" w:right="2549"/>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218" w:right="2549"/>
        <w:jc w:val="left"/>
      </w:pPr>
      <w:r>
        <w:rPr/>
        <w:t>□适用</w:t>
      </w:r>
      <w:r>
        <w:rPr>
          <w:spacing w:val="-1"/>
        </w:rPr>
        <w:t> </w:t>
      </w:r>
      <w:r>
        <w:rPr/>
        <w:t>√不适用</w:t>
      </w:r>
    </w:p>
    <w:sectPr>
      <w:pgSz w:w="11910" w:h="16840"/>
      <w:pgMar w:header="0" w:footer="1195" w:top="108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Arial Narrow">
    <w:altName w:val="Arial Narrow"/>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0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8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8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8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69989pt;margin-top:771.169983pt;width:27.8pt;height:11pt;mso-position-horizontal-relative:page;mso-position-vertical-relative:page;z-index:-1008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8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08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8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170013pt;margin-top:784.009949pt;width:33.4pt;height:11pt;mso-position-horizontal-relative:page;mso-position-vertical-relative:page;z-index:-1008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170013pt;margin-top:784.009949pt;width:32.4pt;height:11pt;mso-position-horizontal-relative:page;mso-position-vertical-relative:page;z-index:-1008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170013pt;margin-top:784.009949pt;width:33.4pt;height:11pt;mso-position-horizontal-relative:page;mso-position-vertical-relative:page;z-index:-1008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890015pt;margin-top:784.009949pt;width:36.950pt;height:11pt;mso-position-horizontal-relative:page;mso-position-vertical-relative:page;z-index:-1008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890015pt;margin-top:784.009949pt;width:37.950pt;height:11pt;mso-position-horizontal-relative:page;mso-position-vertical-relative:page;z-index:-1008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890015pt;margin-top:784.009949pt;width:36.950pt;height:11pt;mso-position-horizontal-relative:page;mso-position-vertical-relative:page;z-index:-1007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890015pt;margin-top:784.009949pt;width:36.950pt;height:11pt;mso-position-horizontal-relative:page;mso-position-vertical-relative:page;z-index:-1007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51001pt;margin-top:537.385986pt;width:37.950pt;height:11pt;mso-position-horizontal-relative:page;mso-position-vertical-relative:page;z-index:-1007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51001pt;margin-top:537.385986pt;width:36.950pt;height:11pt;mso-position-horizontal-relative:page;mso-position-vertical-relative:page;z-index:-1007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115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r>
      <w:rPr/>
      <w:pict>
        <v:shape style="position:absolute;margin-left:55.639999pt;margin-top:539.981018pt;width:23.15pt;height:12.6pt;mso-position-horizontal-relative:page;mso-position-vertical-relative:page;z-index:-100784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rPr>
                  <w:t>(2).</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890015pt;margin-top:784.009949pt;width:37.950pt;height:11pt;mso-position-horizontal-relative:page;mso-position-vertical-relative:page;z-index:-1007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51001pt;margin-top:537.385986pt;width:37.950pt;height:11pt;mso-position-horizontal-relative:page;mso-position-vertical-relative:page;z-index:-1007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51001pt;margin-top:537.385986pt;width:36.950pt;height:11pt;mso-position-horizontal-relative:page;mso-position-vertical-relative:page;z-index:-1007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890015pt;margin-top:784.009949pt;width:37.950pt;height:11pt;mso-position-horizontal-relative:page;mso-position-vertical-relative:page;z-index:-1007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890015pt;margin-top:784.009949pt;width:37.950pt;height:11pt;mso-position-horizontal-relative:page;mso-position-vertical-relative:page;z-index:-1007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890015pt;margin-top:784.009949pt;width:37.950pt;height:11pt;mso-position-horizontal-relative:page;mso-position-vertical-relative:page;z-index:-1007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890015pt;margin-top:784.009949pt;width:36.950pt;height:11pt;mso-position-horizontal-relative:page;mso-position-vertical-relative:page;z-index:-1007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890015pt;margin-top:784.009949pt;width:37.950pt;height:11pt;mso-position-horizontal-relative:page;mso-position-vertical-relative:page;z-index:-1007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7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07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7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7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07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7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07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175</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7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8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175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8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090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09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920006pt;width:730.6pt;height:.1pt;mso-position-horizontal-relative:page;mso-position-vertical-relative:page;z-index:-1007944" coordorigin="1104,998" coordsize="14612,2">
          <v:shape style="position:absolute;left:1104;top:998;width:14612;height:2" coordorigin="1104,998" coordsize="14612,0" path="m1104,998l15715,998e" filled="false" stroked="true" strokeweight=".72pt" strokecolor="#000000">
            <v:path arrowok="t"/>
          </v:shape>
          <w10:wrap type="none"/>
        </v:group>
      </w:pict>
    </w:r>
    <w:r>
      <w:rPr/>
      <w:pict>
        <v:shape style="position:absolute;margin-left:386.670013pt;margin-top:37.105633pt;width:67.55pt;height:12pt;mso-position-horizontal-relative:page;mso-position-vertical-relative:page;z-index:-1007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919979pt;width:441.35pt;height:.1pt;mso-position-horizontal-relative:page;mso-position-vertical-relative:page;z-index:-1007824" coordorigin="1104,998" coordsize="8827,2">
          <v:shape style="position:absolute;left:1104;top:998;width:8827;height:2" coordorigin="1104,998" coordsize="8827,0" path="m1104,998l9931,998e" filled="false" stroked="true" strokeweight=".72pt" strokecolor="#000000">
            <v:path arrowok="t"/>
          </v:shape>
          <w10:wrap type="none"/>
        </v:group>
      </w:pict>
    </w:r>
    <w:r>
      <w:rPr/>
      <w:pict>
        <v:shape style="position:absolute;margin-left:242.050003pt;margin-top:37.105602pt;width:67.55pt;height:12pt;mso-position-horizontal-relative:page;mso-position-vertical-relative:page;z-index:-1007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920006pt;width:730.6pt;height:.1pt;mso-position-horizontal-relative:page;mso-position-vertical-relative:page;z-index:-1007752" coordorigin="1104,998" coordsize="14612,2">
          <v:shape style="position:absolute;left:1104;top:998;width:14612;height:2" coordorigin="1104,998" coordsize="14612,0" path="m1104,998l15715,998e" filled="false" stroked="true" strokeweight=".72pt" strokecolor="#000000">
            <v:path arrowok="t"/>
          </v:shape>
          <w10:wrap type="none"/>
        </v:group>
      </w:pict>
    </w:r>
    <w:r>
      <w:rPr/>
      <w:pict>
        <v:shape style="position:absolute;margin-left:386.670013pt;margin-top:37.105633pt;width:67.55pt;height:12pt;mso-position-horizontal-relative:page;mso-position-vertical-relative:page;z-index:-1007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919979pt;width:441.35pt;height:.1pt;mso-position-horizontal-relative:page;mso-position-vertical-relative:page;z-index:-1007656" coordorigin="1104,998" coordsize="8827,2">
          <v:shape style="position:absolute;left:1104;top:998;width:8827;height:2" coordorigin="1104,998" coordsize="8827,0" path="m1104,998l9931,998e" filled="false" stroked="true" strokeweight=".72pt" strokecolor="#000000">
            <v:path arrowok="t"/>
          </v:shape>
          <w10:wrap type="none"/>
        </v:group>
      </w:pict>
    </w:r>
    <w:r>
      <w:rPr/>
      <w:pict>
        <v:shape style="position:absolute;margin-left:242.050003pt;margin-top:37.105602pt;width:67.55pt;height:12pt;mso-position-horizontal-relative:page;mso-position-vertical-relative:page;z-index:-1007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0748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07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0876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08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086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08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0854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08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084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08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082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08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919979pt;width:441.35pt;height:.1pt;mso-position-horizontal-relative:page;mso-position-vertical-relative:page;z-index:-1008160" coordorigin="1104,998" coordsize="8827,2">
          <v:shape style="position:absolute;left:1104;top:998;width:8827;height:2" coordorigin="1104,998" coordsize="8827,0" path="m1104,998l9931,998e" filled="false" stroked="true" strokeweight=".72pt" strokecolor="#000000">
            <v:path arrowok="t"/>
          </v:shape>
          <w10:wrap type="none"/>
        </v:group>
      </w:pict>
    </w:r>
    <w:r>
      <w:rPr/>
      <w:pict>
        <v:shape style="position:absolute;margin-left:242.050003pt;margin-top:37.105602pt;width:67.55pt;height:12pt;mso-position-horizontal-relative:page;mso-position-vertical-relative:page;z-index:-1008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2"/>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14"/>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38"/>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sz w:val="22"/>
      <w:szCs w:val="22"/>
    </w:rPr>
  </w:style>
  <w:style w:styleId="Heading5" w:type="paragraph">
    <w:name w:val="Heading 5"/>
    <w:basedOn w:val="Normal"/>
    <w:uiPriority w:val="1"/>
    <w:qFormat/>
    <w:pPr>
      <w:ind w:left="218"/>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liuwenling@solareast.com" TargetMode="External"/><Relationship Id="rId9" Type="http://schemas.openxmlformats.org/officeDocument/2006/relationships/hyperlink" Target="mailto:zqb@solareast.com" TargetMode="External"/><Relationship Id="rId10" Type="http://schemas.openxmlformats.org/officeDocument/2006/relationships/hyperlink" Target="http://www.solareast.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2.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3.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eader" Target="header4.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5.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image" Target="media/image2.png"/><Relationship Id="rId32" Type="http://schemas.openxmlformats.org/officeDocument/2006/relationships/footer" Target="footer17.xml"/><Relationship Id="rId33" Type="http://schemas.openxmlformats.org/officeDocument/2006/relationships/image" Target="media/image3.png"/><Relationship Id="rId34" Type="http://schemas.openxmlformats.org/officeDocument/2006/relationships/header" Target="header6.xml"/><Relationship Id="rId35" Type="http://schemas.openxmlformats.org/officeDocument/2006/relationships/footer" Target="footer18.xml"/><Relationship Id="rId36" Type="http://schemas.openxmlformats.org/officeDocument/2006/relationships/header" Target="header7.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hyperlink" Target="http://www.see.com.cn/" TargetMode="Externa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header" Target="header8.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header" Target="header9.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header" Target="header10.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header" Target="header11.xml"/><Relationship Id="rId60" Type="http://schemas.openxmlformats.org/officeDocument/2006/relationships/footer" Target="footer37.xml"/><Relationship Id="rId61" Type="http://schemas.openxmlformats.org/officeDocument/2006/relationships/header" Target="header12.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header" Target="header13.xml"/><Relationship Id="rId65" Type="http://schemas.openxmlformats.org/officeDocument/2006/relationships/footer" Target="footer40.xml"/><Relationship Id="rId66" Type="http://schemas.openxmlformats.org/officeDocument/2006/relationships/footer" Target="footer41.xml"/><Relationship Id="rId67" Type="http://schemas.openxmlformats.org/officeDocument/2006/relationships/header" Target="header14.xml"/><Relationship Id="rId68" Type="http://schemas.openxmlformats.org/officeDocument/2006/relationships/footer" Target="footer42.xml"/><Relationship Id="rId69" Type="http://schemas.openxmlformats.org/officeDocument/2006/relationships/footer" Target="footer43.xml"/><Relationship Id="rId70" Type="http://schemas.openxmlformats.org/officeDocument/2006/relationships/footer" Target="footer44.xml"/><Relationship Id="rId71" Type="http://schemas.openxmlformats.org/officeDocument/2006/relationships/footer" Target="footer45.xml"/><Relationship Id="rId72" Type="http://schemas.openxmlformats.org/officeDocument/2006/relationships/header" Target="header15.xml"/><Relationship Id="rId73" Type="http://schemas.openxmlformats.org/officeDocument/2006/relationships/footer" Target="footer46.xml"/><Relationship Id="rId74" Type="http://schemas.openxmlformats.org/officeDocument/2006/relationships/header" Target="header16.xml"/><Relationship Id="rId75" Type="http://schemas.openxmlformats.org/officeDocument/2006/relationships/footer" Target="footer47.xml"/><Relationship Id="rId76" Type="http://schemas.openxmlformats.org/officeDocument/2006/relationships/footer" Target="footer48.xml"/><Relationship Id="rId77" Type="http://schemas.openxmlformats.org/officeDocument/2006/relationships/footer" Target="footer49.xml"/><Relationship Id="rId78" Type="http://schemas.openxmlformats.org/officeDocument/2006/relationships/header" Target="header17.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footer" Target="footer52.xml"/><Relationship Id="rId82" Type="http://schemas.openxmlformats.org/officeDocument/2006/relationships/footer" Target="footer53.xml"/><Relationship Id="rId83" Type="http://schemas.openxmlformats.org/officeDocument/2006/relationships/footer" Target="footer54.xml"/><Relationship Id="rId84" Type="http://schemas.openxmlformats.org/officeDocument/2006/relationships/footer" Target="footer5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2020-05-03T06:13:09Z</dcterms:created>
  <dcterms:modified xsi:type="dcterms:W3CDTF">2020-05-03T06:13:09Z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Microsoft® Office Word 2007</vt:lpwstr>
  </property>
  <property fmtid="{D5CDD505-2E9C-101B-9397-08002B2CF9AE}" pid="4" name="LastSaved">
    <vt:filetime>2020-05-02T00:00:00Z</vt:filetime>
  </property>
</Properties>
</file>