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2.xml" ContentType="application/vnd.openxmlformats-officedocument.wordprocessingml.header+xml"/>
  <Override PartName="/word/footer11.xml" ContentType="application/vnd.openxmlformats-officedocument.wordprocessingml.footer+xml"/>
  <Override PartName="/word/header3.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header4.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5.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header6.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header7.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header8.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7"/>
        <w:rPr>
          <w:rFonts w:ascii="Times New Roman" w:hAnsi="Times New Roman" w:cs="Times New Roman" w:eastAsia="Times New Roman" w:hint="default"/>
          <w:sz w:val="6"/>
          <w:szCs w:val="6"/>
        </w:rPr>
      </w:pPr>
    </w:p>
    <w:p>
      <w:pPr>
        <w:spacing w:line="20" w:lineRule="exact"/>
        <w:ind w:left="10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45.3pt;height:.75pt;mso-position-horizontal-relative:char;mso-position-vertical-relative:line" coordorigin="0,0" coordsize="8906,15">
            <v:group style="position:absolute;left:7;top:7;width:8891;height:2" coordorigin="7,7" coordsize="8891,2">
              <v:shape style="position:absolute;left:7;top:7;width:8891;height:2" coordorigin="7,7" coordsize="8891,0" path="m7,7l8898,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9"/>
          <w:szCs w:val="19"/>
        </w:rPr>
      </w:pPr>
    </w:p>
    <w:p>
      <w:pPr>
        <w:pStyle w:val="BodyText"/>
        <w:tabs>
          <w:tab w:pos="6544" w:val="left" w:leader="none"/>
        </w:tabs>
        <w:spacing w:line="240" w:lineRule="auto" w:before="36"/>
        <w:ind w:left="349" w:right="146"/>
        <w:jc w:val="left"/>
      </w:pPr>
      <w:r>
        <w:rPr>
          <w:spacing w:val="-1"/>
        </w:rPr>
        <w:t>公司代码：</w:t>
      </w:r>
      <w:r>
        <w:rPr>
          <w:rFonts w:ascii="宋体" w:hAnsi="宋体" w:cs="宋体" w:eastAsia="宋体" w:hint="default"/>
          <w:spacing w:val="-1"/>
        </w:rPr>
        <w:t>603383</w:t>
        <w:tab/>
      </w:r>
      <w:r>
        <w:rPr>
          <w:spacing w:val="-2"/>
        </w:rPr>
        <w:t>公司简称：顶点软件</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spacing w:line="2541" w:lineRule="exact"/>
        <w:ind w:left="3361" w:right="0" w:firstLine="0"/>
        <w:rPr>
          <w:rFonts w:ascii="宋体" w:hAnsi="宋体" w:cs="宋体" w:eastAsia="宋体" w:hint="default"/>
          <w:sz w:val="20"/>
          <w:szCs w:val="20"/>
        </w:rPr>
      </w:pPr>
      <w:r>
        <w:rPr>
          <w:rFonts w:ascii="宋体" w:hAnsi="宋体" w:cs="宋体" w:eastAsia="宋体" w:hint="default"/>
          <w:position w:val="-50"/>
          <w:sz w:val="20"/>
          <w:szCs w:val="20"/>
        </w:rPr>
        <w:drawing>
          <wp:inline distT="0" distB="0" distL="0" distR="0">
            <wp:extent cx="1527344" cy="1613534"/>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527344" cy="1613534"/>
                    </a:xfrm>
                    <a:prstGeom prst="rect">
                      <a:avLst/>
                    </a:prstGeom>
                  </pic:spPr>
                </pic:pic>
              </a:graphicData>
            </a:graphic>
          </wp:inline>
        </w:drawing>
      </w:r>
      <w:r>
        <w:rPr>
          <w:rFonts w:ascii="宋体" w:hAnsi="宋体" w:cs="宋体" w:eastAsia="宋体" w:hint="default"/>
          <w:position w:val="-50"/>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spacing w:before="0"/>
        <w:ind w:left="1640" w:right="1663" w:firstLine="0"/>
        <w:jc w:val="center"/>
        <w:rPr>
          <w:rFonts w:ascii="黑体" w:hAnsi="黑体" w:cs="黑体" w:eastAsia="黑体" w:hint="default"/>
          <w:sz w:val="48"/>
          <w:szCs w:val="48"/>
        </w:rPr>
      </w:pPr>
      <w:r>
        <w:rPr>
          <w:rFonts w:ascii="黑体" w:hAnsi="黑体" w:cs="黑体" w:eastAsia="黑体" w:hint="default"/>
          <w:b/>
          <w:bCs/>
          <w:color w:val="FF0000"/>
          <w:sz w:val="48"/>
          <w:szCs w:val="48"/>
        </w:rPr>
        <w:t>福建顶点软件股份有限公司</w:t>
      </w:r>
      <w:r>
        <w:rPr>
          <w:rFonts w:ascii="黑体" w:hAnsi="黑体" w:cs="黑体" w:eastAsia="黑体" w:hint="default"/>
          <w:sz w:val="48"/>
          <w:szCs w:val="48"/>
        </w:rPr>
      </w:r>
    </w:p>
    <w:p>
      <w:pPr>
        <w:spacing w:line="240" w:lineRule="auto" w:before="8"/>
        <w:rPr>
          <w:rFonts w:ascii="黑体" w:hAnsi="黑体" w:cs="黑体" w:eastAsia="黑体" w:hint="default"/>
          <w:b/>
          <w:bCs/>
          <w:sz w:val="43"/>
          <w:szCs w:val="43"/>
        </w:rPr>
      </w:pPr>
    </w:p>
    <w:p>
      <w:pPr>
        <w:spacing w:before="0"/>
        <w:ind w:left="1640" w:right="1659" w:firstLine="0"/>
        <w:jc w:val="center"/>
        <w:rPr>
          <w:rFonts w:ascii="黑体" w:hAnsi="黑体" w:cs="黑体" w:eastAsia="黑体" w:hint="default"/>
          <w:sz w:val="44"/>
          <w:szCs w:val="44"/>
        </w:rPr>
      </w:pPr>
      <w:r>
        <w:rPr>
          <w:rFonts w:ascii="黑体" w:hAnsi="黑体" w:cs="黑体" w:eastAsia="黑体" w:hint="default"/>
          <w:b/>
          <w:bCs/>
          <w:color w:val="FF0000"/>
          <w:sz w:val="44"/>
          <w:szCs w:val="44"/>
        </w:rPr>
        <w:t>2017</w:t>
      </w:r>
      <w:r>
        <w:rPr>
          <w:rFonts w:ascii="黑体" w:hAnsi="黑体" w:cs="黑体" w:eastAsia="黑体" w:hint="default"/>
          <w:b/>
          <w:bCs/>
          <w:color w:val="FF0000"/>
          <w:spacing w:val="-119"/>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line="240" w:lineRule="auto" w:before="0"/>
        <w:rPr>
          <w:rFonts w:ascii="黑体" w:hAnsi="黑体" w:cs="黑体" w:eastAsia="黑体" w:hint="default"/>
          <w:b/>
          <w:bCs/>
          <w:sz w:val="44"/>
          <w:szCs w:val="44"/>
        </w:rPr>
      </w:pPr>
    </w:p>
    <w:p>
      <w:pPr>
        <w:spacing w:line="240" w:lineRule="auto" w:before="0"/>
        <w:rPr>
          <w:rFonts w:ascii="黑体" w:hAnsi="黑体" w:cs="黑体" w:eastAsia="黑体" w:hint="default"/>
          <w:b/>
          <w:bCs/>
          <w:sz w:val="44"/>
          <w:szCs w:val="44"/>
        </w:rPr>
      </w:pPr>
    </w:p>
    <w:p>
      <w:pPr>
        <w:spacing w:line="240" w:lineRule="auto" w:before="0"/>
        <w:rPr>
          <w:rFonts w:ascii="黑体" w:hAnsi="黑体" w:cs="黑体" w:eastAsia="黑体" w:hint="default"/>
          <w:b/>
          <w:bCs/>
          <w:sz w:val="44"/>
          <w:szCs w:val="44"/>
        </w:rPr>
      </w:pPr>
    </w:p>
    <w:p>
      <w:pPr>
        <w:spacing w:line="240" w:lineRule="auto" w:before="0"/>
        <w:rPr>
          <w:rFonts w:ascii="黑体" w:hAnsi="黑体" w:cs="黑体" w:eastAsia="黑体" w:hint="default"/>
          <w:b/>
          <w:bCs/>
          <w:sz w:val="44"/>
          <w:szCs w:val="44"/>
        </w:rPr>
      </w:pPr>
    </w:p>
    <w:p>
      <w:pPr>
        <w:spacing w:line="240" w:lineRule="auto" w:before="0"/>
        <w:rPr>
          <w:rFonts w:ascii="黑体" w:hAnsi="黑体" w:cs="黑体" w:eastAsia="黑体" w:hint="default"/>
          <w:b/>
          <w:bCs/>
          <w:sz w:val="44"/>
          <w:szCs w:val="44"/>
        </w:rPr>
      </w:pPr>
    </w:p>
    <w:p>
      <w:pPr>
        <w:spacing w:line="240" w:lineRule="auto" w:before="0"/>
        <w:rPr>
          <w:rFonts w:ascii="黑体" w:hAnsi="黑体" w:cs="黑体" w:eastAsia="黑体" w:hint="default"/>
          <w:b/>
          <w:bCs/>
          <w:sz w:val="44"/>
          <w:szCs w:val="44"/>
        </w:rPr>
      </w:pPr>
    </w:p>
    <w:p>
      <w:pPr>
        <w:spacing w:line="240" w:lineRule="auto" w:before="0"/>
        <w:rPr>
          <w:rFonts w:ascii="黑体" w:hAnsi="黑体" w:cs="黑体" w:eastAsia="黑体" w:hint="default"/>
          <w:b/>
          <w:bCs/>
          <w:sz w:val="44"/>
          <w:szCs w:val="44"/>
        </w:rPr>
      </w:pPr>
    </w:p>
    <w:p>
      <w:pPr>
        <w:spacing w:line="240" w:lineRule="auto" w:before="0"/>
        <w:rPr>
          <w:rFonts w:ascii="黑体" w:hAnsi="黑体" w:cs="黑体" w:eastAsia="黑体" w:hint="default"/>
          <w:b/>
          <w:bCs/>
          <w:sz w:val="44"/>
          <w:szCs w:val="44"/>
        </w:rPr>
      </w:pPr>
    </w:p>
    <w:p>
      <w:pPr>
        <w:spacing w:before="311"/>
        <w:ind w:left="1640" w:right="1655" w:firstLine="0"/>
        <w:jc w:val="center"/>
        <w:rPr>
          <w:rFonts w:ascii="黑体" w:hAnsi="黑体" w:cs="黑体" w:eastAsia="黑体" w:hint="default"/>
          <w:sz w:val="32"/>
          <w:szCs w:val="32"/>
        </w:rPr>
      </w:pPr>
      <w:r>
        <w:rPr>
          <w:rFonts w:ascii="黑体" w:hAnsi="黑体" w:cs="黑体" w:eastAsia="黑体" w:hint="default"/>
          <w:b/>
          <w:bCs/>
          <w:color w:val="FF0000"/>
          <w:sz w:val="32"/>
          <w:szCs w:val="32"/>
        </w:rPr>
        <w:t>二〇一八年四月</w:t>
      </w:r>
      <w:r>
        <w:rPr>
          <w:rFonts w:ascii="黑体" w:hAnsi="黑体" w:cs="黑体" w:eastAsia="黑体" w:hint="default"/>
          <w:sz w:val="32"/>
          <w:szCs w:val="32"/>
        </w:rPr>
      </w:r>
    </w:p>
    <w:p>
      <w:pPr>
        <w:spacing w:after="0"/>
        <w:jc w:val="center"/>
        <w:rPr>
          <w:rFonts w:ascii="黑体" w:hAnsi="黑体" w:cs="黑体" w:eastAsia="黑体" w:hint="default"/>
          <w:sz w:val="32"/>
          <w:szCs w:val="32"/>
        </w:rPr>
        <w:sectPr>
          <w:type w:val="continuous"/>
          <w:pgSz w:w="11910" w:h="16840"/>
          <w:pgMar w:top="1000" w:bottom="280" w:left="1660" w:right="1120"/>
        </w:sect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6"/>
        <w:rPr>
          <w:rFonts w:ascii="黑体" w:hAnsi="黑体" w:cs="黑体" w:eastAsia="黑体" w:hint="default"/>
          <w:b/>
          <w:bCs/>
          <w:sz w:val="15"/>
          <w:szCs w:val="15"/>
        </w:rPr>
      </w:pPr>
    </w:p>
    <w:p>
      <w:pPr>
        <w:spacing w:before="14"/>
        <w:ind w:left="3972" w:right="4029" w:firstLine="0"/>
        <w:jc w:val="center"/>
        <w:rPr>
          <w:rFonts w:ascii="黑体" w:hAnsi="黑体" w:cs="黑体" w:eastAsia="黑体" w:hint="default"/>
          <w:sz w:val="28"/>
          <w:szCs w:val="28"/>
        </w:rPr>
      </w:pPr>
      <w:r>
        <w:rPr>
          <w:rFonts w:ascii="黑体" w:hAnsi="黑体" w:cs="黑体" w:eastAsia="黑体" w:hint="default"/>
          <w:b/>
          <w:bCs/>
          <w:sz w:val="28"/>
          <w:szCs w:val="28"/>
        </w:rPr>
        <w:t>重要提示</w:t>
      </w:r>
      <w:r>
        <w:rPr>
          <w:rFonts w:ascii="黑体" w:hAnsi="黑体" w:cs="黑体" w:eastAsia="黑体" w:hint="default"/>
          <w:sz w:val="28"/>
          <w:szCs w:val="28"/>
        </w:rPr>
      </w:r>
    </w:p>
    <w:p>
      <w:pPr>
        <w:spacing w:line="240" w:lineRule="auto" w:before="3"/>
        <w:rPr>
          <w:rFonts w:ascii="黑体" w:hAnsi="黑体" w:cs="黑体" w:eastAsia="黑体" w:hint="default"/>
          <w:b/>
          <w:bCs/>
          <w:sz w:val="22"/>
          <w:szCs w:val="22"/>
        </w:rPr>
      </w:pPr>
    </w:p>
    <w:p>
      <w:pPr>
        <w:pStyle w:val="Heading3"/>
        <w:spacing w:line="355" w:lineRule="auto"/>
        <w:ind w:left="505" w:right="95" w:hanging="368"/>
        <w:jc w:val="left"/>
        <w:rPr>
          <w:b w:val="0"/>
          <w:bCs w:val="0"/>
        </w:rPr>
      </w:pPr>
      <w:r>
        <w:rPr>
          <w:spacing w:val="-6"/>
        </w:rPr>
        <w:t>一、本公司董事会、监事会及董事、监事、高级管理人员保证年度报告内容的真实、准确、完整，</w:t>
      </w:r>
      <w:r>
        <w:rPr>
          <w:spacing w:val="-85"/>
        </w:rPr>
        <w:t> </w:t>
      </w:r>
      <w:r>
        <w:rPr>
          <w:spacing w:val="-85"/>
        </w:rPr>
      </w:r>
      <w:r>
        <w:rPr/>
        <w:t>不存在虚假记载、误导性陈述或重大遗漏，并承担个别和连带的法律责任。</w:t>
      </w:r>
      <w:r>
        <w:rPr>
          <w:b w:val="0"/>
          <w:bCs w:val="0"/>
        </w:rPr>
      </w:r>
    </w:p>
    <w:p>
      <w:pPr>
        <w:spacing w:line="240" w:lineRule="auto" w:before="3"/>
        <w:rPr>
          <w:rFonts w:ascii="宋体" w:hAnsi="宋体" w:cs="宋体" w:eastAsia="宋体" w:hint="default"/>
          <w:b/>
          <w:bCs/>
          <w:sz w:val="23"/>
          <w:szCs w:val="23"/>
        </w:rPr>
      </w:pPr>
    </w:p>
    <w:p>
      <w:pPr>
        <w:pStyle w:val="Heading3"/>
        <w:spacing w:line="240" w:lineRule="auto"/>
        <w:ind w:left="138" w:right="95"/>
        <w:jc w:val="left"/>
        <w:rPr>
          <w:b w:val="0"/>
          <w:bCs w:val="0"/>
        </w:rPr>
      </w:pPr>
      <w:r>
        <w:rPr/>
        <w:t>二、</w:t>
      </w:r>
      <w:r>
        <w:rPr>
          <w:spacing w:val="-80"/>
        </w:rPr>
        <w:t> </w:t>
      </w:r>
      <w:r>
        <w:rPr/>
        <w:t>公司全体董事出席董事会会议。</w:t>
      </w:r>
      <w:r>
        <w:rPr>
          <w:b w:val="0"/>
          <w:bCs w:val="0"/>
        </w:rPr>
      </w:r>
    </w:p>
    <w:p>
      <w:pPr>
        <w:spacing w:line="240" w:lineRule="auto" w:before="0"/>
        <w:rPr>
          <w:rFonts w:ascii="宋体" w:hAnsi="宋体" w:cs="宋体" w:eastAsia="宋体" w:hint="default"/>
          <w:b/>
          <w:bCs/>
          <w:sz w:val="20"/>
          <w:szCs w:val="20"/>
        </w:rPr>
      </w:pPr>
    </w:p>
    <w:p>
      <w:pPr>
        <w:pStyle w:val="Heading3"/>
        <w:spacing w:line="240" w:lineRule="auto" w:before="145"/>
        <w:ind w:left="138" w:right="95"/>
        <w:jc w:val="left"/>
        <w:rPr>
          <w:b w:val="0"/>
          <w:bCs w:val="0"/>
        </w:rPr>
      </w:pPr>
      <w:r>
        <w:rPr/>
        <w:t>三、</w:t>
      </w:r>
      <w:r>
        <w:rPr>
          <w:spacing w:val="-15"/>
        </w:rPr>
        <w:t> </w:t>
      </w:r>
      <w:r>
        <w:rPr/>
        <w:t>致同会计师事务所（特殊普通合伙）为本公司出具了标准无保留意见的审计报告。</w:t>
      </w:r>
      <w:r>
        <w:rPr>
          <w:b w:val="0"/>
          <w:bCs w:val="0"/>
        </w:rPr>
      </w:r>
    </w:p>
    <w:p>
      <w:pPr>
        <w:spacing w:line="240" w:lineRule="auto" w:before="0"/>
        <w:rPr>
          <w:rFonts w:ascii="宋体" w:hAnsi="宋体" w:cs="宋体" w:eastAsia="宋体" w:hint="default"/>
          <w:b/>
          <w:bCs/>
          <w:sz w:val="20"/>
          <w:szCs w:val="20"/>
        </w:rPr>
      </w:pPr>
    </w:p>
    <w:p>
      <w:pPr>
        <w:pStyle w:val="Heading3"/>
        <w:spacing w:line="355" w:lineRule="auto" w:before="145"/>
        <w:ind w:left="505" w:right="95" w:hanging="368"/>
        <w:jc w:val="left"/>
        <w:rPr>
          <w:b w:val="0"/>
          <w:bCs w:val="0"/>
        </w:rPr>
      </w:pPr>
      <w:r>
        <w:rPr>
          <w:spacing w:val="-1"/>
        </w:rPr>
        <w:t>四、公司负责人严孟宇、主管会计工作负责人董凤良及会计机构负责人（会计主管人员）熊婵静</w:t>
      </w:r>
      <w:r>
        <w:rPr>
          <w:spacing w:val="-88"/>
        </w:rPr>
        <w:t> </w:t>
      </w:r>
      <w:r>
        <w:rPr>
          <w:spacing w:val="-88"/>
        </w:rPr>
      </w:r>
      <w:r>
        <w:rPr/>
        <w:t>声明：保证年度报告中财务报告的真实、准确、完整。</w:t>
      </w:r>
      <w:r>
        <w:rPr>
          <w:b w:val="0"/>
          <w:bCs w:val="0"/>
        </w:rPr>
      </w:r>
    </w:p>
    <w:p>
      <w:pPr>
        <w:spacing w:line="240" w:lineRule="auto" w:before="5"/>
        <w:rPr>
          <w:rFonts w:ascii="宋体" w:hAnsi="宋体" w:cs="宋体" w:eastAsia="宋体" w:hint="default"/>
          <w:b/>
          <w:bCs/>
          <w:sz w:val="23"/>
          <w:szCs w:val="23"/>
        </w:rPr>
      </w:pPr>
    </w:p>
    <w:p>
      <w:pPr>
        <w:pStyle w:val="Heading3"/>
        <w:spacing w:line="240" w:lineRule="auto"/>
        <w:ind w:left="138" w:right="95"/>
        <w:jc w:val="left"/>
        <w:rPr>
          <w:b w:val="0"/>
          <w:bCs w:val="0"/>
        </w:rPr>
      </w:pPr>
      <w:r>
        <w:rPr/>
        <w:t>五、</w:t>
      </w:r>
      <w:r>
        <w:rPr>
          <w:spacing w:val="-41"/>
        </w:rPr>
        <w:t> </w:t>
      </w:r>
      <w:r>
        <w:rPr/>
        <w:t>经董事会审议的报告期利润分配预案或公积金转增股本预案</w:t>
      </w:r>
      <w:r>
        <w:rPr>
          <w:b w:val="0"/>
          <w:bCs w:val="0"/>
        </w:rPr>
      </w:r>
    </w:p>
    <w:p>
      <w:pPr>
        <w:spacing w:line="240" w:lineRule="auto" w:before="1"/>
        <w:rPr>
          <w:rFonts w:ascii="宋体" w:hAnsi="宋体" w:cs="宋体" w:eastAsia="宋体" w:hint="default"/>
          <w:b/>
          <w:bCs/>
          <w:sz w:val="16"/>
          <w:szCs w:val="16"/>
        </w:rPr>
      </w:pPr>
    </w:p>
    <w:p>
      <w:pPr>
        <w:pStyle w:val="BodyText"/>
        <w:spacing w:line="314" w:lineRule="auto"/>
        <w:ind w:left="138" w:right="95"/>
        <w:jc w:val="left"/>
      </w:pPr>
      <w:r>
        <w:rPr>
          <w:spacing w:val="-6"/>
        </w:rPr>
        <w:t>经致同会计师事务所（特殊普通合伙）审计，</w:t>
      </w:r>
      <w:r>
        <w:rPr>
          <w:rFonts w:ascii="宋体" w:hAnsi="宋体" w:cs="宋体" w:eastAsia="宋体" w:hint="default"/>
          <w:spacing w:val="-6"/>
        </w:rPr>
        <w:t>2017 </w:t>
      </w:r>
      <w:r>
        <w:rPr/>
        <w:t>年度公司合并报表实现归属于上市公司股东的</w:t>
      </w:r>
      <w:r>
        <w:rPr>
          <w:spacing w:val="-56"/>
        </w:rPr>
        <w:t> </w:t>
      </w:r>
      <w:r>
        <w:rPr>
          <w:spacing w:val="-56"/>
        </w:rPr>
      </w:r>
      <w:r>
        <w:rPr/>
        <w:t>净利润为</w:t>
      </w:r>
      <w:r>
        <w:rPr>
          <w:rFonts w:ascii="宋体" w:hAnsi="宋体" w:cs="宋体" w:eastAsia="宋体" w:hint="default"/>
        </w:rPr>
        <w:t>101,908,339.29</w:t>
      </w:r>
      <w:r>
        <w:rPr/>
        <w:t>元，根据《公司法》和《公司章程》的有关规定，提取法定盈余公积金</w:t>
      </w:r>
      <w:r>
        <w:rPr>
          <w:w w:val="100"/>
        </w:rPr>
        <w:t> </w:t>
      </w:r>
      <w:r>
        <w:rPr>
          <w:rFonts w:ascii="宋体" w:hAnsi="宋体" w:cs="宋体" w:eastAsia="宋体" w:hint="default"/>
          <w:spacing w:val="-3"/>
        </w:rPr>
        <w:t>13,815,637.87</w:t>
      </w:r>
      <w:r>
        <w:rPr>
          <w:spacing w:val="-3"/>
        </w:rPr>
        <w:t>元后，当年度可分配利润为</w:t>
      </w:r>
      <w:r>
        <w:rPr>
          <w:rFonts w:ascii="宋体" w:hAnsi="宋体" w:cs="宋体" w:eastAsia="宋体" w:hint="default"/>
          <w:spacing w:val="-3"/>
        </w:rPr>
        <w:t>88,092,701.42 </w:t>
      </w:r>
      <w:r>
        <w:rPr>
          <w:spacing w:val="-3"/>
        </w:rPr>
        <w:t>元，加上年初未分配利</w:t>
      </w:r>
      <w:r>
        <w:rPr>
          <w:rFonts w:ascii="宋体" w:hAnsi="宋体" w:cs="宋体" w:eastAsia="宋体" w:hint="default"/>
          <w:spacing w:val="-3"/>
        </w:rPr>
        <w:t>292,659,472.43</w:t>
      </w:r>
      <w:r>
        <w:rPr>
          <w:rFonts w:ascii="宋体" w:hAnsi="宋体" w:cs="宋体" w:eastAsia="宋体" w:hint="default"/>
          <w:spacing w:val="-19"/>
        </w:rPr>
        <w:t> </w:t>
      </w:r>
      <w:r>
        <w:rPr>
          <w:rFonts w:ascii="宋体" w:hAnsi="宋体" w:cs="宋体" w:eastAsia="宋体" w:hint="default"/>
          <w:spacing w:val="-19"/>
        </w:rPr>
      </w:r>
      <w:r>
        <w:rPr/>
        <w:t>元，</w:t>
      </w:r>
      <w:r>
        <w:rPr>
          <w:spacing w:val="-12"/>
        </w:rPr>
        <w:t> </w:t>
      </w:r>
      <w:r>
        <w:rPr>
          <w:rFonts w:ascii="宋体" w:hAnsi="宋体" w:cs="宋体" w:eastAsia="宋体" w:hint="default"/>
        </w:rPr>
        <w:t>2017</w:t>
      </w:r>
      <w:r>
        <w:rPr/>
        <w:t>年年末实际可供股东分配的利润为</w:t>
      </w:r>
      <w:r>
        <w:rPr>
          <w:rFonts w:ascii="宋体" w:hAnsi="宋体" w:cs="宋体" w:eastAsia="宋体" w:hint="default"/>
        </w:rPr>
        <w:t>380,752,173.85</w:t>
      </w:r>
      <w:r>
        <w:rPr/>
        <w:t>元。公司</w:t>
      </w:r>
      <w:r>
        <w:rPr>
          <w:rFonts w:ascii="宋体" w:hAnsi="宋体" w:cs="宋体" w:eastAsia="宋体" w:hint="default"/>
        </w:rPr>
        <w:t>2017</w:t>
      </w:r>
      <w:r>
        <w:rPr/>
        <w:t>年度利润分配预案为：</w:t>
      </w:r>
      <w:r>
        <w:rPr>
          <w:w w:val="100"/>
        </w:rPr>
        <w:t> </w:t>
      </w:r>
      <w:r>
        <w:rPr/>
        <w:t>以公司实施利润分配方案的股权登记日总股本</w:t>
      </w:r>
      <w:r>
        <w:rPr>
          <w:rFonts w:ascii="宋体" w:hAnsi="宋体" w:cs="宋体" w:eastAsia="宋体" w:hint="default"/>
        </w:rPr>
        <w:t>8,586.7</w:t>
      </w:r>
      <w:r>
        <w:rPr/>
        <w:t>万股为基数，向全体股东每</w:t>
      </w:r>
      <w:r>
        <w:rPr>
          <w:rFonts w:ascii="宋体" w:hAnsi="宋体" w:cs="宋体" w:eastAsia="宋体" w:hint="default"/>
        </w:rPr>
        <w:t>10</w:t>
      </w:r>
      <w:r>
        <w:rPr>
          <w:rFonts w:ascii="宋体" w:hAnsi="宋体" w:cs="宋体" w:eastAsia="宋体" w:hint="default"/>
          <w:spacing w:val="-4"/>
        </w:rPr>
        <w:t> </w:t>
      </w:r>
      <w:r>
        <w:rPr/>
        <w:t>股派发现金</w:t>
      </w:r>
      <w:r>
        <w:rPr>
          <w:w w:val="100"/>
        </w:rPr>
        <w:t> </w:t>
      </w:r>
      <w:r>
        <w:rPr/>
        <w:t>红利</w:t>
      </w:r>
      <w:r>
        <w:rPr>
          <w:rFonts w:ascii="宋体" w:hAnsi="宋体" w:cs="宋体" w:eastAsia="宋体" w:hint="default"/>
        </w:rPr>
        <w:t>5</w:t>
      </w:r>
      <w:r>
        <w:rPr/>
        <w:t>元（含税），资本公积每</w:t>
      </w:r>
      <w:r>
        <w:rPr>
          <w:rFonts w:ascii="宋体" w:hAnsi="宋体" w:cs="宋体" w:eastAsia="宋体" w:hint="default"/>
        </w:rPr>
        <w:t>10</w:t>
      </w:r>
      <w:r>
        <w:rPr/>
        <w:t>股转增</w:t>
      </w:r>
      <w:r>
        <w:rPr>
          <w:rFonts w:ascii="宋体" w:hAnsi="宋体" w:cs="宋体" w:eastAsia="宋体" w:hint="default"/>
        </w:rPr>
        <w:t>4</w:t>
      </w:r>
      <w:r>
        <w:rPr/>
        <w:t>股。</w:t>
      </w:r>
    </w:p>
    <w:p>
      <w:pPr>
        <w:spacing w:line="240" w:lineRule="auto" w:before="2"/>
        <w:rPr>
          <w:rFonts w:ascii="宋体" w:hAnsi="宋体" w:cs="宋体" w:eastAsia="宋体" w:hint="default"/>
          <w:sz w:val="23"/>
          <w:szCs w:val="23"/>
        </w:rPr>
      </w:pPr>
    </w:p>
    <w:p>
      <w:pPr>
        <w:pStyle w:val="Heading3"/>
        <w:spacing w:line="240" w:lineRule="auto"/>
        <w:ind w:left="138" w:right="95"/>
        <w:jc w:val="left"/>
        <w:rPr>
          <w:b w:val="0"/>
          <w:bCs w:val="0"/>
        </w:rPr>
      </w:pPr>
      <w:r>
        <w:rPr/>
        <w:t>六、</w:t>
      </w:r>
      <w:r>
        <w:rPr>
          <w:spacing w:val="-24"/>
        </w:rPr>
        <w:t> </w:t>
      </w:r>
      <w:r>
        <w:rPr/>
        <w:t>前瞻性陈述的风险声明</w:t>
      </w:r>
      <w:r>
        <w:rPr>
          <w:b w:val="0"/>
          <w:bCs w:val="0"/>
        </w:rPr>
      </w:r>
    </w:p>
    <w:p>
      <w:pPr>
        <w:pStyle w:val="BodyText"/>
        <w:spacing w:line="309" w:lineRule="auto" w:before="133"/>
        <w:ind w:left="138" w:right="95"/>
        <w:jc w:val="left"/>
      </w:pPr>
      <w:r>
        <w:rPr/>
        <w:t>√适用</w:t>
      </w:r>
      <w:r>
        <w:rPr>
          <w:spacing w:val="-2"/>
        </w:rPr>
        <w:t> </w:t>
      </w:r>
      <w:r>
        <w:rPr/>
        <w:t>□不适用</w:t>
      </w:r>
      <w:r>
        <w:rPr>
          <w:w w:val="100"/>
        </w:rPr>
        <w:t> </w:t>
      </w:r>
      <w:r>
        <w:rPr>
          <w:spacing w:val="-2"/>
        </w:rPr>
        <w:t>本报告中所涉及的未来计划、发展战略等前瞻性描述不构成公司对投资者的实质承诺，敬请</w:t>
      </w:r>
      <w:r>
        <w:rPr>
          <w:spacing w:val="-28"/>
        </w:rPr>
        <w:t> </w:t>
      </w:r>
      <w:r>
        <w:rPr>
          <w:spacing w:val="-28"/>
        </w:rPr>
      </w:r>
      <w:r>
        <w:rPr/>
        <w:t>投资者注意投资风险。</w:t>
      </w:r>
    </w:p>
    <w:p>
      <w:pPr>
        <w:spacing w:line="240" w:lineRule="auto" w:before="7"/>
        <w:rPr>
          <w:rFonts w:ascii="宋体" w:hAnsi="宋体" w:cs="宋体" w:eastAsia="宋体" w:hint="default"/>
          <w:sz w:val="23"/>
          <w:szCs w:val="23"/>
        </w:rPr>
      </w:pPr>
    </w:p>
    <w:p>
      <w:pPr>
        <w:pStyle w:val="Heading3"/>
        <w:spacing w:line="424" w:lineRule="auto"/>
        <w:ind w:left="138" w:right="3527"/>
        <w:jc w:val="left"/>
        <w:rPr>
          <w:rFonts w:ascii="宋体" w:hAnsi="宋体" w:cs="宋体" w:eastAsia="宋体" w:hint="default"/>
          <w:b w:val="0"/>
          <w:bCs w:val="0"/>
        </w:rPr>
      </w:pPr>
      <w:r>
        <w:rPr/>
        <w:t>七、是否存在被控股股东及其关联方非经营性占用资金情况</w:t>
      </w:r>
      <w:r>
        <w:rPr>
          <w:spacing w:val="-97"/>
        </w:rPr>
        <w:t> </w:t>
      </w:r>
      <w:r>
        <w:rPr>
          <w:spacing w:val="-97"/>
        </w:rPr>
      </w:r>
      <w:r>
        <w:rPr>
          <w:rFonts w:ascii="宋体" w:hAnsi="宋体" w:cs="宋体" w:eastAsia="宋体" w:hint="default"/>
          <w:b w:val="0"/>
          <w:bCs w:val="0"/>
        </w:rPr>
        <w:t>否</w:t>
      </w:r>
    </w:p>
    <w:p>
      <w:pPr>
        <w:spacing w:line="240" w:lineRule="auto" w:before="10"/>
        <w:rPr>
          <w:rFonts w:ascii="宋体" w:hAnsi="宋体" w:cs="宋体" w:eastAsia="宋体" w:hint="default"/>
          <w:sz w:val="15"/>
          <w:szCs w:val="15"/>
        </w:rPr>
      </w:pPr>
    </w:p>
    <w:p>
      <w:pPr>
        <w:pStyle w:val="Heading3"/>
        <w:tabs>
          <w:tab w:pos="781" w:val="left" w:leader="none"/>
        </w:tabs>
        <w:spacing w:line="355" w:lineRule="auto"/>
        <w:ind w:left="138" w:right="3743"/>
        <w:jc w:val="left"/>
        <w:rPr>
          <w:rFonts w:ascii="宋体" w:hAnsi="宋体" w:cs="宋体" w:eastAsia="宋体" w:hint="default"/>
          <w:b w:val="0"/>
          <w:bCs w:val="0"/>
        </w:rPr>
      </w:pPr>
      <w:r>
        <w:rPr/>
        <w:t>八、</w:t>
        <w:tab/>
      </w:r>
      <w:r>
        <w:rPr>
          <w:spacing w:val="-1"/>
        </w:rPr>
        <w:t>是否存在违反规定决策程序对外提供担保的情况？</w:t>
      </w:r>
      <w:r>
        <w:rPr>
          <w:spacing w:val="-85"/>
        </w:rPr>
        <w:t> </w:t>
      </w:r>
      <w:r>
        <w:rPr>
          <w:spacing w:val="-85"/>
        </w:rPr>
      </w:r>
      <w:r>
        <w:rPr>
          <w:rFonts w:ascii="宋体" w:hAnsi="宋体" w:cs="宋体" w:eastAsia="宋体" w:hint="default"/>
          <w:b w:val="0"/>
          <w:bCs w:val="0"/>
        </w:rPr>
        <w:t>否</w:t>
      </w:r>
    </w:p>
    <w:p>
      <w:pPr>
        <w:pStyle w:val="Heading3"/>
        <w:tabs>
          <w:tab w:pos="781" w:val="left" w:leader="none"/>
        </w:tabs>
        <w:spacing w:line="240" w:lineRule="auto" w:before="169"/>
        <w:ind w:left="138" w:right="95"/>
        <w:jc w:val="left"/>
        <w:rPr>
          <w:b w:val="0"/>
          <w:bCs w:val="0"/>
        </w:rPr>
      </w:pPr>
      <w:r>
        <w:rPr/>
        <w:t>九、</w:t>
        <w:tab/>
        <w:t>重大风险提示</w:t>
      </w:r>
      <w:r>
        <w:rPr>
          <w:b w:val="0"/>
          <w:bCs w:val="0"/>
        </w:rPr>
      </w:r>
    </w:p>
    <w:p>
      <w:pPr>
        <w:pStyle w:val="BodyText"/>
        <w:spacing w:line="240" w:lineRule="auto" w:before="133"/>
        <w:ind w:left="138" w:right="95"/>
        <w:jc w:val="left"/>
      </w:pPr>
      <w:r>
        <w:rPr>
          <w:spacing w:val="-2"/>
        </w:rPr>
        <w:t>公司已在本报告中详细描述可能存在的相关风险，敬请查阅第四节经营情况讨论与分析中关</w:t>
      </w:r>
      <w:r>
        <w:rPr>
          <w:spacing w:val="-28"/>
        </w:rPr>
        <w:t> </w:t>
      </w:r>
      <w:r>
        <w:rPr>
          <w:spacing w:val="-28"/>
        </w:rPr>
      </w:r>
      <w:r>
        <w:rPr/>
        <w:t>于公司未来发展的讨论与分析中可能面对的风险因素的内容。</w:t>
      </w:r>
    </w:p>
    <w:p>
      <w:pPr>
        <w:spacing w:line="240" w:lineRule="auto" w:before="2"/>
        <w:rPr>
          <w:rFonts w:ascii="宋体" w:hAnsi="宋体" w:cs="宋体" w:eastAsia="宋体" w:hint="default"/>
          <w:sz w:val="20"/>
          <w:szCs w:val="20"/>
        </w:rPr>
      </w:pPr>
    </w:p>
    <w:p>
      <w:pPr>
        <w:spacing w:before="0"/>
        <w:ind w:left="138" w:right="95" w:firstLine="0"/>
        <w:jc w:val="left"/>
        <w:rPr>
          <w:rFonts w:ascii="宋体" w:hAnsi="宋体" w:cs="宋体" w:eastAsia="宋体" w:hint="default"/>
          <w:sz w:val="24"/>
          <w:szCs w:val="24"/>
        </w:rPr>
      </w:pPr>
      <w:r>
        <w:rPr>
          <w:rFonts w:ascii="宋体" w:hAnsi="宋体" w:cs="宋体" w:eastAsia="宋体" w:hint="default"/>
          <w:b/>
          <w:bCs/>
          <w:sz w:val="21"/>
          <w:szCs w:val="21"/>
        </w:rPr>
        <w:t>十、</w:t>
      </w:r>
      <w:r>
        <w:rPr>
          <w:rFonts w:ascii="宋体" w:hAnsi="宋体" w:cs="宋体" w:eastAsia="宋体" w:hint="default"/>
          <w:b/>
          <w:bCs/>
          <w:spacing w:val="61"/>
          <w:sz w:val="21"/>
          <w:szCs w:val="21"/>
        </w:rPr>
        <w:t> </w:t>
      </w:r>
      <w:r>
        <w:rPr>
          <w:rFonts w:ascii="宋体" w:hAnsi="宋体" w:cs="宋体" w:eastAsia="宋体" w:hint="default"/>
          <w:b/>
          <w:bCs/>
          <w:sz w:val="24"/>
          <w:szCs w:val="24"/>
        </w:rPr>
        <w:t>其他</w:t>
      </w:r>
      <w:r>
        <w:rPr>
          <w:rFonts w:ascii="宋体" w:hAnsi="宋体" w:cs="宋体" w:eastAsia="宋体" w:hint="default"/>
          <w:sz w:val="24"/>
          <w:szCs w:val="24"/>
        </w:rPr>
      </w:r>
    </w:p>
    <w:p>
      <w:pPr>
        <w:pStyle w:val="BodyText"/>
        <w:spacing w:line="240" w:lineRule="auto" w:before="158"/>
        <w:ind w:left="138" w:right="95"/>
        <w:jc w:val="left"/>
      </w:pPr>
      <w:r>
        <w:rPr/>
        <w:t>□适用</w:t>
      </w:r>
      <w:r>
        <w:rPr>
          <w:spacing w:val="-1"/>
        </w:rPr>
        <w:t> </w:t>
      </w:r>
      <w:r>
        <w:rPr/>
        <w:t>√不适用</w:t>
      </w:r>
    </w:p>
    <w:p>
      <w:pPr>
        <w:spacing w:after="0" w:line="240" w:lineRule="auto"/>
        <w:jc w:val="left"/>
        <w:sectPr>
          <w:headerReference w:type="default" r:id="rId6"/>
          <w:footerReference w:type="default" r:id="rId7"/>
          <w:pgSz w:w="11910" w:h="16840"/>
          <w:pgMar w:header="855" w:footer="1195" w:top="1280" w:bottom="1380" w:left="1660" w:right="1080"/>
          <w:pgNumType w:start="2"/>
        </w:sectPr>
      </w:pPr>
    </w:p>
    <w:p>
      <w:pPr>
        <w:spacing w:line="240" w:lineRule="auto" w:before="0"/>
        <w:rPr>
          <w:rFonts w:ascii="宋体" w:hAnsi="宋体" w:cs="宋体" w:eastAsia="宋体" w:hint="default"/>
          <w:sz w:val="20"/>
          <w:szCs w:val="20"/>
        </w:rPr>
      </w:pPr>
    </w:p>
    <w:p>
      <w:pPr>
        <w:spacing w:before="158"/>
        <w:ind w:left="2" w:right="0" w:firstLine="0"/>
        <w:jc w:val="center"/>
        <w:rPr>
          <w:rFonts w:ascii="宋体" w:hAnsi="宋体" w:cs="宋体" w:eastAsia="宋体" w:hint="default"/>
          <w:sz w:val="28"/>
          <w:szCs w:val="28"/>
        </w:rPr>
      </w:pPr>
      <w:r>
        <w:rPr>
          <w:rFonts w:ascii="宋体" w:hAnsi="宋体" w:cs="宋体" w:eastAsia="宋体" w:hint="default"/>
          <w:b/>
          <w:bCs/>
          <w:sz w:val="28"/>
          <w:szCs w:val="28"/>
        </w:rPr>
        <w:t>目录</w:t>
      </w:r>
      <w:r>
        <w:rPr>
          <w:rFonts w:ascii="宋体" w:hAnsi="宋体" w:cs="宋体" w:eastAsia="宋体" w:hint="default"/>
          <w:sz w:val="28"/>
          <w:szCs w:val="28"/>
        </w:rPr>
      </w:r>
    </w:p>
    <w:sdt>
      <w:sdtPr>
        <w:docPartObj>
          <w:docPartGallery w:val="Table of Contents"/>
          <w:docPartUnique/>
        </w:docPartObj>
      </w:sdtPr>
      <w:sdtEndPr/>
      <w:sdtContent>
        <w:p>
          <w:pPr>
            <w:pStyle w:val="TOC1"/>
            <w:tabs>
              <w:tab w:pos="1397" w:val="left" w:leader="none"/>
              <w:tab w:pos="8961" w:val="right" w:leader="dot"/>
            </w:tabs>
            <w:spacing w:line="240" w:lineRule="auto" w:before="370"/>
            <w:ind w:right="0"/>
            <w:jc w:val="left"/>
            <w:rPr>
              <w:rFonts w:ascii="宋体" w:hAnsi="宋体" w:cs="宋体" w:eastAsia="宋体" w:hint="default"/>
              <w:b w:val="0"/>
              <w:bCs w:val="0"/>
            </w:rPr>
          </w:pPr>
          <w:r>
            <w:fldChar w:fldCharType="begin"/>
          </w:r>
          <w:r>
            <w:instrText>TOC \o "1-1" \h \z \u </w:instrText>
          </w:r>
          <w:r>
            <w:fldChar w:fldCharType="separate"/>
          </w:r>
          <w:hyperlink w:history="true" w:anchor="_TOC_250011">
            <w:r>
              <w:rPr/>
              <w:t>第一节</w:t>
              <w:tab/>
              <w:t>释义</w:t>
            </w:r>
            <w:r>
              <w:rPr>
                <w:rFonts w:ascii="宋体" w:hAnsi="宋体" w:cs="宋体" w:eastAsia="宋体" w:hint="default"/>
              </w:rPr>
              <w:tab/>
              <w:t>4</w:t>
            </w:r>
            <w:r>
              <w:rPr>
                <w:rFonts w:ascii="宋体" w:hAnsi="宋体" w:cs="宋体" w:eastAsia="宋体" w:hint="default"/>
                <w:b w:val="0"/>
                <w:bCs w:val="0"/>
              </w:rPr>
            </w:r>
          </w:hyperlink>
        </w:p>
        <w:p>
          <w:pPr>
            <w:pStyle w:val="TOC1"/>
            <w:tabs>
              <w:tab w:pos="1397" w:val="left" w:leader="none"/>
              <w:tab w:pos="8961" w:val="right" w:leader="dot"/>
            </w:tabs>
            <w:spacing w:line="240" w:lineRule="auto" w:before="135"/>
            <w:ind w:right="0"/>
            <w:jc w:val="left"/>
            <w:rPr>
              <w:rFonts w:ascii="宋体" w:hAnsi="宋体" w:cs="宋体" w:eastAsia="宋体" w:hint="default"/>
              <w:b w:val="0"/>
              <w:bCs w:val="0"/>
            </w:rPr>
          </w:pPr>
          <w:hyperlink w:history="true" w:anchor="_TOC_250010">
            <w:r>
              <w:rPr/>
              <w:t>第二节</w:t>
              <w:tab/>
              <w:t>公司简介和主要财务指标</w:t>
            </w:r>
            <w:r>
              <w:rPr>
                <w:rFonts w:ascii="宋体" w:hAnsi="宋体" w:cs="宋体" w:eastAsia="宋体" w:hint="default"/>
              </w:rPr>
              <w:tab/>
              <w:t>4</w:t>
            </w:r>
            <w:r>
              <w:rPr>
                <w:rFonts w:ascii="宋体" w:hAnsi="宋体" w:cs="宋体" w:eastAsia="宋体" w:hint="default"/>
                <w:b w:val="0"/>
                <w:bCs w:val="0"/>
              </w:rPr>
            </w:r>
          </w:hyperlink>
        </w:p>
        <w:p>
          <w:pPr>
            <w:pStyle w:val="TOC1"/>
            <w:tabs>
              <w:tab w:pos="1397" w:val="left" w:leader="none"/>
              <w:tab w:pos="8961" w:val="right" w:leader="dot"/>
            </w:tabs>
            <w:spacing w:line="240" w:lineRule="auto"/>
            <w:ind w:right="0"/>
            <w:jc w:val="left"/>
            <w:rPr>
              <w:rFonts w:ascii="宋体" w:hAnsi="宋体" w:cs="宋体" w:eastAsia="宋体" w:hint="default"/>
              <w:b w:val="0"/>
              <w:bCs w:val="0"/>
            </w:rPr>
          </w:pPr>
          <w:hyperlink w:history="true" w:anchor="_TOC_250009">
            <w:r>
              <w:rPr/>
              <w:t>第三节</w:t>
              <w:tab/>
              <w:t>公司业务概要</w:t>
            </w:r>
            <w:r>
              <w:rPr>
                <w:rFonts w:ascii="宋体" w:hAnsi="宋体" w:cs="宋体" w:eastAsia="宋体" w:hint="default"/>
              </w:rPr>
              <w:tab/>
              <w:t>8</w:t>
            </w:r>
            <w:r>
              <w:rPr>
                <w:rFonts w:ascii="宋体" w:hAnsi="宋体" w:cs="宋体" w:eastAsia="宋体" w:hint="default"/>
                <w:b w:val="0"/>
                <w:bCs w:val="0"/>
              </w:rPr>
            </w:r>
          </w:hyperlink>
        </w:p>
        <w:p>
          <w:pPr>
            <w:pStyle w:val="TOC1"/>
            <w:tabs>
              <w:tab w:pos="1397" w:val="left" w:leader="none"/>
              <w:tab w:pos="8961" w:val="right" w:leader="dot"/>
            </w:tabs>
            <w:spacing w:line="240" w:lineRule="auto"/>
            <w:ind w:right="0"/>
            <w:jc w:val="left"/>
            <w:rPr>
              <w:rFonts w:ascii="宋体" w:hAnsi="宋体" w:cs="宋体" w:eastAsia="宋体" w:hint="default"/>
              <w:b w:val="0"/>
              <w:bCs w:val="0"/>
            </w:rPr>
          </w:pPr>
          <w:hyperlink w:history="true" w:anchor="_TOC_250008">
            <w:r>
              <w:rPr/>
              <w:t>第四节</w:t>
              <w:tab/>
              <w:t>经营情况讨论与分析</w:t>
            </w:r>
            <w:r>
              <w:rPr>
                <w:rFonts w:ascii="宋体" w:hAnsi="宋体" w:cs="宋体" w:eastAsia="宋体" w:hint="default"/>
              </w:rPr>
              <w:tab/>
              <w:t>11</w:t>
            </w:r>
            <w:r>
              <w:rPr>
                <w:rFonts w:ascii="宋体" w:hAnsi="宋体" w:cs="宋体" w:eastAsia="宋体" w:hint="default"/>
                <w:b w:val="0"/>
                <w:bCs w:val="0"/>
              </w:rPr>
            </w:r>
          </w:hyperlink>
        </w:p>
        <w:p>
          <w:pPr>
            <w:pStyle w:val="TOC1"/>
            <w:tabs>
              <w:tab w:pos="1397" w:val="left" w:leader="none"/>
              <w:tab w:pos="8961" w:val="right" w:leader="dot"/>
            </w:tabs>
            <w:spacing w:line="240" w:lineRule="auto"/>
            <w:ind w:right="0"/>
            <w:jc w:val="left"/>
            <w:rPr>
              <w:rFonts w:ascii="宋体" w:hAnsi="宋体" w:cs="宋体" w:eastAsia="宋体" w:hint="default"/>
              <w:b w:val="0"/>
              <w:bCs w:val="0"/>
            </w:rPr>
          </w:pPr>
          <w:hyperlink w:history="true" w:anchor="_TOC_250007">
            <w:r>
              <w:rPr/>
              <w:t>第五节</w:t>
              <w:tab/>
              <w:t>重要事项</w:t>
            </w:r>
            <w:r>
              <w:rPr>
                <w:rFonts w:ascii="宋体" w:hAnsi="宋体" w:cs="宋体" w:eastAsia="宋体" w:hint="default"/>
              </w:rPr>
              <w:tab/>
              <w:t>23</w:t>
            </w:r>
            <w:r>
              <w:rPr>
                <w:rFonts w:ascii="宋体" w:hAnsi="宋体" w:cs="宋体" w:eastAsia="宋体" w:hint="default"/>
                <w:b w:val="0"/>
                <w:bCs w:val="0"/>
              </w:rPr>
            </w:r>
          </w:hyperlink>
        </w:p>
        <w:p>
          <w:pPr>
            <w:pStyle w:val="TOC1"/>
            <w:tabs>
              <w:tab w:pos="1397" w:val="left" w:leader="none"/>
              <w:tab w:pos="8961" w:val="right" w:leader="dot"/>
            </w:tabs>
            <w:spacing w:line="240" w:lineRule="auto" w:before="135"/>
            <w:ind w:right="0"/>
            <w:jc w:val="left"/>
            <w:rPr>
              <w:rFonts w:ascii="宋体" w:hAnsi="宋体" w:cs="宋体" w:eastAsia="宋体" w:hint="default"/>
              <w:b w:val="0"/>
              <w:bCs w:val="0"/>
            </w:rPr>
          </w:pPr>
          <w:hyperlink w:history="true" w:anchor="_TOC_250006">
            <w:r>
              <w:rPr/>
              <w:t>第六节</w:t>
              <w:tab/>
              <w:t>普通股股份变动及股东情况</w:t>
            </w:r>
            <w:r>
              <w:rPr>
                <w:rFonts w:ascii="宋体" w:hAnsi="宋体" w:cs="宋体" w:eastAsia="宋体" w:hint="default"/>
              </w:rPr>
              <w:tab/>
              <w:t>42</w:t>
            </w:r>
            <w:r>
              <w:rPr>
                <w:rFonts w:ascii="宋体" w:hAnsi="宋体" w:cs="宋体" w:eastAsia="宋体" w:hint="default"/>
                <w:b w:val="0"/>
                <w:bCs w:val="0"/>
              </w:rPr>
            </w:r>
          </w:hyperlink>
        </w:p>
        <w:p>
          <w:pPr>
            <w:pStyle w:val="TOC1"/>
            <w:tabs>
              <w:tab w:pos="1397" w:val="left" w:leader="none"/>
              <w:tab w:pos="8961" w:val="right" w:leader="dot"/>
            </w:tabs>
            <w:spacing w:line="240" w:lineRule="auto"/>
            <w:ind w:right="0"/>
            <w:jc w:val="left"/>
            <w:rPr>
              <w:rFonts w:ascii="宋体" w:hAnsi="宋体" w:cs="宋体" w:eastAsia="宋体" w:hint="default"/>
              <w:b w:val="0"/>
              <w:bCs w:val="0"/>
            </w:rPr>
          </w:pPr>
          <w:hyperlink w:history="true" w:anchor="_TOC_250005">
            <w:r>
              <w:rPr/>
              <w:t>第七节</w:t>
              <w:tab/>
              <w:t>优先股相关情况</w:t>
            </w:r>
            <w:r>
              <w:rPr>
                <w:rFonts w:ascii="宋体" w:hAnsi="宋体" w:cs="宋体" w:eastAsia="宋体" w:hint="default"/>
              </w:rPr>
              <w:tab/>
              <w:t>49</w:t>
            </w:r>
            <w:r>
              <w:rPr>
                <w:rFonts w:ascii="宋体" w:hAnsi="宋体" w:cs="宋体" w:eastAsia="宋体" w:hint="default"/>
                <w:b w:val="0"/>
                <w:bCs w:val="0"/>
              </w:rPr>
            </w:r>
          </w:hyperlink>
        </w:p>
        <w:p>
          <w:pPr>
            <w:pStyle w:val="TOC1"/>
            <w:tabs>
              <w:tab w:pos="1397" w:val="left" w:leader="none"/>
              <w:tab w:pos="8961" w:val="right" w:leader="dot"/>
            </w:tabs>
            <w:spacing w:line="240" w:lineRule="auto"/>
            <w:ind w:right="0"/>
            <w:jc w:val="left"/>
            <w:rPr>
              <w:rFonts w:ascii="宋体" w:hAnsi="宋体" w:cs="宋体" w:eastAsia="宋体" w:hint="default"/>
              <w:b w:val="0"/>
              <w:bCs w:val="0"/>
            </w:rPr>
          </w:pPr>
          <w:hyperlink w:history="true" w:anchor="_TOC_250004">
            <w:r>
              <w:rPr/>
              <w:t>第八节</w:t>
              <w:tab/>
              <w:t>董事、监事、高级管理人员和员工情况</w:t>
            </w:r>
            <w:r>
              <w:rPr>
                <w:rFonts w:ascii="宋体" w:hAnsi="宋体" w:cs="宋体" w:eastAsia="宋体" w:hint="default"/>
              </w:rPr>
              <w:tab/>
              <w:t>50</w:t>
            </w:r>
            <w:r>
              <w:rPr>
                <w:rFonts w:ascii="宋体" w:hAnsi="宋体" w:cs="宋体" w:eastAsia="宋体" w:hint="default"/>
                <w:b w:val="0"/>
                <w:bCs w:val="0"/>
              </w:rPr>
            </w:r>
          </w:hyperlink>
        </w:p>
        <w:p>
          <w:pPr>
            <w:pStyle w:val="TOC1"/>
            <w:tabs>
              <w:tab w:pos="1397" w:val="left" w:leader="none"/>
              <w:tab w:pos="8961" w:val="right" w:leader="dot"/>
            </w:tabs>
            <w:spacing w:line="240" w:lineRule="auto"/>
            <w:ind w:right="0"/>
            <w:jc w:val="left"/>
            <w:rPr>
              <w:rFonts w:ascii="宋体" w:hAnsi="宋体" w:cs="宋体" w:eastAsia="宋体" w:hint="default"/>
              <w:b w:val="0"/>
              <w:bCs w:val="0"/>
            </w:rPr>
          </w:pPr>
          <w:hyperlink w:history="true" w:anchor="_TOC_250003">
            <w:r>
              <w:rPr/>
              <w:t>第九节</w:t>
              <w:tab/>
              <w:t>公司治理</w:t>
            </w:r>
            <w:r>
              <w:rPr>
                <w:rFonts w:ascii="宋体" w:hAnsi="宋体" w:cs="宋体" w:eastAsia="宋体" w:hint="default"/>
              </w:rPr>
              <w:tab/>
              <w:t>54</w:t>
            </w:r>
            <w:r>
              <w:rPr>
                <w:rFonts w:ascii="宋体" w:hAnsi="宋体" w:cs="宋体" w:eastAsia="宋体" w:hint="default"/>
                <w:b w:val="0"/>
                <w:bCs w:val="0"/>
              </w:rPr>
            </w:r>
          </w:hyperlink>
        </w:p>
        <w:p>
          <w:pPr>
            <w:pStyle w:val="TOC1"/>
            <w:tabs>
              <w:tab w:pos="1397" w:val="left" w:leader="none"/>
              <w:tab w:pos="8961" w:val="right" w:leader="dot"/>
            </w:tabs>
            <w:spacing w:line="240" w:lineRule="auto"/>
            <w:ind w:right="0"/>
            <w:jc w:val="left"/>
            <w:rPr>
              <w:rFonts w:ascii="宋体" w:hAnsi="宋体" w:cs="宋体" w:eastAsia="宋体" w:hint="default"/>
              <w:b w:val="0"/>
              <w:bCs w:val="0"/>
            </w:rPr>
          </w:pPr>
          <w:hyperlink w:history="true" w:anchor="_TOC_250002">
            <w:r>
              <w:rPr/>
              <w:t>第十节</w:t>
              <w:tab/>
              <w:t>财务报告</w:t>
            </w:r>
            <w:r>
              <w:rPr>
                <w:rFonts w:ascii="宋体" w:hAnsi="宋体" w:cs="宋体" w:eastAsia="宋体" w:hint="default"/>
              </w:rPr>
              <w:tab/>
              <w:t>57</w:t>
            </w:r>
            <w:r>
              <w:rPr>
                <w:rFonts w:ascii="宋体" w:hAnsi="宋体" w:cs="宋体" w:eastAsia="宋体" w:hint="default"/>
                <w:b w:val="0"/>
                <w:bCs w:val="0"/>
              </w:rPr>
            </w:r>
          </w:hyperlink>
        </w:p>
        <w:p>
          <w:pPr>
            <w:pStyle w:val="TOC1"/>
            <w:tabs>
              <w:tab w:pos="1397" w:val="left" w:leader="none"/>
              <w:tab w:pos="8961" w:val="right" w:leader="dot"/>
            </w:tabs>
            <w:spacing w:line="240" w:lineRule="auto" w:before="135"/>
            <w:ind w:right="0"/>
            <w:jc w:val="left"/>
            <w:rPr>
              <w:rFonts w:ascii="宋体" w:hAnsi="宋体" w:cs="宋体" w:eastAsia="宋体" w:hint="default"/>
              <w:b w:val="0"/>
              <w:bCs w:val="0"/>
            </w:rPr>
          </w:pPr>
          <w:hyperlink w:history="true" w:anchor="_TOC_250001">
            <w:r>
              <w:rPr/>
              <w:t>第十一节</w:t>
              <w:tab/>
              <w:t>公司债券相关情况</w:t>
            </w:r>
            <w:r>
              <w:rPr>
                <w:rFonts w:ascii="宋体" w:hAnsi="宋体" w:cs="宋体" w:eastAsia="宋体" w:hint="default"/>
              </w:rPr>
              <w:tab/>
              <w:t>138</w:t>
            </w:r>
            <w:r>
              <w:rPr>
                <w:rFonts w:ascii="宋体" w:hAnsi="宋体" w:cs="宋体" w:eastAsia="宋体" w:hint="default"/>
                <w:b w:val="0"/>
                <w:bCs w:val="0"/>
              </w:rPr>
            </w:r>
          </w:hyperlink>
        </w:p>
        <w:p>
          <w:pPr>
            <w:pStyle w:val="TOC1"/>
            <w:tabs>
              <w:tab w:pos="1397" w:val="left" w:leader="none"/>
              <w:tab w:pos="8961" w:val="right" w:leader="dot"/>
            </w:tabs>
            <w:spacing w:line="240" w:lineRule="auto"/>
            <w:ind w:right="0"/>
            <w:jc w:val="left"/>
            <w:rPr>
              <w:rFonts w:ascii="宋体" w:hAnsi="宋体" w:cs="宋体" w:eastAsia="宋体" w:hint="default"/>
              <w:b w:val="0"/>
              <w:bCs w:val="0"/>
            </w:rPr>
          </w:pPr>
          <w:hyperlink w:history="true" w:anchor="_TOC_250000">
            <w:r>
              <w:rPr/>
              <w:t>第十二节</w:t>
              <w:tab/>
              <w:t>备查文件目录</w:t>
            </w:r>
            <w:r>
              <w:rPr>
                <w:rFonts w:ascii="宋体" w:hAnsi="宋体" w:cs="宋体" w:eastAsia="宋体" w:hint="default"/>
              </w:rPr>
              <w:tab/>
              <w:t>139</w:t>
            </w:r>
            <w:r>
              <w:rPr>
                <w:rFonts w:ascii="宋体" w:hAnsi="宋体" w:cs="宋体" w:eastAsia="宋体" w:hint="default"/>
                <w:b w:val="0"/>
                <w:bCs w:val="0"/>
              </w:rPr>
            </w:r>
          </w:hyperlink>
        </w:p>
        <w:p>
          <w:pPr/>
          <w:r>
            <w:fldChar w:fldCharType="end"/>
          </w:r>
        </w:p>
      </w:sdtContent>
    </w:sdt>
    <w:p>
      <w:pPr>
        <w:spacing w:after="0"/>
        <w:sectPr>
          <w:pgSz w:w="11910" w:h="16840"/>
          <w:pgMar w:header="855" w:footer="1195" w:top="1320" w:bottom="1380" w:left="1660" w:right="1140"/>
        </w:sectPr>
      </w:pPr>
    </w:p>
    <w:p>
      <w:pPr>
        <w:pStyle w:val="Heading1"/>
        <w:tabs>
          <w:tab w:pos="1260" w:val="left" w:leader="none"/>
        </w:tabs>
        <w:spacing w:line="240" w:lineRule="auto" w:before="477"/>
        <w:ind w:right="17"/>
        <w:jc w:val="center"/>
        <w:rPr>
          <w:b w:val="0"/>
          <w:bCs w:val="0"/>
        </w:rPr>
      </w:pPr>
      <w:bookmarkStart w:name="_TOC_250011" w:id="1"/>
      <w:r>
        <w:rPr>
          <w:w w:val="95"/>
        </w:rPr>
        <w:t>第一节</w:t>
        <w:tab/>
      </w:r>
      <w:r>
        <w:rPr/>
        <w:t>释义</w:t>
      </w:r>
      <w:bookmarkEnd w:id="1"/>
      <w:r>
        <w:rPr>
          <w:b w:val="0"/>
          <w:bCs w:val="0"/>
        </w:rPr>
      </w:r>
    </w:p>
    <w:p>
      <w:pPr>
        <w:pStyle w:val="BodyText"/>
        <w:spacing w:line="290" w:lineRule="auto" w:before="253"/>
        <w:ind w:right="2757"/>
        <w:jc w:val="left"/>
      </w:pPr>
      <w:r>
        <w:rPr>
          <w:rFonts w:ascii="宋体" w:hAnsi="宋体" w:cs="宋体" w:eastAsia="宋体" w:hint="default"/>
          <w:b/>
          <w:bCs/>
        </w:rPr>
        <w:t>一、</w:t>
      </w:r>
      <w:r>
        <w:rPr>
          <w:rFonts w:ascii="宋体" w:hAnsi="宋体" w:cs="宋体" w:eastAsia="宋体" w:hint="default"/>
          <w:b/>
          <w:bCs/>
          <w:spacing w:val="58"/>
        </w:rPr>
        <w:t> </w:t>
      </w:r>
      <w:r>
        <w:rPr>
          <w:rFonts w:ascii="宋体" w:hAnsi="宋体" w:cs="宋体" w:eastAsia="宋体" w:hint="default"/>
          <w:b/>
          <w:bCs/>
        </w:rPr>
        <w:t>释义</w:t>
      </w:r>
      <w:r>
        <w:rPr>
          <w:rFonts w:ascii="宋体" w:hAnsi="宋体" w:cs="宋体" w:eastAsia="宋体" w:hint="default"/>
          <w:b/>
          <w:bCs/>
          <w:w w:val="100"/>
        </w:rPr>
        <w:t> </w:t>
      </w:r>
      <w:r>
        <w:rPr>
          <w:spacing w:val="-2"/>
        </w:rPr>
        <w:t>在本报告书中，除非文义另有所指，下列词语具有如下含义：</w:t>
      </w:r>
    </w:p>
    <w:tbl>
      <w:tblPr>
        <w:tblW w:w="0" w:type="auto"/>
        <w:jc w:val="left"/>
        <w:tblInd w:w="105" w:type="dxa"/>
        <w:tblLayout w:type="fixed"/>
        <w:tblCellMar>
          <w:top w:w="0" w:type="dxa"/>
          <w:left w:w="0" w:type="dxa"/>
          <w:bottom w:w="0" w:type="dxa"/>
          <w:right w:w="0" w:type="dxa"/>
        </w:tblCellMar>
        <w:tblLook w:val="01E0"/>
      </w:tblPr>
      <w:tblGrid>
        <w:gridCol w:w="2237"/>
        <w:gridCol w:w="1927"/>
        <w:gridCol w:w="4885"/>
      </w:tblGrid>
      <w:tr>
        <w:trPr>
          <w:trHeight w:val="281"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常用词语释义</w:t>
            </w:r>
          </w:p>
        </w:tc>
      </w:tr>
      <w:tr>
        <w:trPr>
          <w:trHeight w:val="557"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公司、本公司、顶点软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件</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88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0" w:right="0"/>
              <w:jc w:val="left"/>
              <w:rPr>
                <w:rFonts w:ascii="宋体" w:hAnsi="宋体" w:cs="宋体" w:eastAsia="宋体" w:hint="default"/>
                <w:sz w:val="21"/>
                <w:szCs w:val="21"/>
              </w:rPr>
            </w:pPr>
            <w:r>
              <w:rPr>
                <w:rFonts w:ascii="宋体" w:hAnsi="宋体" w:cs="宋体" w:eastAsia="宋体" w:hint="default"/>
                <w:sz w:val="21"/>
                <w:szCs w:val="21"/>
              </w:rPr>
              <w:t>福建顶点软件股份有限公司</w:t>
            </w:r>
          </w:p>
        </w:tc>
      </w:tr>
      <w:tr>
        <w:trPr>
          <w:trHeight w:val="281"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88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日至</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283"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中国证监会、证监会</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88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中国证券监督管理委员会</w:t>
            </w:r>
          </w:p>
        </w:tc>
      </w:tr>
      <w:tr>
        <w:trPr>
          <w:trHeight w:val="281"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交易所、上交所</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88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r>
      <w:tr>
        <w:trPr>
          <w:trHeight w:val="284"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爱派克</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88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0" w:right="0"/>
              <w:jc w:val="left"/>
              <w:rPr>
                <w:rFonts w:ascii="宋体" w:hAnsi="宋体" w:cs="宋体" w:eastAsia="宋体" w:hint="default"/>
                <w:sz w:val="21"/>
                <w:szCs w:val="21"/>
              </w:rPr>
            </w:pPr>
            <w:r>
              <w:rPr>
                <w:rFonts w:ascii="宋体" w:hAnsi="宋体" w:cs="宋体" w:eastAsia="宋体" w:hint="default"/>
                <w:sz w:val="21"/>
                <w:szCs w:val="21"/>
              </w:rPr>
              <w:t>福州爱派克电子有限公司</w:t>
            </w:r>
          </w:p>
        </w:tc>
      </w:tr>
      <w:tr>
        <w:trPr>
          <w:trHeight w:val="283"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顶点数码</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88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福州顶点数码科技有限公司</w:t>
            </w:r>
          </w:p>
        </w:tc>
      </w:tr>
      <w:tr>
        <w:trPr>
          <w:trHeight w:val="281"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顶点信息</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88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福州顶点信息管理有限公司</w:t>
            </w:r>
          </w:p>
        </w:tc>
      </w:tr>
      <w:tr>
        <w:trPr>
          <w:trHeight w:val="283"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武汉顶点</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88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0" w:right="0"/>
              <w:jc w:val="left"/>
              <w:rPr>
                <w:rFonts w:ascii="宋体" w:hAnsi="宋体" w:cs="宋体" w:eastAsia="宋体" w:hint="default"/>
                <w:sz w:val="21"/>
                <w:szCs w:val="21"/>
              </w:rPr>
            </w:pPr>
            <w:r>
              <w:rPr>
                <w:rFonts w:ascii="宋体" w:hAnsi="宋体" w:cs="宋体" w:eastAsia="宋体" w:hint="default"/>
                <w:sz w:val="21"/>
                <w:szCs w:val="21"/>
              </w:rPr>
              <w:t>武汉顶点软件有限公司</w:t>
            </w:r>
          </w:p>
        </w:tc>
      </w:tr>
      <w:tr>
        <w:trPr>
          <w:trHeight w:val="283"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北京顶点</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88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北京顶点时代技术有限公司</w:t>
            </w:r>
          </w:p>
        </w:tc>
      </w:tr>
      <w:tr>
        <w:trPr>
          <w:trHeight w:val="281"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上海顶点</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88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上海顶点软件有限公司</w:t>
            </w:r>
          </w:p>
        </w:tc>
      </w:tr>
      <w:tr>
        <w:trPr>
          <w:trHeight w:val="554"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上海亿维航、亿维航公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司、亿维航</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88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上海亿维航软件有限公司</w:t>
            </w:r>
          </w:p>
        </w:tc>
      </w:tr>
      <w:tr>
        <w:trPr>
          <w:trHeight w:val="283"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金石投资</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88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0" w:right="0"/>
              <w:jc w:val="left"/>
              <w:rPr>
                <w:rFonts w:ascii="宋体" w:hAnsi="宋体" w:cs="宋体" w:eastAsia="宋体" w:hint="default"/>
                <w:sz w:val="21"/>
                <w:szCs w:val="21"/>
              </w:rPr>
            </w:pPr>
            <w:r>
              <w:rPr>
                <w:rFonts w:ascii="宋体" w:hAnsi="宋体" w:cs="宋体" w:eastAsia="宋体" w:hint="default"/>
                <w:sz w:val="21"/>
                <w:szCs w:val="21"/>
              </w:rPr>
              <w:t>金石投资有限公司</w:t>
            </w:r>
          </w:p>
        </w:tc>
      </w:tr>
      <w:tr>
        <w:trPr>
          <w:trHeight w:val="554"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中信证券及其控股子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88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中信证券股份有限公司及其定期财务报告中包含的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全资及控股子公司</w:t>
            </w:r>
          </w:p>
        </w:tc>
      </w:tr>
      <w:tr>
        <w:trPr>
          <w:trHeight w:val="283"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元</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88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人民币元</w:t>
            </w:r>
          </w:p>
        </w:tc>
      </w:tr>
      <w:tr>
        <w:trPr>
          <w:trHeight w:val="826"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LiveBOS</w:t>
            </w:r>
            <w:r>
              <w:rPr>
                <w:rFonts w:ascii="宋体" w:hAnsi="宋体" w:cs="宋体" w:eastAsia="宋体" w:hint="default"/>
                <w:sz w:val="21"/>
                <w:szCs w:val="21"/>
              </w:rPr>
              <w:t>、</w:t>
            </w:r>
            <w:r>
              <w:rPr>
                <w:rFonts w:ascii="宋体" w:hAnsi="宋体" w:cs="宋体" w:eastAsia="宋体" w:hint="default"/>
                <w:sz w:val="21"/>
                <w:szCs w:val="21"/>
              </w:rPr>
              <w:t>LiveBOS</w:t>
            </w:r>
            <w:r>
              <w:rPr>
                <w:rFonts w:ascii="宋体" w:hAnsi="宋体" w:cs="宋体" w:eastAsia="宋体" w:hint="default"/>
                <w:spacing w:val="25"/>
                <w:sz w:val="21"/>
                <w:szCs w:val="21"/>
              </w:rPr>
              <w:t> </w:t>
            </w:r>
            <w:r>
              <w:rPr>
                <w:rFonts w:ascii="宋体" w:hAnsi="宋体" w:cs="宋体" w:eastAsia="宋体" w:hint="default"/>
                <w:sz w:val="21"/>
                <w:szCs w:val="21"/>
              </w:rPr>
              <w:t>平</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台</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88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5"/>
              <w:jc w:val="left"/>
              <w:rPr>
                <w:rFonts w:ascii="宋体" w:hAnsi="宋体" w:cs="宋体" w:eastAsia="宋体" w:hint="default"/>
                <w:sz w:val="21"/>
                <w:szCs w:val="21"/>
              </w:rPr>
            </w:pPr>
            <w:r>
              <w:rPr>
                <w:rFonts w:ascii="宋体" w:hAnsi="宋体" w:cs="宋体" w:eastAsia="宋体" w:hint="default"/>
                <w:spacing w:val="-5"/>
                <w:sz w:val="21"/>
                <w:szCs w:val="21"/>
              </w:rPr>
              <w:t>灵动业务架构平台，是公司自主研发的基于 </w:t>
            </w:r>
            <w:r>
              <w:rPr>
                <w:rFonts w:ascii="宋体" w:hAnsi="宋体" w:cs="宋体" w:eastAsia="宋体" w:hint="default"/>
                <w:sz w:val="21"/>
                <w:szCs w:val="21"/>
              </w:rPr>
              <w:t>J2EE</w:t>
            </w:r>
            <w:r>
              <w:rPr>
                <w:rFonts w:ascii="宋体" w:hAnsi="宋体" w:cs="宋体" w:eastAsia="宋体" w:hint="default"/>
                <w:spacing w:val="-63"/>
                <w:sz w:val="21"/>
                <w:szCs w:val="21"/>
              </w:rPr>
              <w:t> </w:t>
            </w:r>
            <w:r>
              <w:rPr>
                <w:rFonts w:ascii="宋体" w:hAnsi="宋体" w:cs="宋体" w:eastAsia="宋体" w:hint="default"/>
                <w:sz w:val="21"/>
                <w:szCs w:val="21"/>
              </w:rPr>
              <w:t>体</w:t>
            </w:r>
          </w:p>
          <w:p>
            <w:pPr>
              <w:pStyle w:val="TableParagraph"/>
              <w:spacing w:line="272" w:lineRule="exact" w:before="27"/>
              <w:ind w:left="100" w:right="-5"/>
              <w:jc w:val="left"/>
              <w:rPr>
                <w:rFonts w:ascii="宋体" w:hAnsi="宋体" w:cs="宋体" w:eastAsia="宋体" w:hint="default"/>
                <w:sz w:val="21"/>
                <w:szCs w:val="21"/>
              </w:rPr>
            </w:pPr>
            <w:r>
              <w:rPr>
                <w:rFonts w:ascii="宋体" w:hAnsi="宋体" w:cs="宋体" w:eastAsia="宋体" w:hint="default"/>
                <w:spacing w:val="-4"/>
                <w:sz w:val="21"/>
                <w:szCs w:val="21"/>
              </w:rPr>
              <w:t>系实现的业务架构开发平台，由软件集成开发环境、</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运行支持环境与业务运维管理工具三部分组成</w:t>
            </w:r>
          </w:p>
        </w:tc>
      </w:tr>
      <w:tr>
        <w:trPr>
          <w:trHeight w:val="1646"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业务架构平台</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88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0" w:right="0"/>
              <w:jc w:val="both"/>
              <w:rPr>
                <w:rFonts w:ascii="宋体" w:hAnsi="宋体" w:cs="宋体" w:eastAsia="宋体" w:hint="default"/>
                <w:sz w:val="21"/>
                <w:szCs w:val="21"/>
              </w:rPr>
            </w:pPr>
            <w:r>
              <w:rPr>
                <w:rFonts w:ascii="宋体" w:hAnsi="宋体" w:cs="宋体" w:eastAsia="宋体" w:hint="default"/>
                <w:sz w:val="21"/>
                <w:szCs w:val="21"/>
              </w:rPr>
              <w:t>以业务为导向和驱动的，可快速构建应用软件的平</w:t>
            </w:r>
          </w:p>
          <w:p>
            <w:pPr>
              <w:pStyle w:val="TableParagraph"/>
              <w:spacing w:line="237" w:lineRule="auto"/>
              <w:ind w:left="100" w:right="105"/>
              <w:jc w:val="both"/>
              <w:rPr>
                <w:rFonts w:ascii="宋体" w:hAnsi="宋体" w:cs="宋体" w:eastAsia="宋体" w:hint="default"/>
                <w:sz w:val="21"/>
                <w:szCs w:val="21"/>
              </w:rPr>
            </w:pPr>
            <w:r>
              <w:rPr>
                <w:rFonts w:ascii="宋体" w:hAnsi="宋体" w:cs="宋体" w:eastAsia="宋体" w:hint="default"/>
                <w:sz w:val="21"/>
                <w:szCs w:val="21"/>
              </w:rPr>
              <w:t>台包括集成应用平台、开发体系两个部分；是一种</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技术创新，使软件平台又多了一个层次，使得应用</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软件开发者可以仅关注应用的业务任务，而不必专</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注其技术的实现，这使管理与业务人员参与应用软</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件的开发成为可能</w:t>
            </w:r>
          </w:p>
        </w:tc>
      </w:tr>
      <w:tr>
        <w:trPr>
          <w:trHeight w:val="826"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电子交易市场</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88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0" w:right="0"/>
              <w:jc w:val="left"/>
              <w:rPr>
                <w:rFonts w:ascii="宋体" w:hAnsi="宋体" w:cs="宋体" w:eastAsia="宋体" w:hint="default"/>
                <w:sz w:val="21"/>
                <w:szCs w:val="21"/>
              </w:rPr>
            </w:pPr>
            <w:r>
              <w:rPr>
                <w:rFonts w:ascii="宋体" w:hAnsi="宋体" w:cs="宋体" w:eastAsia="宋体" w:hint="default"/>
                <w:sz w:val="21"/>
                <w:szCs w:val="21"/>
              </w:rPr>
              <w:t>采用电子化交易手段的各类要素市场，包含股权、</w:t>
            </w:r>
          </w:p>
          <w:p>
            <w:pPr>
              <w:pStyle w:val="TableParagraph"/>
              <w:spacing w:line="240" w:lineRule="auto"/>
              <w:ind w:left="100" w:right="105"/>
              <w:jc w:val="left"/>
              <w:rPr>
                <w:rFonts w:ascii="宋体" w:hAnsi="宋体" w:cs="宋体" w:eastAsia="宋体" w:hint="default"/>
                <w:sz w:val="21"/>
                <w:szCs w:val="21"/>
              </w:rPr>
            </w:pPr>
            <w:r>
              <w:rPr>
                <w:rFonts w:ascii="宋体" w:hAnsi="宋体" w:cs="宋体" w:eastAsia="宋体" w:hint="default"/>
                <w:sz w:val="21"/>
                <w:szCs w:val="21"/>
              </w:rPr>
              <w:t>金融资产、产权、现货及大宗商品等各类交易中心</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或交易所</w:t>
            </w:r>
          </w:p>
        </w:tc>
      </w:tr>
      <w:tr>
        <w:trPr>
          <w:trHeight w:val="828"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Fintech</w:t>
            </w:r>
            <w:r>
              <w:rPr>
                <w:rFonts w:ascii="宋体" w:hAnsi="宋体" w:cs="宋体" w:eastAsia="宋体" w:hint="default"/>
                <w:sz w:val="21"/>
                <w:szCs w:val="21"/>
              </w:rPr>
              <w:t>、金融科技</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88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技术带来的金融创新，能创造新的模式、业务、流</w:t>
            </w:r>
          </w:p>
          <w:p>
            <w:pPr>
              <w:pStyle w:val="TableParagraph"/>
              <w:spacing w:line="272" w:lineRule="exact" w:before="27"/>
              <w:ind w:left="100" w:right="105"/>
              <w:jc w:val="left"/>
              <w:rPr>
                <w:rFonts w:ascii="宋体" w:hAnsi="宋体" w:cs="宋体" w:eastAsia="宋体" w:hint="default"/>
                <w:sz w:val="21"/>
                <w:szCs w:val="21"/>
              </w:rPr>
            </w:pPr>
            <w:r>
              <w:rPr>
                <w:rFonts w:ascii="宋体" w:hAnsi="宋体" w:cs="宋体" w:eastAsia="宋体" w:hint="default"/>
                <w:sz w:val="21"/>
                <w:szCs w:val="21"/>
              </w:rPr>
              <w:t>程与产品，从而对金融市场提供的服务和模式产生</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影响</w:t>
            </w:r>
          </w:p>
        </w:tc>
      </w:tr>
    </w:tbl>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4"/>
        <w:rPr>
          <w:rFonts w:ascii="宋体" w:hAnsi="宋体" w:cs="宋体" w:eastAsia="宋体" w:hint="default"/>
          <w:sz w:val="27"/>
          <w:szCs w:val="27"/>
        </w:rPr>
      </w:pPr>
    </w:p>
    <w:p>
      <w:pPr>
        <w:pStyle w:val="Heading1"/>
        <w:tabs>
          <w:tab w:pos="3717" w:val="left" w:leader="none"/>
        </w:tabs>
        <w:spacing w:line="240" w:lineRule="auto"/>
        <w:ind w:left="2457" w:right="0"/>
        <w:jc w:val="left"/>
        <w:rPr>
          <w:b w:val="0"/>
          <w:bCs w:val="0"/>
        </w:rPr>
      </w:pPr>
      <w:bookmarkStart w:name="_TOC_250010" w:id="2"/>
      <w:r>
        <w:rPr>
          <w:w w:val="95"/>
        </w:rPr>
        <w:t>第二节</w:t>
        <w:tab/>
      </w:r>
      <w:r>
        <w:rPr/>
        <w:t>公司简介和主要财务指标</w:t>
      </w:r>
      <w:bookmarkEnd w:id="2"/>
      <w:r>
        <w:rPr>
          <w:b w:val="0"/>
          <w:bCs w:val="0"/>
        </w:rPr>
      </w:r>
    </w:p>
    <w:p>
      <w:pPr>
        <w:spacing w:line="240" w:lineRule="auto" w:before="7"/>
        <w:rPr>
          <w:rFonts w:ascii="黑体" w:hAnsi="黑体" w:cs="黑体" w:eastAsia="黑体" w:hint="default"/>
          <w:b/>
          <w:bCs/>
          <w:sz w:val="16"/>
          <w:szCs w:val="16"/>
        </w:rPr>
      </w:pPr>
    </w:p>
    <w:p>
      <w:pPr>
        <w:pStyle w:val="Heading3"/>
        <w:spacing w:line="240" w:lineRule="auto" w:before="36"/>
        <w:ind w:right="2757"/>
        <w:jc w:val="left"/>
        <w:rPr>
          <w:b w:val="0"/>
          <w:bCs w:val="0"/>
        </w:rPr>
      </w:pPr>
      <w:r>
        <w:rPr/>
        <w:t>一、</w:t>
      </w:r>
      <w:r>
        <w:rPr>
          <w:spacing w:val="40"/>
        </w:rPr>
        <w:t> </w:t>
      </w:r>
      <w:r>
        <w:rPr/>
        <w:t>公司信息</w:t>
      </w:r>
      <w:r>
        <w:rPr>
          <w:b w:val="0"/>
          <w:bCs w:val="0"/>
        </w:rPr>
      </w:r>
    </w:p>
    <w:p>
      <w:pPr>
        <w:spacing w:line="240" w:lineRule="auto" w:before="12"/>
        <w:rPr>
          <w:rFonts w:ascii="宋体" w:hAnsi="宋体" w:cs="宋体" w:eastAsia="宋体" w:hint="default"/>
          <w:b/>
          <w:bCs/>
          <w:sz w:val="6"/>
          <w:szCs w:val="6"/>
        </w:rPr>
      </w:pPr>
    </w:p>
    <w:tbl>
      <w:tblPr>
        <w:tblW w:w="0" w:type="auto"/>
        <w:jc w:val="left"/>
        <w:tblInd w:w="182" w:type="dxa"/>
        <w:tblLayout w:type="fixed"/>
        <w:tblCellMar>
          <w:top w:w="0" w:type="dxa"/>
          <w:left w:w="0" w:type="dxa"/>
          <w:bottom w:w="0" w:type="dxa"/>
          <w:right w:w="0" w:type="dxa"/>
        </w:tblCellMar>
        <w:tblLook w:val="01E0"/>
      </w:tblPr>
      <w:tblGrid>
        <w:gridCol w:w="3860"/>
        <w:gridCol w:w="5036"/>
      </w:tblGrid>
      <w:tr>
        <w:trPr>
          <w:trHeight w:val="303"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福建顶点软件股份有限公司</w:t>
            </w:r>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公司的中文简称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顶点软件</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Fujian Apex Software Co.,</w:t>
            </w:r>
            <w:r>
              <w:rPr>
                <w:rFonts w:ascii="宋体"/>
                <w:spacing w:val="-5"/>
                <w:sz w:val="21"/>
              </w:rPr>
              <w:t> </w:t>
            </w:r>
            <w:r>
              <w:rPr>
                <w:rFonts w:ascii="宋体"/>
                <w:sz w:val="21"/>
              </w:rPr>
              <w:t>Ltd.</w:t>
            </w:r>
          </w:p>
        </w:tc>
      </w:tr>
    </w:tbl>
    <w:p>
      <w:pPr>
        <w:spacing w:after="0" w:line="241" w:lineRule="exact"/>
        <w:jc w:val="left"/>
        <w:rPr>
          <w:rFonts w:ascii="宋体" w:hAnsi="宋体" w:cs="宋体" w:eastAsia="宋体" w:hint="default"/>
          <w:sz w:val="21"/>
          <w:szCs w:val="21"/>
        </w:rPr>
        <w:sectPr>
          <w:pgSz w:w="11910" w:h="16840"/>
          <w:pgMar w:header="855" w:footer="1195" w:top="1320" w:bottom="1380" w:left="1580" w:right="1040"/>
        </w:sectPr>
      </w:pPr>
    </w:p>
    <w:p>
      <w:pPr>
        <w:spacing w:line="240" w:lineRule="auto" w:before="9"/>
        <w:rPr>
          <w:rFonts w:ascii="宋体" w:hAnsi="宋体" w:cs="宋体" w:eastAsia="宋体" w:hint="default"/>
          <w:b/>
          <w:bCs/>
          <w:sz w:val="14"/>
          <w:szCs w:val="14"/>
        </w:rPr>
      </w:pPr>
    </w:p>
    <w:tbl>
      <w:tblPr>
        <w:tblW w:w="0" w:type="auto"/>
        <w:jc w:val="left"/>
        <w:tblInd w:w="182" w:type="dxa"/>
        <w:tblLayout w:type="fixed"/>
        <w:tblCellMar>
          <w:top w:w="0" w:type="dxa"/>
          <w:left w:w="0" w:type="dxa"/>
          <w:bottom w:w="0" w:type="dxa"/>
          <w:right w:w="0" w:type="dxa"/>
        </w:tblCellMar>
        <w:tblLook w:val="01E0"/>
      </w:tblPr>
      <w:tblGrid>
        <w:gridCol w:w="3860"/>
        <w:gridCol w:w="5036"/>
      </w:tblGrid>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公司的外文名称缩写</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4" w:right="0"/>
              <w:jc w:val="left"/>
              <w:rPr>
                <w:rFonts w:ascii="宋体" w:hAnsi="宋体" w:cs="宋体" w:eastAsia="宋体" w:hint="default"/>
                <w:sz w:val="21"/>
                <w:szCs w:val="21"/>
              </w:rPr>
            </w:pPr>
            <w:r>
              <w:rPr>
                <w:rFonts w:ascii="宋体"/>
                <w:sz w:val="21"/>
              </w:rPr>
              <w:t>Apex</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严孟宇</w:t>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0"/>
          <w:szCs w:val="20"/>
        </w:rPr>
      </w:pPr>
    </w:p>
    <w:p>
      <w:pPr>
        <w:pStyle w:val="Heading3"/>
        <w:spacing w:line="240" w:lineRule="auto" w:before="36"/>
        <w:ind w:right="2757"/>
        <w:jc w:val="left"/>
        <w:rPr>
          <w:b w:val="0"/>
          <w:bCs w:val="0"/>
        </w:rPr>
      </w:pPr>
      <w:r>
        <w:rPr/>
        <w:t>二、</w:t>
      </w:r>
      <w:r>
        <w:rPr>
          <w:spacing w:val="41"/>
        </w:rPr>
        <w:t> </w:t>
      </w:r>
      <w:r>
        <w:rPr/>
        <w:t>联系人和联系方式</w:t>
      </w:r>
      <w:r>
        <w:rPr>
          <w:b w:val="0"/>
          <w:bCs w:val="0"/>
        </w:rPr>
      </w:r>
    </w:p>
    <w:p>
      <w:pPr>
        <w:spacing w:line="240" w:lineRule="auto" w:before="1"/>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2965"/>
        <w:gridCol w:w="2967"/>
        <w:gridCol w:w="2965"/>
      </w:tblGrid>
      <w:tr>
        <w:trPr>
          <w:trHeight w:val="281" w:hRule="exact"/>
        </w:trPr>
        <w:tc>
          <w:tcPr>
            <w:tcW w:w="2965"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50"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4"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赵伟</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吴晶晶</w:t>
            </w:r>
          </w:p>
        </w:tc>
      </w:tr>
      <w:tr>
        <w:trPr>
          <w:trHeight w:val="554"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福州市软件大道</w:t>
            </w:r>
            <w:r>
              <w:rPr>
                <w:rFonts w:ascii="宋体" w:hAnsi="宋体" w:cs="宋体" w:eastAsia="宋体" w:hint="default"/>
                <w:sz w:val="21"/>
                <w:szCs w:val="21"/>
              </w:rPr>
              <w:t>89</w:t>
            </w:r>
            <w:r>
              <w:rPr>
                <w:rFonts w:ascii="宋体" w:hAnsi="宋体" w:cs="宋体" w:eastAsia="宋体" w:hint="default"/>
                <w:sz w:val="21"/>
                <w:szCs w:val="21"/>
              </w:rPr>
              <w:t>号软件园</w:t>
            </w:r>
            <w:r>
              <w:rPr>
                <w:rFonts w:ascii="宋体" w:hAnsi="宋体" w:cs="宋体" w:eastAsia="宋体" w:hint="default"/>
                <w:sz w:val="21"/>
                <w:szCs w:val="21"/>
              </w:rPr>
              <w:t>13</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号楼</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福州市软件大道</w:t>
            </w:r>
            <w:r>
              <w:rPr>
                <w:rFonts w:ascii="宋体" w:hAnsi="宋体" w:cs="宋体" w:eastAsia="宋体" w:hint="default"/>
                <w:sz w:val="21"/>
                <w:szCs w:val="21"/>
              </w:rPr>
              <w:t>89</w:t>
            </w:r>
            <w:r>
              <w:rPr>
                <w:rFonts w:ascii="宋体" w:hAnsi="宋体" w:cs="宋体" w:eastAsia="宋体" w:hint="default"/>
                <w:sz w:val="21"/>
                <w:szCs w:val="21"/>
              </w:rPr>
              <w:t>号软件园</w:t>
            </w:r>
            <w:r>
              <w:rPr>
                <w:rFonts w:ascii="宋体" w:hAnsi="宋体" w:cs="宋体" w:eastAsia="宋体" w:hint="default"/>
                <w:sz w:val="21"/>
                <w:szCs w:val="21"/>
              </w:rPr>
              <w:t>13</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号楼</w:t>
            </w:r>
          </w:p>
        </w:tc>
      </w:tr>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0591-88267679</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0591-88267679</w:t>
            </w:r>
          </w:p>
        </w:tc>
      </w:tr>
      <w:tr>
        <w:trPr>
          <w:trHeight w:val="281"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0591-87861155</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0591-87861155</w:t>
            </w:r>
          </w:p>
        </w:tc>
      </w:tr>
      <w:tr>
        <w:trPr>
          <w:trHeight w:val="284"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hyperlink r:id="rId8">
              <w:r>
                <w:rPr>
                  <w:rFonts w:ascii="宋体"/>
                  <w:sz w:val="21"/>
                </w:rPr>
                <w:t>apex@apexsoft.com.cn</w:t>
              </w:r>
            </w:hyperlink>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hyperlink r:id="rId8">
              <w:r>
                <w:rPr>
                  <w:rFonts w:ascii="宋体"/>
                  <w:sz w:val="21"/>
                </w:rPr>
                <w:t>apex@apexsoft.com.cn</w:t>
              </w:r>
            </w:hyperlink>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0"/>
          <w:szCs w:val="20"/>
        </w:rPr>
      </w:pPr>
    </w:p>
    <w:p>
      <w:pPr>
        <w:pStyle w:val="Heading3"/>
        <w:spacing w:line="240" w:lineRule="auto" w:before="36"/>
        <w:ind w:right="2757"/>
        <w:jc w:val="left"/>
        <w:rPr>
          <w:b w:val="0"/>
          <w:bCs w:val="0"/>
        </w:rPr>
      </w:pPr>
      <w:r>
        <w:rPr/>
        <w:t>三、</w:t>
      </w:r>
      <w:r>
        <w:rPr>
          <w:spacing w:val="-29"/>
        </w:rPr>
        <w:t> </w:t>
      </w:r>
      <w:r>
        <w:rPr/>
        <w:t>基本情况简介</w:t>
      </w:r>
      <w:r>
        <w:rPr>
          <w:b w:val="0"/>
          <w:bCs w:val="0"/>
        </w:rPr>
      </w:r>
    </w:p>
    <w:p>
      <w:pPr>
        <w:spacing w:line="240" w:lineRule="auto" w:before="12"/>
        <w:rPr>
          <w:rFonts w:ascii="宋体" w:hAnsi="宋体" w:cs="宋体" w:eastAsia="宋体" w:hint="default"/>
          <w:b/>
          <w:bCs/>
          <w:sz w:val="6"/>
          <w:szCs w:val="6"/>
        </w:rPr>
      </w:pPr>
    </w:p>
    <w:tbl>
      <w:tblPr>
        <w:tblW w:w="0" w:type="auto"/>
        <w:jc w:val="left"/>
        <w:tblInd w:w="182" w:type="dxa"/>
        <w:tblLayout w:type="fixed"/>
        <w:tblCellMar>
          <w:top w:w="0" w:type="dxa"/>
          <w:left w:w="0" w:type="dxa"/>
          <w:bottom w:w="0" w:type="dxa"/>
          <w:right w:w="0" w:type="dxa"/>
        </w:tblCellMar>
        <w:tblLook w:val="01E0"/>
      </w:tblPr>
      <w:tblGrid>
        <w:gridCol w:w="3860"/>
        <w:gridCol w:w="5036"/>
      </w:tblGrid>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福建省福州市鼓楼区铜盘路软件大道</w:t>
            </w:r>
            <w:r>
              <w:rPr>
                <w:rFonts w:ascii="宋体" w:hAnsi="宋体" w:cs="宋体" w:eastAsia="宋体" w:hint="default"/>
                <w:sz w:val="21"/>
                <w:szCs w:val="21"/>
              </w:rPr>
              <w:t>89</w:t>
            </w:r>
            <w:r>
              <w:rPr>
                <w:rFonts w:ascii="宋体" w:hAnsi="宋体" w:cs="宋体" w:eastAsia="宋体" w:hint="default"/>
                <w:sz w:val="21"/>
                <w:szCs w:val="21"/>
              </w:rPr>
              <w:t>号</w:t>
            </w:r>
            <w:r>
              <w:rPr>
                <w:rFonts w:ascii="宋体" w:hAnsi="宋体" w:cs="宋体" w:eastAsia="宋体" w:hint="default"/>
                <w:sz w:val="21"/>
                <w:szCs w:val="21"/>
              </w:rPr>
              <w:t>A</w:t>
            </w:r>
            <w:r>
              <w:rPr>
                <w:rFonts w:ascii="宋体" w:hAnsi="宋体" w:cs="宋体" w:eastAsia="宋体" w:hint="default"/>
                <w:sz w:val="21"/>
                <w:szCs w:val="21"/>
              </w:rPr>
              <w:t>区</w:t>
            </w:r>
            <w:r>
              <w:rPr>
                <w:rFonts w:ascii="宋体" w:hAnsi="宋体" w:cs="宋体" w:eastAsia="宋体" w:hint="default"/>
                <w:sz w:val="21"/>
                <w:szCs w:val="21"/>
              </w:rPr>
              <w:t>13</w:t>
            </w:r>
            <w:r>
              <w:rPr>
                <w:rFonts w:ascii="宋体" w:hAnsi="宋体" w:cs="宋体" w:eastAsia="宋体" w:hint="default"/>
                <w:sz w:val="21"/>
                <w:szCs w:val="21"/>
              </w:rPr>
              <w:t>号楼</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公司注册地址的邮政编码</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350004</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福建省福州市软件大道</w:t>
            </w:r>
            <w:r>
              <w:rPr>
                <w:rFonts w:ascii="宋体" w:hAnsi="宋体" w:cs="宋体" w:eastAsia="宋体" w:hint="default"/>
                <w:sz w:val="21"/>
                <w:szCs w:val="21"/>
              </w:rPr>
              <w:t>89</w:t>
            </w:r>
            <w:r>
              <w:rPr>
                <w:rFonts w:ascii="宋体" w:hAnsi="宋体" w:cs="宋体" w:eastAsia="宋体" w:hint="default"/>
                <w:sz w:val="21"/>
                <w:szCs w:val="21"/>
              </w:rPr>
              <w:t>号软件园</w:t>
            </w:r>
            <w:r>
              <w:rPr>
                <w:rFonts w:ascii="宋体" w:hAnsi="宋体" w:cs="宋体" w:eastAsia="宋体" w:hint="default"/>
                <w:sz w:val="21"/>
                <w:szCs w:val="21"/>
              </w:rPr>
              <w:t>13</w:t>
            </w:r>
            <w:r>
              <w:rPr>
                <w:rFonts w:ascii="宋体" w:hAnsi="宋体" w:cs="宋体" w:eastAsia="宋体" w:hint="default"/>
                <w:sz w:val="21"/>
                <w:szCs w:val="21"/>
              </w:rPr>
              <w:t>号楼</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公司办公地址的邮政编码</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350003</w:t>
            </w:r>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公司网址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hyperlink r:id="rId9">
              <w:r>
                <w:rPr>
                  <w:rFonts w:ascii="宋体"/>
                  <w:sz w:val="21"/>
                </w:rPr>
                <w:t>http://www.apexsoft.com.cn/index.jsp</w:t>
              </w:r>
            </w:hyperlink>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hyperlink r:id="rId8">
              <w:r>
                <w:rPr>
                  <w:rFonts w:ascii="宋体"/>
                  <w:sz w:val="21"/>
                </w:rPr>
                <w:t>apex@apexsoft.com.cn</w:t>
              </w:r>
            </w:hyperlink>
          </w:p>
        </w:tc>
      </w:tr>
    </w:tbl>
    <w:p>
      <w:pPr>
        <w:pStyle w:val="BodyText"/>
        <w:spacing w:line="240" w:lineRule="exact"/>
        <w:ind w:right="0"/>
        <w:jc w:val="left"/>
      </w:pPr>
      <w:r>
        <w:rPr>
          <w:spacing w:val="-11"/>
        </w:rPr>
        <w:t>注：公司于</w:t>
      </w:r>
      <w:r>
        <w:rPr>
          <w:spacing w:val="-39"/>
        </w:rPr>
        <w:t> </w:t>
      </w:r>
      <w:r>
        <w:rPr>
          <w:rFonts w:ascii="宋体" w:hAnsi="宋体" w:cs="宋体" w:eastAsia="宋体" w:hint="default"/>
        </w:rPr>
        <w:t>2018</w:t>
      </w:r>
      <w:r>
        <w:rPr>
          <w:rFonts w:ascii="宋体" w:hAnsi="宋体" w:cs="宋体" w:eastAsia="宋体" w:hint="default"/>
          <w:spacing w:val="-39"/>
        </w:rPr>
        <w:t> </w:t>
      </w:r>
      <w:r>
        <w:rPr/>
        <w:t>年</w:t>
      </w:r>
      <w:r>
        <w:rPr>
          <w:spacing w:val="-42"/>
        </w:rPr>
        <w:t> </w:t>
      </w:r>
      <w:r>
        <w:rPr>
          <w:rFonts w:ascii="宋体" w:hAnsi="宋体" w:cs="宋体" w:eastAsia="宋体" w:hint="default"/>
        </w:rPr>
        <w:t>3</w:t>
      </w:r>
      <w:r>
        <w:rPr>
          <w:rFonts w:ascii="宋体" w:hAnsi="宋体" w:cs="宋体" w:eastAsia="宋体" w:hint="default"/>
          <w:spacing w:val="-39"/>
        </w:rPr>
        <w:t> </w:t>
      </w:r>
      <w:r>
        <w:rPr>
          <w:spacing w:val="-3"/>
        </w:rPr>
        <w:t>月完成注册地变更并领取新的营业执照，变更前注册地福州市台江区新港街</w:t>
      </w:r>
    </w:p>
    <w:p>
      <w:pPr>
        <w:pStyle w:val="BodyText"/>
        <w:spacing w:line="272" w:lineRule="exact" w:before="27"/>
        <w:ind w:right="0"/>
        <w:jc w:val="left"/>
      </w:pPr>
      <w:r>
        <w:rPr>
          <w:spacing w:val="-2"/>
          <w:w w:val="100"/>
        </w:rPr>
        <w:t>道五一中路</w:t>
      </w:r>
      <w:r>
        <w:rPr>
          <w:spacing w:val="-52"/>
          <w:w w:val="100"/>
        </w:rPr>
        <w:t> </w:t>
      </w:r>
      <w:r>
        <w:rPr>
          <w:rFonts w:ascii="宋体" w:hAnsi="宋体" w:cs="宋体" w:eastAsia="宋体" w:hint="default"/>
          <w:w w:val="100"/>
        </w:rPr>
        <w:t>169</w:t>
      </w:r>
      <w:r>
        <w:rPr>
          <w:rFonts w:ascii="宋体" w:hAnsi="宋体" w:cs="宋体" w:eastAsia="宋体" w:hint="default"/>
          <w:spacing w:val="-54"/>
          <w:w w:val="100"/>
        </w:rPr>
        <w:t> </w:t>
      </w:r>
      <w:r>
        <w:rPr>
          <w:spacing w:val="-1"/>
          <w:w w:val="100"/>
        </w:rPr>
        <w:t>号利嘉城二期</w:t>
      </w:r>
      <w:r>
        <w:rPr>
          <w:spacing w:val="-51"/>
          <w:w w:val="100"/>
        </w:rPr>
        <w:t> </w:t>
      </w:r>
      <w:r>
        <w:rPr>
          <w:rFonts w:ascii="宋体" w:hAnsi="宋体" w:cs="宋体" w:eastAsia="宋体" w:hint="default"/>
          <w:spacing w:val="-2"/>
          <w:w w:val="100"/>
        </w:rPr>
        <w:t>16</w:t>
      </w:r>
      <w:r>
        <w:rPr>
          <w:rFonts w:ascii="宋体" w:hAnsi="宋体" w:cs="宋体" w:eastAsia="宋体" w:hint="default"/>
          <w:spacing w:val="-52"/>
          <w:w w:val="100"/>
        </w:rPr>
        <w:t> </w:t>
      </w:r>
      <w:r>
        <w:rPr>
          <w:spacing w:val="-2"/>
          <w:w w:val="100"/>
        </w:rPr>
        <w:t>号楼</w:t>
      </w:r>
      <w:r>
        <w:rPr>
          <w:spacing w:val="-52"/>
          <w:w w:val="100"/>
        </w:rPr>
        <w:t> </w:t>
      </w:r>
      <w:r>
        <w:rPr>
          <w:rFonts w:ascii="宋体" w:hAnsi="宋体" w:cs="宋体" w:eastAsia="宋体" w:hint="default"/>
          <w:w w:val="100"/>
        </w:rPr>
        <w:t>24</w:t>
      </w:r>
      <w:r>
        <w:rPr>
          <w:rFonts w:ascii="宋体" w:hAnsi="宋体" w:cs="宋体" w:eastAsia="宋体" w:hint="default"/>
          <w:spacing w:val="-54"/>
          <w:w w:val="100"/>
        </w:rPr>
        <w:t> </w:t>
      </w:r>
      <w:r>
        <w:rPr>
          <w:w w:val="100"/>
        </w:rPr>
        <w:t>层</w:t>
      </w:r>
      <w:r>
        <w:rPr>
          <w:spacing w:val="-52"/>
          <w:w w:val="100"/>
        </w:rPr>
        <w:t> </w:t>
      </w:r>
      <w:r>
        <w:rPr>
          <w:rFonts w:ascii="宋体" w:hAnsi="宋体" w:cs="宋体" w:eastAsia="宋体" w:hint="default"/>
          <w:spacing w:val="-2"/>
          <w:w w:val="100"/>
        </w:rPr>
        <w:t>07</w:t>
      </w:r>
      <w:r>
        <w:rPr>
          <w:rFonts w:ascii="宋体" w:hAnsi="宋体" w:cs="宋体" w:eastAsia="宋体" w:hint="default"/>
          <w:spacing w:val="-52"/>
          <w:w w:val="100"/>
        </w:rPr>
        <w:t> </w:t>
      </w:r>
      <w:r>
        <w:rPr>
          <w:spacing w:val="-6"/>
          <w:w w:val="100"/>
        </w:rPr>
        <w:t>室，变更后注册地为福建省福州市鼓楼区铜盘路软</w:t>
      </w:r>
      <w:r>
        <w:rPr>
          <w:w w:val="100"/>
        </w:rPr>
        <w:t> </w:t>
      </w:r>
      <w:r>
        <w:rPr/>
        <w:t>件大道</w:t>
      </w:r>
      <w:r>
        <w:rPr>
          <w:spacing w:val="-52"/>
        </w:rPr>
        <w:t> </w:t>
      </w:r>
      <w:r>
        <w:rPr>
          <w:rFonts w:ascii="宋体" w:hAnsi="宋体" w:cs="宋体" w:eastAsia="宋体" w:hint="default"/>
        </w:rPr>
        <w:t>89</w:t>
      </w:r>
      <w:r>
        <w:rPr>
          <w:rFonts w:ascii="宋体" w:hAnsi="宋体" w:cs="宋体" w:eastAsia="宋体" w:hint="default"/>
          <w:spacing w:val="-54"/>
        </w:rPr>
        <w:t> </w:t>
      </w:r>
      <w:r>
        <w:rPr/>
        <w:t>号</w:t>
      </w:r>
      <w:r>
        <w:rPr>
          <w:spacing w:val="-52"/>
        </w:rPr>
        <w:t> </w:t>
      </w:r>
      <w:r>
        <w:rPr>
          <w:rFonts w:ascii="宋体" w:hAnsi="宋体" w:cs="宋体" w:eastAsia="宋体" w:hint="default"/>
        </w:rPr>
        <w:t>A</w:t>
      </w:r>
      <w:r>
        <w:rPr>
          <w:rFonts w:ascii="宋体" w:hAnsi="宋体" w:cs="宋体" w:eastAsia="宋体" w:hint="default"/>
          <w:spacing w:val="-54"/>
        </w:rPr>
        <w:t> </w:t>
      </w:r>
      <w:r>
        <w:rPr/>
        <w:t>区</w:t>
      </w:r>
      <w:r>
        <w:rPr>
          <w:spacing w:val="-52"/>
        </w:rPr>
        <w:t> </w:t>
      </w:r>
      <w:r>
        <w:rPr>
          <w:rFonts w:ascii="宋体" w:hAnsi="宋体" w:cs="宋体" w:eastAsia="宋体" w:hint="default"/>
        </w:rPr>
        <w:t>13</w:t>
      </w:r>
      <w:r>
        <w:rPr>
          <w:rFonts w:ascii="宋体" w:hAnsi="宋体" w:cs="宋体" w:eastAsia="宋体" w:hint="default"/>
          <w:spacing w:val="-54"/>
        </w:rPr>
        <w:t> </w:t>
      </w:r>
      <w:r>
        <w:rPr/>
        <w:t>号楼</w:t>
      </w:r>
    </w:p>
    <w:p>
      <w:pPr>
        <w:spacing w:line="240" w:lineRule="auto" w:before="4"/>
        <w:rPr>
          <w:rFonts w:ascii="宋体" w:hAnsi="宋体" w:cs="宋体" w:eastAsia="宋体" w:hint="default"/>
          <w:sz w:val="23"/>
          <w:szCs w:val="23"/>
        </w:rPr>
      </w:pPr>
    </w:p>
    <w:p>
      <w:pPr>
        <w:pStyle w:val="Heading3"/>
        <w:spacing w:line="240" w:lineRule="auto"/>
        <w:ind w:right="2757"/>
        <w:jc w:val="left"/>
        <w:rPr>
          <w:b w:val="0"/>
          <w:bCs w:val="0"/>
        </w:rPr>
      </w:pPr>
      <w:r>
        <w:rPr/>
        <w:t>四、</w:t>
      </w:r>
      <w:r>
        <w:rPr>
          <w:spacing w:val="-28"/>
        </w:rPr>
        <w:t> </w:t>
      </w:r>
      <w:r>
        <w:rPr/>
        <w:t>信息披露及备置地点</w:t>
      </w:r>
      <w:r>
        <w:rPr>
          <w:b w:val="0"/>
          <w:bCs w:val="0"/>
        </w:rPr>
      </w:r>
    </w:p>
    <w:p>
      <w:pPr>
        <w:spacing w:line="240" w:lineRule="auto" w:before="12"/>
        <w:rPr>
          <w:rFonts w:ascii="宋体" w:hAnsi="宋体" w:cs="宋体" w:eastAsia="宋体" w:hint="default"/>
          <w:b/>
          <w:bCs/>
          <w:sz w:val="6"/>
          <w:szCs w:val="6"/>
        </w:rPr>
      </w:pPr>
    </w:p>
    <w:tbl>
      <w:tblPr>
        <w:tblW w:w="0" w:type="auto"/>
        <w:jc w:val="left"/>
        <w:tblInd w:w="182" w:type="dxa"/>
        <w:tblLayout w:type="fixed"/>
        <w:tblCellMar>
          <w:top w:w="0" w:type="dxa"/>
          <w:left w:w="0" w:type="dxa"/>
          <w:bottom w:w="0" w:type="dxa"/>
          <w:right w:w="0" w:type="dxa"/>
        </w:tblCellMar>
        <w:tblLook w:val="01E0"/>
      </w:tblPr>
      <w:tblGrid>
        <w:gridCol w:w="4143"/>
        <w:gridCol w:w="4753"/>
      </w:tblGrid>
      <w:tr>
        <w:trPr>
          <w:trHeight w:val="305"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公司选定的信息披露媒体名称</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中国证券报、上海证券报、证券时报、证券日报</w:t>
            </w:r>
          </w:p>
        </w:tc>
      </w:tr>
      <w:tr>
        <w:trPr>
          <w:trHeight w:val="302"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上海证券交易所网站</w:t>
            </w:r>
            <w:hyperlink r:id="rId10">
              <w:r>
                <w:rPr>
                  <w:rFonts w:ascii="宋体" w:hAnsi="宋体" w:cs="宋体" w:eastAsia="宋体" w:hint="default"/>
                  <w:sz w:val="21"/>
                  <w:szCs w:val="21"/>
                </w:rPr>
                <w:t>www.sse.com.cn</w:t>
              </w:r>
            </w:hyperlink>
          </w:p>
        </w:tc>
      </w:tr>
      <w:tr>
        <w:trPr>
          <w:trHeight w:val="554"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福建省福州市软件大道</w:t>
            </w:r>
            <w:r>
              <w:rPr>
                <w:rFonts w:ascii="宋体" w:hAnsi="宋体" w:cs="宋体" w:eastAsia="宋体" w:hint="default"/>
                <w:sz w:val="21"/>
                <w:szCs w:val="21"/>
              </w:rPr>
              <w:t>89</w:t>
            </w:r>
            <w:r>
              <w:rPr>
                <w:rFonts w:ascii="宋体" w:hAnsi="宋体" w:cs="宋体" w:eastAsia="宋体" w:hint="default"/>
                <w:sz w:val="21"/>
                <w:szCs w:val="21"/>
              </w:rPr>
              <w:t>号软件园</w:t>
            </w:r>
            <w:r>
              <w:rPr>
                <w:rFonts w:ascii="宋体" w:hAnsi="宋体" w:cs="宋体" w:eastAsia="宋体" w:hint="default"/>
                <w:sz w:val="21"/>
                <w:szCs w:val="21"/>
              </w:rPr>
              <w:t>13</w:t>
            </w:r>
            <w:r>
              <w:rPr>
                <w:rFonts w:ascii="宋体" w:hAnsi="宋体" w:cs="宋体" w:eastAsia="宋体" w:hint="default"/>
                <w:sz w:val="21"/>
                <w:szCs w:val="21"/>
              </w:rPr>
              <w:t>号楼顶点软件</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董事会办公室</w:t>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0"/>
          <w:szCs w:val="20"/>
        </w:rPr>
      </w:pPr>
    </w:p>
    <w:p>
      <w:pPr>
        <w:pStyle w:val="Heading3"/>
        <w:spacing w:line="240" w:lineRule="auto" w:before="36"/>
        <w:ind w:right="2757"/>
        <w:jc w:val="left"/>
        <w:rPr>
          <w:b w:val="0"/>
          <w:bCs w:val="0"/>
        </w:rPr>
      </w:pPr>
      <w:r>
        <w:rPr/>
        <w:t>五、</w:t>
      </w:r>
      <w:r>
        <w:rPr>
          <w:spacing w:val="41"/>
        </w:rPr>
        <w:t> </w:t>
      </w:r>
      <w:r>
        <w:rPr/>
        <w:t>公司股票简况</w:t>
      </w:r>
      <w:r>
        <w:rPr>
          <w:b w:val="0"/>
          <w:bCs w:val="0"/>
        </w:rPr>
      </w:r>
    </w:p>
    <w:p>
      <w:pPr>
        <w:spacing w:line="240" w:lineRule="auto" w:before="2"/>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1778"/>
        <w:gridCol w:w="1779"/>
        <w:gridCol w:w="1779"/>
        <w:gridCol w:w="1781"/>
        <w:gridCol w:w="1779"/>
      </w:tblGrid>
      <w:tr>
        <w:trPr>
          <w:trHeight w:val="302" w:hRule="exact"/>
        </w:trPr>
        <w:tc>
          <w:tcPr>
            <w:tcW w:w="889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公司股票简况</w:t>
            </w:r>
          </w:p>
        </w:tc>
      </w:tr>
      <w:tr>
        <w:trPr>
          <w:trHeight w:val="302"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股票种类</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股票上市交易所</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3"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股票代码</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变更前股票简称</w:t>
            </w:r>
          </w:p>
        </w:tc>
      </w:tr>
      <w:tr>
        <w:trPr>
          <w:trHeight w:val="305"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z w:val="21"/>
                <w:szCs w:val="21"/>
              </w:rPr>
              <w:t>股</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上海证券交易所</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3" w:right="0"/>
              <w:jc w:val="left"/>
              <w:rPr>
                <w:rFonts w:ascii="宋体" w:hAnsi="宋体" w:cs="宋体" w:eastAsia="宋体" w:hint="default"/>
                <w:sz w:val="21"/>
                <w:szCs w:val="21"/>
              </w:rPr>
            </w:pPr>
            <w:r>
              <w:rPr>
                <w:rFonts w:ascii="宋体" w:hAnsi="宋体" w:cs="宋体" w:eastAsia="宋体" w:hint="default"/>
                <w:sz w:val="21"/>
                <w:szCs w:val="21"/>
              </w:rPr>
              <w:t>顶点软件</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603383</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不适用</w:t>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0"/>
          <w:szCs w:val="20"/>
        </w:rPr>
      </w:pPr>
    </w:p>
    <w:p>
      <w:pPr>
        <w:pStyle w:val="Heading3"/>
        <w:spacing w:line="240" w:lineRule="auto" w:before="36"/>
        <w:ind w:right="2757"/>
        <w:jc w:val="left"/>
        <w:rPr>
          <w:b w:val="0"/>
          <w:bCs w:val="0"/>
        </w:rPr>
      </w:pPr>
      <w:r>
        <w:rPr/>
        <w:t>六、</w:t>
      </w:r>
      <w:r>
        <w:rPr>
          <w:spacing w:val="-29"/>
        </w:rPr>
        <w:t> </w:t>
      </w:r>
      <w:r>
        <w:rPr/>
        <w:t>其他相关资料</w:t>
      </w:r>
      <w:r>
        <w:rPr>
          <w:b w:val="0"/>
          <w:bCs w:val="0"/>
        </w:rPr>
      </w:r>
    </w:p>
    <w:p>
      <w:pPr>
        <w:spacing w:line="240" w:lineRule="auto" w:before="12"/>
        <w:rPr>
          <w:rFonts w:ascii="宋体" w:hAnsi="宋体" w:cs="宋体" w:eastAsia="宋体" w:hint="default"/>
          <w:b/>
          <w:bCs/>
          <w:sz w:val="6"/>
          <w:szCs w:val="6"/>
        </w:rPr>
      </w:pPr>
    </w:p>
    <w:tbl>
      <w:tblPr>
        <w:tblW w:w="0" w:type="auto"/>
        <w:jc w:val="left"/>
        <w:tblInd w:w="105" w:type="dxa"/>
        <w:tblLayout w:type="fixed"/>
        <w:tblCellMar>
          <w:top w:w="0" w:type="dxa"/>
          <w:left w:w="0" w:type="dxa"/>
          <w:bottom w:w="0" w:type="dxa"/>
          <w:right w:w="0" w:type="dxa"/>
        </w:tblCellMar>
        <w:tblLook w:val="01E0"/>
      </w:tblPr>
      <w:tblGrid>
        <w:gridCol w:w="2993"/>
        <w:gridCol w:w="1796"/>
        <w:gridCol w:w="4261"/>
      </w:tblGrid>
      <w:tr>
        <w:trPr>
          <w:trHeight w:val="283" w:hRule="exact"/>
        </w:trPr>
        <w:tc>
          <w:tcPr>
            <w:tcW w:w="2993"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1"/>
                <w:szCs w:val="21"/>
              </w:rPr>
            </w:pPr>
          </w:p>
          <w:p>
            <w:pPr>
              <w:pStyle w:val="TableParagraph"/>
              <w:spacing w:line="272" w:lineRule="exact"/>
              <w:ind w:left="103" w:right="99"/>
              <w:jc w:val="left"/>
              <w:rPr>
                <w:rFonts w:ascii="宋体" w:hAnsi="宋体" w:cs="宋体" w:eastAsia="宋体" w:hint="default"/>
                <w:sz w:val="21"/>
                <w:szCs w:val="21"/>
              </w:rPr>
            </w:pPr>
            <w:r>
              <w:rPr>
                <w:rFonts w:ascii="宋体" w:hAnsi="宋体" w:cs="宋体" w:eastAsia="宋体" w:hint="default"/>
                <w:spacing w:val="2"/>
                <w:sz w:val="21"/>
                <w:szCs w:val="21"/>
              </w:rPr>
              <w:t>公司聘请的会计师事务所（境</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内）</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致同会计师事务所（特殊普通合伙）</w:t>
            </w:r>
          </w:p>
        </w:tc>
      </w:tr>
      <w:tr>
        <w:trPr>
          <w:trHeight w:val="554" w:hRule="exact"/>
        </w:trPr>
        <w:tc>
          <w:tcPr>
            <w:tcW w:w="2993" w:type="dxa"/>
            <w:vMerge/>
            <w:tcBorders>
              <w:left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福建省福州市台江区祥板路口阳光城时代广</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场</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4"/>
                <w:sz w:val="21"/>
                <w:szCs w:val="21"/>
              </w:rPr>
              <w:t> </w:t>
            </w:r>
            <w:r>
              <w:rPr>
                <w:rFonts w:ascii="宋体" w:hAnsi="宋体" w:cs="宋体" w:eastAsia="宋体" w:hint="default"/>
                <w:sz w:val="21"/>
                <w:szCs w:val="21"/>
              </w:rPr>
              <w:t>楼</w:t>
            </w:r>
          </w:p>
        </w:tc>
      </w:tr>
      <w:tr>
        <w:trPr>
          <w:trHeight w:val="281" w:hRule="exact"/>
        </w:trPr>
        <w:tc>
          <w:tcPr>
            <w:tcW w:w="2993" w:type="dxa"/>
            <w:vMerge/>
            <w:tcBorders>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刘维、殷雪芳</w:t>
            </w:r>
          </w:p>
        </w:tc>
      </w:tr>
      <w:tr>
        <w:trPr>
          <w:trHeight w:val="284" w:hRule="exact"/>
        </w:trPr>
        <w:tc>
          <w:tcPr>
            <w:tcW w:w="2993" w:type="dxa"/>
            <w:vMerge w:val="restart"/>
            <w:tcBorders>
              <w:top w:val="single" w:sz="4" w:space="0" w:color="000000"/>
              <w:left w:val="single" w:sz="4" w:space="0" w:color="000000"/>
              <w:right w:val="single" w:sz="4" w:space="0" w:color="000000"/>
            </w:tcBorders>
          </w:tcPr>
          <w:p>
            <w:pPr>
              <w:pStyle w:val="TableParagraph"/>
              <w:spacing w:line="272" w:lineRule="exact" w:before="142"/>
              <w:ind w:left="103" w:right="99"/>
              <w:jc w:val="left"/>
              <w:rPr>
                <w:rFonts w:ascii="宋体" w:hAnsi="宋体" w:cs="宋体" w:eastAsia="宋体" w:hint="default"/>
                <w:sz w:val="21"/>
                <w:szCs w:val="21"/>
              </w:rPr>
            </w:pPr>
            <w:r>
              <w:rPr>
                <w:rFonts w:ascii="宋体" w:hAnsi="宋体" w:cs="宋体" w:eastAsia="宋体" w:hint="default"/>
                <w:spacing w:val="2"/>
                <w:sz w:val="21"/>
                <w:szCs w:val="21"/>
              </w:rPr>
              <w:t>报告期内履行持续督导职责的</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保荐机构</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东方花旗证券有限公司</w:t>
            </w:r>
          </w:p>
        </w:tc>
      </w:tr>
      <w:tr>
        <w:trPr>
          <w:trHeight w:val="283" w:hRule="exact"/>
        </w:trPr>
        <w:tc>
          <w:tcPr>
            <w:tcW w:w="2993" w:type="dxa"/>
            <w:vMerge/>
            <w:tcBorders>
              <w:left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上海市黄浦区中山南路</w:t>
            </w:r>
            <w:r>
              <w:rPr>
                <w:rFonts w:ascii="宋体" w:hAnsi="宋体" w:cs="宋体" w:eastAsia="宋体" w:hint="default"/>
                <w:spacing w:val="-54"/>
                <w:sz w:val="21"/>
                <w:szCs w:val="21"/>
              </w:rPr>
              <w:t> </w:t>
            </w:r>
            <w:r>
              <w:rPr>
                <w:rFonts w:ascii="宋体" w:hAnsi="宋体" w:cs="宋体" w:eastAsia="宋体" w:hint="default"/>
                <w:sz w:val="21"/>
                <w:szCs w:val="21"/>
              </w:rPr>
              <w:t>318</w:t>
            </w:r>
            <w:r>
              <w:rPr>
                <w:rFonts w:ascii="宋体" w:hAnsi="宋体" w:cs="宋体" w:eastAsia="宋体" w:hint="default"/>
                <w:spacing w:val="-53"/>
                <w:sz w:val="21"/>
                <w:szCs w:val="21"/>
              </w:rPr>
              <w:t> </w:t>
            </w:r>
            <w:r>
              <w:rPr>
                <w:rFonts w:ascii="宋体" w:hAnsi="宋体" w:cs="宋体" w:eastAsia="宋体" w:hint="default"/>
                <w:sz w:val="21"/>
                <w:szCs w:val="21"/>
              </w:rPr>
              <w:t>号</w:t>
            </w:r>
            <w:r>
              <w:rPr>
                <w:rFonts w:ascii="宋体" w:hAnsi="宋体" w:cs="宋体" w:eastAsia="宋体" w:hint="default"/>
                <w:spacing w:val="-54"/>
                <w:sz w:val="21"/>
                <w:szCs w:val="21"/>
              </w:rPr>
              <w:t> </w:t>
            </w:r>
            <w:r>
              <w:rPr>
                <w:rFonts w:ascii="宋体" w:hAnsi="宋体" w:cs="宋体" w:eastAsia="宋体" w:hint="default"/>
                <w:sz w:val="21"/>
                <w:szCs w:val="21"/>
              </w:rPr>
              <w:t>24</w:t>
            </w:r>
            <w:r>
              <w:rPr>
                <w:rFonts w:ascii="宋体" w:hAnsi="宋体" w:cs="宋体" w:eastAsia="宋体" w:hint="default"/>
                <w:spacing w:val="-54"/>
                <w:sz w:val="21"/>
                <w:szCs w:val="21"/>
              </w:rPr>
              <w:t> </w:t>
            </w:r>
            <w:r>
              <w:rPr>
                <w:rFonts w:ascii="宋体" w:hAnsi="宋体" w:cs="宋体" w:eastAsia="宋体" w:hint="default"/>
                <w:sz w:val="21"/>
                <w:szCs w:val="21"/>
              </w:rPr>
              <w:t>层</w:t>
            </w:r>
          </w:p>
        </w:tc>
      </w:tr>
      <w:tr>
        <w:trPr>
          <w:trHeight w:val="283" w:hRule="exact"/>
        </w:trPr>
        <w:tc>
          <w:tcPr>
            <w:tcW w:w="2993" w:type="dxa"/>
            <w:vMerge/>
            <w:tcBorders>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签字的保荐代表</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郑睿、郝智明</w:t>
            </w:r>
          </w:p>
        </w:tc>
      </w:tr>
    </w:tbl>
    <w:p>
      <w:pPr>
        <w:spacing w:after="0" w:line="241" w:lineRule="exact"/>
        <w:jc w:val="left"/>
        <w:rPr>
          <w:rFonts w:ascii="宋体" w:hAnsi="宋体" w:cs="宋体" w:eastAsia="宋体" w:hint="default"/>
          <w:sz w:val="21"/>
          <w:szCs w:val="21"/>
        </w:rPr>
        <w:sectPr>
          <w:pgSz w:w="11910" w:h="16840"/>
          <w:pgMar w:header="855" w:footer="1195" w:top="1320" w:bottom="1380" w:left="1580" w:right="1040"/>
        </w:sectPr>
      </w:pPr>
    </w:p>
    <w:p>
      <w:pPr>
        <w:spacing w:line="240" w:lineRule="auto" w:before="9"/>
        <w:rPr>
          <w:rFonts w:ascii="宋体" w:hAnsi="宋体" w:cs="宋体" w:eastAsia="宋体" w:hint="default"/>
          <w:b/>
          <w:bCs/>
          <w:sz w:val="14"/>
          <w:szCs w:val="14"/>
        </w:rPr>
      </w:pPr>
    </w:p>
    <w:tbl>
      <w:tblPr>
        <w:tblW w:w="0" w:type="auto"/>
        <w:jc w:val="left"/>
        <w:tblInd w:w="105" w:type="dxa"/>
        <w:tblLayout w:type="fixed"/>
        <w:tblCellMar>
          <w:top w:w="0" w:type="dxa"/>
          <w:left w:w="0" w:type="dxa"/>
          <w:bottom w:w="0" w:type="dxa"/>
          <w:right w:w="0" w:type="dxa"/>
        </w:tblCellMar>
        <w:tblLook w:val="01E0"/>
      </w:tblPr>
      <w:tblGrid>
        <w:gridCol w:w="2993"/>
        <w:gridCol w:w="1796"/>
        <w:gridCol w:w="4261"/>
      </w:tblGrid>
      <w:tr>
        <w:trPr>
          <w:trHeight w:val="284" w:hRule="exact"/>
        </w:trPr>
        <w:tc>
          <w:tcPr>
            <w:tcW w:w="2993" w:type="dxa"/>
            <w:vMerge w:val="restart"/>
            <w:tcBorders>
              <w:top w:val="single" w:sz="4" w:space="0" w:color="000000"/>
              <w:left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人姓名</w:t>
            </w:r>
          </w:p>
        </w:tc>
        <w:tc>
          <w:tcPr>
            <w:tcW w:w="42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93" w:type="dxa"/>
            <w:vMerge/>
            <w:tcBorders>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持续督导的期间</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2017.5.22-2019.12.31</w:t>
            </w:r>
          </w:p>
        </w:tc>
      </w:tr>
    </w:tbl>
    <w:p>
      <w:pPr>
        <w:spacing w:line="240" w:lineRule="auto" w:before="12"/>
        <w:rPr>
          <w:rFonts w:ascii="宋体" w:hAnsi="宋体" w:cs="宋体" w:eastAsia="宋体" w:hint="default"/>
          <w:b/>
          <w:bCs/>
          <w:sz w:val="19"/>
          <w:szCs w:val="19"/>
        </w:rPr>
      </w:pPr>
    </w:p>
    <w:p>
      <w:pPr>
        <w:pStyle w:val="Heading3"/>
        <w:spacing w:line="240" w:lineRule="auto" w:before="36"/>
        <w:ind w:right="2757"/>
        <w:jc w:val="left"/>
        <w:rPr>
          <w:b w:val="0"/>
          <w:bCs w:val="0"/>
        </w:rPr>
      </w:pPr>
      <w:r>
        <w:rPr/>
        <w:t>七、</w:t>
      </w:r>
      <w:r>
        <w:rPr>
          <w:spacing w:val="-32"/>
        </w:rPr>
        <w:t> </w:t>
      </w:r>
      <w:r>
        <w:rPr/>
        <w:t>近三年主要会计数据和财务指标</w:t>
      </w:r>
      <w:r>
        <w:rPr>
          <w:b w:val="0"/>
          <w:bCs w:val="0"/>
        </w:rPr>
      </w:r>
    </w:p>
    <w:p>
      <w:pPr>
        <w:pStyle w:val="Heading3"/>
        <w:spacing w:line="240" w:lineRule="auto" w:before="58"/>
        <w:ind w:right="2757"/>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主要会计数据</w:t>
      </w:r>
      <w:r>
        <w:rPr>
          <w:b w:val="0"/>
          <w:bCs w:val="0"/>
        </w:rPr>
      </w:r>
    </w:p>
    <w:p>
      <w:pPr>
        <w:spacing w:line="240" w:lineRule="auto" w:before="5"/>
        <w:rPr>
          <w:rFonts w:ascii="宋体" w:hAnsi="宋体" w:cs="宋体" w:eastAsia="宋体" w:hint="default"/>
          <w:b/>
          <w:bCs/>
          <w:sz w:val="20"/>
          <w:szCs w:val="20"/>
        </w:rPr>
      </w:pPr>
    </w:p>
    <w:p>
      <w:pPr>
        <w:pStyle w:val="BodyText"/>
        <w:tabs>
          <w:tab w:pos="1051" w:val="left" w:leader="none"/>
        </w:tabs>
        <w:spacing w:line="240" w:lineRule="auto" w:before="36"/>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04"/>
        <w:gridCol w:w="1896"/>
        <w:gridCol w:w="1687"/>
        <w:gridCol w:w="977"/>
        <w:gridCol w:w="1685"/>
      </w:tblGrid>
      <w:tr>
        <w:trPr>
          <w:trHeight w:val="1099"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765" w:right="0"/>
              <w:jc w:val="left"/>
              <w:rPr>
                <w:rFonts w:ascii="宋体" w:hAnsi="宋体" w:cs="宋体" w:eastAsia="宋体" w:hint="default"/>
                <w:sz w:val="21"/>
                <w:szCs w:val="21"/>
              </w:rPr>
            </w:pPr>
            <w:r>
              <w:rPr>
                <w:rFonts w:ascii="宋体" w:hAnsi="宋体" w:cs="宋体" w:eastAsia="宋体" w:hint="default"/>
                <w:sz w:val="21"/>
                <w:szCs w:val="21"/>
              </w:rPr>
              <w:t>主要会计数据</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626"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z w:val="21"/>
                <w:szCs w:val="21"/>
              </w:rPr>
              <w:t>年</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本期比</w:t>
            </w:r>
          </w:p>
          <w:p>
            <w:pPr>
              <w:pStyle w:val="TableParagraph"/>
              <w:spacing w:line="237" w:lineRule="auto" w:before="2"/>
              <w:ind w:left="165" w:right="166"/>
              <w:jc w:val="center"/>
              <w:rPr>
                <w:rFonts w:ascii="宋体" w:hAnsi="宋体" w:cs="宋体" w:eastAsia="宋体" w:hint="default"/>
                <w:sz w:val="21"/>
                <w:szCs w:val="21"/>
              </w:rPr>
            </w:pPr>
            <w:r>
              <w:rPr>
                <w:rFonts w:ascii="宋体" w:hAnsi="宋体" w:cs="宋体" w:eastAsia="宋体" w:hint="default"/>
                <w:sz w:val="21"/>
                <w:szCs w:val="21"/>
              </w:rPr>
              <w:t>上年同</w:t>
            </w:r>
            <w:r>
              <w:rPr>
                <w:rFonts w:ascii="宋体" w:hAnsi="宋体" w:cs="宋体" w:eastAsia="宋体" w:hint="default"/>
                <w:w w:val="100"/>
                <w:sz w:val="21"/>
                <w:szCs w:val="21"/>
              </w:rPr>
              <w:t> </w:t>
            </w:r>
            <w:r>
              <w:rPr>
                <w:rFonts w:ascii="宋体" w:hAnsi="宋体" w:cs="宋体" w:eastAsia="宋体" w:hint="default"/>
                <w:sz w:val="21"/>
                <w:szCs w:val="21"/>
              </w:rPr>
              <w:t>期增减</w:t>
            </w:r>
            <w:r>
              <w:rPr>
                <w:rFonts w:ascii="宋体" w:hAnsi="宋体" w:cs="宋体" w:eastAsia="宋体" w:hint="default"/>
                <w:w w:val="100"/>
                <w:sz w:val="21"/>
                <w:szCs w:val="21"/>
              </w:rPr>
              <w:t> </w:t>
            </w:r>
            <w:r>
              <w:rPr>
                <w:rFonts w:ascii="宋体" w:hAnsi="宋体" w:cs="宋体" w:eastAsia="宋体" w:hint="default"/>
                <w:sz w:val="21"/>
                <w:szCs w:val="21"/>
              </w:rPr>
              <w:t>(%)</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520"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z w:val="21"/>
                <w:szCs w:val="21"/>
              </w:rPr>
              <w:t>年</w:t>
            </w:r>
          </w:p>
        </w:tc>
      </w:tr>
      <w:tr>
        <w:trPr>
          <w:trHeight w:val="296"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243,776,725.70</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204,692,488.71</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19.09</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195,122,487.38</w:t>
            </w:r>
          </w:p>
        </w:tc>
      </w:tr>
      <w:tr>
        <w:trPr>
          <w:trHeight w:val="554"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归属于上市公司股东的净利</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润</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101,908,339.29</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70,481,586.16</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44.59</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83,880,853.37</w:t>
            </w:r>
          </w:p>
        </w:tc>
      </w:tr>
      <w:tr>
        <w:trPr>
          <w:trHeight w:val="554"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归属于上市公司股东的扣除</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非经常性损益的净利润</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87,646,870.42</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69,789,385.59</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25.59</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68,164,823.02</w:t>
            </w:r>
          </w:p>
        </w:tc>
      </w:tr>
      <w:tr>
        <w:trPr>
          <w:trHeight w:val="557"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经营活动产生的现金流量净</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103,665,536.19</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95,193,528.98</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8.90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113,929,453.91</w:t>
            </w:r>
          </w:p>
        </w:tc>
      </w:tr>
      <w:tr>
        <w:trPr>
          <w:trHeight w:val="1370" w:hRule="exact"/>
        </w:trPr>
        <w:tc>
          <w:tcPr>
            <w:tcW w:w="2804"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年末</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z w:val="21"/>
                <w:szCs w:val="21"/>
              </w:rPr>
              <w:t>年末</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5" w:right="0"/>
              <w:jc w:val="both"/>
              <w:rPr>
                <w:rFonts w:ascii="宋体" w:hAnsi="宋体" w:cs="宋体" w:eastAsia="宋体" w:hint="default"/>
                <w:sz w:val="21"/>
                <w:szCs w:val="21"/>
              </w:rPr>
            </w:pPr>
            <w:r>
              <w:rPr>
                <w:rFonts w:ascii="宋体" w:hAnsi="宋体" w:cs="宋体" w:eastAsia="宋体" w:hint="default"/>
                <w:sz w:val="21"/>
                <w:szCs w:val="21"/>
              </w:rPr>
              <w:t>本期末</w:t>
            </w:r>
          </w:p>
          <w:p>
            <w:pPr>
              <w:pStyle w:val="TableParagraph"/>
              <w:spacing w:line="237" w:lineRule="auto"/>
              <w:ind w:left="115" w:right="113" w:firstLine="50"/>
              <w:jc w:val="both"/>
              <w:rPr>
                <w:rFonts w:ascii="宋体" w:hAnsi="宋体" w:cs="宋体" w:eastAsia="宋体" w:hint="default"/>
                <w:sz w:val="21"/>
                <w:szCs w:val="21"/>
              </w:rPr>
            </w:pPr>
            <w:r>
              <w:rPr>
                <w:rFonts w:ascii="宋体" w:hAnsi="宋体" w:cs="宋体" w:eastAsia="宋体" w:hint="default"/>
                <w:sz w:val="21"/>
                <w:szCs w:val="21"/>
              </w:rPr>
              <w:t>比上年</w:t>
            </w:r>
            <w:r>
              <w:rPr>
                <w:rFonts w:ascii="宋体" w:hAnsi="宋体" w:cs="宋体" w:eastAsia="宋体" w:hint="default"/>
                <w:w w:val="100"/>
                <w:sz w:val="21"/>
                <w:szCs w:val="21"/>
              </w:rPr>
              <w:t> </w:t>
            </w:r>
            <w:r>
              <w:rPr>
                <w:rFonts w:ascii="宋体" w:hAnsi="宋体" w:cs="宋体" w:eastAsia="宋体" w:hint="default"/>
                <w:sz w:val="21"/>
                <w:szCs w:val="21"/>
              </w:rPr>
              <w:t>同期末</w:t>
            </w:r>
            <w:r>
              <w:rPr>
                <w:rFonts w:ascii="宋体" w:hAnsi="宋体" w:cs="宋体" w:eastAsia="宋体" w:hint="default"/>
                <w:spacing w:val="-102"/>
                <w:sz w:val="21"/>
                <w:szCs w:val="21"/>
              </w:rPr>
              <w:t> </w:t>
            </w:r>
            <w:r>
              <w:rPr>
                <w:rFonts w:ascii="宋体" w:hAnsi="宋体" w:cs="宋体" w:eastAsia="宋体" w:hint="default"/>
                <w:sz w:val="21"/>
                <w:szCs w:val="21"/>
              </w:rPr>
              <w:t>增减（</w:t>
            </w:r>
            <w:r>
              <w:rPr>
                <w:rFonts w:ascii="宋体" w:hAnsi="宋体" w:cs="宋体" w:eastAsia="宋体" w:hint="default"/>
                <w:sz w:val="21"/>
                <w:szCs w:val="21"/>
              </w:rPr>
              <w:t>%</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z w:val="21"/>
                <w:szCs w:val="21"/>
              </w:rPr>
              <w:t>年末</w:t>
            </w:r>
          </w:p>
        </w:tc>
      </w:tr>
      <w:tr>
        <w:trPr>
          <w:trHeight w:val="555"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归属于上市公司股东的净资</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产</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937,731,287.09</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471,932,078.73</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98.70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401,450,492.57</w:t>
            </w:r>
          </w:p>
        </w:tc>
      </w:tr>
      <w:tr>
        <w:trPr>
          <w:trHeight w:val="295"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1,158,203,046.86</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631,376,776.26</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83.44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534,250,167.16</w:t>
            </w:r>
          </w:p>
        </w:tc>
      </w:tr>
    </w:tbl>
    <w:p>
      <w:pPr>
        <w:spacing w:line="240" w:lineRule="auto" w:before="2"/>
        <w:rPr>
          <w:rFonts w:ascii="宋体" w:hAnsi="宋体" w:cs="宋体" w:eastAsia="宋体" w:hint="default"/>
          <w:sz w:val="20"/>
          <w:szCs w:val="20"/>
        </w:rPr>
      </w:pPr>
    </w:p>
    <w:p>
      <w:pPr>
        <w:pStyle w:val="Heading3"/>
        <w:tabs>
          <w:tab w:pos="1057" w:val="left" w:leader="none"/>
        </w:tabs>
        <w:spacing w:line="240" w:lineRule="auto" w:before="36"/>
        <w:ind w:right="2757"/>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主要财务指标</w:t>
      </w:r>
      <w:r>
        <w:rPr>
          <w:b w:val="0"/>
          <w:bCs w:val="0"/>
        </w:rPr>
      </w:r>
    </w:p>
    <w:p>
      <w:pPr>
        <w:spacing w:line="240" w:lineRule="auto" w:before="12"/>
        <w:rPr>
          <w:rFonts w:ascii="宋体" w:hAnsi="宋体" w:cs="宋体" w:eastAsia="宋体" w:hint="default"/>
          <w:b/>
          <w:bCs/>
          <w:sz w:val="6"/>
          <w:szCs w:val="6"/>
        </w:rPr>
      </w:pPr>
    </w:p>
    <w:tbl>
      <w:tblPr>
        <w:tblW w:w="0" w:type="auto"/>
        <w:jc w:val="left"/>
        <w:tblInd w:w="105" w:type="dxa"/>
        <w:tblLayout w:type="fixed"/>
        <w:tblCellMar>
          <w:top w:w="0" w:type="dxa"/>
          <w:left w:w="0" w:type="dxa"/>
          <w:bottom w:w="0" w:type="dxa"/>
          <w:right w:w="0" w:type="dxa"/>
        </w:tblCellMar>
        <w:tblLook w:val="01E0"/>
      </w:tblPr>
      <w:tblGrid>
        <w:gridCol w:w="3032"/>
        <w:gridCol w:w="1414"/>
        <w:gridCol w:w="1529"/>
        <w:gridCol w:w="1539"/>
        <w:gridCol w:w="1536"/>
      </w:tblGrid>
      <w:tr>
        <w:trPr>
          <w:trHeight w:val="55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80" w:right="0"/>
              <w:jc w:val="left"/>
              <w:rPr>
                <w:rFonts w:ascii="宋体" w:hAnsi="宋体" w:cs="宋体" w:eastAsia="宋体" w:hint="default"/>
                <w:sz w:val="21"/>
                <w:szCs w:val="21"/>
              </w:rPr>
            </w:pPr>
            <w:r>
              <w:rPr>
                <w:rFonts w:ascii="宋体" w:hAnsi="宋体" w:cs="宋体" w:eastAsia="宋体" w:hint="default"/>
                <w:sz w:val="21"/>
                <w:szCs w:val="21"/>
              </w:rPr>
              <w:t>主要财务指标</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4"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42"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z w:val="21"/>
                <w:szCs w:val="21"/>
              </w:rPr>
              <w:t>年</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本期比上年同</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期增减</w:t>
            </w:r>
            <w:r>
              <w:rPr>
                <w:rFonts w:ascii="宋体" w:hAnsi="宋体" w:cs="宋体" w:eastAsia="宋体" w:hint="default"/>
                <w:sz w:val="21"/>
                <w:szCs w:val="21"/>
              </w:rPr>
              <w:t>(%)</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46"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z w:val="21"/>
                <w:szCs w:val="21"/>
              </w:rPr>
              <w:t>年</w:t>
            </w:r>
          </w:p>
        </w:tc>
      </w:tr>
      <w:tr>
        <w:trPr>
          <w:trHeight w:val="283"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1.35</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1.12</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20.54</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1.35</w:t>
            </w:r>
          </w:p>
        </w:tc>
      </w:tr>
      <w:tr>
        <w:trPr>
          <w:trHeight w:val="283"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稀释每股收益（元／股）</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1.34</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1.12</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19.64</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1.35</w:t>
            </w:r>
          </w:p>
        </w:tc>
      </w:tr>
      <w:tr>
        <w:trPr>
          <w:trHeight w:val="55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扣除非经常性损益后的基本每</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股收益（元／股）</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1.16</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1.11</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4.50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1.09</w:t>
            </w:r>
          </w:p>
        </w:tc>
      </w:tr>
      <w:tr>
        <w:trPr>
          <w:trHeight w:val="555"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13.86</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16.14</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5"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z w:val="21"/>
                <w:szCs w:val="21"/>
              </w:rPr>
              <w:t>2.28</w:t>
            </w:r>
            <w:r>
              <w:rPr>
                <w:rFonts w:ascii="宋体" w:hAnsi="宋体" w:cs="宋体" w:eastAsia="宋体" w:hint="default"/>
                <w:sz w:val="21"/>
                <w:szCs w:val="21"/>
              </w:rPr>
              <w:t>个百</w:t>
            </w:r>
          </w:p>
          <w:p>
            <w:pPr>
              <w:pStyle w:val="TableParagraph"/>
              <w:spacing w:line="273" w:lineRule="exact"/>
              <w:ind w:left="1005" w:right="0"/>
              <w:jc w:val="left"/>
              <w:rPr>
                <w:rFonts w:ascii="宋体" w:hAnsi="宋体" w:cs="宋体" w:eastAsia="宋体" w:hint="default"/>
                <w:sz w:val="21"/>
                <w:szCs w:val="21"/>
              </w:rPr>
            </w:pPr>
            <w:r>
              <w:rPr>
                <w:rFonts w:ascii="宋体" w:hAnsi="宋体" w:cs="宋体" w:eastAsia="宋体" w:hint="default"/>
                <w:sz w:val="21"/>
                <w:szCs w:val="21"/>
              </w:rPr>
              <w:t>分点</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27.97</w:t>
            </w:r>
          </w:p>
        </w:tc>
      </w:tr>
      <w:tr>
        <w:trPr>
          <w:trHeight w:val="55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扣除非经常性损益后的加权平</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均净资产收益率（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11.92</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15.98</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5"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z w:val="21"/>
                <w:szCs w:val="21"/>
              </w:rPr>
              <w:t>4.06</w:t>
            </w:r>
            <w:r>
              <w:rPr>
                <w:rFonts w:ascii="宋体" w:hAnsi="宋体" w:cs="宋体" w:eastAsia="宋体" w:hint="default"/>
                <w:sz w:val="21"/>
                <w:szCs w:val="21"/>
              </w:rPr>
              <w:t>个百</w:t>
            </w:r>
          </w:p>
          <w:p>
            <w:pPr>
              <w:pStyle w:val="TableParagraph"/>
              <w:spacing w:line="274" w:lineRule="exact"/>
              <w:ind w:left="1005" w:right="0"/>
              <w:jc w:val="left"/>
              <w:rPr>
                <w:rFonts w:ascii="宋体" w:hAnsi="宋体" w:cs="宋体" w:eastAsia="宋体" w:hint="default"/>
                <w:sz w:val="21"/>
                <w:szCs w:val="21"/>
              </w:rPr>
            </w:pPr>
            <w:r>
              <w:rPr>
                <w:rFonts w:ascii="宋体" w:hAnsi="宋体" w:cs="宋体" w:eastAsia="宋体" w:hint="default"/>
                <w:sz w:val="21"/>
                <w:szCs w:val="21"/>
              </w:rPr>
              <w:t>分点</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22.73</w:t>
            </w:r>
          </w:p>
        </w:tc>
      </w:tr>
    </w:tbl>
    <w:p>
      <w:pPr>
        <w:spacing w:line="240" w:lineRule="auto" w:before="7"/>
        <w:rPr>
          <w:rFonts w:ascii="宋体" w:hAnsi="宋体" w:cs="宋体" w:eastAsia="宋体" w:hint="default"/>
          <w:b/>
          <w:bCs/>
          <w:sz w:val="15"/>
          <w:szCs w:val="15"/>
        </w:rPr>
      </w:pPr>
    </w:p>
    <w:p>
      <w:pPr>
        <w:pStyle w:val="BodyText"/>
        <w:spacing w:line="273" w:lineRule="exact" w:before="36"/>
        <w:ind w:right="0"/>
        <w:jc w:val="both"/>
      </w:pPr>
      <w:r>
        <w:rPr/>
        <w:t>报告期末公司前三年主要会计数据和财务指标的说明</w:t>
      </w:r>
    </w:p>
    <w:p>
      <w:pPr>
        <w:pStyle w:val="BodyText"/>
        <w:spacing w:line="272" w:lineRule="exact"/>
        <w:ind w:right="0"/>
        <w:jc w:val="both"/>
      </w:pPr>
      <w:r>
        <w:rPr/>
        <w:t>√适用</w:t>
      </w:r>
      <w:r>
        <w:rPr>
          <w:spacing w:val="-1"/>
        </w:rPr>
        <w:t> </w:t>
      </w:r>
      <w:r>
        <w:rPr/>
        <w:t>□不适用</w:t>
      </w:r>
    </w:p>
    <w:p>
      <w:pPr>
        <w:pStyle w:val="BodyText"/>
        <w:spacing w:line="237" w:lineRule="auto" w:before="2"/>
        <w:ind w:right="228"/>
        <w:jc w:val="both"/>
      </w:pPr>
      <w:r>
        <w:rPr>
          <w:spacing w:val="-2"/>
          <w:w w:val="100"/>
        </w:rPr>
        <w:t>本报告期与上年同期相比归属于上市公司股东的净资产增加</w:t>
      </w:r>
      <w:r>
        <w:rPr>
          <w:spacing w:val="27"/>
          <w:w w:val="100"/>
        </w:rPr>
        <w:t> </w:t>
      </w:r>
      <w:r>
        <w:rPr>
          <w:rFonts w:ascii="宋体" w:hAnsi="宋体" w:cs="宋体" w:eastAsia="宋体" w:hint="default"/>
          <w:spacing w:val="-7"/>
          <w:w w:val="100"/>
        </w:rPr>
        <w:t>98.70%</w:t>
      </w:r>
      <w:r>
        <w:rPr>
          <w:spacing w:val="-7"/>
          <w:w w:val="100"/>
        </w:rPr>
        <w:t>，加权平均净资产收益率下降</w:t>
      </w:r>
      <w:r>
        <w:rPr>
          <w:spacing w:val="-101"/>
          <w:w w:val="100"/>
        </w:rPr>
        <w:t> </w:t>
      </w:r>
      <w:r>
        <w:rPr>
          <w:spacing w:val="-101"/>
          <w:w w:val="100"/>
        </w:rPr>
      </w:r>
      <w:r>
        <w:rPr>
          <w:rFonts w:ascii="宋体" w:hAnsi="宋体" w:cs="宋体" w:eastAsia="宋体" w:hint="default"/>
          <w:spacing w:val="-3"/>
        </w:rPr>
        <w:t>2.28%</w:t>
      </w:r>
      <w:r>
        <w:rPr>
          <w:spacing w:val="-3"/>
        </w:rPr>
        <w:t>，主要是由于公司于 </w:t>
      </w:r>
      <w:r>
        <w:rPr>
          <w:rFonts w:ascii="宋体" w:hAnsi="宋体" w:cs="宋体" w:eastAsia="宋体" w:hint="default"/>
        </w:rPr>
        <w:t>2017 </w:t>
      </w:r>
      <w:r>
        <w:rPr>
          <w:spacing w:val="-3"/>
        </w:rPr>
        <w:t>年首次公开发行股票以及进行股权激励，公司股份及归属于上市</w:t>
      </w:r>
      <w:r>
        <w:rPr>
          <w:spacing w:val="-77"/>
        </w:rPr>
        <w:t> </w:t>
      </w:r>
      <w:r>
        <w:rPr>
          <w:spacing w:val="-77"/>
        </w:rPr>
      </w:r>
      <w:r>
        <w:rPr/>
        <w:t>公司股东的净资产增加所致。</w:t>
      </w:r>
    </w:p>
    <w:p>
      <w:pPr>
        <w:spacing w:after="0" w:line="237" w:lineRule="auto"/>
        <w:jc w:val="both"/>
        <w:sectPr>
          <w:pgSz w:w="11910" w:h="16840"/>
          <w:pgMar w:header="855" w:footer="1195" w:top="1320" w:bottom="1380" w:left="1580" w:right="1040"/>
        </w:sectPr>
      </w:pPr>
    </w:p>
    <w:p>
      <w:pPr>
        <w:spacing w:line="240" w:lineRule="auto" w:before="4"/>
        <w:rPr>
          <w:rFonts w:ascii="宋体" w:hAnsi="宋体" w:cs="宋体" w:eastAsia="宋体" w:hint="default"/>
          <w:sz w:val="9"/>
          <w:szCs w:val="9"/>
        </w:rPr>
      </w:pPr>
    </w:p>
    <w:p>
      <w:pPr>
        <w:pStyle w:val="Heading3"/>
        <w:spacing w:line="240" w:lineRule="auto" w:before="36"/>
        <w:ind w:right="2757"/>
        <w:jc w:val="left"/>
        <w:rPr>
          <w:b w:val="0"/>
          <w:bCs w:val="0"/>
        </w:rPr>
      </w:pPr>
      <w:r>
        <w:rPr/>
        <w:t>八、</w:t>
      </w:r>
      <w:r>
        <w:rPr>
          <w:spacing w:val="-32"/>
        </w:rPr>
        <w:t> </w:t>
      </w:r>
      <w:r>
        <w:rPr/>
        <w:t>境内外会计准则下会计数据差异</w:t>
      </w:r>
      <w:r>
        <w:rPr>
          <w:b w:val="0"/>
          <w:bCs w:val="0"/>
        </w:rPr>
      </w:r>
    </w:p>
    <w:p>
      <w:pPr>
        <w:pStyle w:val="Heading3"/>
        <w:spacing w:line="272" w:lineRule="exact" w:before="86"/>
        <w:ind w:left="638" w:right="0" w:hanging="420"/>
        <w:jc w:val="left"/>
        <w:rPr>
          <w:b w:val="0"/>
          <w:bCs w:val="0"/>
        </w:rPr>
      </w:pPr>
      <w:r>
        <w:rPr>
          <w:rFonts w:ascii="Calibri" w:hAnsi="Calibri" w:cs="Calibri" w:eastAsia="Calibri" w:hint="default"/>
        </w:rPr>
        <w:t>(</w:t>
      </w:r>
      <w:r>
        <w:rPr/>
        <w:t>一</w:t>
      </w:r>
      <w:r>
        <w:rPr>
          <w:rFonts w:ascii="Calibri" w:hAnsi="Calibri" w:cs="Calibri" w:eastAsia="Calibri" w:hint="default"/>
        </w:rPr>
        <w:t>) </w:t>
      </w:r>
      <w:r>
        <w:rPr>
          <w:spacing w:val="2"/>
        </w:rPr>
        <w:t>同时按照国际会计准则与按中国会计准则披露的财务报告中净利润和归属于上市公司股东</w:t>
      </w:r>
      <w:r>
        <w:rPr>
          <w:spacing w:val="-85"/>
        </w:rPr>
        <w:t> </w:t>
      </w:r>
      <w:r>
        <w:rPr>
          <w:spacing w:val="-85"/>
        </w:rPr>
      </w:r>
      <w:r>
        <w:rPr/>
        <w:t>的净资产差异情况</w:t>
      </w:r>
      <w:r>
        <w:rPr>
          <w:b w:val="0"/>
          <w:bCs w:val="0"/>
        </w:rPr>
      </w:r>
    </w:p>
    <w:p>
      <w:pPr>
        <w:pStyle w:val="BodyText"/>
        <w:spacing w:line="240" w:lineRule="auto" w:before="34"/>
        <w:ind w:right="2757"/>
        <w:jc w:val="left"/>
      </w:pPr>
      <w:r>
        <w:rPr/>
        <w:t>□适用</w:t>
      </w:r>
      <w:r>
        <w:rPr>
          <w:spacing w:val="-1"/>
        </w:rPr>
        <w:t> </w:t>
      </w:r>
      <w:r>
        <w:rPr/>
        <w:t>√不适用</w:t>
      </w:r>
    </w:p>
    <w:p>
      <w:pPr>
        <w:pStyle w:val="Heading3"/>
        <w:spacing w:line="274" w:lineRule="exact" w:before="82"/>
        <w:ind w:left="585" w:right="227" w:hanging="368"/>
        <w:jc w:val="left"/>
        <w:rPr>
          <w:b w:val="0"/>
          <w:bCs w:val="0"/>
        </w:rPr>
      </w:pPr>
      <w:r>
        <w:rPr>
          <w:rFonts w:ascii="Calibri" w:hAnsi="Calibri" w:cs="Calibri" w:eastAsia="Calibri" w:hint="default"/>
        </w:rPr>
        <w:t>(</w:t>
      </w:r>
      <w:r>
        <w:rPr/>
        <w:t>二</w:t>
      </w:r>
      <w:r>
        <w:rPr>
          <w:rFonts w:ascii="Calibri" w:hAnsi="Calibri" w:cs="Calibri" w:eastAsia="Calibri" w:hint="default"/>
        </w:rPr>
        <w:t>) </w:t>
      </w:r>
      <w:r>
        <w:rPr/>
        <w:t>同时按照境外会计准则与按中国会计准则披露的财务报告中净利润和归属于上市公司股东的</w:t>
      </w:r>
      <w:r>
        <w:rPr>
          <w:spacing w:val="-98"/>
        </w:rPr>
        <w:t> </w:t>
      </w:r>
      <w:r>
        <w:rPr>
          <w:spacing w:val="-98"/>
        </w:rPr>
      </w:r>
      <w:r>
        <w:rPr/>
        <w:t>净资产差异情况</w:t>
      </w:r>
      <w:r>
        <w:rPr>
          <w:b w:val="0"/>
          <w:bCs w:val="0"/>
        </w:rPr>
      </w:r>
    </w:p>
    <w:p>
      <w:pPr>
        <w:pStyle w:val="BodyText"/>
        <w:spacing w:line="240" w:lineRule="auto" w:before="31"/>
        <w:ind w:right="2757"/>
        <w:jc w:val="left"/>
      </w:pPr>
      <w:r>
        <w:rPr/>
        <w:t>□适用</w:t>
      </w:r>
      <w:r>
        <w:rPr>
          <w:spacing w:val="-1"/>
        </w:rPr>
        <w:t> </w:t>
      </w:r>
      <w:r>
        <w:rPr/>
        <w:t>√不适用</w:t>
      </w:r>
    </w:p>
    <w:p>
      <w:pPr>
        <w:pStyle w:val="Heading3"/>
        <w:spacing w:line="240" w:lineRule="auto" w:before="58"/>
        <w:ind w:right="2757"/>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境内外会计准则差异的说明：</w:t>
      </w:r>
      <w:r>
        <w:rPr>
          <w:b w:val="0"/>
          <w:bCs w:val="0"/>
        </w:rPr>
      </w:r>
    </w:p>
    <w:p>
      <w:pPr>
        <w:pStyle w:val="BodyText"/>
        <w:spacing w:line="240" w:lineRule="auto" w:before="29"/>
        <w:ind w:right="2757"/>
        <w:jc w:val="left"/>
      </w:pPr>
      <w:r>
        <w:rPr/>
        <w:t>□适用</w:t>
      </w:r>
      <w:r>
        <w:rPr>
          <w:spacing w:val="-1"/>
        </w:rPr>
        <w:t> </w:t>
      </w:r>
      <w:r>
        <w:rPr/>
        <w:t>√不适用</w:t>
      </w:r>
    </w:p>
    <w:p>
      <w:pPr>
        <w:spacing w:line="240" w:lineRule="auto" w:before="6"/>
        <w:rPr>
          <w:rFonts w:ascii="宋体" w:hAnsi="宋体" w:cs="宋体" w:eastAsia="宋体" w:hint="default"/>
          <w:sz w:val="22"/>
          <w:szCs w:val="22"/>
        </w:rPr>
      </w:pPr>
    </w:p>
    <w:p>
      <w:pPr>
        <w:pStyle w:val="Heading3"/>
        <w:spacing w:line="240" w:lineRule="auto" w:before="36"/>
        <w:ind w:right="2757"/>
        <w:jc w:val="left"/>
        <w:rPr>
          <w:b w:val="0"/>
          <w:bCs w:val="0"/>
        </w:rPr>
      </w:pPr>
      <w:r>
        <w:rPr/>
        <w:t>九、 </w:t>
      </w:r>
      <w:r>
        <w:rPr>
          <w:rFonts w:ascii="Arial" w:hAnsi="Arial" w:cs="Arial" w:eastAsia="Arial" w:hint="default"/>
        </w:rPr>
        <w:t>2017</w:t>
      </w:r>
      <w:r>
        <w:rPr>
          <w:rFonts w:ascii="Arial" w:hAnsi="Arial" w:cs="Arial" w:eastAsia="Arial" w:hint="default"/>
          <w:spacing w:val="-39"/>
        </w:rPr>
        <w:t> </w:t>
      </w:r>
      <w:r>
        <w:rPr/>
        <w:t>年分季度主要财务数据</w:t>
      </w:r>
      <w:r>
        <w:rPr>
          <w:b w:val="0"/>
          <w:bCs w:val="0"/>
        </w:rPr>
      </w:r>
    </w:p>
    <w:p>
      <w:pPr>
        <w:pStyle w:val="BodyText"/>
        <w:tabs>
          <w:tab w:pos="1051" w:val="left" w:leader="none"/>
        </w:tabs>
        <w:spacing w:line="240" w:lineRule="auto" w:before="44"/>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516"/>
        <w:gridCol w:w="1685"/>
        <w:gridCol w:w="1582"/>
        <w:gridCol w:w="1582"/>
        <w:gridCol w:w="1685"/>
      </w:tblGrid>
      <w:tr>
        <w:trPr>
          <w:trHeight w:val="554" w:hRule="exact"/>
        </w:trPr>
        <w:tc>
          <w:tcPr>
            <w:tcW w:w="251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第一季度</w:t>
            </w:r>
          </w:p>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1-3</w:t>
            </w:r>
            <w:r>
              <w:rPr>
                <w:rFonts w:ascii="宋体" w:hAnsi="宋体" w:cs="宋体" w:eastAsia="宋体" w:hint="default"/>
                <w:spacing w:val="-52"/>
                <w:sz w:val="21"/>
                <w:szCs w:val="21"/>
              </w:rPr>
              <w:t> </w:t>
            </w:r>
            <w:r>
              <w:rPr>
                <w:rFonts w:ascii="宋体" w:hAnsi="宋体" w:cs="宋体" w:eastAsia="宋体" w:hint="default"/>
                <w:sz w:val="21"/>
                <w:szCs w:val="21"/>
              </w:rPr>
              <w:t>月份）</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第二季度</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4-6</w:t>
            </w:r>
            <w:r>
              <w:rPr>
                <w:rFonts w:ascii="宋体" w:hAnsi="宋体" w:cs="宋体" w:eastAsia="宋体" w:hint="default"/>
                <w:spacing w:val="-52"/>
                <w:sz w:val="21"/>
                <w:szCs w:val="21"/>
              </w:rPr>
              <w:t> </w:t>
            </w:r>
            <w:r>
              <w:rPr>
                <w:rFonts w:ascii="宋体" w:hAnsi="宋体" w:cs="宋体" w:eastAsia="宋体" w:hint="default"/>
                <w:sz w:val="21"/>
                <w:szCs w:val="21"/>
              </w:rPr>
              <w:t>月份）</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第三季度</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7-9</w:t>
            </w:r>
            <w:r>
              <w:rPr>
                <w:rFonts w:ascii="宋体" w:hAnsi="宋体" w:cs="宋体" w:eastAsia="宋体" w:hint="default"/>
                <w:spacing w:val="-52"/>
                <w:sz w:val="21"/>
                <w:szCs w:val="21"/>
              </w:rPr>
              <w:t> </w:t>
            </w:r>
            <w:r>
              <w:rPr>
                <w:rFonts w:ascii="宋体" w:hAnsi="宋体" w:cs="宋体" w:eastAsia="宋体" w:hint="default"/>
                <w:sz w:val="21"/>
                <w:szCs w:val="21"/>
              </w:rPr>
              <w:t>月份）</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第四季度</w:t>
            </w:r>
          </w:p>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10-12</w:t>
            </w:r>
            <w:r>
              <w:rPr>
                <w:rFonts w:ascii="宋体" w:hAnsi="宋体" w:cs="宋体" w:eastAsia="宋体" w:hint="default"/>
                <w:spacing w:val="-52"/>
                <w:sz w:val="21"/>
                <w:szCs w:val="21"/>
              </w:rPr>
              <w:t> </w:t>
            </w:r>
            <w:r>
              <w:rPr>
                <w:rFonts w:ascii="宋体" w:hAnsi="宋体" w:cs="宋体" w:eastAsia="宋体" w:hint="default"/>
                <w:sz w:val="21"/>
                <w:szCs w:val="21"/>
              </w:rPr>
              <w:t>月份）</w:t>
            </w:r>
          </w:p>
        </w:tc>
      </w:tr>
      <w:tr>
        <w:trPr>
          <w:trHeight w:val="283"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27,543,978.21</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63,351,094.15</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39,524,998.94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113,356,654.40</w:t>
            </w:r>
          </w:p>
        </w:tc>
      </w:tr>
      <w:tr>
        <w:trPr>
          <w:trHeight w:val="554"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7"/>
                <w:sz w:val="21"/>
                <w:szCs w:val="21"/>
              </w:rPr>
              <w:t>归属于上市公司股东的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1,322,004.96</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24,945,825.00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11,376,872.67</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64,263,636.66</w:t>
            </w:r>
          </w:p>
        </w:tc>
      </w:tr>
      <w:tr>
        <w:trPr>
          <w:trHeight w:val="828"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7"/>
                <w:sz w:val="21"/>
                <w:szCs w:val="21"/>
              </w:rPr>
              <w:t>归属于上市公司股东的</w:t>
            </w:r>
          </w:p>
          <w:p>
            <w:pPr>
              <w:pStyle w:val="TableParagraph"/>
              <w:spacing w:line="272" w:lineRule="exact" w:before="27"/>
              <w:ind w:left="103" w:right="101"/>
              <w:jc w:val="left"/>
              <w:rPr>
                <w:rFonts w:ascii="宋体" w:hAnsi="宋体" w:cs="宋体" w:eastAsia="宋体" w:hint="default"/>
                <w:sz w:val="21"/>
                <w:szCs w:val="21"/>
              </w:rPr>
            </w:pPr>
            <w:r>
              <w:rPr>
                <w:rFonts w:ascii="宋体" w:hAnsi="宋体" w:cs="宋体" w:eastAsia="宋体" w:hint="default"/>
                <w:spacing w:val="17"/>
                <w:sz w:val="21"/>
                <w:szCs w:val="21"/>
              </w:rPr>
              <w:t>扣除非经常性损益后的</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净利润</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825,085.90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sz w:val="21"/>
              </w:rPr>
              <w:t>24,045,898.50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5,750,117.66</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57,025,768.36</w:t>
            </w:r>
          </w:p>
        </w:tc>
      </w:tr>
      <w:tr>
        <w:trPr>
          <w:trHeight w:val="554"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7"/>
                <w:sz w:val="21"/>
                <w:szCs w:val="21"/>
              </w:rPr>
              <w:t>经营活动产生的现金流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-24,211,756.83</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-4,397,525.64</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23,145,282.69</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109,129,535.97</w:t>
            </w:r>
          </w:p>
        </w:tc>
      </w:tr>
    </w:tbl>
    <w:p>
      <w:pPr>
        <w:spacing w:line="240" w:lineRule="auto" w:before="5"/>
        <w:rPr>
          <w:rFonts w:ascii="宋体" w:hAnsi="宋体" w:cs="宋体" w:eastAsia="宋体" w:hint="default"/>
          <w:sz w:val="15"/>
          <w:szCs w:val="15"/>
        </w:rPr>
      </w:pPr>
    </w:p>
    <w:p>
      <w:pPr>
        <w:pStyle w:val="BodyText"/>
        <w:spacing w:line="274" w:lineRule="exact" w:before="36"/>
        <w:ind w:right="2757"/>
        <w:jc w:val="left"/>
      </w:pPr>
      <w:r>
        <w:rPr/>
        <w:t>季度数据与已披露定期报告数据差异说明</w:t>
      </w:r>
    </w:p>
    <w:p>
      <w:pPr>
        <w:pStyle w:val="BodyText"/>
        <w:tabs>
          <w:tab w:pos="1060" w:val="left" w:leader="none"/>
        </w:tabs>
        <w:spacing w:line="274" w:lineRule="exact"/>
        <w:ind w:right="2757"/>
        <w:jc w:val="left"/>
      </w:pPr>
      <w:r>
        <w:rPr>
          <w:spacing w:val="-1"/>
        </w:rPr>
        <w:t>□适用</w:t>
        <w:tab/>
      </w:r>
      <w:r>
        <w:rPr>
          <w:spacing w:val="-2"/>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55" w:footer="1195" w:top="1320" w:bottom="1380" w:left="1580" w:right="1040"/>
        </w:sectPr>
      </w:pPr>
    </w:p>
    <w:p>
      <w:pPr>
        <w:pStyle w:val="Heading3"/>
        <w:spacing w:line="240" w:lineRule="auto" w:before="36"/>
        <w:ind w:right="-18"/>
        <w:jc w:val="left"/>
        <w:rPr>
          <w:b w:val="0"/>
          <w:bCs w:val="0"/>
        </w:rPr>
      </w:pPr>
      <w:r>
        <w:rPr/>
        <w:t>十、</w:t>
      </w:r>
      <w:r>
        <w:rPr>
          <w:spacing w:val="-31"/>
        </w:rPr>
        <w:t> </w:t>
      </w:r>
      <w:r>
        <w:rPr/>
        <w:t>非经常性损益项目和金额</w:t>
      </w:r>
      <w:r>
        <w:rPr>
          <w:b w:val="0"/>
          <w:bCs w:val="0"/>
        </w:rPr>
      </w:r>
    </w:p>
    <w:p>
      <w:pPr>
        <w:pStyle w:val="BodyText"/>
        <w:spacing w:line="240" w:lineRule="auto" w:before="56"/>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64" w:val="left" w:leader="none"/>
        </w:tabs>
        <w:spacing w:line="240" w:lineRule="auto"/>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000" w:bottom="280" w:left="1580" w:right="1040"/>
          <w:cols w:num="2" w:equalWidth="0">
            <w:col w:w="3036" w:space="3697"/>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10"/>
        <w:gridCol w:w="1582"/>
        <w:gridCol w:w="1205"/>
        <w:gridCol w:w="1373"/>
        <w:gridCol w:w="1579"/>
      </w:tblGrid>
      <w:tr>
        <w:trPr>
          <w:trHeight w:val="554" w:hRule="exact"/>
        </w:trPr>
        <w:tc>
          <w:tcPr>
            <w:tcW w:w="3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08"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5"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年金额</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pacing w:val="-13"/>
                <w:sz w:val="21"/>
                <w:szCs w:val="21"/>
              </w:rPr>
              <w:t>附注（如适</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用）</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28"/>
              <w:jc w:val="righ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年金额</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2"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年金额</w:t>
            </w:r>
          </w:p>
        </w:tc>
      </w:tr>
      <w:tr>
        <w:trPr>
          <w:trHeight w:val="283" w:hRule="exact"/>
        </w:trPr>
        <w:tc>
          <w:tcPr>
            <w:tcW w:w="33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582"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4,217.94</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-166,244.85</w:t>
            </w:r>
          </w:p>
        </w:tc>
      </w:tr>
      <w:tr>
        <w:trPr>
          <w:trHeight w:val="555" w:hRule="exact"/>
        </w:trPr>
        <w:tc>
          <w:tcPr>
            <w:tcW w:w="33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越权审批，或无正式批准文件，或</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偶发性的税收返还、减免</w:t>
            </w:r>
          </w:p>
        </w:tc>
        <w:tc>
          <w:tcPr>
            <w:tcW w:w="1582"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33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6"/>
                <w:sz w:val="21"/>
                <w:szCs w:val="21"/>
              </w:rPr>
              <w:t>计入当期损益的政府补助，但与公</w:t>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pacing w:val="-6"/>
                <w:sz w:val="21"/>
                <w:szCs w:val="21"/>
              </w:rPr>
              <w:t>司正常经营业务密切相关，符合国</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6"/>
                <w:sz w:val="21"/>
                <w:szCs w:val="21"/>
              </w:rPr>
              <w:t>家政策规定、按照一定标准定额或</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定量持续享受的政府补助除外</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sz w:val="21"/>
              </w:rPr>
              <w:t>3,418,575.00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主</w:t>
            </w:r>
            <w:r>
              <w:rPr>
                <w:rFonts w:ascii="宋体" w:hAnsi="宋体" w:cs="宋体" w:eastAsia="宋体" w:hint="default"/>
                <w:spacing w:val="-54"/>
                <w:sz w:val="21"/>
                <w:szCs w:val="21"/>
              </w:rPr>
              <w:t> </w:t>
            </w:r>
            <w:r>
              <w:rPr>
                <w:rFonts w:ascii="宋体" w:hAnsi="宋体" w:cs="宋体" w:eastAsia="宋体" w:hint="default"/>
                <w:sz w:val="21"/>
                <w:szCs w:val="21"/>
              </w:rPr>
              <w:t>要</w:t>
            </w:r>
            <w:r>
              <w:rPr>
                <w:rFonts w:ascii="宋体" w:hAnsi="宋体" w:cs="宋体" w:eastAsia="宋体" w:hint="default"/>
                <w:spacing w:val="-57"/>
                <w:sz w:val="21"/>
                <w:szCs w:val="21"/>
              </w:rPr>
              <w:t> </w:t>
            </w:r>
            <w:r>
              <w:rPr>
                <w:rFonts w:ascii="宋体" w:hAnsi="宋体" w:cs="宋体" w:eastAsia="宋体" w:hint="default"/>
                <w:sz w:val="21"/>
                <w:szCs w:val="21"/>
              </w:rPr>
              <w:t>是</w:t>
            </w:r>
            <w:r>
              <w:rPr>
                <w:rFonts w:ascii="宋体" w:hAnsi="宋体" w:cs="宋体" w:eastAsia="宋体" w:hint="default"/>
                <w:spacing w:val="-54"/>
                <w:sz w:val="21"/>
                <w:szCs w:val="21"/>
              </w:rPr>
              <w:t> </w:t>
            </w:r>
            <w:r>
              <w:rPr>
                <w:rFonts w:ascii="宋体" w:hAnsi="宋体" w:cs="宋体" w:eastAsia="宋体" w:hint="default"/>
                <w:sz w:val="21"/>
                <w:szCs w:val="21"/>
              </w:rPr>
              <w:t>研</w:t>
            </w:r>
          </w:p>
          <w:p>
            <w:pPr>
              <w:pStyle w:val="TableParagraph"/>
              <w:spacing w:line="272" w:lineRule="exact" w:before="27"/>
              <w:ind w:left="100" w:right="99"/>
              <w:jc w:val="left"/>
              <w:rPr>
                <w:rFonts w:ascii="宋体" w:hAnsi="宋体" w:cs="宋体" w:eastAsia="宋体" w:hint="default"/>
                <w:sz w:val="21"/>
                <w:szCs w:val="21"/>
              </w:rPr>
            </w:pPr>
            <w:r>
              <w:rPr>
                <w:rFonts w:ascii="宋体" w:hAnsi="宋体" w:cs="宋体" w:eastAsia="宋体" w:hint="default"/>
                <w:sz w:val="21"/>
                <w:szCs w:val="21"/>
              </w:rPr>
              <w:t>发</w:t>
            </w:r>
            <w:r>
              <w:rPr>
                <w:rFonts w:ascii="宋体" w:hAnsi="宋体" w:cs="宋体" w:eastAsia="宋体" w:hint="default"/>
                <w:spacing w:val="-54"/>
                <w:sz w:val="21"/>
                <w:szCs w:val="21"/>
              </w:rPr>
              <w:t> </w:t>
            </w:r>
            <w:r>
              <w:rPr>
                <w:rFonts w:ascii="宋体" w:hAnsi="宋体" w:cs="宋体" w:eastAsia="宋体" w:hint="default"/>
                <w:sz w:val="21"/>
                <w:szCs w:val="21"/>
              </w:rPr>
              <w:t>费</w:t>
            </w:r>
            <w:r>
              <w:rPr>
                <w:rFonts w:ascii="宋体" w:hAnsi="宋体" w:cs="宋体" w:eastAsia="宋体" w:hint="default"/>
                <w:spacing w:val="-57"/>
                <w:sz w:val="21"/>
                <w:szCs w:val="21"/>
              </w:rPr>
              <w:t> </w:t>
            </w:r>
            <w:r>
              <w:rPr>
                <w:rFonts w:ascii="宋体" w:hAnsi="宋体" w:cs="宋体" w:eastAsia="宋体" w:hint="default"/>
                <w:sz w:val="21"/>
                <w:szCs w:val="21"/>
              </w:rPr>
              <w:t>用</w:t>
            </w:r>
            <w:r>
              <w:rPr>
                <w:rFonts w:ascii="宋体" w:hAnsi="宋体" w:cs="宋体" w:eastAsia="宋体" w:hint="default"/>
                <w:spacing w:val="-54"/>
                <w:sz w:val="21"/>
                <w:szCs w:val="21"/>
              </w:rPr>
              <w:t> </w:t>
            </w:r>
            <w:r>
              <w:rPr>
                <w:rFonts w:ascii="宋体" w:hAnsi="宋体" w:cs="宋体" w:eastAsia="宋体" w:hint="default"/>
                <w:sz w:val="21"/>
                <w:szCs w:val="21"/>
              </w:rPr>
              <w:t>奖</w:t>
            </w:r>
            <w:r>
              <w:rPr>
                <w:rFonts w:ascii="宋体" w:hAnsi="宋体" w:cs="宋体" w:eastAsia="宋体" w:hint="default"/>
                <w:w w:val="100"/>
                <w:sz w:val="21"/>
                <w:szCs w:val="21"/>
              </w:rPr>
              <w:t> </w:t>
            </w:r>
            <w:r>
              <w:rPr>
                <w:rFonts w:ascii="宋体" w:hAnsi="宋体" w:cs="宋体" w:eastAsia="宋体" w:hint="default"/>
                <w:sz w:val="21"/>
                <w:szCs w:val="21"/>
              </w:rPr>
              <w:t>励资金</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943,365.00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17,670,000.00</w:t>
            </w:r>
          </w:p>
        </w:tc>
      </w:tr>
      <w:tr>
        <w:trPr>
          <w:trHeight w:val="554" w:hRule="exact"/>
        </w:trPr>
        <w:tc>
          <w:tcPr>
            <w:tcW w:w="33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取的资金占用费</w:t>
            </w:r>
          </w:p>
        </w:tc>
        <w:tc>
          <w:tcPr>
            <w:tcW w:w="1582"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33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6"/>
                <w:sz w:val="21"/>
                <w:szCs w:val="21"/>
              </w:rPr>
              <w:t>企业取得子公司、联营企业及合营</w:t>
            </w:r>
          </w:p>
          <w:p>
            <w:pPr>
              <w:pStyle w:val="TableParagraph"/>
              <w:spacing w:line="237" w:lineRule="auto" w:before="2"/>
              <w:ind w:left="103" w:right="250"/>
              <w:jc w:val="both"/>
              <w:rPr>
                <w:rFonts w:ascii="宋体" w:hAnsi="宋体" w:cs="宋体" w:eastAsia="宋体" w:hint="default"/>
                <w:sz w:val="21"/>
                <w:szCs w:val="21"/>
              </w:rPr>
            </w:pPr>
            <w:r>
              <w:rPr>
                <w:rFonts w:ascii="宋体" w:hAnsi="宋体" w:cs="宋体" w:eastAsia="宋体" w:hint="default"/>
                <w:spacing w:val="-2"/>
                <w:sz w:val="21"/>
                <w:szCs w:val="21"/>
              </w:rPr>
              <w:t>企业的投资成本小于取得投资时</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应享有被投资单位可辨认净资产</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公允价值产生的收益</w:t>
            </w:r>
          </w:p>
        </w:tc>
        <w:tc>
          <w:tcPr>
            <w:tcW w:w="1582"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1582"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3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1582"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因不可抗力因素，如遭受自然灾害</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而计提的各项资产减值准备</w:t>
            </w:r>
          </w:p>
        </w:tc>
        <w:tc>
          <w:tcPr>
            <w:tcW w:w="1582"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00" w:bottom="280" w:left="1580" w:right="1040"/>
        </w:sectPr>
      </w:pPr>
    </w:p>
    <w:p>
      <w:pPr>
        <w:spacing w:line="240" w:lineRule="auto" w:before="9"/>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3310"/>
        <w:gridCol w:w="1582"/>
        <w:gridCol w:w="1205"/>
        <w:gridCol w:w="1373"/>
        <w:gridCol w:w="1579"/>
      </w:tblGrid>
      <w:tr>
        <w:trPr>
          <w:trHeight w:val="284" w:hRule="exact"/>
        </w:trPr>
        <w:tc>
          <w:tcPr>
            <w:tcW w:w="331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582"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出、整合费用等</w:t>
            </w:r>
          </w:p>
        </w:tc>
        <w:tc>
          <w:tcPr>
            <w:tcW w:w="1582"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超过公允价值部分的损益</w:t>
            </w:r>
          </w:p>
        </w:tc>
        <w:tc>
          <w:tcPr>
            <w:tcW w:w="1582"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司期初至合并日的当期净损益</w:t>
            </w:r>
          </w:p>
        </w:tc>
        <w:tc>
          <w:tcPr>
            <w:tcW w:w="1582"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3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事项产生的损益</w:t>
            </w:r>
          </w:p>
        </w:tc>
        <w:tc>
          <w:tcPr>
            <w:tcW w:w="1582"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1645" w:hRule="exact"/>
        </w:trPr>
        <w:tc>
          <w:tcPr>
            <w:tcW w:w="33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pacing w:val="-5"/>
                <w:sz w:val="21"/>
                <w:szCs w:val="21"/>
              </w:rPr>
              <w:t>效套期保值业务外，持有交易性金</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6"/>
                <w:sz w:val="21"/>
                <w:szCs w:val="21"/>
              </w:rPr>
              <w:t>融资产、交易性金融负债产生的公</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6"/>
                <w:sz w:val="21"/>
                <w:szCs w:val="21"/>
              </w:rPr>
              <w:t>允价值变动损益，以及处置交易性</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5"/>
                <w:sz w:val="21"/>
                <w:szCs w:val="21"/>
              </w:rPr>
              <w:t>金融资产、交易性金融负债和可供</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出售金融资产取得的投资收益</w:t>
            </w:r>
          </w:p>
        </w:tc>
        <w:tc>
          <w:tcPr>
            <w:tcW w:w="1582"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值准备转回</w:t>
            </w:r>
          </w:p>
        </w:tc>
        <w:tc>
          <w:tcPr>
            <w:tcW w:w="1582"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1582"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33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w:t>
            </w:r>
          </w:p>
          <w:p>
            <w:pPr>
              <w:pStyle w:val="TableParagraph"/>
              <w:spacing w:line="272" w:lineRule="exact" w:before="27"/>
              <w:ind w:left="103" w:right="250"/>
              <w:jc w:val="left"/>
              <w:rPr>
                <w:rFonts w:ascii="宋体" w:hAnsi="宋体" w:cs="宋体" w:eastAsia="宋体" w:hint="default"/>
                <w:sz w:val="21"/>
                <w:szCs w:val="21"/>
              </w:rPr>
            </w:pPr>
            <w:r>
              <w:rPr>
                <w:rFonts w:ascii="宋体" w:hAnsi="宋体" w:cs="宋体" w:eastAsia="宋体" w:hint="default"/>
                <w:spacing w:val="-2"/>
                <w:sz w:val="21"/>
                <w:szCs w:val="21"/>
              </w:rPr>
              <w:t>的投资性房地产公允价值变动产</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生的损益</w:t>
            </w:r>
          </w:p>
        </w:tc>
        <w:tc>
          <w:tcPr>
            <w:tcW w:w="1582"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33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根据税收、会计等法律、法规的要</w:t>
            </w:r>
          </w:p>
          <w:p>
            <w:pPr>
              <w:pStyle w:val="TableParagraph"/>
              <w:spacing w:line="272" w:lineRule="exact" w:before="27"/>
              <w:ind w:left="103" w:right="250"/>
              <w:jc w:val="left"/>
              <w:rPr>
                <w:rFonts w:ascii="宋体" w:hAnsi="宋体" w:cs="宋体" w:eastAsia="宋体" w:hint="default"/>
                <w:sz w:val="21"/>
                <w:szCs w:val="21"/>
              </w:rPr>
            </w:pPr>
            <w:r>
              <w:rPr>
                <w:rFonts w:ascii="宋体" w:hAnsi="宋体" w:cs="宋体" w:eastAsia="宋体" w:hint="default"/>
                <w:spacing w:val="-2"/>
                <w:sz w:val="21"/>
                <w:szCs w:val="21"/>
              </w:rPr>
              <w:t>求对当期损益进行一次性调整对</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当期损益的影响</w:t>
            </w:r>
          </w:p>
        </w:tc>
        <w:tc>
          <w:tcPr>
            <w:tcW w:w="1582"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1582"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入和支出</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-539,679.41</w:t>
            </w:r>
          </w:p>
        </w:tc>
        <w:tc>
          <w:tcPr>
            <w:tcW w:w="1205"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-125,007.30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4,000.00</w:t>
            </w:r>
          </w:p>
        </w:tc>
      </w:tr>
      <w:tr>
        <w:trPr>
          <w:trHeight w:val="828" w:hRule="exact"/>
        </w:trPr>
        <w:tc>
          <w:tcPr>
            <w:tcW w:w="33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益项目</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13,066,725.74</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主</w:t>
            </w:r>
            <w:r>
              <w:rPr>
                <w:rFonts w:ascii="宋体" w:hAnsi="宋体" w:cs="宋体" w:eastAsia="宋体" w:hint="default"/>
                <w:spacing w:val="-54"/>
                <w:sz w:val="21"/>
                <w:szCs w:val="21"/>
              </w:rPr>
              <w:t> </w:t>
            </w:r>
            <w:r>
              <w:rPr>
                <w:rFonts w:ascii="宋体" w:hAnsi="宋体" w:cs="宋体" w:eastAsia="宋体" w:hint="default"/>
                <w:sz w:val="21"/>
                <w:szCs w:val="21"/>
              </w:rPr>
              <w:t>要</w:t>
            </w:r>
            <w:r>
              <w:rPr>
                <w:rFonts w:ascii="宋体" w:hAnsi="宋体" w:cs="宋体" w:eastAsia="宋体" w:hint="default"/>
                <w:spacing w:val="-57"/>
                <w:sz w:val="21"/>
                <w:szCs w:val="21"/>
              </w:rPr>
              <w:t> </w:t>
            </w:r>
            <w:r>
              <w:rPr>
                <w:rFonts w:ascii="宋体" w:hAnsi="宋体" w:cs="宋体" w:eastAsia="宋体" w:hint="default"/>
                <w:sz w:val="21"/>
                <w:szCs w:val="21"/>
              </w:rPr>
              <w:t>是</w:t>
            </w:r>
            <w:r>
              <w:rPr>
                <w:rFonts w:ascii="宋体" w:hAnsi="宋体" w:cs="宋体" w:eastAsia="宋体" w:hint="default"/>
                <w:spacing w:val="-54"/>
                <w:sz w:val="21"/>
                <w:szCs w:val="21"/>
              </w:rPr>
              <w:t> </w:t>
            </w:r>
            <w:r>
              <w:rPr>
                <w:rFonts w:ascii="宋体" w:hAnsi="宋体" w:cs="宋体" w:eastAsia="宋体" w:hint="default"/>
                <w:sz w:val="21"/>
                <w:szCs w:val="21"/>
              </w:rPr>
              <w:t>保</w:t>
            </w:r>
          </w:p>
          <w:p>
            <w:pPr>
              <w:pStyle w:val="TableParagraph"/>
              <w:spacing w:line="272" w:lineRule="exact" w:before="27"/>
              <w:ind w:left="100" w:right="99"/>
              <w:jc w:val="left"/>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spacing w:val="-54"/>
                <w:sz w:val="21"/>
                <w:szCs w:val="21"/>
              </w:rPr>
              <w:t> </w:t>
            </w:r>
            <w:r>
              <w:rPr>
                <w:rFonts w:ascii="宋体" w:hAnsi="宋体" w:cs="宋体" w:eastAsia="宋体" w:hint="default"/>
                <w:sz w:val="21"/>
                <w:szCs w:val="21"/>
              </w:rPr>
              <w:t>型</w:t>
            </w:r>
            <w:r>
              <w:rPr>
                <w:rFonts w:ascii="宋体" w:hAnsi="宋体" w:cs="宋体" w:eastAsia="宋体" w:hint="default"/>
                <w:spacing w:val="-57"/>
                <w:sz w:val="21"/>
                <w:szCs w:val="21"/>
              </w:rPr>
              <w:t> </w:t>
            </w:r>
            <w:r>
              <w:rPr>
                <w:rFonts w:ascii="宋体" w:hAnsi="宋体" w:cs="宋体" w:eastAsia="宋体" w:hint="default"/>
                <w:sz w:val="21"/>
                <w:szCs w:val="21"/>
              </w:rPr>
              <w:t>理</w:t>
            </w:r>
            <w:r>
              <w:rPr>
                <w:rFonts w:ascii="宋体" w:hAnsi="宋体" w:cs="宋体" w:eastAsia="宋体" w:hint="default"/>
                <w:spacing w:val="-54"/>
                <w:sz w:val="21"/>
                <w:szCs w:val="21"/>
              </w:rPr>
              <w:t> </w:t>
            </w:r>
            <w:r>
              <w:rPr>
                <w:rFonts w:ascii="宋体" w:hAnsi="宋体" w:cs="宋体" w:eastAsia="宋体" w:hint="default"/>
                <w:sz w:val="21"/>
                <w:szCs w:val="21"/>
              </w:rPr>
              <w:t>财</w:t>
            </w:r>
            <w:r>
              <w:rPr>
                <w:rFonts w:ascii="宋体" w:hAnsi="宋体" w:cs="宋体" w:eastAsia="宋体" w:hint="default"/>
                <w:w w:val="100"/>
                <w:sz w:val="21"/>
                <w:szCs w:val="21"/>
              </w:rPr>
              <w:t> </w:t>
            </w:r>
            <w:r>
              <w:rPr>
                <w:rFonts w:ascii="宋体" w:hAnsi="宋体" w:cs="宋体" w:eastAsia="宋体" w:hint="default"/>
                <w:sz w:val="21"/>
                <w:szCs w:val="21"/>
              </w:rPr>
              <w:t>收益</w:t>
            </w:r>
          </w:p>
        </w:tc>
        <w:tc>
          <w:tcPr>
            <w:tcW w:w="1373"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Arial Narrow" w:hAnsi="Arial Narrow" w:cs="Arial Narrow" w:eastAsia="Arial Narrow" w:hint="default"/>
                <w:sz w:val="21"/>
                <w:szCs w:val="21"/>
              </w:rPr>
            </w:pPr>
            <w:r>
              <w:rPr>
                <w:rFonts w:ascii="Arial Narrow"/>
                <w:spacing w:val="-1"/>
                <w:sz w:val="21"/>
              </w:rPr>
              <w:t>-20,499.91</w:t>
            </w:r>
          </w:p>
        </w:tc>
        <w:tc>
          <w:tcPr>
            <w:tcW w:w="1205"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-31,875.00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-16,324.80</w:t>
            </w:r>
          </w:p>
        </w:tc>
      </w:tr>
      <w:tr>
        <w:trPr>
          <w:trHeight w:val="281" w:hRule="exact"/>
        </w:trPr>
        <w:tc>
          <w:tcPr>
            <w:tcW w:w="33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9"/>
              <w:jc w:val="right"/>
              <w:rPr>
                <w:rFonts w:ascii="Arial Narrow" w:hAnsi="Arial Narrow" w:cs="Arial Narrow" w:eastAsia="Arial Narrow" w:hint="default"/>
                <w:sz w:val="21"/>
                <w:szCs w:val="21"/>
              </w:rPr>
            </w:pPr>
            <w:r>
              <w:rPr>
                <w:rFonts w:ascii="Arial Narrow"/>
                <w:spacing w:val="-1"/>
                <w:sz w:val="21"/>
              </w:rPr>
              <w:t>-1,663,652.55</w:t>
            </w:r>
            <w:r>
              <w:rPr>
                <w:rFonts w:ascii="Arial Narrow"/>
                <w:sz w:val="21"/>
              </w:rPr>
            </w:r>
          </w:p>
        </w:tc>
        <w:tc>
          <w:tcPr>
            <w:tcW w:w="1205"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-98,500.07</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-1,775,400.00</w:t>
            </w:r>
          </w:p>
        </w:tc>
      </w:tr>
      <w:tr>
        <w:trPr>
          <w:trHeight w:val="283" w:hRule="exact"/>
        </w:trPr>
        <w:tc>
          <w:tcPr>
            <w:tcW w:w="33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9"/>
              <w:jc w:val="right"/>
              <w:rPr>
                <w:rFonts w:ascii="Arial Narrow" w:hAnsi="Arial Narrow" w:cs="Arial Narrow" w:eastAsia="Arial Narrow" w:hint="default"/>
                <w:sz w:val="21"/>
                <w:szCs w:val="21"/>
              </w:rPr>
            </w:pPr>
            <w:r>
              <w:rPr>
                <w:rFonts w:ascii="Arial Narrow"/>
                <w:spacing w:val="-1"/>
                <w:sz w:val="21"/>
              </w:rPr>
              <w:t>14,261,468.87</w:t>
            </w:r>
            <w:r>
              <w:rPr>
                <w:rFonts w:ascii="Arial Narrow"/>
                <w:sz w:val="21"/>
              </w:rPr>
            </w:r>
          </w:p>
        </w:tc>
        <w:tc>
          <w:tcPr>
            <w:tcW w:w="1205"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692,200.57</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15,716,030.35</w:t>
            </w:r>
          </w:p>
        </w:tc>
      </w:tr>
    </w:tbl>
    <w:p>
      <w:pPr>
        <w:spacing w:line="240" w:lineRule="auto" w:before="12"/>
        <w:rPr>
          <w:rFonts w:ascii="宋体" w:hAnsi="宋体" w:cs="宋体" w:eastAsia="宋体" w:hint="default"/>
          <w:sz w:val="19"/>
          <w:szCs w:val="19"/>
        </w:rPr>
      </w:pPr>
    </w:p>
    <w:p>
      <w:pPr>
        <w:pStyle w:val="Heading3"/>
        <w:tabs>
          <w:tab w:pos="1057" w:val="left" w:leader="none"/>
        </w:tabs>
        <w:spacing w:line="240" w:lineRule="auto" w:before="36"/>
        <w:ind w:right="2757"/>
        <w:jc w:val="left"/>
        <w:rPr>
          <w:b w:val="0"/>
          <w:bCs w:val="0"/>
        </w:rPr>
      </w:pPr>
      <w:r>
        <w:rPr/>
        <w:t>十一、</w:t>
        <w:tab/>
        <w:t>采用公允价值计量的项目</w:t>
      </w:r>
      <w:r>
        <w:rPr>
          <w:b w:val="0"/>
          <w:bCs w:val="0"/>
        </w:rPr>
      </w:r>
    </w:p>
    <w:p>
      <w:pPr>
        <w:tabs>
          <w:tab w:pos="1057" w:val="left" w:leader="none"/>
        </w:tabs>
        <w:spacing w:line="290" w:lineRule="auto" w:before="59"/>
        <w:ind w:left="218" w:right="748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十二、</w:t>
        <w:tab/>
        <w:t>其他</w:t>
      </w:r>
      <w:r>
        <w:rPr>
          <w:rFonts w:ascii="宋体" w:hAnsi="宋体" w:cs="宋体" w:eastAsia="宋体" w:hint="default"/>
          <w:sz w:val="21"/>
          <w:szCs w:val="21"/>
        </w:rPr>
      </w:r>
    </w:p>
    <w:p>
      <w:pPr>
        <w:pStyle w:val="BodyText"/>
        <w:spacing w:line="240" w:lineRule="auto" w:before="14"/>
        <w:ind w:right="2757"/>
        <w:jc w:val="left"/>
      </w:pPr>
      <w:r>
        <w:rPr/>
        <w:t>□适用</w:t>
      </w:r>
      <w:r>
        <w:rPr>
          <w:spacing w:val="-1"/>
        </w:rPr>
        <w:t> </w:t>
      </w:r>
      <w:r>
        <w:rPr/>
        <w:t>√不适用</w:t>
      </w:r>
    </w:p>
    <w:p>
      <w:pPr>
        <w:pStyle w:val="Heading1"/>
        <w:tabs>
          <w:tab w:pos="1259" w:val="left" w:leader="none"/>
        </w:tabs>
        <w:spacing w:line="240" w:lineRule="auto" w:before="42"/>
        <w:ind w:right="15"/>
        <w:jc w:val="center"/>
        <w:rPr>
          <w:b w:val="0"/>
          <w:bCs w:val="0"/>
        </w:rPr>
      </w:pPr>
      <w:bookmarkStart w:name="_TOC_250009" w:id="3"/>
      <w:r>
        <w:rPr>
          <w:w w:val="95"/>
        </w:rPr>
        <w:t>第三节</w:t>
        <w:tab/>
      </w:r>
      <w:r>
        <w:rPr/>
        <w:t>公司业务概要</w:t>
      </w:r>
      <w:bookmarkEnd w:id="3"/>
      <w:r>
        <w:rPr>
          <w:b w:val="0"/>
          <w:bCs w:val="0"/>
        </w:rPr>
      </w:r>
    </w:p>
    <w:p>
      <w:pPr>
        <w:spacing w:line="240" w:lineRule="auto" w:before="4"/>
        <w:rPr>
          <w:rFonts w:ascii="黑体" w:hAnsi="黑体" w:cs="黑体" w:eastAsia="黑体" w:hint="default"/>
          <w:b/>
          <w:bCs/>
          <w:sz w:val="19"/>
          <w:szCs w:val="19"/>
        </w:rPr>
      </w:pPr>
    </w:p>
    <w:p>
      <w:pPr>
        <w:pStyle w:val="Heading3"/>
        <w:spacing w:line="240" w:lineRule="auto"/>
        <w:ind w:right="2757"/>
        <w:jc w:val="left"/>
        <w:rPr>
          <w:b w:val="0"/>
          <w:bCs w:val="0"/>
        </w:rPr>
      </w:pPr>
      <w:r>
        <w:rPr/>
        <w:t>一、报告期内公司所从事的主要业务、经营模式及行业情况说明</w:t>
      </w:r>
      <w:r>
        <w:rPr>
          <w:b w:val="0"/>
          <w:bCs w:val="0"/>
        </w:rPr>
      </w:r>
    </w:p>
    <w:p>
      <w:pPr>
        <w:pStyle w:val="BodyText"/>
        <w:spacing w:line="355" w:lineRule="auto" w:before="58"/>
        <w:ind w:left="638" w:right="0"/>
        <w:jc w:val="left"/>
      </w:pPr>
      <w:r>
        <w:rPr/>
        <w:t>（一）主要业务和经营模式</w:t>
      </w:r>
      <w:r>
        <w:rPr>
          <w:w w:val="100"/>
        </w:rPr>
        <w:t> </w:t>
      </w:r>
      <w:r>
        <w:rPr>
          <w:spacing w:val="-2"/>
        </w:rPr>
        <w:t>公司是一家国内领先的专业化平台型软件及信息化服务提供商，致力于利用自主研发的“灵</w:t>
      </w:r>
    </w:p>
    <w:p>
      <w:pPr>
        <w:pStyle w:val="BodyText"/>
        <w:spacing w:line="357" w:lineRule="auto" w:before="32"/>
        <w:ind w:left="0" w:right="9"/>
        <w:jc w:val="center"/>
      </w:pPr>
      <w:r>
        <w:rPr>
          <w:spacing w:val="-4"/>
        </w:rPr>
        <w:t>动业务架构平台（</w:t>
      </w:r>
      <w:r>
        <w:rPr>
          <w:rFonts w:ascii="宋体" w:hAnsi="宋体" w:cs="宋体" w:eastAsia="宋体" w:hint="default"/>
          <w:spacing w:val="-4"/>
        </w:rPr>
        <w:t>LiveBOS</w:t>
      </w:r>
      <w:r>
        <w:rPr>
          <w:spacing w:val="-4"/>
        </w:rPr>
        <w:t>）”，为包括证券、期货、银行、电子交易市场等在内的金融行业及其</w:t>
      </w:r>
      <w:r>
        <w:rPr>
          <w:spacing w:val="-34"/>
        </w:rPr>
        <w:t> </w:t>
      </w:r>
      <w:r>
        <w:rPr>
          <w:spacing w:val="-34"/>
        </w:rPr>
      </w:r>
      <w:r>
        <w:rPr>
          <w:spacing w:val="-2"/>
        </w:rPr>
        <w:t>他行业提供以业务流程管理（</w:t>
      </w:r>
      <w:r>
        <w:rPr>
          <w:rFonts w:ascii="宋体" w:hAnsi="宋体" w:cs="宋体" w:eastAsia="宋体" w:hint="default"/>
          <w:spacing w:val="-2"/>
        </w:rPr>
        <w:t>BPM</w:t>
      </w:r>
      <w:r>
        <w:rPr>
          <w:spacing w:val="-2"/>
        </w:rPr>
        <w:t>）为核心、以“互联网+”应用为重点方向的信息化解决方案。</w:t>
      </w:r>
      <w:r>
        <w:rPr/>
      </w:r>
    </w:p>
    <w:p>
      <w:pPr>
        <w:spacing w:after="0" w:line="357" w:lineRule="auto"/>
        <w:jc w:val="center"/>
        <w:sectPr>
          <w:pgSz w:w="11910" w:h="16840"/>
          <w:pgMar w:header="855" w:footer="1195" w:top="1320" w:bottom="1380" w:left="1580" w:right="1040"/>
        </w:sectPr>
      </w:pPr>
    </w:p>
    <w:p>
      <w:pPr>
        <w:spacing w:line="240" w:lineRule="auto" w:before="4"/>
        <w:rPr>
          <w:rFonts w:ascii="宋体" w:hAnsi="宋体" w:cs="宋体" w:eastAsia="宋体" w:hint="default"/>
          <w:sz w:val="9"/>
          <w:szCs w:val="9"/>
        </w:rPr>
      </w:pPr>
    </w:p>
    <w:p>
      <w:pPr>
        <w:pStyle w:val="BodyText"/>
        <w:spacing w:line="357" w:lineRule="auto" w:before="36"/>
        <w:ind w:left="138" w:right="217" w:firstLine="419"/>
        <w:jc w:val="right"/>
      </w:pPr>
      <w:r>
        <w:rPr>
          <w:spacing w:val="-2"/>
        </w:rPr>
        <w:t>公司的业务主要为金融行业信息化业务，同时也开展非金融行业信息化业务。公司的金融行</w:t>
      </w:r>
      <w:r>
        <w:rPr>
          <w:w w:val="100"/>
        </w:rPr>
        <w:t> </w:t>
      </w:r>
      <w:r>
        <w:rPr>
          <w:spacing w:val="-2"/>
        </w:rPr>
        <w:t>业信息化业务主要包括证券、期货、电子交易市场、银行、信托、私募基金等行业信息化业务。</w:t>
      </w:r>
      <w:r>
        <w:rPr>
          <w:spacing w:val="-43"/>
        </w:rPr>
        <w:t> </w:t>
      </w:r>
      <w:r>
        <w:rPr>
          <w:spacing w:val="-43"/>
        </w:rPr>
      </w:r>
      <w:r>
        <w:rPr>
          <w:spacing w:val="-2"/>
        </w:rPr>
        <w:t>公司在证券金融行业拥有广泛的客户基础，与客户建立了良好的合作关系。公司主要通过商</w:t>
      </w:r>
    </w:p>
    <w:p>
      <w:pPr>
        <w:pStyle w:val="BodyText"/>
        <w:spacing w:line="240" w:lineRule="auto" w:before="30"/>
        <w:ind w:left="138" w:right="0"/>
        <w:jc w:val="both"/>
      </w:pPr>
      <w:r>
        <w:rPr/>
        <w:t>业谈判的方式获取业务，在稳固既有客户的基础上，持续拓展新业务、发展新客户。</w:t>
      </w:r>
    </w:p>
    <w:p>
      <w:pPr>
        <w:pStyle w:val="BodyText"/>
        <w:spacing w:line="240" w:lineRule="auto" w:before="133"/>
        <w:ind w:left="558" w:right="0"/>
        <w:jc w:val="left"/>
      </w:pPr>
      <w:r>
        <w:rPr/>
        <w:t>（二）行业情况说明</w:t>
      </w:r>
    </w:p>
    <w:p>
      <w:pPr>
        <w:pStyle w:val="BodyText"/>
        <w:spacing w:line="357" w:lineRule="auto" w:before="133"/>
        <w:ind w:left="138" w:right="104" w:firstLine="419"/>
        <w:jc w:val="both"/>
      </w:pPr>
      <w:r>
        <w:rPr>
          <w:rFonts w:ascii="宋体" w:hAnsi="宋体" w:cs="宋体" w:eastAsia="宋体" w:hint="default"/>
          <w:w w:val="100"/>
        </w:rPr>
        <w:t>2017</w:t>
      </w:r>
      <w:r>
        <w:rPr>
          <w:rFonts w:ascii="宋体" w:hAnsi="宋体" w:cs="宋体" w:eastAsia="宋体" w:hint="default"/>
          <w:spacing w:val="-55"/>
          <w:w w:val="100"/>
        </w:rPr>
        <w:t> </w:t>
      </w:r>
      <w:r>
        <w:rPr>
          <w:spacing w:val="-8"/>
          <w:w w:val="100"/>
        </w:rPr>
        <w:t>年，金融监管政策全面收紧，十九大报告中对于金融的发展定位，已经从“创新和发展”</w:t>
      </w:r>
      <w:r>
        <w:rPr>
          <w:w w:val="100"/>
        </w:rPr>
        <w:t> </w:t>
      </w:r>
      <w:r>
        <w:rPr>
          <w:spacing w:val="-6"/>
          <w:w w:val="100"/>
        </w:rPr>
        <w:t>转变为“要加强金融监管协调，引导规范金融创新”。全国金融工作会议要求金融行业回归本源、</w:t>
      </w:r>
      <w:r>
        <w:rPr>
          <w:w w:val="100"/>
        </w:rPr>
        <w:t> </w:t>
      </w:r>
      <w:r>
        <w:rPr/>
        <w:t>优化结构、强化监管。监管要求的深化、金融机构营销服务手段的多样化以及创新商业模式的变</w:t>
      </w:r>
      <w:r>
        <w:rPr>
          <w:w w:val="100"/>
        </w:rPr>
        <w:t> </w:t>
      </w:r>
      <w:r>
        <w:rPr>
          <w:spacing w:val="-9"/>
        </w:rPr>
        <w:t>革，均带来大量的信息化业务机会。</w:t>
      </w:r>
      <w:r>
        <w:rPr>
          <w:rFonts w:ascii="宋体" w:hAnsi="宋体" w:cs="宋体" w:eastAsia="宋体" w:hint="default"/>
          <w:spacing w:val="-9"/>
        </w:rPr>
        <w:t>2017</w:t>
      </w:r>
      <w:r>
        <w:rPr>
          <w:rFonts w:ascii="宋体" w:hAnsi="宋体" w:cs="宋体" w:eastAsia="宋体" w:hint="default"/>
          <w:spacing w:val="-28"/>
        </w:rPr>
        <w:t> </w:t>
      </w:r>
      <w:r>
        <w:rPr/>
        <w:t>年我公司主营业务涉及的主要金融行业的情况概述如下：</w:t>
      </w:r>
    </w:p>
    <w:p>
      <w:pPr>
        <w:pStyle w:val="BodyText"/>
        <w:spacing w:line="357" w:lineRule="auto" w:before="30"/>
        <w:ind w:left="138" w:right="207" w:firstLine="419"/>
        <w:jc w:val="both"/>
      </w:pPr>
      <w:r>
        <w:rPr>
          <w:rFonts w:ascii="宋体" w:hAnsi="宋体" w:cs="宋体" w:eastAsia="宋体" w:hint="default"/>
        </w:rPr>
        <w:t>1</w:t>
      </w:r>
      <w:r>
        <w:rPr/>
        <w:t>、证券行业市场情况。根据中国证券业协会数据，</w:t>
      </w:r>
      <w:r>
        <w:rPr>
          <w:rFonts w:ascii="宋体" w:hAnsi="宋体" w:cs="宋体" w:eastAsia="宋体" w:hint="default"/>
        </w:rPr>
        <w:t>2017</w:t>
      </w:r>
      <w:r>
        <w:rPr>
          <w:rFonts w:ascii="宋体" w:hAnsi="宋体" w:cs="宋体" w:eastAsia="宋体" w:hint="default"/>
          <w:spacing w:val="-57"/>
        </w:rPr>
        <w:t> </w:t>
      </w:r>
      <w:r>
        <w:rPr/>
        <w:t>年证券市场交易量及开户数双双下</w:t>
      </w:r>
      <w:r>
        <w:rPr>
          <w:w w:val="100"/>
        </w:rPr>
        <w:t> </w:t>
      </w:r>
      <w:r>
        <w:rPr>
          <w:spacing w:val="-4"/>
        </w:rPr>
        <w:t>滑。</w:t>
      </w:r>
      <w:r>
        <w:rPr>
          <w:rFonts w:ascii="宋体" w:hAnsi="宋体" w:cs="宋体" w:eastAsia="宋体" w:hint="default"/>
          <w:spacing w:val="-4"/>
        </w:rPr>
        <w:t>2017</w:t>
      </w:r>
      <w:r>
        <w:rPr>
          <w:rFonts w:ascii="宋体" w:hAnsi="宋体" w:cs="宋体" w:eastAsia="宋体" w:hint="default"/>
          <w:spacing w:val="-44"/>
        </w:rPr>
        <w:t> </w:t>
      </w:r>
      <w:r>
        <w:rPr/>
        <w:t>年累计日均交易额</w:t>
      </w:r>
      <w:r>
        <w:rPr>
          <w:spacing w:val="-43"/>
        </w:rPr>
        <w:t> </w:t>
      </w:r>
      <w:r>
        <w:rPr>
          <w:rFonts w:ascii="宋体" w:hAnsi="宋体" w:cs="宋体" w:eastAsia="宋体" w:hint="default"/>
        </w:rPr>
        <w:t>4905</w:t>
      </w:r>
      <w:r>
        <w:rPr>
          <w:rFonts w:ascii="宋体" w:hAnsi="宋体" w:cs="宋体" w:eastAsia="宋体" w:hint="default"/>
          <w:spacing w:val="-44"/>
        </w:rPr>
        <w:t> </w:t>
      </w:r>
      <w:r>
        <w:rPr>
          <w:spacing w:val="-5"/>
        </w:rPr>
        <w:t>亿元（同比下降</w:t>
      </w:r>
      <w:r>
        <w:rPr>
          <w:spacing w:val="-43"/>
        </w:rPr>
        <w:t> </w:t>
      </w:r>
      <w:r>
        <w:rPr>
          <w:rFonts w:ascii="宋体" w:hAnsi="宋体" w:cs="宋体" w:eastAsia="宋体" w:hint="default"/>
          <w:spacing w:val="-4"/>
        </w:rPr>
        <w:t>12%</w:t>
      </w:r>
      <w:r>
        <w:rPr>
          <w:spacing w:val="-4"/>
        </w:rPr>
        <w:t>）。市场在去杠杆监管环境下，进入平稳过</w:t>
      </w:r>
      <w:r>
        <w:rPr>
          <w:spacing w:val="-101"/>
        </w:rPr>
        <w:t> </w:t>
      </w:r>
      <w:r>
        <w:rPr>
          <w:spacing w:val="-101"/>
        </w:rPr>
      </w:r>
      <w:r>
        <w:rPr/>
        <w:t>渡期。根据中国证券业协会统计，</w:t>
      </w:r>
      <w:r>
        <w:rPr>
          <w:rFonts w:ascii="宋体" w:hAnsi="宋体" w:cs="宋体" w:eastAsia="宋体" w:hint="default"/>
        </w:rPr>
        <w:t>2017</w:t>
      </w:r>
      <w:r>
        <w:rPr>
          <w:rFonts w:ascii="宋体" w:hAnsi="宋体" w:cs="宋体" w:eastAsia="宋体" w:hint="default"/>
          <w:spacing w:val="-55"/>
        </w:rPr>
        <w:t> </w:t>
      </w:r>
      <w:r>
        <w:rPr/>
        <w:t>年国内</w:t>
      </w:r>
      <w:r>
        <w:rPr>
          <w:spacing w:val="-53"/>
        </w:rPr>
        <w:t> </w:t>
      </w:r>
      <w:r>
        <w:rPr>
          <w:rFonts w:ascii="宋体" w:hAnsi="宋体" w:cs="宋体" w:eastAsia="宋体" w:hint="default"/>
        </w:rPr>
        <w:t>131</w:t>
      </w:r>
      <w:r>
        <w:rPr>
          <w:rFonts w:ascii="宋体" w:hAnsi="宋体" w:cs="宋体" w:eastAsia="宋体" w:hint="default"/>
          <w:spacing w:val="-55"/>
        </w:rPr>
        <w:t> </w:t>
      </w:r>
      <w:r>
        <w:rPr/>
        <w:t>家证券公司实现营业收入</w:t>
      </w:r>
      <w:r>
        <w:rPr>
          <w:spacing w:val="-55"/>
        </w:rPr>
        <w:t> </w:t>
      </w:r>
      <w:r>
        <w:rPr>
          <w:rFonts w:ascii="宋体" w:hAnsi="宋体" w:cs="宋体" w:eastAsia="宋体" w:hint="default"/>
        </w:rPr>
        <w:t>3,113.28</w:t>
      </w:r>
      <w:r>
        <w:rPr>
          <w:rFonts w:ascii="宋体" w:hAnsi="宋体" w:cs="宋体" w:eastAsia="宋体" w:hint="default"/>
          <w:spacing w:val="-55"/>
        </w:rPr>
        <w:t> </w:t>
      </w:r>
      <w:r>
        <w:rPr/>
        <w:t>亿元（同</w:t>
      </w:r>
      <w:r>
        <w:rPr>
          <w:w w:val="100"/>
        </w:rPr>
        <w:t> </w:t>
      </w:r>
      <w:r>
        <w:rPr/>
        <w:t>比下降</w:t>
      </w:r>
      <w:r>
        <w:rPr>
          <w:spacing w:val="16"/>
        </w:rPr>
        <w:t> </w:t>
      </w:r>
      <w:r>
        <w:rPr>
          <w:rFonts w:ascii="宋体" w:hAnsi="宋体" w:cs="宋体" w:eastAsia="宋体" w:hint="default"/>
          <w:spacing w:val="-4"/>
        </w:rPr>
        <w:t>5.08%</w:t>
      </w:r>
      <w:r>
        <w:rPr>
          <w:spacing w:val="-4"/>
        </w:rPr>
        <w:t>），当期实现净利润</w:t>
      </w:r>
      <w:r>
        <w:rPr>
          <w:spacing w:val="-43"/>
        </w:rPr>
        <w:t> </w:t>
      </w:r>
      <w:r>
        <w:rPr>
          <w:rFonts w:ascii="宋体" w:hAnsi="宋体" w:cs="宋体" w:eastAsia="宋体" w:hint="default"/>
        </w:rPr>
        <w:t>1,129.95</w:t>
      </w:r>
      <w:r>
        <w:rPr>
          <w:rFonts w:ascii="宋体" w:hAnsi="宋体" w:cs="宋体" w:eastAsia="宋体" w:hint="default"/>
          <w:spacing w:val="-46"/>
        </w:rPr>
        <w:t> </w:t>
      </w:r>
      <w:r>
        <w:rPr>
          <w:spacing w:val="-4"/>
        </w:rPr>
        <w:t>亿元（同比下降</w:t>
      </w:r>
      <w:r>
        <w:rPr>
          <w:spacing w:val="19"/>
        </w:rPr>
        <w:t> </w:t>
      </w:r>
      <w:r>
        <w:rPr>
          <w:rFonts w:ascii="宋体" w:hAnsi="宋体" w:cs="宋体" w:eastAsia="宋体" w:hint="default"/>
          <w:spacing w:val="-4"/>
        </w:rPr>
        <w:t>8.47%</w:t>
      </w:r>
      <w:r>
        <w:rPr>
          <w:spacing w:val="-4"/>
        </w:rPr>
        <w:t>）。受到强监管、券商业务转</w:t>
      </w:r>
      <w:r>
        <w:rPr>
          <w:spacing w:val="-102"/>
        </w:rPr>
        <w:t> </w:t>
      </w:r>
      <w:r>
        <w:rPr>
          <w:spacing w:val="-102"/>
        </w:rPr>
      </w:r>
      <w:r>
        <w:rPr>
          <w:spacing w:val="-2"/>
        </w:rPr>
        <w:t>型等因素影响，券商对信息技术系统的需求进一步提升，在金融电子商务、机构客户服务、财富</w:t>
      </w:r>
      <w:r>
        <w:rPr>
          <w:spacing w:val="-25"/>
        </w:rPr>
        <w:t> </w:t>
      </w:r>
      <w:r>
        <w:rPr>
          <w:spacing w:val="-25"/>
        </w:rPr>
      </w:r>
      <w:r>
        <w:rPr>
          <w:spacing w:val="-2"/>
        </w:rPr>
        <w:t>管理等方面投入加大，快速交易、客户管理、数字化运营、产品管理、营销服务等方面的的需求</w:t>
      </w:r>
      <w:r>
        <w:rPr>
          <w:spacing w:val="-25"/>
        </w:rPr>
        <w:t> </w:t>
      </w:r>
      <w:r>
        <w:rPr>
          <w:spacing w:val="-25"/>
        </w:rPr>
      </w:r>
      <w:r>
        <w:rPr>
          <w:spacing w:val="-3"/>
        </w:rPr>
        <w:t>进一步提升。根据中国期货业协会数据，</w:t>
      </w:r>
      <w:r>
        <w:rPr>
          <w:rFonts w:ascii="宋体" w:hAnsi="宋体" w:cs="宋体" w:eastAsia="宋体" w:hint="default"/>
          <w:spacing w:val="-3"/>
        </w:rPr>
        <w:t>2017</w:t>
      </w:r>
      <w:r>
        <w:rPr>
          <w:rFonts w:ascii="宋体" w:hAnsi="宋体" w:cs="宋体" w:eastAsia="宋体" w:hint="default"/>
          <w:spacing w:val="-42"/>
        </w:rPr>
        <w:t> </w:t>
      </w:r>
      <w:r>
        <w:rPr/>
        <w:t>年全国期货市场单边累计成交</w:t>
      </w:r>
      <w:r>
        <w:rPr>
          <w:spacing w:val="-42"/>
        </w:rPr>
        <w:t> </w:t>
      </w:r>
      <w:r>
        <w:rPr>
          <w:rFonts w:ascii="宋体" w:hAnsi="宋体" w:cs="宋体" w:eastAsia="宋体" w:hint="default"/>
        </w:rPr>
        <w:t>30.76</w:t>
      </w:r>
      <w:r>
        <w:rPr>
          <w:rFonts w:ascii="宋体" w:hAnsi="宋体" w:cs="宋体" w:eastAsia="宋体" w:hint="default"/>
          <w:spacing w:val="-41"/>
        </w:rPr>
        <w:t> </w:t>
      </w:r>
      <w:r>
        <w:rPr>
          <w:spacing w:val="-4"/>
        </w:rPr>
        <w:t>亿手，成交金</w:t>
      </w:r>
      <w:r>
        <w:rPr>
          <w:spacing w:val="-99"/>
        </w:rPr>
        <w:t> </w:t>
      </w:r>
      <w:r>
        <w:rPr>
          <w:spacing w:val="-99"/>
        </w:rPr>
      </w:r>
      <w:r>
        <w:rPr/>
        <w:t>额为</w:t>
      </w:r>
      <w:r>
        <w:rPr>
          <w:spacing w:val="-55"/>
        </w:rPr>
        <w:t> </w:t>
      </w:r>
      <w:r>
        <w:rPr>
          <w:rFonts w:ascii="宋体" w:hAnsi="宋体" w:cs="宋体" w:eastAsia="宋体" w:hint="default"/>
        </w:rPr>
        <w:t>187.90</w:t>
      </w:r>
      <w:r>
        <w:rPr>
          <w:rFonts w:ascii="宋体" w:hAnsi="宋体" w:cs="宋体" w:eastAsia="宋体" w:hint="default"/>
          <w:spacing w:val="-55"/>
        </w:rPr>
        <w:t> </w:t>
      </w:r>
      <w:r>
        <w:rPr/>
        <w:t>万亿元，均较</w:t>
      </w:r>
      <w:r>
        <w:rPr>
          <w:spacing w:val="-54"/>
        </w:rPr>
        <w:t> </w:t>
      </w:r>
      <w:r>
        <w:rPr>
          <w:rFonts w:ascii="宋体" w:hAnsi="宋体" w:cs="宋体" w:eastAsia="宋体" w:hint="default"/>
        </w:rPr>
        <w:t>2016</w:t>
      </w:r>
      <w:r>
        <w:rPr>
          <w:rFonts w:ascii="宋体" w:hAnsi="宋体" w:cs="宋体" w:eastAsia="宋体" w:hint="default"/>
          <w:spacing w:val="-55"/>
        </w:rPr>
        <w:t> </w:t>
      </w:r>
      <w:r>
        <w:rPr/>
        <w:t>年有所下降，主要受商品价格剧烈震荡，市场交投活跃度降温等</w:t>
      </w:r>
      <w:r>
        <w:rPr>
          <w:w w:val="100"/>
        </w:rPr>
        <w:t> </w:t>
      </w:r>
      <w:r>
        <w:rPr>
          <w:spacing w:val="-4"/>
        </w:rPr>
        <w:t>因素影响。</w:t>
      </w:r>
      <w:r>
        <w:rPr>
          <w:rFonts w:ascii="宋体" w:hAnsi="宋体" w:cs="宋体" w:eastAsia="宋体" w:hint="default"/>
          <w:spacing w:val="-4"/>
        </w:rPr>
        <w:t>2017</w:t>
      </w:r>
      <w:r>
        <w:rPr>
          <w:rFonts w:ascii="宋体" w:hAnsi="宋体" w:cs="宋体" w:eastAsia="宋体" w:hint="default"/>
          <w:spacing w:val="-13"/>
        </w:rPr>
        <w:t> </w:t>
      </w:r>
      <w:r>
        <w:rPr>
          <w:spacing w:val="-2"/>
        </w:rPr>
        <w:t>年是期货公司经纪业务转型发展的关键一年，大部分期货公司开始向投资者提供</w:t>
      </w:r>
      <w:r>
        <w:rPr>
          <w:spacing w:val="-89"/>
        </w:rPr>
        <w:t> </w:t>
      </w:r>
      <w:r>
        <w:rPr>
          <w:spacing w:val="-89"/>
        </w:rPr>
      </w:r>
      <w:r>
        <w:rPr>
          <w:spacing w:val="-2"/>
        </w:rPr>
        <w:t>商品期货与期权、金融期货与期权的通道、财富管理、风险管理和咨询业务，开始从单一期货期</w:t>
      </w:r>
      <w:r>
        <w:rPr>
          <w:spacing w:val="-25"/>
        </w:rPr>
        <w:t> </w:t>
      </w:r>
      <w:r>
        <w:rPr>
          <w:spacing w:val="-25"/>
        </w:rPr>
      </w:r>
      <w:r>
        <w:rPr/>
        <w:t>权经纪业务将逐渐向综合型经纪业务转型。</w:t>
      </w:r>
    </w:p>
    <w:p>
      <w:pPr>
        <w:pStyle w:val="BodyText"/>
        <w:spacing w:line="357" w:lineRule="auto" w:before="32"/>
        <w:ind w:left="138" w:right="208" w:firstLine="419"/>
        <w:jc w:val="both"/>
      </w:pPr>
      <w:r>
        <w:rPr>
          <w:rFonts w:ascii="宋体" w:hAnsi="宋体" w:cs="宋体" w:eastAsia="宋体" w:hint="default"/>
        </w:rPr>
        <w:t>2</w:t>
      </w:r>
      <w:r>
        <w:rPr/>
        <w:t>、电子交易市场情况。</w:t>
      </w:r>
      <w:r>
        <w:rPr>
          <w:rFonts w:ascii="宋体" w:hAnsi="宋体" w:cs="宋体" w:eastAsia="宋体" w:hint="default"/>
        </w:rPr>
        <w:t>2017</w:t>
      </w:r>
      <w:r>
        <w:rPr>
          <w:rFonts w:ascii="宋体" w:hAnsi="宋体" w:cs="宋体" w:eastAsia="宋体" w:hint="default"/>
          <w:spacing w:val="-55"/>
        </w:rPr>
        <w:t> </w:t>
      </w:r>
      <w:r>
        <w:rPr/>
        <w:t>年</w:t>
      </w:r>
      <w:r>
        <w:rPr>
          <w:spacing w:val="-57"/>
        </w:rPr>
        <w:t> </w:t>
      </w:r>
      <w:r>
        <w:rPr>
          <w:rFonts w:ascii="宋体" w:hAnsi="宋体" w:cs="宋体" w:eastAsia="宋体" w:hint="default"/>
        </w:rPr>
        <w:t>1</w:t>
      </w:r>
      <w:r>
        <w:rPr>
          <w:rFonts w:ascii="宋体" w:hAnsi="宋体" w:cs="宋体" w:eastAsia="宋体" w:hint="default"/>
          <w:spacing w:val="-55"/>
        </w:rPr>
        <w:t> </w:t>
      </w:r>
      <w:r>
        <w:rPr/>
        <w:t>月，清理整顿各类交易场所部际联席会议第三次会议在北</w:t>
      </w:r>
      <w:r>
        <w:rPr>
          <w:w w:val="100"/>
        </w:rPr>
        <w:t> </w:t>
      </w:r>
      <w:r>
        <w:rPr>
          <w:spacing w:val="-2"/>
        </w:rPr>
        <w:t>京召开，决定深入开展一次交易场所清理整顿“回头看”活动，用半年时间集中整治，切实解决</w:t>
      </w:r>
      <w:r>
        <w:rPr>
          <w:spacing w:val="-25"/>
        </w:rPr>
        <w:t> </w:t>
      </w:r>
      <w:r>
        <w:rPr>
          <w:spacing w:val="-25"/>
        </w:rPr>
      </w:r>
      <w:r>
        <w:rPr>
          <w:spacing w:val="-2"/>
        </w:rPr>
        <w:t>交易场所存在的违法违规问题，防范和化解金融风险。电子交易市场在清理整顿过程中起到了正</w:t>
      </w:r>
      <w:r>
        <w:rPr>
          <w:spacing w:val="-25"/>
        </w:rPr>
        <w:t> </w:t>
      </w:r>
      <w:r>
        <w:rPr>
          <w:spacing w:val="-25"/>
        </w:rPr>
      </w:r>
      <w:r>
        <w:rPr>
          <w:spacing w:val="-6"/>
        </w:rPr>
        <w:t>本清源、打击违法乱纪、修正市场秩序的作用。如今，交易场所的监管从弱到强、从滞后到严管、</w:t>
      </w:r>
      <w:r>
        <w:rPr>
          <w:spacing w:val="-54"/>
        </w:rPr>
        <w:t> </w:t>
      </w:r>
      <w:r>
        <w:rPr>
          <w:spacing w:val="-54"/>
        </w:rPr>
      </w:r>
      <w:r>
        <w:rPr>
          <w:spacing w:val="-2"/>
        </w:rPr>
        <w:t>从无章法可循到未来监管架构雏形的形成，均已初见成效。这一基础将对新一代的电子交易市场</w:t>
      </w:r>
      <w:r>
        <w:rPr>
          <w:spacing w:val="-25"/>
        </w:rPr>
        <w:t> </w:t>
      </w:r>
      <w:r>
        <w:rPr>
          <w:spacing w:val="-25"/>
        </w:rPr>
      </w:r>
      <w:r>
        <w:rPr/>
        <w:t>的兴起起到积极的促进作用。</w:t>
      </w:r>
    </w:p>
    <w:p>
      <w:pPr>
        <w:pStyle w:val="BodyText"/>
        <w:spacing w:line="240" w:lineRule="auto" w:before="30"/>
        <w:ind w:left="0" w:right="210"/>
        <w:jc w:val="right"/>
      </w:pPr>
      <w:r>
        <w:rPr>
          <w:rFonts w:ascii="宋体" w:hAnsi="宋体" w:cs="宋体" w:eastAsia="宋体" w:hint="default"/>
          <w:w w:val="100"/>
        </w:rPr>
        <w:t>3</w:t>
      </w:r>
      <w:r>
        <w:rPr>
          <w:spacing w:val="-101"/>
          <w:w w:val="100"/>
        </w:rPr>
        <w:t>、</w:t>
      </w:r>
      <w:r>
        <w:rPr>
          <w:spacing w:val="-3"/>
          <w:w w:val="100"/>
        </w:rPr>
        <w:t>私</w:t>
      </w:r>
      <w:r>
        <w:rPr>
          <w:w w:val="100"/>
        </w:rPr>
        <w:t>募</w:t>
      </w:r>
      <w:r>
        <w:rPr>
          <w:spacing w:val="-3"/>
          <w:w w:val="100"/>
        </w:rPr>
        <w:t>基</w:t>
      </w:r>
      <w:r>
        <w:rPr>
          <w:w w:val="100"/>
        </w:rPr>
        <w:t>金</w:t>
      </w:r>
      <w:r>
        <w:rPr>
          <w:spacing w:val="-3"/>
          <w:w w:val="100"/>
        </w:rPr>
        <w:t>行</w:t>
      </w:r>
      <w:r>
        <w:rPr>
          <w:w w:val="100"/>
        </w:rPr>
        <w:t>业</w:t>
      </w:r>
      <w:r>
        <w:rPr>
          <w:spacing w:val="-3"/>
          <w:w w:val="100"/>
        </w:rPr>
        <w:t>市</w:t>
      </w:r>
      <w:r>
        <w:rPr>
          <w:w w:val="100"/>
        </w:rPr>
        <w:t>场</w:t>
      </w:r>
      <w:r>
        <w:rPr>
          <w:spacing w:val="-3"/>
          <w:w w:val="100"/>
        </w:rPr>
        <w:t>情</w:t>
      </w:r>
      <w:r>
        <w:rPr>
          <w:w w:val="100"/>
        </w:rPr>
        <w:t>况</w:t>
      </w:r>
      <w:r>
        <w:rPr>
          <w:spacing w:val="-104"/>
          <w:w w:val="100"/>
        </w:rPr>
        <w:t>。</w:t>
      </w:r>
      <w:r>
        <w:rPr>
          <w:w w:val="100"/>
        </w:rPr>
        <w:t>根据</w:t>
      </w:r>
      <w:r>
        <w:rPr>
          <w:spacing w:val="-3"/>
          <w:w w:val="100"/>
        </w:rPr>
        <w:t>中</w:t>
      </w:r>
      <w:r>
        <w:rPr>
          <w:w w:val="100"/>
        </w:rPr>
        <w:t>国</w:t>
      </w:r>
      <w:r>
        <w:rPr>
          <w:spacing w:val="-3"/>
          <w:w w:val="100"/>
        </w:rPr>
        <w:t>证</w:t>
      </w:r>
      <w:r>
        <w:rPr>
          <w:w w:val="100"/>
        </w:rPr>
        <w:t>券</w:t>
      </w:r>
      <w:r>
        <w:rPr>
          <w:spacing w:val="-3"/>
          <w:w w:val="100"/>
        </w:rPr>
        <w:t>投</w:t>
      </w:r>
      <w:r>
        <w:rPr>
          <w:w w:val="100"/>
        </w:rPr>
        <w:t>资</w:t>
      </w:r>
      <w:r>
        <w:rPr>
          <w:spacing w:val="-3"/>
          <w:w w:val="100"/>
        </w:rPr>
        <w:t>基</w:t>
      </w:r>
      <w:r>
        <w:rPr>
          <w:w w:val="100"/>
        </w:rPr>
        <w:t>金</w:t>
      </w:r>
      <w:r>
        <w:rPr>
          <w:spacing w:val="-3"/>
          <w:w w:val="100"/>
        </w:rPr>
        <w:t>业</w:t>
      </w:r>
      <w:r>
        <w:rPr>
          <w:w w:val="100"/>
        </w:rPr>
        <w:t>协会</w:t>
      </w:r>
      <w:r>
        <w:rPr>
          <w:spacing w:val="-3"/>
          <w:w w:val="100"/>
        </w:rPr>
        <w:t>数</w:t>
      </w:r>
      <w:r>
        <w:rPr>
          <w:w w:val="100"/>
        </w:rPr>
        <w:t>据</w:t>
      </w:r>
      <w:r>
        <w:rPr>
          <w:spacing w:val="-104"/>
          <w:w w:val="100"/>
        </w:rPr>
        <w:t>，</w:t>
      </w:r>
      <w:r>
        <w:rPr>
          <w:w w:val="100"/>
        </w:rPr>
        <w:t>截至</w:t>
      </w:r>
      <w:r>
        <w:rPr>
          <w:spacing w:val="-2"/>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7</w:t>
      </w:r>
      <w:r>
        <w:rPr>
          <w:rFonts w:ascii="宋体" w:hAnsi="宋体" w:cs="宋体" w:eastAsia="宋体" w:hint="default"/>
          <w:spacing w:val="1"/>
        </w:rPr>
        <w:t> </w:t>
      </w:r>
      <w:r>
        <w:rPr>
          <w:w w:val="100"/>
        </w:rPr>
        <w:t>年</w:t>
      </w:r>
      <w:r>
        <w:rPr>
          <w:spacing w:val="-2"/>
        </w:rPr>
        <w:t> </w:t>
      </w:r>
      <w:r>
        <w:rPr>
          <w:rFonts w:ascii="宋体" w:hAnsi="宋体" w:cs="宋体" w:eastAsia="宋体" w:hint="default"/>
          <w:spacing w:val="-3"/>
          <w:w w:val="100"/>
        </w:rPr>
        <w:t>1</w:t>
      </w:r>
      <w:r>
        <w:rPr>
          <w:rFonts w:ascii="宋体" w:hAnsi="宋体" w:cs="宋体" w:eastAsia="宋体" w:hint="default"/>
          <w:w w:val="100"/>
        </w:rPr>
        <w:t>2</w:t>
      </w:r>
      <w:r>
        <w:rPr>
          <w:rFonts w:ascii="宋体" w:hAnsi="宋体" w:cs="宋体" w:eastAsia="宋体" w:hint="default"/>
        </w:rPr>
        <w:t> </w:t>
      </w:r>
      <w:r>
        <w:rPr>
          <w:w w:val="100"/>
        </w:rPr>
        <w:t>月</w:t>
      </w:r>
      <w:r>
        <w:rPr/>
        <w:t> </w:t>
      </w:r>
      <w:r>
        <w:rPr>
          <w:rFonts w:ascii="宋体" w:hAnsi="宋体" w:cs="宋体" w:eastAsia="宋体" w:hint="default"/>
          <w:spacing w:val="-3"/>
          <w:w w:val="100"/>
        </w:rPr>
        <w:t>3</w:t>
      </w:r>
      <w:r>
        <w:rPr>
          <w:rFonts w:ascii="宋体" w:hAnsi="宋体" w:cs="宋体" w:eastAsia="宋体" w:hint="default"/>
          <w:w w:val="100"/>
        </w:rPr>
        <w:t>1</w:t>
      </w:r>
      <w:r>
        <w:rPr>
          <w:rFonts w:ascii="宋体" w:hAnsi="宋体" w:cs="宋体" w:eastAsia="宋体" w:hint="default"/>
        </w:rPr>
        <w:t> </w:t>
      </w:r>
      <w:r>
        <w:rPr>
          <w:spacing w:val="-3"/>
          <w:w w:val="100"/>
        </w:rPr>
        <w:t>日，</w:t>
      </w:r>
      <w:r>
        <w:rPr>
          <w:w w:val="100"/>
        </w:rPr>
      </w:r>
    </w:p>
    <w:p>
      <w:pPr>
        <w:pStyle w:val="BodyText"/>
        <w:spacing w:line="357" w:lineRule="auto" w:before="133"/>
        <w:ind w:left="138" w:right="207"/>
        <w:jc w:val="both"/>
      </w:pPr>
      <w:r>
        <w:rPr>
          <w:spacing w:val="-7"/>
        </w:rPr>
        <w:t>基金管理公司及其子公司、证券公司、期货公司、私募基金管理机构资产管理业务总规模约</w:t>
      </w:r>
      <w:r>
        <w:rPr>
          <w:spacing w:val="57"/>
        </w:rPr>
        <w:t> </w:t>
      </w:r>
      <w:r>
        <w:rPr>
          <w:rFonts w:ascii="宋体" w:hAnsi="宋体" w:cs="宋体" w:eastAsia="宋体" w:hint="default"/>
        </w:rPr>
        <w:t>53.57</w:t>
      </w:r>
      <w:r>
        <w:rPr>
          <w:rFonts w:ascii="宋体" w:hAnsi="宋体" w:cs="宋体" w:eastAsia="宋体" w:hint="default"/>
          <w:spacing w:val="-92"/>
        </w:rPr>
        <w:t> </w:t>
      </w:r>
      <w:r>
        <w:rPr>
          <w:rFonts w:ascii="宋体" w:hAnsi="宋体" w:cs="宋体" w:eastAsia="宋体" w:hint="default"/>
          <w:spacing w:val="-92"/>
        </w:rPr>
      </w:r>
      <w:r>
        <w:rPr/>
        <w:t>万亿元人民币（同比增长 </w:t>
      </w:r>
      <w:r>
        <w:rPr>
          <w:rFonts w:ascii="宋体" w:hAnsi="宋体" w:cs="宋体" w:eastAsia="宋体" w:hint="default"/>
        </w:rPr>
        <w:t>3.4%</w:t>
      </w:r>
      <w:r>
        <w:rPr/>
        <w:t>）。根据中国基金业协会备案数据显示，</w:t>
      </w:r>
      <w:r>
        <w:rPr>
          <w:rFonts w:ascii="宋体" w:hAnsi="宋体" w:cs="宋体" w:eastAsia="宋体" w:hint="default"/>
        </w:rPr>
        <w:t>2017</w:t>
      </w:r>
      <w:r>
        <w:rPr>
          <w:rFonts w:ascii="宋体" w:hAnsi="宋体" w:cs="宋体" w:eastAsia="宋体" w:hint="default"/>
          <w:spacing w:val="-60"/>
        </w:rPr>
        <w:t> </w:t>
      </w:r>
      <w:r>
        <w:rPr/>
        <w:t>年私募行业继续稳</w:t>
      </w:r>
      <w:r>
        <w:rPr>
          <w:w w:val="100"/>
        </w:rPr>
        <w:t> </w:t>
      </w:r>
      <w:r>
        <w:rPr>
          <w:spacing w:val="-3"/>
        </w:rPr>
        <w:t>步扩张，已登记私募基金管理人</w:t>
      </w:r>
      <w:r>
        <w:rPr>
          <w:spacing w:val="9"/>
        </w:rPr>
        <w:t> </w:t>
      </w:r>
      <w:r>
        <w:rPr>
          <w:rFonts w:ascii="宋体" w:hAnsi="宋体" w:cs="宋体" w:eastAsia="宋体" w:hint="default"/>
        </w:rPr>
        <w:t>22446</w:t>
      </w:r>
      <w:r>
        <w:rPr>
          <w:rFonts w:ascii="宋体" w:hAnsi="宋体" w:cs="宋体" w:eastAsia="宋体" w:hint="default"/>
          <w:spacing w:val="9"/>
        </w:rPr>
        <w:t> </w:t>
      </w:r>
      <w:r>
        <w:rPr>
          <w:spacing w:val="-5"/>
        </w:rPr>
        <w:t>家（同比增长</w:t>
      </w:r>
      <w:r>
        <w:rPr>
          <w:spacing w:val="11"/>
        </w:rPr>
        <w:t> </w:t>
      </w:r>
      <w:r>
        <w:rPr>
          <w:rFonts w:ascii="宋体" w:hAnsi="宋体" w:cs="宋体" w:eastAsia="宋体" w:hint="default"/>
          <w:spacing w:val="-4"/>
        </w:rPr>
        <w:t>28.76%</w:t>
      </w:r>
      <w:r>
        <w:rPr>
          <w:spacing w:val="-4"/>
        </w:rPr>
        <w:t>），已备案私募基金</w:t>
      </w:r>
      <w:r>
        <w:rPr>
          <w:spacing w:val="11"/>
        </w:rPr>
        <w:t> </w:t>
      </w:r>
      <w:r>
        <w:rPr>
          <w:rFonts w:ascii="宋体" w:hAnsi="宋体" w:cs="宋体" w:eastAsia="宋体" w:hint="default"/>
        </w:rPr>
        <w:t>66418</w:t>
      </w:r>
      <w:r>
        <w:rPr>
          <w:rFonts w:ascii="宋体" w:hAnsi="宋体" w:cs="宋体" w:eastAsia="宋体" w:hint="default"/>
          <w:spacing w:val="9"/>
        </w:rPr>
        <w:t> </w:t>
      </w:r>
      <w:r>
        <w:rPr>
          <w:spacing w:val="-8"/>
        </w:rPr>
        <w:t>只（同</w:t>
      </w:r>
      <w:r>
        <w:rPr>
          <w:spacing w:val="-103"/>
        </w:rPr>
        <w:t> </w:t>
      </w:r>
      <w:r>
        <w:rPr>
          <w:spacing w:val="-103"/>
        </w:rPr>
      </w:r>
      <w:r>
        <w:rPr/>
        <w:t>比增长</w:t>
      </w:r>
      <w:r>
        <w:rPr>
          <w:spacing w:val="-4"/>
        </w:rPr>
        <w:t> </w:t>
      </w:r>
      <w:r>
        <w:rPr>
          <w:rFonts w:ascii="宋体" w:hAnsi="宋体" w:cs="宋体" w:eastAsia="宋体" w:hint="default"/>
        </w:rPr>
        <w:t>42.82%</w:t>
      </w:r>
      <w:r>
        <w:rPr/>
        <w:t>），行业管理规模突破</w:t>
      </w:r>
      <w:r>
        <w:rPr>
          <w:spacing w:val="-53"/>
        </w:rPr>
        <w:t> </w:t>
      </w:r>
      <w:r>
        <w:rPr>
          <w:rFonts w:ascii="宋体" w:hAnsi="宋体" w:cs="宋体" w:eastAsia="宋体" w:hint="default"/>
        </w:rPr>
        <w:t>11</w:t>
      </w:r>
      <w:r>
        <w:rPr>
          <w:rFonts w:ascii="宋体" w:hAnsi="宋体" w:cs="宋体" w:eastAsia="宋体" w:hint="default"/>
          <w:spacing w:val="-56"/>
        </w:rPr>
        <w:t> </w:t>
      </w:r>
      <w:r>
        <w:rPr/>
        <w:t>万亿（同比增长</w:t>
      </w:r>
      <w:r>
        <w:rPr>
          <w:spacing w:val="-2"/>
        </w:rPr>
        <w:t> </w:t>
      </w:r>
      <w:r>
        <w:rPr>
          <w:rFonts w:ascii="宋体" w:hAnsi="宋体" w:cs="宋体" w:eastAsia="宋体" w:hint="default"/>
        </w:rPr>
        <w:t>40.68%</w:t>
      </w:r>
      <w:r>
        <w:rPr/>
        <w:t>）。</w:t>
      </w:r>
      <w:r>
        <w:rPr>
          <w:rFonts w:ascii="宋体" w:hAnsi="宋体" w:cs="宋体" w:eastAsia="宋体" w:hint="default"/>
        </w:rPr>
        <w:t>2017</w:t>
      </w:r>
      <w:r>
        <w:rPr>
          <w:rFonts w:ascii="宋体" w:hAnsi="宋体" w:cs="宋体" w:eastAsia="宋体" w:hint="default"/>
          <w:spacing w:val="-54"/>
        </w:rPr>
        <w:t> </w:t>
      </w:r>
      <w:r>
        <w:rPr/>
        <w:t>年，监管层继续加大</w:t>
      </w:r>
      <w:r>
        <w:rPr>
          <w:w w:val="100"/>
        </w:rPr>
        <w:t> </w:t>
      </w:r>
      <w:r>
        <w:rPr>
          <w:spacing w:val="-2"/>
        </w:rPr>
        <w:t>对私募行业的监管和整治，发布了《私募投资基金管理暂行条例（征求意见稿）》等一系类监管</w:t>
      </w:r>
      <w:r>
        <w:rPr>
          <w:spacing w:val="-25"/>
        </w:rPr>
        <w:t> </w:t>
      </w:r>
      <w:r>
        <w:rPr>
          <w:spacing w:val="-25"/>
        </w:rPr>
      </w:r>
      <w:r>
        <w:rPr>
          <w:spacing w:val="-2"/>
        </w:rPr>
        <w:t>文件，分别从私募基金管理人、托管人的职责、资金募集、投资运作、信息提供、行业自律、监</w:t>
      </w:r>
      <w:r>
        <w:rPr>
          <w:spacing w:val="-25"/>
        </w:rPr>
        <w:t> </w:t>
      </w:r>
      <w:r>
        <w:rPr>
          <w:spacing w:val="-25"/>
        </w:rPr>
      </w:r>
      <w:r>
        <w:rPr/>
        <w:t>督管理、法律责任等多个方面确立了监管规则。</w:t>
      </w:r>
    </w:p>
    <w:p>
      <w:pPr>
        <w:spacing w:after="0" w:line="357" w:lineRule="auto"/>
        <w:jc w:val="both"/>
        <w:sectPr>
          <w:pgSz w:w="11910" w:h="16840"/>
          <w:pgMar w:header="855" w:footer="1195" w:top="1320" w:bottom="1380" w:left="1660" w:right="1060"/>
        </w:sectPr>
      </w:pPr>
    </w:p>
    <w:p>
      <w:pPr>
        <w:spacing w:line="240" w:lineRule="auto" w:before="4"/>
        <w:rPr>
          <w:rFonts w:ascii="宋体" w:hAnsi="宋体" w:cs="宋体" w:eastAsia="宋体" w:hint="default"/>
          <w:sz w:val="9"/>
          <w:szCs w:val="9"/>
        </w:rPr>
      </w:pPr>
    </w:p>
    <w:p>
      <w:pPr>
        <w:pStyle w:val="BodyText"/>
        <w:spacing w:line="240" w:lineRule="auto" w:before="36"/>
        <w:ind w:left="558" w:right="0"/>
        <w:jc w:val="left"/>
      </w:pPr>
      <w:r>
        <w:rPr>
          <w:rFonts w:ascii="宋体" w:hAnsi="宋体" w:cs="宋体" w:eastAsia="宋体" w:hint="default"/>
        </w:rPr>
        <w:t>4</w:t>
      </w:r>
      <w:r>
        <w:rPr/>
        <w:t>、信托行业市场情况。根据中国信托业协会数据，截止</w:t>
      </w:r>
      <w:r>
        <w:rPr>
          <w:spacing w:val="-57"/>
        </w:rPr>
        <w:t> </w:t>
      </w:r>
      <w:r>
        <w:rPr>
          <w:rFonts w:ascii="宋体" w:hAnsi="宋体" w:cs="宋体" w:eastAsia="宋体" w:hint="default"/>
        </w:rPr>
        <w:t>2017</w:t>
      </w:r>
      <w:r>
        <w:rPr>
          <w:rFonts w:ascii="宋体" w:hAnsi="宋体" w:cs="宋体" w:eastAsia="宋体" w:hint="default"/>
          <w:spacing w:val="-59"/>
        </w:rPr>
        <w:t> </w:t>
      </w:r>
      <w:r>
        <w:rPr/>
        <w:t>年第三季度，信托行业资产规</w:t>
      </w:r>
    </w:p>
    <w:p>
      <w:pPr>
        <w:pStyle w:val="BodyText"/>
        <w:spacing w:line="355" w:lineRule="auto" w:before="135"/>
        <w:ind w:left="138" w:right="137"/>
        <w:jc w:val="both"/>
      </w:pPr>
      <w:r>
        <w:rPr/>
        <w:t>模达到</w:t>
      </w:r>
      <w:r>
        <w:rPr>
          <w:spacing w:val="-54"/>
        </w:rPr>
        <w:t> </w:t>
      </w:r>
      <w:r>
        <w:rPr>
          <w:rFonts w:ascii="宋体" w:hAnsi="宋体" w:cs="宋体" w:eastAsia="宋体" w:hint="default"/>
        </w:rPr>
        <w:t>24.41</w:t>
      </w:r>
      <w:r>
        <w:rPr>
          <w:rFonts w:ascii="宋体" w:hAnsi="宋体" w:cs="宋体" w:eastAsia="宋体" w:hint="default"/>
          <w:spacing w:val="-54"/>
        </w:rPr>
        <w:t> </w:t>
      </w:r>
      <w:r>
        <w:rPr/>
        <w:t>万亿元，较</w:t>
      </w:r>
      <w:r>
        <w:rPr>
          <w:spacing w:val="-56"/>
        </w:rPr>
        <w:t> </w:t>
      </w:r>
      <w:r>
        <w:rPr>
          <w:rFonts w:ascii="宋体" w:hAnsi="宋体" w:cs="宋体" w:eastAsia="宋体" w:hint="default"/>
        </w:rPr>
        <w:t>2016</w:t>
      </w:r>
      <w:r>
        <w:rPr>
          <w:rFonts w:ascii="宋体" w:hAnsi="宋体" w:cs="宋体" w:eastAsia="宋体" w:hint="default"/>
          <w:spacing w:val="-56"/>
        </w:rPr>
        <w:t> </w:t>
      </w:r>
      <w:r>
        <w:rPr/>
        <w:t>年同期增长</w:t>
      </w:r>
      <w:r>
        <w:rPr>
          <w:spacing w:val="-54"/>
        </w:rPr>
        <w:t> </w:t>
      </w:r>
      <w:r>
        <w:rPr>
          <w:rFonts w:ascii="宋体" w:hAnsi="宋体" w:cs="宋体" w:eastAsia="宋体" w:hint="default"/>
        </w:rPr>
        <w:t>34.33%</w:t>
      </w:r>
      <w:r>
        <w:rPr/>
        <w:t>，同比增速显著高于往年。不同类型信托资产</w:t>
      </w:r>
      <w:r>
        <w:rPr>
          <w:w w:val="100"/>
        </w:rPr>
        <w:t> </w:t>
      </w:r>
      <w:r>
        <w:rPr>
          <w:spacing w:val="-2"/>
        </w:rPr>
        <w:t>规模结构展现出新的变化特征，表明信托公司在主动管理能力、服务实体经济、业务创新等方面</w:t>
      </w:r>
      <w:r>
        <w:rPr>
          <w:spacing w:val="-25"/>
        </w:rPr>
        <w:t> </w:t>
      </w:r>
      <w:r>
        <w:rPr>
          <w:spacing w:val="-25"/>
        </w:rPr>
      </w:r>
      <w:r>
        <w:rPr>
          <w:spacing w:val="-2"/>
        </w:rPr>
        <w:t>加快了业务转型。以租赁租金、应收账款、信托受益权等为基础资产的资产证券化业务成为信托</w:t>
      </w:r>
      <w:r>
        <w:rPr>
          <w:spacing w:val="-25"/>
        </w:rPr>
        <w:t> </w:t>
      </w:r>
      <w:r>
        <w:rPr>
          <w:spacing w:val="-25"/>
        </w:rPr>
      </w:r>
      <w:r>
        <w:rPr>
          <w:spacing w:val="-2"/>
        </w:rPr>
        <w:t>公司开拓的新市场。同时，信托公司也积极布局家族信托、慈善信托等信托本源业务服务实体经</w:t>
      </w:r>
      <w:r>
        <w:rPr>
          <w:spacing w:val="-25"/>
        </w:rPr>
        <w:t> </w:t>
      </w:r>
      <w:r>
        <w:rPr>
          <w:spacing w:val="-25"/>
        </w:rPr>
      </w:r>
      <w:r>
        <w:rPr/>
        <w:t>济。</w:t>
      </w:r>
    </w:p>
    <w:p>
      <w:pPr>
        <w:pStyle w:val="BodyText"/>
        <w:spacing w:line="357" w:lineRule="auto" w:before="34"/>
        <w:ind w:left="138" w:right="137" w:firstLine="419"/>
        <w:jc w:val="both"/>
      </w:pPr>
      <w:r>
        <w:rPr>
          <w:spacing w:val="-2"/>
        </w:rPr>
        <w:t>在“强监管，去杠杆”的监管背景下，金融行业业务创新较为困难，各行业更多的是在夯实</w:t>
      </w:r>
      <w:r>
        <w:rPr>
          <w:w w:val="100"/>
        </w:rPr>
        <w:t> </w:t>
      </w:r>
      <w:r>
        <w:rPr>
          <w:spacing w:val="-2"/>
        </w:rPr>
        <w:t>现有业务的基础上，努力落实业务转型。行业环境将引导盈利模式从监管套利、简单通道模式逐</w:t>
      </w:r>
      <w:r>
        <w:rPr>
          <w:spacing w:val="-25"/>
        </w:rPr>
        <w:t> </w:t>
      </w:r>
      <w:r>
        <w:rPr>
          <w:spacing w:val="-25"/>
        </w:rPr>
      </w:r>
      <w:r>
        <w:rPr>
          <w:spacing w:val="-2"/>
        </w:rPr>
        <w:t>步转向为资本中介、资产配置、资产定价模式发展。行业竞争逐步从同质化转向差异化，行业总</w:t>
      </w:r>
      <w:r>
        <w:rPr>
          <w:spacing w:val="-25"/>
        </w:rPr>
        <w:t> </w:t>
      </w:r>
      <w:r>
        <w:rPr>
          <w:spacing w:val="-25"/>
        </w:rPr>
      </w:r>
      <w:r>
        <w:rPr/>
        <w:t>体发展面临着巨大机遇和挑战。</w:t>
      </w:r>
    </w:p>
    <w:p>
      <w:pPr>
        <w:pStyle w:val="BodyText"/>
        <w:spacing w:line="357" w:lineRule="auto" w:before="32"/>
        <w:ind w:left="138" w:right="137" w:firstLine="419"/>
        <w:jc w:val="both"/>
      </w:pPr>
      <w:r>
        <w:rPr>
          <w:spacing w:val="-2"/>
        </w:rPr>
        <w:t>金融科技应用在推动金融行业转型发展的同时，金融业务发展变革也在不断衍生出新的技术</w:t>
      </w:r>
      <w:r>
        <w:rPr>
          <w:w w:val="100"/>
        </w:rPr>
        <w:t> </w:t>
      </w:r>
      <w:r>
        <w:rPr>
          <w:spacing w:val="-2"/>
        </w:rPr>
        <w:t>应用需求，将实现对金融科技创新发展的反向驱动。这种驱动可以从发展和监管两条主线上得到</w:t>
      </w:r>
      <w:r>
        <w:rPr>
          <w:spacing w:val="-25"/>
        </w:rPr>
        <w:t> </w:t>
      </w:r>
      <w:r>
        <w:rPr>
          <w:spacing w:val="-25"/>
        </w:rPr>
      </w:r>
      <w:r>
        <w:rPr>
          <w:spacing w:val="-2"/>
        </w:rPr>
        <w:t>显著体现：一方面新技术的应用将衍生出新的业务发展模式，而新的业务模式必然对业务支撑平</w:t>
      </w:r>
      <w:r>
        <w:rPr>
          <w:spacing w:val="-25"/>
        </w:rPr>
        <w:t> </w:t>
      </w:r>
      <w:r>
        <w:rPr>
          <w:spacing w:val="-25"/>
        </w:rPr>
      </w:r>
      <w:r>
        <w:rPr>
          <w:spacing w:val="-2"/>
        </w:rPr>
        <w:t>台、客户管理、营销服务、风控合规等多个领域信息系统提出一系列新需求。另一方面监管的要</w:t>
      </w:r>
      <w:r>
        <w:rPr>
          <w:spacing w:val="-25"/>
        </w:rPr>
        <w:t> </w:t>
      </w:r>
      <w:r>
        <w:rPr>
          <w:spacing w:val="-25"/>
        </w:rPr>
      </w:r>
      <w:r>
        <w:rPr>
          <w:spacing w:val="-2"/>
        </w:rPr>
        <w:t>求诞生新的需求，监管新规的出台，必然伴随着与之对应的业务体系和技术体系进行针对性的梳</w:t>
      </w:r>
      <w:r>
        <w:rPr>
          <w:spacing w:val="-25"/>
        </w:rPr>
        <w:t> </w:t>
      </w:r>
      <w:r>
        <w:rPr>
          <w:spacing w:val="-25"/>
        </w:rPr>
      </w:r>
      <w:r>
        <w:rPr/>
        <w:t>理、改造和系统建设工作，调整数据报表、业务流程和风险控制等方面满足监管要求。</w:t>
      </w:r>
    </w:p>
    <w:p>
      <w:pPr>
        <w:pStyle w:val="BodyText"/>
        <w:spacing w:line="355" w:lineRule="auto" w:before="30"/>
        <w:ind w:left="138" w:right="137" w:firstLine="419"/>
        <w:jc w:val="both"/>
      </w:pPr>
      <w:r>
        <w:rPr>
          <w:spacing w:val="-2"/>
        </w:rPr>
        <w:t>无论是金融产品、金融市场的不断发展，还是监管要求的不断变化，无论是营销服务手段的</w:t>
      </w:r>
      <w:r>
        <w:rPr>
          <w:w w:val="100"/>
        </w:rPr>
        <w:t> </w:t>
      </w:r>
      <w:r>
        <w:rPr>
          <w:spacing w:val="-2"/>
        </w:rPr>
        <w:t>变化，还是创新商业模式的变革，均带来大量的信息化机会。大数据、云计算、人工智能、区块</w:t>
      </w:r>
      <w:r>
        <w:rPr>
          <w:spacing w:val="-25"/>
        </w:rPr>
        <w:t> </w:t>
      </w:r>
      <w:r>
        <w:rPr>
          <w:spacing w:val="-25"/>
        </w:rPr>
      </w:r>
      <w:r>
        <w:rPr>
          <w:spacing w:val="-2"/>
        </w:rPr>
        <w:t>链为代表的新技术更是深刻地影响大金融行业，金融科技已经成为推动中国金融进步的重要力量</w:t>
      </w:r>
      <w:r>
        <w:rPr>
          <w:spacing w:val="-25"/>
        </w:rPr>
        <w:t> </w:t>
      </w:r>
      <w:r>
        <w:rPr>
          <w:spacing w:val="-25"/>
        </w:rPr>
      </w:r>
      <w:r>
        <w:rPr/>
        <w:t>之一。</w:t>
      </w:r>
    </w:p>
    <w:p>
      <w:pPr>
        <w:spacing w:line="240" w:lineRule="auto" w:before="13"/>
        <w:rPr>
          <w:rFonts w:ascii="宋体" w:hAnsi="宋体" w:cs="宋体" w:eastAsia="宋体" w:hint="default"/>
          <w:sz w:val="27"/>
          <w:szCs w:val="27"/>
        </w:rPr>
      </w:pPr>
    </w:p>
    <w:p>
      <w:pPr>
        <w:pStyle w:val="Heading3"/>
        <w:spacing w:line="240" w:lineRule="auto"/>
        <w:ind w:left="138" w:right="0"/>
        <w:jc w:val="left"/>
        <w:rPr>
          <w:b w:val="0"/>
          <w:bCs w:val="0"/>
        </w:rPr>
      </w:pPr>
      <w:r>
        <w:rPr/>
        <w:t>二、报告期内公司主要资产发生重大变化情况的说明</w:t>
      </w:r>
      <w:r>
        <w:rPr>
          <w:b w:val="0"/>
          <w:bCs w:val="0"/>
        </w:rPr>
      </w:r>
    </w:p>
    <w:p>
      <w:pPr>
        <w:pStyle w:val="BodyText"/>
        <w:spacing w:line="240" w:lineRule="auto" w:before="58"/>
        <w:ind w:left="13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3"/>
        <w:spacing w:line="240" w:lineRule="auto"/>
        <w:ind w:left="138" w:right="0"/>
        <w:jc w:val="left"/>
        <w:rPr>
          <w:b w:val="0"/>
          <w:bCs w:val="0"/>
        </w:rPr>
      </w:pPr>
      <w:r>
        <w:rPr/>
        <w:t>三、报告期内核心竞争力分析</w:t>
      </w:r>
      <w:r>
        <w:rPr>
          <w:b w:val="0"/>
          <w:bCs w:val="0"/>
        </w:rPr>
      </w:r>
    </w:p>
    <w:p>
      <w:pPr>
        <w:pStyle w:val="BodyText"/>
        <w:spacing w:line="274" w:lineRule="exact" w:before="57"/>
        <w:ind w:left="138" w:right="0"/>
        <w:jc w:val="left"/>
      </w:pPr>
      <w:r>
        <w:rPr/>
        <w:t>√适用</w:t>
      </w:r>
      <w:r>
        <w:rPr>
          <w:spacing w:val="-1"/>
        </w:rPr>
        <w:t> </w:t>
      </w:r>
      <w:r>
        <w:rPr/>
        <w:t>□不适用</w:t>
      </w:r>
    </w:p>
    <w:p>
      <w:pPr>
        <w:pStyle w:val="BodyText"/>
        <w:spacing w:line="237" w:lineRule="auto" w:before="2"/>
        <w:ind w:left="138" w:right="0"/>
        <w:jc w:val="left"/>
      </w:pPr>
      <w:r>
        <w:rPr/>
        <w:t>（</w:t>
      </w:r>
      <w:r>
        <w:rPr>
          <w:rFonts w:ascii="宋体" w:hAnsi="宋体" w:cs="宋体" w:eastAsia="宋体" w:hint="default"/>
        </w:rPr>
        <w:t>1</w:t>
      </w:r>
      <w:r>
        <w:rPr/>
        <w:t>）持续创新能力和核心技术优势</w:t>
      </w:r>
      <w:r>
        <w:rPr>
          <w:w w:val="100"/>
        </w:rPr>
        <w:t> </w:t>
      </w:r>
      <w:r>
        <w:rPr>
          <w:spacing w:val="-2"/>
        </w:rPr>
        <w:t>公司的持续创新和研发形成了诸多领域的核心技术，包括分布式交易中间件、业务架构中间件及</w:t>
      </w:r>
      <w:r>
        <w:rPr>
          <w:spacing w:val="-25"/>
        </w:rPr>
        <w:t> </w:t>
      </w:r>
      <w:r>
        <w:rPr>
          <w:spacing w:val="-25"/>
        </w:rPr>
      </w:r>
      <w:r>
        <w:rPr>
          <w:spacing w:val="-2"/>
        </w:rPr>
        <w:t>其开发工具、内存数据库、身份认证与安全管理工具、数据整合工具、高速数据传输与实时备份</w:t>
      </w:r>
      <w:r>
        <w:rPr>
          <w:spacing w:val="-25"/>
        </w:rPr>
        <w:t> </w:t>
      </w:r>
      <w:r>
        <w:rPr>
          <w:spacing w:val="-25"/>
        </w:rPr>
      </w:r>
      <w:r>
        <w:rPr>
          <w:spacing w:val="-2"/>
        </w:rPr>
        <w:t>技术等方面。公司的核心技术优势是支撑公司在产品、服务与市场方面长期持续的竞争力的关键</w:t>
      </w:r>
      <w:r>
        <w:rPr>
          <w:spacing w:val="-25"/>
        </w:rPr>
        <w:t> </w:t>
      </w:r>
      <w:r>
        <w:rPr>
          <w:spacing w:val="-25"/>
        </w:rPr>
      </w:r>
      <w:r>
        <w:rPr/>
        <w:t>因素。</w:t>
      </w:r>
    </w:p>
    <w:p>
      <w:pPr>
        <w:pStyle w:val="BodyText"/>
        <w:spacing w:line="237" w:lineRule="auto" w:before="1"/>
        <w:ind w:left="138" w:right="0"/>
        <w:jc w:val="left"/>
      </w:pPr>
      <w:r>
        <w:rPr/>
        <w:t>（</w:t>
      </w:r>
      <w:r>
        <w:rPr>
          <w:rFonts w:ascii="宋体" w:hAnsi="宋体" w:cs="宋体" w:eastAsia="宋体" w:hint="default"/>
        </w:rPr>
        <w:t>2</w:t>
      </w:r>
      <w:r>
        <w:rPr/>
        <w:t>）创新的产品开发模式优势</w:t>
      </w:r>
      <w:r>
        <w:rPr>
          <w:w w:val="100"/>
        </w:rPr>
        <w:t> </w:t>
      </w:r>
      <w:r>
        <w:rPr>
          <w:spacing w:val="-4"/>
        </w:rPr>
        <w:t>公司采用自主研发的灵动业务架构平台（</w:t>
      </w:r>
      <w:r>
        <w:rPr>
          <w:rFonts w:ascii="宋体" w:hAnsi="宋体" w:cs="宋体" w:eastAsia="宋体" w:hint="default"/>
          <w:spacing w:val="-4"/>
        </w:rPr>
        <w:t>LiveBOS</w:t>
      </w:r>
      <w:r>
        <w:rPr>
          <w:spacing w:val="-4"/>
        </w:rPr>
        <w:t>），其给软件开发带来的敏捷性、高效性以及跨</w:t>
      </w:r>
      <w:r>
        <w:rPr>
          <w:spacing w:val="-23"/>
        </w:rPr>
        <w:t> </w:t>
      </w:r>
      <w:r>
        <w:rPr>
          <w:spacing w:val="-23"/>
        </w:rPr>
      </w:r>
      <w:r>
        <w:rPr>
          <w:spacing w:val="-2"/>
        </w:rPr>
        <w:t>行业的适用性，使公司的应用产品开发模式、技术研究及新产品开发模式、市场拓展模式、人才</w:t>
      </w:r>
      <w:r>
        <w:rPr>
          <w:spacing w:val="-25"/>
        </w:rPr>
        <w:t> </w:t>
      </w:r>
      <w:r>
        <w:rPr>
          <w:spacing w:val="-25"/>
        </w:rPr>
      </w:r>
      <w:r>
        <w:rPr>
          <w:spacing w:val="-2"/>
        </w:rPr>
        <w:t>组织和培养模式等发生了深刻的变革，成长为跨行业“基础平台＋应用方案”的综合解决方案提</w:t>
      </w:r>
      <w:r>
        <w:rPr>
          <w:spacing w:val="-25"/>
        </w:rPr>
        <w:t> </w:t>
      </w:r>
      <w:r>
        <w:rPr>
          <w:spacing w:val="-25"/>
        </w:rPr>
      </w:r>
      <w:r>
        <w:rPr>
          <w:spacing w:val="-2"/>
        </w:rPr>
        <w:t>供商。这种创新的产品开发模式，降低了项目实施成本，缩短了客户的信息化实施时间，也降低</w:t>
      </w:r>
      <w:r>
        <w:rPr>
          <w:spacing w:val="-25"/>
        </w:rPr>
        <w:t> </w:t>
      </w:r>
      <w:r>
        <w:rPr>
          <w:spacing w:val="-25"/>
        </w:rPr>
      </w:r>
      <w:r>
        <w:rPr/>
        <w:t>了客户信息化的实施成本。</w:t>
      </w:r>
    </w:p>
    <w:p>
      <w:pPr>
        <w:pStyle w:val="BodyText"/>
        <w:spacing w:line="237" w:lineRule="auto" w:before="2"/>
        <w:ind w:left="138" w:right="0"/>
        <w:jc w:val="left"/>
      </w:pPr>
      <w:r>
        <w:rPr/>
        <w:t>（</w:t>
      </w:r>
      <w:r>
        <w:rPr>
          <w:rFonts w:ascii="宋体" w:hAnsi="宋体" w:cs="宋体" w:eastAsia="宋体" w:hint="default"/>
        </w:rPr>
        <w:t>3</w:t>
      </w:r>
      <w:r>
        <w:rPr/>
        <w:t>）客户及行业经验的优势</w:t>
      </w:r>
      <w:r>
        <w:rPr>
          <w:w w:val="100"/>
        </w:rPr>
        <w:t> </w:t>
      </w:r>
      <w:r>
        <w:rPr>
          <w:spacing w:val="-2"/>
        </w:rPr>
        <w:t>公司在证券行业信息化深耕多年，拥有广泛的客户基础和多年的证券市场信息化服务经验，依托</w:t>
      </w:r>
      <w:r>
        <w:rPr>
          <w:spacing w:val="-25"/>
        </w:rPr>
        <w:t> </w:t>
      </w:r>
      <w:r>
        <w:rPr>
          <w:spacing w:val="-25"/>
        </w:rPr>
      </w:r>
      <w:r>
        <w:rPr/>
        <w:t>技术平台积累，持续推动金融证券领域的技术发展，保持在这一领域的专业优势。</w:t>
      </w:r>
    </w:p>
    <w:p>
      <w:pPr>
        <w:spacing w:after="0" w:line="237" w:lineRule="auto"/>
        <w:jc w:val="left"/>
        <w:sectPr>
          <w:footerReference w:type="default" r:id="rId11"/>
          <w:pgSz w:w="11910" w:h="16840"/>
          <w:pgMar w:footer="1195" w:header="855" w:top="1320" w:bottom="1380" w:left="1660" w:right="1140"/>
        </w:sectPr>
      </w:pPr>
    </w:p>
    <w:p>
      <w:pPr>
        <w:spacing w:line="240" w:lineRule="auto" w:before="4"/>
        <w:rPr>
          <w:rFonts w:ascii="宋体" w:hAnsi="宋体" w:cs="宋体" w:eastAsia="宋体" w:hint="default"/>
          <w:sz w:val="9"/>
          <w:szCs w:val="9"/>
        </w:rPr>
      </w:pPr>
    </w:p>
    <w:p>
      <w:pPr>
        <w:pStyle w:val="BodyText"/>
        <w:spacing w:line="237" w:lineRule="auto" w:before="38"/>
        <w:ind w:left="138" w:right="0"/>
        <w:jc w:val="left"/>
      </w:pPr>
      <w:r>
        <w:rPr/>
        <w:t>（</w:t>
      </w:r>
      <w:r>
        <w:rPr>
          <w:rFonts w:ascii="宋体" w:hAnsi="宋体" w:cs="宋体" w:eastAsia="宋体" w:hint="default"/>
        </w:rPr>
        <w:t>4</w:t>
      </w:r>
      <w:r>
        <w:rPr/>
        <w:t>）快速满足客户个性化需求的能力</w:t>
      </w:r>
      <w:r>
        <w:rPr>
          <w:w w:val="100"/>
        </w:rPr>
        <w:t> </w:t>
      </w:r>
      <w:r>
        <w:rPr>
          <w:spacing w:val="-2"/>
        </w:rPr>
        <w:t>近年来，券商为追求自身的独特优势的建立，对个性化软件的需求不断增长。公司拥有自主研发</w:t>
      </w:r>
      <w:r>
        <w:rPr>
          <w:spacing w:val="-25"/>
        </w:rPr>
        <w:t> </w:t>
      </w:r>
      <w:r>
        <w:rPr>
          <w:spacing w:val="-25"/>
        </w:rPr>
      </w:r>
      <w:r>
        <w:rPr>
          <w:spacing w:val="-2"/>
        </w:rPr>
        <w:t>的灵动业务架构平台和优秀的人员团队，建立了一整套满足随需定制的研发、交付和服务体系，</w:t>
      </w:r>
      <w:r>
        <w:rPr>
          <w:spacing w:val="-25"/>
        </w:rPr>
        <w:t> </w:t>
      </w:r>
      <w:r>
        <w:rPr>
          <w:spacing w:val="-25"/>
        </w:rPr>
      </w:r>
      <w:r>
        <w:rPr/>
        <w:t>形成了具有竞争力的快速满足客户个性化需求的软件开发与定制能力。</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pStyle w:val="Heading1"/>
        <w:tabs>
          <w:tab w:pos="3918" w:val="left" w:leader="none"/>
        </w:tabs>
        <w:spacing w:line="240" w:lineRule="auto"/>
        <w:ind w:left="2658" w:right="0"/>
        <w:jc w:val="left"/>
        <w:rPr>
          <w:b w:val="0"/>
          <w:bCs w:val="0"/>
        </w:rPr>
      </w:pPr>
      <w:bookmarkStart w:name="_TOC_250008" w:id="4"/>
      <w:r>
        <w:rPr>
          <w:w w:val="95"/>
        </w:rPr>
        <w:t>第四节</w:t>
        <w:tab/>
      </w:r>
      <w:r>
        <w:rPr/>
        <w:t>经营情况讨论与分析</w:t>
      </w:r>
      <w:bookmarkEnd w:id="4"/>
      <w:r>
        <w:rPr>
          <w:b w:val="0"/>
          <w:bCs w:val="0"/>
        </w:rPr>
      </w:r>
    </w:p>
    <w:p>
      <w:pPr>
        <w:spacing w:line="240" w:lineRule="auto" w:before="4"/>
        <w:rPr>
          <w:rFonts w:ascii="黑体" w:hAnsi="黑体" w:cs="黑体" w:eastAsia="黑体" w:hint="default"/>
          <w:b/>
          <w:bCs/>
          <w:sz w:val="19"/>
          <w:szCs w:val="19"/>
        </w:rPr>
      </w:pPr>
    </w:p>
    <w:p>
      <w:pPr>
        <w:pStyle w:val="Heading3"/>
        <w:spacing w:line="240" w:lineRule="auto"/>
        <w:ind w:left="138" w:right="0"/>
        <w:jc w:val="left"/>
        <w:rPr>
          <w:b w:val="0"/>
          <w:bCs w:val="0"/>
        </w:rPr>
      </w:pPr>
      <w:r>
        <w:rPr/>
        <w:t>一、经营情况讨论与分析</w:t>
      </w:r>
      <w:r>
        <w:rPr>
          <w:b w:val="0"/>
          <w:bCs w:val="0"/>
        </w:rPr>
      </w:r>
    </w:p>
    <w:p>
      <w:pPr>
        <w:pStyle w:val="BodyText"/>
        <w:spacing w:line="237" w:lineRule="auto" w:before="61"/>
        <w:ind w:left="138" w:right="0"/>
        <w:jc w:val="left"/>
      </w:pPr>
      <w:r>
        <w:rPr>
          <w:rFonts w:ascii="宋体" w:hAnsi="宋体" w:cs="宋体" w:eastAsia="宋体" w:hint="default"/>
          <w:spacing w:val="-4"/>
        </w:rPr>
        <w:t>(1)</w:t>
      </w:r>
      <w:r>
        <w:rPr>
          <w:spacing w:val="-4"/>
        </w:rPr>
        <w:t>证券行业信息化业务：公司在证券行业信息化业务方面主要有基础支撑、业务运营、营销服务</w:t>
      </w:r>
      <w:r>
        <w:rPr>
          <w:spacing w:val="-29"/>
        </w:rPr>
        <w:t> </w:t>
      </w:r>
      <w:r>
        <w:rPr>
          <w:spacing w:val="-29"/>
        </w:rPr>
      </w:r>
      <w:r>
        <w:rPr>
          <w:spacing w:val="-2"/>
        </w:rPr>
        <w:t>等系列产品及解决方案。报告期内，在证券行业不断拓宽服务领域，做精产品和服务，从零售拓</w:t>
      </w:r>
      <w:r>
        <w:rPr>
          <w:spacing w:val="-25"/>
        </w:rPr>
        <w:t> </w:t>
      </w:r>
      <w:r>
        <w:rPr>
          <w:spacing w:val="-25"/>
        </w:rPr>
      </w:r>
      <w:r>
        <w:rPr>
          <w:spacing w:val="-2"/>
        </w:rPr>
        <w:t>展到网金、财富、机构，从场内拓展到场外、投行、资管，所提供的产品与服务已经贯穿证券行</w:t>
      </w:r>
      <w:r>
        <w:rPr>
          <w:spacing w:val="-25"/>
        </w:rPr>
        <w:t> </w:t>
      </w:r>
      <w:r>
        <w:rPr>
          <w:spacing w:val="-25"/>
        </w:rPr>
      </w:r>
      <w:r>
        <w:rPr/>
        <w:t>业大部分领域。在证券行业，内存交易、集中运营、</w:t>
      </w:r>
      <w:r>
        <w:rPr>
          <w:rFonts w:ascii="宋体" w:hAnsi="宋体" w:cs="宋体" w:eastAsia="宋体" w:hint="default"/>
        </w:rPr>
        <w:t>CRM</w:t>
      </w:r>
      <w:r>
        <w:rPr>
          <w:rFonts w:ascii="宋体" w:hAnsi="宋体" w:cs="宋体" w:eastAsia="宋体" w:hint="default"/>
          <w:spacing w:val="-3"/>
        </w:rPr>
        <w:t> </w:t>
      </w:r>
      <w:r>
        <w:rPr/>
        <w:t>等核心产品用户规模持续扩大。</w:t>
      </w:r>
      <w:r>
        <w:rPr>
          <w:w w:val="100"/>
        </w:rPr>
        <w:t> </w:t>
      </w:r>
      <w:r>
        <w:rPr>
          <w:rFonts w:ascii="宋体" w:hAnsi="宋体" w:cs="宋体" w:eastAsia="宋体" w:hint="default"/>
          <w:spacing w:val="-6"/>
        </w:rPr>
        <w:t>a.</w:t>
      </w:r>
      <w:r>
        <w:rPr>
          <w:spacing w:val="-6"/>
        </w:rPr>
        <w:t>基础支撑类产品：基础支撑类产品包括集中交易、内存快速交易、资金支付、托管清算等系统。</w:t>
      </w:r>
      <w:r>
        <w:rPr>
          <w:spacing w:val="-49"/>
        </w:rPr>
        <w:t> </w:t>
      </w:r>
      <w:r>
        <w:rPr>
          <w:spacing w:val="-49"/>
        </w:rPr>
      </w:r>
      <w:r>
        <w:rPr>
          <w:spacing w:val="-2"/>
        </w:rPr>
        <w:t>报告期完成了行业监管要求的投资者适当性、股份减持新规、债券发行等相关产品的升级、改造</w:t>
      </w:r>
      <w:r>
        <w:rPr>
          <w:spacing w:val="-25"/>
        </w:rPr>
        <w:t> </w:t>
      </w:r>
      <w:r>
        <w:rPr>
          <w:spacing w:val="-25"/>
        </w:rPr>
      </w:r>
      <w:r>
        <w:rPr>
          <w:spacing w:val="-2"/>
        </w:rPr>
        <w:t>工作，完成了新一代快速交易系统的设计开发，实现从纯粹的交易通道向满足不同类型专业投资</w:t>
      </w:r>
      <w:r>
        <w:rPr>
          <w:spacing w:val="-25"/>
        </w:rPr>
        <w:t> </w:t>
      </w:r>
      <w:r>
        <w:rPr>
          <w:spacing w:val="-25"/>
        </w:rPr>
      </w:r>
      <w:r>
        <w:rPr>
          <w:spacing w:val="-2"/>
        </w:rPr>
        <w:t>者的个性化交易平台的转变升级，将“交易”、“数据”和“开发服务”紧密结合，为券商在专</w:t>
      </w:r>
      <w:r>
        <w:rPr>
          <w:spacing w:val="-24"/>
        </w:rPr>
        <w:t> </w:t>
      </w:r>
      <w:r>
        <w:rPr>
          <w:spacing w:val="-24"/>
        </w:rPr>
      </w:r>
      <w:r>
        <w:rPr>
          <w:spacing w:val="-6"/>
        </w:rPr>
        <w:t>业投资者服务、机构业务接入、零售客户分流等方面提供支持。内存快速交易系统新增国泰君安、</w:t>
      </w:r>
      <w:r>
        <w:rPr>
          <w:spacing w:val="-54"/>
        </w:rPr>
        <w:t> </w:t>
      </w:r>
      <w:r>
        <w:rPr>
          <w:spacing w:val="-54"/>
        </w:rPr>
      </w:r>
      <w:r>
        <w:rPr/>
        <w:t>国都证券等客户，保持该细分市场的领先地位。</w:t>
      </w:r>
      <w:r>
        <w:rPr>
          <w:w w:val="100"/>
        </w:rPr>
        <w:t> </w:t>
      </w:r>
      <w:r>
        <w:rPr>
          <w:spacing w:val="-2"/>
        </w:rPr>
        <w:t>在期货交易领域，报告期内完成期货客户的大连期权、郑州期权上线技术工作。并与大连商品交</w:t>
      </w:r>
      <w:r>
        <w:rPr>
          <w:spacing w:val="-25"/>
        </w:rPr>
        <w:t> </w:t>
      </w:r>
      <w:r>
        <w:rPr>
          <w:spacing w:val="-25"/>
        </w:rPr>
      </w:r>
      <w:r>
        <w:rPr>
          <w:spacing w:val="-2"/>
        </w:rPr>
        <w:t>易所下属的大连飞创公司合作，在期货领域推出证券个股期权解决方案，新增银河期货、光大期</w:t>
      </w:r>
      <w:r>
        <w:rPr>
          <w:spacing w:val="-25"/>
        </w:rPr>
        <w:t> </w:t>
      </w:r>
      <w:r>
        <w:rPr>
          <w:spacing w:val="-25"/>
        </w:rPr>
      </w:r>
      <w:r>
        <w:rPr/>
        <w:t>货、中泰期货、西部期货等客户。</w:t>
      </w:r>
      <w:r>
        <w:rPr>
          <w:w w:val="100"/>
        </w:rPr>
        <w:t> </w:t>
      </w:r>
      <w:r>
        <w:rPr>
          <w:rFonts w:ascii="宋体" w:hAnsi="宋体" w:cs="宋体" w:eastAsia="宋体" w:hint="default"/>
          <w:spacing w:val="-2"/>
        </w:rPr>
        <w:t>b.</w:t>
      </w:r>
      <w:r>
        <w:rPr>
          <w:spacing w:val="-2"/>
        </w:rPr>
        <w:t>业务运营类产品：业务运营类产品包括业务受理终端、运营流程信息化、非现场双录、电子合</w:t>
      </w:r>
      <w:r>
        <w:rPr>
          <w:spacing w:val="-24"/>
        </w:rPr>
        <w:t> </w:t>
      </w:r>
      <w:r>
        <w:rPr>
          <w:spacing w:val="-24"/>
        </w:rPr>
      </w:r>
      <w:r>
        <w:rPr>
          <w:spacing w:val="-13"/>
        </w:rPr>
        <w:t>同、无纸化等系统。报告期通过优化流程、迭代开发，新推出</w:t>
      </w:r>
      <w:r>
        <w:rPr>
          <w:spacing w:val="-39"/>
        </w:rPr>
        <w:t> </w:t>
      </w:r>
      <w:r>
        <w:rPr>
          <w:rFonts w:ascii="宋体" w:hAnsi="宋体" w:cs="宋体" w:eastAsia="宋体" w:hint="default"/>
        </w:rPr>
        <w:t>iPAD</w:t>
      </w:r>
      <w:r>
        <w:rPr>
          <w:rFonts w:ascii="宋体" w:hAnsi="宋体" w:cs="宋体" w:eastAsia="宋体" w:hint="default"/>
          <w:spacing w:val="-39"/>
        </w:rPr>
        <w:t> </w:t>
      </w:r>
      <w:r>
        <w:rPr/>
        <w:t>受理端产品和智慧柜员机产品，</w:t>
      </w:r>
      <w:r>
        <w:rPr>
          <w:spacing w:val="-99"/>
        </w:rPr>
        <w:t> </w:t>
      </w:r>
      <w:r>
        <w:rPr>
          <w:spacing w:val="-99"/>
        </w:rPr>
      </w:r>
      <w:r>
        <w:rPr/>
        <w:t>并着手数字化大运营的研究工作。</w:t>
      </w:r>
      <w:r>
        <w:rPr>
          <w:w w:val="100"/>
        </w:rPr>
        <w:t> </w:t>
      </w:r>
      <w:r>
        <w:rPr>
          <w:spacing w:val="-2"/>
        </w:rPr>
        <w:t>报告期内集中完成了客户版本的统一升级，为未来的技术维护与升级工作提供便利，新增了中信</w:t>
      </w:r>
      <w:r>
        <w:rPr>
          <w:spacing w:val="-25"/>
        </w:rPr>
        <w:t> </w:t>
      </w:r>
      <w:r>
        <w:rPr>
          <w:spacing w:val="-25"/>
        </w:rPr>
      </w:r>
      <w:r>
        <w:rPr/>
        <w:t>证券、长江证券、申港证券等客户，市场的优势地位得到巩固，有利于未来业务的拓展。</w:t>
      </w:r>
      <w:r>
        <w:rPr>
          <w:w w:val="100"/>
        </w:rPr>
        <w:t> </w:t>
      </w:r>
      <w:r>
        <w:rPr>
          <w:rFonts w:ascii="宋体" w:hAnsi="宋体" w:cs="宋体" w:eastAsia="宋体" w:hint="default"/>
          <w:spacing w:val="-2"/>
        </w:rPr>
        <w:t>c.</w:t>
      </w:r>
      <w:r>
        <w:rPr>
          <w:spacing w:val="-2"/>
        </w:rPr>
        <w:t>营销服务类产品：营销服务类产品包括客户管理、产品管理、营销管理、服务管理等系统。营</w:t>
      </w:r>
      <w:r>
        <w:rPr>
          <w:spacing w:val="-24"/>
        </w:rPr>
        <w:t> </w:t>
      </w:r>
      <w:r>
        <w:rPr>
          <w:spacing w:val="-24"/>
        </w:rPr>
      </w:r>
      <w:r>
        <w:rPr>
          <w:spacing w:val="-2"/>
        </w:rPr>
        <w:t>销服务类产品新增了国金证券等客户，市场占有率继续保持领先优势。产品中心管理系统推广也</w:t>
      </w:r>
      <w:r>
        <w:rPr>
          <w:spacing w:val="-25"/>
        </w:rPr>
        <w:t> </w:t>
      </w:r>
      <w:r>
        <w:rPr>
          <w:spacing w:val="-25"/>
        </w:rPr>
      </w:r>
      <w:r>
        <w:rPr>
          <w:spacing w:val="-2"/>
        </w:rPr>
        <w:t>获得突破，新增中信建投证券、东方证券、中银国际证券等客户。期货营销服务类产品在平稳推</w:t>
      </w:r>
      <w:r>
        <w:rPr>
          <w:spacing w:val="-25"/>
        </w:rPr>
        <w:t> </w:t>
      </w:r>
      <w:r>
        <w:rPr>
          <w:spacing w:val="-25"/>
        </w:rPr>
      </w:r>
      <w:r>
        <w:rPr>
          <w:spacing w:val="-2"/>
        </w:rPr>
        <w:t>进，新增格林大华期货、西南期货、徽商期货等多家期货客户。报告期内随着期权的推出与适当</w:t>
      </w:r>
      <w:r>
        <w:rPr>
          <w:spacing w:val="-25"/>
        </w:rPr>
        <w:t> </w:t>
      </w:r>
      <w:r>
        <w:rPr>
          <w:spacing w:val="-25"/>
        </w:rPr>
      </w:r>
      <w:r>
        <w:rPr/>
        <w:t>性、反洗钱的监管要求，整个期货综合管理系统产品线的营收有所增加。</w:t>
      </w:r>
      <w:r>
        <w:rPr>
          <w:w w:val="100"/>
        </w:rPr>
        <w:t> </w:t>
      </w:r>
      <w:r>
        <w:rPr>
          <w:rFonts w:ascii="宋体" w:hAnsi="宋体" w:cs="宋体" w:eastAsia="宋体" w:hint="default"/>
          <w:spacing w:val="-2"/>
        </w:rPr>
        <w:t>d.</w:t>
      </w:r>
      <w:r>
        <w:rPr>
          <w:spacing w:val="-2"/>
        </w:rPr>
        <w:t>金融互联网化应用：主要包括各类角色人员的移动终端、金融产品商城、各类业务自助受理终</w:t>
      </w:r>
      <w:r>
        <w:rPr>
          <w:spacing w:val="-24"/>
        </w:rPr>
        <w:t> </w:t>
      </w:r>
      <w:r>
        <w:rPr>
          <w:spacing w:val="-24"/>
        </w:rPr>
      </w:r>
      <w:r>
        <w:rPr>
          <w:spacing w:val="-2"/>
        </w:rPr>
        <w:t>端、基于大数据的客户画像和投资者数据服务、在线客服、智能投顾等系统。部分产品在安信证</w:t>
      </w:r>
      <w:r>
        <w:rPr>
          <w:spacing w:val="-25"/>
        </w:rPr>
        <w:t> </w:t>
      </w:r>
      <w:r>
        <w:rPr>
          <w:spacing w:val="-25"/>
        </w:rPr>
      </w:r>
      <w:r>
        <w:rPr>
          <w:spacing w:val="-2"/>
        </w:rPr>
        <w:t>券、长江证券、华鑫证券、申万宏源证券、信达证券、财通证券投入运行，为将来业务增长奠定</w:t>
      </w:r>
      <w:r>
        <w:rPr>
          <w:spacing w:val="-25"/>
        </w:rPr>
        <w:t> </w:t>
      </w:r>
      <w:r>
        <w:rPr>
          <w:spacing w:val="-25"/>
        </w:rPr>
      </w:r>
      <w:r>
        <w:rPr/>
        <w:t>基础。</w:t>
      </w:r>
    </w:p>
    <w:p>
      <w:pPr>
        <w:spacing w:line="240" w:lineRule="auto" w:before="11"/>
        <w:rPr>
          <w:rFonts w:ascii="宋体" w:hAnsi="宋体" w:cs="宋体" w:eastAsia="宋体" w:hint="default"/>
          <w:sz w:val="20"/>
          <w:szCs w:val="20"/>
        </w:rPr>
      </w:pPr>
    </w:p>
    <w:p>
      <w:pPr>
        <w:pStyle w:val="BodyText"/>
        <w:spacing w:line="237" w:lineRule="auto"/>
        <w:ind w:left="138" w:right="0"/>
        <w:jc w:val="left"/>
      </w:pPr>
      <w:r>
        <w:rPr>
          <w:rFonts w:ascii="宋体" w:hAnsi="宋体" w:cs="宋体" w:eastAsia="宋体" w:hint="default"/>
        </w:rPr>
        <w:t>(2) </w:t>
      </w:r>
      <w:r>
        <w:rPr/>
        <w:t>非证券金融信息化业务：</w:t>
      </w:r>
      <w:r>
        <w:rPr>
          <w:w w:val="100"/>
        </w:rPr>
        <w:t> </w:t>
      </w:r>
      <w:r>
        <w:rPr>
          <w:spacing w:val="-2"/>
        </w:rPr>
        <w:t>在更广阔的多层次资本市场，公司在信托、基金、中小银行、电子交易市场、私募等行业的拓展</w:t>
      </w:r>
      <w:r>
        <w:rPr>
          <w:spacing w:val="-25"/>
        </w:rPr>
        <w:t> </w:t>
      </w:r>
      <w:r>
        <w:rPr>
          <w:spacing w:val="-25"/>
        </w:rPr>
      </w:r>
      <w:r>
        <w:rPr/>
        <w:t>取得了显著成效，新增南方基金、华能信托等一大批有行业影响力的客户。</w:t>
      </w:r>
    </w:p>
    <w:p>
      <w:pPr>
        <w:pStyle w:val="BodyText"/>
        <w:spacing w:line="237" w:lineRule="auto"/>
        <w:ind w:left="138" w:right="127"/>
        <w:jc w:val="both"/>
      </w:pPr>
      <w:r>
        <w:rPr>
          <w:rFonts w:ascii="宋体" w:hAnsi="宋体" w:cs="宋体" w:eastAsia="宋体" w:hint="default"/>
        </w:rPr>
        <w:t>a</w:t>
      </w:r>
      <w:r>
        <w:rPr>
          <w:rFonts w:ascii="宋体" w:hAnsi="宋体" w:cs="宋体" w:eastAsia="宋体" w:hint="default"/>
          <w:spacing w:val="-38"/>
        </w:rPr>
        <w:t> </w:t>
      </w:r>
      <w:r>
        <w:rPr/>
        <w:t>电子交易市场：</w:t>
      </w:r>
      <w:r>
        <w:rPr>
          <w:spacing w:val="-10"/>
        </w:rPr>
        <w:t> </w:t>
      </w:r>
      <w:r>
        <w:rPr>
          <w:rFonts w:ascii="宋体" w:hAnsi="宋体" w:cs="宋体" w:eastAsia="宋体" w:hint="default"/>
        </w:rPr>
        <w:t>2017</w:t>
      </w:r>
      <w:r>
        <w:rPr>
          <w:rFonts w:ascii="宋体" w:hAnsi="宋体" w:cs="宋体" w:eastAsia="宋体" w:hint="default"/>
          <w:spacing w:val="-37"/>
        </w:rPr>
        <w:t> </w:t>
      </w:r>
      <w:r>
        <w:rPr>
          <w:spacing w:val="-4"/>
        </w:rPr>
        <w:t>年在清理整顿各类交易场所的监管背景下，公司认真理解政策导向，准确</w:t>
      </w:r>
      <w:r>
        <w:rPr>
          <w:spacing w:val="-100"/>
        </w:rPr>
        <w:t> </w:t>
      </w:r>
      <w:r>
        <w:rPr>
          <w:spacing w:val="-100"/>
        </w:rPr>
      </w:r>
      <w:r>
        <w:rPr>
          <w:spacing w:val="-2"/>
        </w:rPr>
        <w:t>判断行业发展方向，市场仍取得了稳步增长。报告期内，完成了北京产权交易所北交互联项目的</w:t>
      </w:r>
      <w:r>
        <w:rPr>
          <w:spacing w:val="-25"/>
        </w:rPr>
        <w:t> </w:t>
      </w:r>
      <w:r>
        <w:rPr>
          <w:spacing w:val="-25"/>
        </w:rPr>
      </w:r>
      <w:r>
        <w:rPr>
          <w:spacing w:val="-3"/>
        </w:rPr>
        <w:t>三期建设和天津产权交易中心综合交易系统的建设、青岛场外市场清算中心</w:t>
      </w:r>
      <w:r>
        <w:rPr>
          <w:spacing w:val="-28"/>
        </w:rPr>
        <w:t> </w:t>
      </w:r>
      <w:r>
        <w:rPr>
          <w:rFonts w:ascii="宋体" w:hAnsi="宋体" w:cs="宋体" w:eastAsia="宋体" w:hint="default"/>
        </w:rPr>
        <w:t>IT</w:t>
      </w:r>
      <w:r>
        <w:rPr>
          <w:rFonts w:ascii="宋体" w:hAnsi="宋体" w:cs="宋体" w:eastAsia="宋体" w:hint="default"/>
          <w:spacing w:val="-27"/>
        </w:rPr>
        <w:t> </w:t>
      </w:r>
      <w:r>
        <w:rPr>
          <w:spacing w:val="-8"/>
        </w:rPr>
        <w:t>系统建设，承建了</w:t>
      </w:r>
      <w:r>
        <w:rPr>
          <w:spacing w:val="-95"/>
        </w:rPr>
        <w:t> </w:t>
      </w:r>
      <w:r>
        <w:rPr>
          <w:spacing w:val="-95"/>
        </w:rPr>
      </w:r>
      <w:r>
        <w:rPr/>
        <w:t>天津文化产权交易所文化</w:t>
      </w:r>
      <w:r>
        <w:rPr>
          <w:spacing w:val="-36"/>
        </w:rPr>
        <w:t> </w:t>
      </w:r>
      <w:r>
        <w:rPr>
          <w:rFonts w:ascii="宋体" w:hAnsi="宋体" w:cs="宋体" w:eastAsia="宋体" w:hint="default"/>
        </w:rPr>
        <w:t>IP</w:t>
      </w:r>
      <w:r>
        <w:rPr>
          <w:rFonts w:ascii="宋体" w:hAnsi="宋体" w:cs="宋体" w:eastAsia="宋体" w:hint="default"/>
          <w:spacing w:val="-33"/>
        </w:rPr>
        <w:t> </w:t>
      </w:r>
      <w:r>
        <w:rPr>
          <w:spacing w:val="-5"/>
        </w:rPr>
        <w:t>线上登记平台、横店影视产权交易中心、重庆科技要素交易中心交易</w:t>
      </w:r>
      <w:r>
        <w:rPr>
          <w:spacing w:val="-96"/>
        </w:rPr>
        <w:t> </w:t>
      </w:r>
      <w:r>
        <w:rPr>
          <w:spacing w:val="-96"/>
        </w:rPr>
      </w:r>
      <w:r>
        <w:rPr/>
        <w:t>系统等建设项目。</w:t>
      </w:r>
    </w:p>
    <w:p>
      <w:pPr>
        <w:pStyle w:val="BodyText"/>
        <w:spacing w:line="237" w:lineRule="auto" w:before="1"/>
        <w:ind w:left="138" w:right="137"/>
        <w:jc w:val="both"/>
      </w:pPr>
      <w:r>
        <w:rPr>
          <w:rFonts w:ascii="宋体" w:hAnsi="宋体" w:cs="宋体" w:eastAsia="宋体" w:hint="default"/>
        </w:rPr>
        <w:t>b</w:t>
      </w:r>
      <w:r>
        <w:rPr>
          <w:rFonts w:ascii="宋体" w:hAnsi="宋体" w:cs="宋体" w:eastAsia="宋体" w:hint="default"/>
          <w:spacing w:val="-55"/>
        </w:rPr>
        <w:t> </w:t>
      </w:r>
      <w:r>
        <w:rPr/>
        <w:t>中小银行：报告期内，公司坚持深耕农信市场的同时，积极开拓城商行市场，不断探索银行创</w:t>
      </w:r>
      <w:r>
        <w:rPr>
          <w:w w:val="100"/>
        </w:rPr>
        <w:t> </w:t>
      </w:r>
      <w:r>
        <w:rPr>
          <w:spacing w:val="-2"/>
        </w:rPr>
        <w:t>新解决方案，从营销、风险、内部管理等多个方面为银行构搭建应用系统，配合“数字化银行”</w:t>
      </w:r>
      <w:r>
        <w:rPr>
          <w:spacing w:val="-26"/>
        </w:rPr>
        <w:t> </w:t>
      </w:r>
      <w:r>
        <w:rPr>
          <w:spacing w:val="-26"/>
        </w:rPr>
      </w:r>
      <w:r>
        <w:rPr/>
        <w:t>的建设战略，实现精细化管理、全方位提升综合效率。</w:t>
      </w:r>
    </w:p>
    <w:p>
      <w:pPr>
        <w:spacing w:after="0" w:line="237" w:lineRule="auto"/>
        <w:jc w:val="both"/>
        <w:sectPr>
          <w:footerReference w:type="default" r:id="rId12"/>
          <w:pgSz w:w="11910" w:h="16840"/>
          <w:pgMar w:footer="1195" w:header="855" w:top="1320" w:bottom="1380" w:left="1660" w:right="1140"/>
          <w:pgNumType w:start="11"/>
        </w:sectPr>
      </w:pPr>
    </w:p>
    <w:p>
      <w:pPr>
        <w:spacing w:line="240" w:lineRule="auto" w:before="4"/>
        <w:rPr>
          <w:rFonts w:ascii="宋体" w:hAnsi="宋体" w:cs="宋体" w:eastAsia="宋体" w:hint="default"/>
          <w:sz w:val="9"/>
          <w:szCs w:val="9"/>
        </w:rPr>
      </w:pPr>
    </w:p>
    <w:p>
      <w:pPr>
        <w:pStyle w:val="BodyText"/>
        <w:spacing w:line="237" w:lineRule="auto" w:before="38"/>
        <w:ind w:right="317"/>
        <w:jc w:val="both"/>
      </w:pPr>
      <w:r>
        <w:rPr>
          <w:rFonts w:ascii="宋体" w:hAnsi="宋体" w:cs="宋体" w:eastAsia="宋体" w:hint="default"/>
        </w:rPr>
        <w:t>c</w:t>
      </w:r>
      <w:r>
        <w:rPr>
          <w:rFonts w:ascii="宋体" w:hAnsi="宋体" w:cs="宋体" w:eastAsia="宋体" w:hint="default"/>
          <w:spacing w:val="-4"/>
        </w:rPr>
        <w:t> </w:t>
      </w:r>
      <w:r>
        <w:rPr/>
        <w:t>信托：主要产品线是以资金端产品销售为核心，并以此延伸到资产端，提供互联网信托、营销</w:t>
      </w:r>
      <w:r>
        <w:rPr>
          <w:w w:val="100"/>
        </w:rPr>
        <w:t> </w:t>
      </w:r>
      <w:r>
        <w:rPr/>
        <w:t>与服务综合支持、财富</w:t>
      </w:r>
      <w:r>
        <w:rPr>
          <w:spacing w:val="-57"/>
        </w:rPr>
        <w:t> </w:t>
      </w:r>
      <w:r>
        <w:rPr>
          <w:rFonts w:ascii="宋体" w:hAnsi="宋体" w:cs="宋体" w:eastAsia="宋体" w:hint="default"/>
        </w:rPr>
        <w:t>APP</w:t>
      </w:r>
      <w:r>
        <w:rPr/>
        <w:t>、运营见证、适当性管理、反洗钱、双录系统等综合解决方案。报告</w:t>
      </w:r>
      <w:r>
        <w:rPr>
          <w:w w:val="100"/>
        </w:rPr>
        <w:t> </w:t>
      </w:r>
      <w:r>
        <w:rPr/>
        <w:t>期，新增新华信托、百瑞信托、五矿信托、西藏信托等客户。</w:t>
      </w:r>
    </w:p>
    <w:p>
      <w:pPr>
        <w:pStyle w:val="BodyText"/>
        <w:spacing w:line="237" w:lineRule="auto" w:before="1"/>
        <w:ind w:right="0"/>
        <w:jc w:val="left"/>
      </w:pPr>
      <w:r>
        <w:rPr>
          <w:rFonts w:ascii="宋体" w:hAnsi="宋体" w:cs="宋体" w:eastAsia="宋体" w:hint="default"/>
        </w:rPr>
        <w:t>d</w:t>
      </w:r>
      <w:r>
        <w:rPr>
          <w:rFonts w:ascii="宋体" w:hAnsi="宋体" w:cs="宋体" w:eastAsia="宋体" w:hint="default"/>
          <w:spacing w:val="-4"/>
        </w:rPr>
        <w:t> </w:t>
      </w:r>
      <w:r>
        <w:rPr/>
        <w:t>资管：报告期内，公司面向基金、证券资管、保险资管、银行资管等提供大资管信息化产品和</w:t>
      </w:r>
      <w:r>
        <w:rPr>
          <w:w w:val="100"/>
        </w:rPr>
        <w:t> </w:t>
      </w:r>
      <w:r>
        <w:rPr>
          <w:spacing w:val="-2"/>
        </w:rPr>
        <w:t>服务，典型客户包括南方基金、国君君安证券资管、长江证券资管、太平洋保险资管等，为公司</w:t>
      </w:r>
      <w:r>
        <w:rPr>
          <w:spacing w:val="-25"/>
        </w:rPr>
        <w:t> </w:t>
      </w:r>
      <w:r>
        <w:rPr>
          <w:spacing w:val="-25"/>
        </w:rPr>
      </w:r>
      <w:r>
        <w:rPr/>
        <w:t>创造了新的增长点。</w:t>
      </w:r>
      <w:r>
        <w:rPr>
          <w:w w:val="100"/>
        </w:rPr>
        <w:t> </w:t>
      </w:r>
      <w:r>
        <w:rPr>
          <w:rFonts w:ascii="宋体" w:hAnsi="宋体" w:cs="宋体" w:eastAsia="宋体" w:hint="default"/>
          <w:spacing w:val="-4"/>
        </w:rPr>
        <w:t>e</w:t>
      </w:r>
      <w:r>
        <w:rPr>
          <w:spacing w:val="-4"/>
        </w:rPr>
        <w:t>．私募基金行业：公司积极拓展私募基金行业信息化市场，提供私募基金全业务链综合业务解决</w:t>
      </w:r>
      <w:r>
        <w:rPr>
          <w:spacing w:val="-35"/>
        </w:rPr>
        <w:t> </w:t>
      </w:r>
      <w:r>
        <w:rPr>
          <w:spacing w:val="-35"/>
        </w:rPr>
      </w:r>
      <w:r>
        <w:rPr/>
        <w:t>方案。同时针对不同的专项投资领域，提供了更加细化的</w:t>
      </w:r>
      <w:r>
        <w:rPr>
          <w:spacing w:val="-54"/>
        </w:rPr>
        <w:t> </w:t>
      </w:r>
      <w:r>
        <w:rPr>
          <w:rFonts w:ascii="宋体" w:hAnsi="宋体" w:cs="宋体" w:eastAsia="宋体" w:hint="default"/>
        </w:rPr>
        <w:t>PPP</w:t>
      </w:r>
      <w:r>
        <w:rPr>
          <w:rFonts w:ascii="宋体" w:hAnsi="宋体" w:cs="宋体" w:eastAsia="宋体" w:hint="default"/>
          <w:spacing w:val="-56"/>
        </w:rPr>
        <w:t> </w:t>
      </w:r>
      <w:r>
        <w:rPr/>
        <w:t>投资管理系统、房地产投资管理系</w:t>
      </w:r>
      <w:r>
        <w:rPr>
          <w:w w:val="100"/>
        </w:rPr>
        <w:t> </w:t>
      </w:r>
      <w:r>
        <w:rPr/>
        <w:t>统等定制化信息系统。新增信保基金、中国电建基金、厚德前海基金等多家客户。</w:t>
      </w:r>
      <w:r>
        <w:rPr>
          <w:w w:val="100"/>
        </w:rPr>
        <w:t> </w:t>
      </w:r>
      <w:r>
        <w:rPr>
          <w:rFonts w:ascii="宋体" w:hAnsi="宋体" w:cs="宋体" w:eastAsia="宋体" w:hint="default"/>
        </w:rPr>
        <w:t>(3)</w:t>
      </w:r>
      <w:r>
        <w:rPr/>
        <w:t>金融行业外的信息化业务</w:t>
      </w:r>
    </w:p>
    <w:p>
      <w:pPr>
        <w:pStyle w:val="BodyText"/>
        <w:spacing w:line="237" w:lineRule="auto"/>
        <w:ind w:right="308"/>
        <w:jc w:val="both"/>
      </w:pPr>
      <w:r>
        <w:rPr>
          <w:spacing w:val="-7"/>
          <w:w w:val="100"/>
        </w:rPr>
        <w:t>在金融行业外的信息化业务，公司通过</w:t>
      </w:r>
      <w:r>
        <w:rPr>
          <w:spacing w:val="-47"/>
          <w:w w:val="100"/>
        </w:rPr>
        <w:t> </w:t>
      </w:r>
      <w:r>
        <w:rPr>
          <w:rFonts w:ascii="宋体" w:hAnsi="宋体" w:cs="宋体" w:eastAsia="宋体" w:hint="default"/>
          <w:w w:val="100"/>
        </w:rPr>
        <w:t>2</w:t>
      </w:r>
      <w:r>
        <w:rPr>
          <w:rFonts w:ascii="宋体" w:hAnsi="宋体" w:cs="宋体" w:eastAsia="宋体" w:hint="default"/>
          <w:spacing w:val="-49"/>
          <w:w w:val="100"/>
        </w:rPr>
        <w:t> </w:t>
      </w:r>
      <w:r>
        <w:rPr>
          <w:spacing w:val="-6"/>
          <w:w w:val="100"/>
        </w:rPr>
        <w:t>个控股子公司，分别专注企业信息化与教育信息化业务。</w:t>
      </w:r>
      <w:r>
        <w:rPr>
          <w:spacing w:val="-104"/>
          <w:w w:val="100"/>
        </w:rPr>
        <w:t> </w:t>
      </w:r>
      <w:r>
        <w:rPr>
          <w:spacing w:val="-104"/>
          <w:w w:val="100"/>
        </w:rPr>
      </w:r>
      <w:r>
        <w:rPr>
          <w:spacing w:val="-2"/>
        </w:rPr>
        <w:t>采取“平台型应用软件”的积极扩张发展战略，在各自的市场积极拓展。报告期内，在教育领域</w:t>
      </w:r>
      <w:r>
        <w:rPr>
          <w:spacing w:val="-26"/>
        </w:rPr>
        <w:t> </w:t>
      </w:r>
      <w:r>
        <w:rPr>
          <w:spacing w:val="-26"/>
        </w:rPr>
      </w:r>
      <w:r>
        <w:rPr>
          <w:spacing w:val="-2"/>
        </w:rPr>
        <w:t>重点加快亿维航的资质完善工作。报告期内，企业信息化领域，积极布局大客户线与新产品两个</w:t>
      </w:r>
      <w:r>
        <w:rPr>
          <w:spacing w:val="-25"/>
        </w:rPr>
        <w:t> </w:t>
      </w:r>
      <w:r>
        <w:rPr>
          <w:spacing w:val="-25"/>
        </w:rPr>
      </w:r>
      <w:r>
        <w:rPr>
          <w:spacing w:val="-6"/>
        </w:rPr>
        <w:t>发展方向，重点在福建省内维护并发展大客户，新增福建能源集团等多家客户，并积极拓展北京、</w:t>
      </w:r>
      <w:r>
        <w:rPr>
          <w:spacing w:val="-54"/>
        </w:rPr>
        <w:t> </w:t>
      </w:r>
      <w:r>
        <w:rPr>
          <w:spacing w:val="-54"/>
        </w:rPr>
      </w:r>
      <w:r>
        <w:rPr/>
        <w:t>武汉等省外区域市场。</w:t>
      </w:r>
    </w:p>
    <w:p>
      <w:pPr>
        <w:spacing w:line="240" w:lineRule="auto" w:before="3"/>
        <w:rPr>
          <w:rFonts w:ascii="宋体" w:hAnsi="宋体" w:cs="宋体" w:eastAsia="宋体" w:hint="default"/>
          <w:sz w:val="25"/>
          <w:szCs w:val="25"/>
        </w:rPr>
      </w:pPr>
    </w:p>
    <w:p>
      <w:pPr>
        <w:pStyle w:val="Heading3"/>
        <w:spacing w:line="240" w:lineRule="auto"/>
        <w:ind w:right="0"/>
        <w:jc w:val="both"/>
        <w:rPr>
          <w:b w:val="0"/>
          <w:bCs w:val="0"/>
        </w:rPr>
      </w:pPr>
      <w:r>
        <w:rPr/>
        <w:t>二、报告期内主要经营情况</w:t>
      </w:r>
      <w:r>
        <w:rPr>
          <w:b w:val="0"/>
          <w:bCs w:val="0"/>
        </w:rPr>
      </w:r>
    </w:p>
    <w:p>
      <w:pPr>
        <w:pStyle w:val="BodyText"/>
        <w:spacing w:line="272" w:lineRule="exact" w:before="86"/>
        <w:ind w:right="375"/>
        <w:jc w:val="both"/>
      </w:pPr>
      <w:r>
        <w:rPr/>
        <w:t>报告期内，公司实现营业总收入 </w:t>
      </w:r>
      <w:r>
        <w:rPr>
          <w:rFonts w:ascii="宋体" w:hAnsi="宋体" w:cs="宋体" w:eastAsia="宋体" w:hint="default"/>
        </w:rPr>
        <w:t>24,377.67 </w:t>
      </w:r>
      <w:r>
        <w:rPr/>
        <w:t>万元，比上年同期增长</w:t>
      </w:r>
      <w:r>
        <w:rPr>
          <w:spacing w:val="-61"/>
        </w:rPr>
        <w:t> </w:t>
      </w:r>
      <w:r>
        <w:rPr>
          <w:rFonts w:ascii="宋体" w:hAnsi="宋体" w:cs="宋体" w:eastAsia="宋体" w:hint="default"/>
        </w:rPr>
        <w:t>19.09%</w:t>
      </w:r>
      <w:r>
        <w:rPr/>
        <w:t>；实现归属于上市公</w:t>
      </w:r>
      <w:r>
        <w:rPr>
          <w:w w:val="100"/>
        </w:rPr>
        <w:t> </w:t>
      </w:r>
      <w:r>
        <w:rPr/>
        <w:t>司股东净利润 </w:t>
      </w:r>
      <w:r>
        <w:rPr>
          <w:rFonts w:ascii="宋体" w:hAnsi="宋体" w:cs="宋体" w:eastAsia="宋体" w:hint="default"/>
        </w:rPr>
        <w:t>10,190.83 </w:t>
      </w:r>
      <w:r>
        <w:rPr/>
        <w:t>万元，比上年同期增长</w:t>
      </w:r>
      <w:r>
        <w:rPr>
          <w:spacing w:val="-67"/>
        </w:rPr>
        <w:t> </w:t>
      </w:r>
      <w:r>
        <w:rPr>
          <w:rFonts w:ascii="宋体" w:hAnsi="宋体" w:cs="宋体" w:eastAsia="宋体" w:hint="default"/>
        </w:rPr>
        <w:t>44.59%</w:t>
      </w:r>
      <w:r>
        <w:rPr/>
        <w:t>，实现扣除非经常性损益后归属于上市</w:t>
      </w:r>
      <w:r>
        <w:rPr>
          <w:spacing w:val="-3"/>
          <w:w w:val="100"/>
        </w:rPr>
        <w:t> </w:t>
      </w:r>
      <w:r>
        <w:rPr/>
        <w:t>公司股东的净利润 </w:t>
      </w:r>
      <w:r>
        <w:rPr>
          <w:rFonts w:ascii="宋体" w:hAnsi="宋体" w:cs="宋体" w:eastAsia="宋体" w:hint="default"/>
        </w:rPr>
        <w:t>8,764.69 </w:t>
      </w:r>
      <w:r>
        <w:rPr/>
        <w:t>万元，比上年同期增长</w:t>
      </w:r>
      <w:r>
        <w:rPr>
          <w:spacing w:val="-61"/>
        </w:rPr>
        <w:t> </w:t>
      </w:r>
      <w:r>
        <w:rPr>
          <w:rFonts w:ascii="宋体" w:hAnsi="宋体" w:cs="宋体" w:eastAsia="宋体" w:hint="default"/>
        </w:rPr>
        <w:t>25.59%</w:t>
      </w:r>
      <w:r>
        <w:rPr/>
        <w:t>。</w:t>
      </w:r>
    </w:p>
    <w:p>
      <w:pPr>
        <w:spacing w:line="240" w:lineRule="auto" w:before="7"/>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55" w:footer="1195" w:top="1320" w:bottom="1380" w:left="1580" w:right="960"/>
        </w:sectPr>
      </w:pPr>
    </w:p>
    <w:p>
      <w:pPr>
        <w:pStyle w:val="Heading3"/>
        <w:tabs>
          <w:tab w:pos="1057" w:val="left" w:leader="none"/>
        </w:tabs>
        <w:spacing w:line="240" w:lineRule="auto" w:before="36"/>
        <w:ind w:right="-17"/>
        <w:jc w:val="left"/>
        <w:rPr>
          <w:b w:val="0"/>
          <w:bCs w:val="0"/>
        </w:rPr>
      </w:pPr>
      <w:r>
        <w:rPr>
          <w:rFonts w:ascii="宋体" w:hAnsi="宋体" w:cs="宋体" w:eastAsia="宋体" w:hint="default"/>
          <w:spacing w:val="-1"/>
        </w:rPr>
        <w:t>(</w:t>
      </w:r>
      <w:r>
        <w:rPr>
          <w:spacing w:val="-1"/>
        </w:rPr>
        <w:t>一</w:t>
      </w:r>
      <w:r>
        <w:rPr>
          <w:rFonts w:ascii="宋体" w:hAnsi="宋体" w:cs="宋体" w:eastAsia="宋体" w:hint="default"/>
          <w:spacing w:val="-1"/>
        </w:rPr>
        <w:t>)</w:t>
        <w:tab/>
      </w:r>
      <w:r>
        <w:rPr/>
        <w:t>主营业务分析</w:t>
      </w:r>
      <w:r>
        <w:rPr>
          <w:b w:val="0"/>
          <w:bCs w:val="0"/>
        </w:rPr>
      </w:r>
    </w:p>
    <w:p>
      <w:pPr>
        <w:spacing w:line="240" w:lineRule="auto" w:before="3"/>
        <w:rPr>
          <w:rFonts w:ascii="宋体" w:hAnsi="宋体" w:cs="宋体" w:eastAsia="宋体" w:hint="default"/>
          <w:b/>
          <w:bCs/>
          <w:sz w:val="28"/>
          <w:szCs w:val="28"/>
        </w:rPr>
      </w:pPr>
      <w:r>
        <w:rPr/>
        <w:br w:type="column"/>
      </w:r>
      <w:r>
        <w:rPr>
          <w:rFonts w:ascii="宋体"/>
          <w:b/>
          <w:sz w:val="28"/>
        </w:rPr>
      </w:r>
    </w:p>
    <w:p>
      <w:pPr>
        <w:pStyle w:val="Heading3"/>
        <w:spacing w:line="240" w:lineRule="auto"/>
        <w:ind w:right="0"/>
        <w:jc w:val="left"/>
        <w:rPr>
          <w:b w:val="0"/>
          <w:bCs w:val="0"/>
        </w:rPr>
      </w:pPr>
      <w:r>
        <w:rPr>
          <w:spacing w:val="-1"/>
        </w:rPr>
        <w:t>利润表及现金流量表相关科目变动分析表</w:t>
      </w:r>
      <w:r>
        <w:rPr>
          <w:b w:val="0"/>
          <w:bCs w:val="0"/>
          <w:spacing w:val="-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139" w:val="left" w:leader="none"/>
        </w:tabs>
        <w:spacing w:line="240" w:lineRule="auto" w:before="178"/>
        <w:ind w:left="193"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000" w:bottom="280" w:left="1580" w:right="960"/>
          <w:cols w:num="3" w:equalWidth="0">
            <w:col w:w="2326" w:space="377"/>
            <w:col w:w="4016" w:space="40"/>
            <w:col w:w="2611"/>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69"/>
        <w:gridCol w:w="1793"/>
        <w:gridCol w:w="1778"/>
        <w:gridCol w:w="2009"/>
      </w:tblGrid>
      <w:tr>
        <w:trPr>
          <w:trHeight w:val="281" w:hRule="exact"/>
        </w:trPr>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科目</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5"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7"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变动比例（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3" w:hRule="exact"/>
        </w:trPr>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243,776,725.70</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204,692,488.71</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19.09</w:t>
            </w:r>
          </w:p>
        </w:tc>
      </w:tr>
      <w:tr>
        <w:trPr>
          <w:trHeight w:val="283" w:hRule="exact"/>
        </w:trPr>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51,728,254.04</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42,022,488.48</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23.10</w:t>
            </w:r>
          </w:p>
        </w:tc>
      </w:tr>
      <w:tr>
        <w:trPr>
          <w:trHeight w:val="281" w:hRule="exact"/>
        </w:trPr>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29,197,043.35</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27,325,404.59</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6.85</w:t>
            </w:r>
          </w:p>
        </w:tc>
      </w:tr>
      <w:tr>
        <w:trPr>
          <w:trHeight w:val="283" w:hRule="exact"/>
        </w:trPr>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85,114,997.74</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69,246,194.03</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22.92</w:t>
            </w:r>
          </w:p>
        </w:tc>
      </w:tr>
      <w:tr>
        <w:trPr>
          <w:trHeight w:val="283" w:hRule="exact"/>
        </w:trPr>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-4,607,679.58</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-5,482,497.01</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不适用</w:t>
            </w:r>
          </w:p>
        </w:tc>
      </w:tr>
      <w:tr>
        <w:trPr>
          <w:trHeight w:val="281" w:hRule="exact"/>
        </w:trPr>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103,665,536.19</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95,193,528.98</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8.90</w:t>
            </w:r>
          </w:p>
        </w:tc>
      </w:tr>
      <w:tr>
        <w:trPr>
          <w:trHeight w:val="283" w:hRule="exact"/>
        </w:trPr>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-651,470,656.34</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-3,443,020.55</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hAnsi="宋体" w:cs="宋体" w:eastAsia="宋体" w:hint="default"/>
                <w:sz w:val="21"/>
                <w:szCs w:val="21"/>
              </w:rPr>
              <w:t>不适用</w:t>
            </w:r>
          </w:p>
        </w:tc>
      </w:tr>
      <w:tr>
        <w:trPr>
          <w:trHeight w:val="283" w:hRule="exact"/>
        </w:trPr>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401,542,195.00</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-700,000.00</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不适用</w:t>
            </w:r>
          </w:p>
        </w:tc>
      </w:tr>
      <w:tr>
        <w:trPr>
          <w:trHeight w:val="281" w:hRule="exact"/>
        </w:trPr>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研发支出</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49,771,599.02</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41,206,088.97</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20.79</w:t>
            </w:r>
          </w:p>
        </w:tc>
      </w:tr>
    </w:tbl>
    <w:p>
      <w:pPr>
        <w:pStyle w:val="BodyText"/>
        <w:spacing w:line="216" w:lineRule="auto"/>
        <w:ind w:right="0"/>
        <w:jc w:val="left"/>
      </w:pPr>
      <w:r>
        <w:rPr/>
        <w:t>营业收入变动原因说明</w:t>
      </w:r>
      <w:r>
        <w:rPr>
          <w:rFonts w:ascii="Calibri" w:hAnsi="Calibri" w:cs="Calibri" w:eastAsia="Calibri" w:hint="default"/>
        </w:rPr>
        <w:t>:</w:t>
      </w:r>
      <w:r>
        <w:rPr/>
        <w:t>本期公司经营业绩趋势向好，收入较上年同期有所增加；</w:t>
      </w:r>
      <w:r>
        <w:rPr>
          <w:w w:val="100"/>
        </w:rPr>
        <w:t> </w:t>
      </w:r>
      <w:r>
        <w:rPr/>
        <w:t>营业成本变动原因说明</w:t>
      </w:r>
      <w:r>
        <w:rPr>
          <w:rFonts w:ascii="Calibri" w:hAnsi="Calibri" w:cs="Calibri" w:eastAsia="Calibri" w:hint="default"/>
        </w:rPr>
        <w:t>:</w:t>
      </w:r>
      <w:r>
        <w:rPr/>
        <w:t>本期随着收入增加，成本相应增加；</w:t>
      </w:r>
      <w:r>
        <w:rPr>
          <w:w w:val="100"/>
        </w:rPr>
        <w:t> </w:t>
      </w:r>
      <w:r>
        <w:rPr/>
        <w:t>销售费用变动原因说明</w:t>
      </w:r>
      <w:r>
        <w:rPr>
          <w:rFonts w:ascii="Calibri" w:hAnsi="Calibri" w:cs="Calibri" w:eastAsia="Calibri" w:hint="default"/>
        </w:rPr>
        <w:t>:</w:t>
      </w:r>
      <w:r>
        <w:rPr/>
        <w:t>本期公司加大销售投入，因此销售费用较上年同期有所增长；</w:t>
      </w:r>
      <w:r>
        <w:rPr>
          <w:w w:val="100"/>
        </w:rPr>
        <w:t> </w:t>
      </w:r>
      <w:r>
        <w:rPr/>
        <w:t>管理费用变动原因说明</w:t>
      </w:r>
      <w:r>
        <w:rPr>
          <w:rFonts w:ascii="Calibri" w:hAnsi="Calibri" w:cs="Calibri" w:eastAsia="Calibri" w:hint="default"/>
        </w:rPr>
        <w:t>:</w:t>
      </w:r>
      <w:r>
        <w:rPr/>
        <w:t>本期公司持续加大研发投入，因此本期管理费用较上年同期有所增长；</w:t>
      </w:r>
      <w:r>
        <w:rPr>
          <w:w w:val="100"/>
        </w:rPr>
        <w:t> </w:t>
      </w:r>
      <w:r>
        <w:rPr>
          <w:spacing w:val="-3"/>
        </w:rPr>
        <w:t>财务费用变动原因说明</w:t>
      </w:r>
      <w:r>
        <w:rPr>
          <w:rFonts w:ascii="Calibri" w:hAnsi="Calibri" w:cs="Calibri" w:eastAsia="Calibri" w:hint="default"/>
          <w:spacing w:val="-3"/>
        </w:rPr>
        <w:t>:</w:t>
      </w:r>
      <w:r>
        <w:rPr>
          <w:spacing w:val="-3"/>
        </w:rPr>
        <w:t>本期公司进行了资金理财活动，相应理财资金外的货币资金收益较上年同</w:t>
      </w:r>
    </w:p>
    <w:p>
      <w:pPr>
        <w:pStyle w:val="BodyText"/>
        <w:spacing w:line="272" w:lineRule="exact" w:before="5"/>
        <w:ind w:right="0"/>
        <w:jc w:val="left"/>
      </w:pPr>
      <w:r>
        <w:rPr/>
        <w:t>期减少；</w:t>
      </w:r>
      <w:r>
        <w:rPr>
          <w:w w:val="100"/>
        </w:rPr>
        <w:t> </w:t>
      </w:r>
      <w:r>
        <w:rPr>
          <w:spacing w:val="-4"/>
          <w:w w:val="100"/>
        </w:rPr>
        <w:t>经营活动产生的现金流量净额变动原因说明</w:t>
      </w:r>
      <w:r>
        <w:rPr>
          <w:rFonts w:ascii="宋体" w:hAnsi="宋体" w:cs="宋体" w:eastAsia="宋体" w:hint="default"/>
          <w:spacing w:val="-4"/>
          <w:w w:val="100"/>
        </w:rPr>
        <w:t>:</w:t>
      </w:r>
      <w:r>
        <w:rPr>
          <w:spacing w:val="-4"/>
          <w:w w:val="100"/>
        </w:rPr>
        <w:t>本期销售商品、提供劳务收到的现金较上年同期增加；</w:t>
      </w:r>
    </w:p>
    <w:p>
      <w:pPr>
        <w:pStyle w:val="BodyText"/>
        <w:spacing w:line="272" w:lineRule="exact" w:before="1"/>
        <w:ind w:right="0"/>
        <w:jc w:val="left"/>
      </w:pPr>
      <w:r>
        <w:rPr/>
        <w:t>投资活动产生的现金流量净额变动原因说明</w:t>
      </w:r>
      <w:r>
        <w:rPr>
          <w:rFonts w:ascii="宋体" w:hAnsi="宋体" w:cs="宋体" w:eastAsia="宋体" w:hint="default"/>
        </w:rPr>
        <w:t>:</w:t>
      </w:r>
      <w:r>
        <w:rPr/>
        <w:t>本期公司购买保本型理财产品；</w:t>
      </w:r>
      <w:r>
        <w:rPr>
          <w:w w:val="100"/>
        </w:rPr>
        <w:t> </w:t>
      </w:r>
      <w:r>
        <w:rPr>
          <w:spacing w:val="-2"/>
        </w:rPr>
        <w:t>筹资活动产生的现金流量净额变动原因说明</w:t>
      </w:r>
      <w:r>
        <w:rPr>
          <w:rFonts w:ascii="宋体" w:hAnsi="宋体" w:cs="宋体" w:eastAsia="宋体" w:hint="default"/>
          <w:spacing w:val="-2"/>
        </w:rPr>
        <w:t>:</w:t>
      </w:r>
      <w:r>
        <w:rPr>
          <w:spacing w:val="-2"/>
        </w:rPr>
        <w:t>本期收到首次公开发行股票募集资金及股权激励资</w:t>
      </w:r>
    </w:p>
    <w:p>
      <w:pPr>
        <w:pStyle w:val="BodyText"/>
        <w:spacing w:line="272" w:lineRule="exact" w:before="1"/>
        <w:ind w:right="315"/>
        <w:jc w:val="left"/>
      </w:pPr>
      <w:r>
        <w:rPr/>
        <w:t>金；</w:t>
      </w:r>
      <w:r>
        <w:rPr>
          <w:spacing w:val="-103"/>
        </w:rPr>
        <w:t> </w:t>
      </w:r>
      <w:r>
        <w:rPr>
          <w:spacing w:val="-2"/>
        </w:rPr>
        <w:t>研发支出变动原因说明</w:t>
      </w:r>
      <w:r>
        <w:rPr>
          <w:rFonts w:ascii="宋体" w:hAnsi="宋体" w:cs="宋体" w:eastAsia="宋体" w:hint="default"/>
          <w:spacing w:val="-2"/>
        </w:rPr>
        <w:t>:</w:t>
      </w:r>
      <w:r>
        <w:rPr>
          <w:spacing w:val="-2"/>
        </w:rPr>
        <w:t>本期公司持续加大对研发项目的投入，因此研发支出较上年同期增加；</w:t>
      </w:r>
    </w:p>
    <w:p>
      <w:pPr>
        <w:spacing w:line="240" w:lineRule="auto" w:before="3"/>
        <w:rPr>
          <w:rFonts w:ascii="宋体" w:hAnsi="宋体" w:cs="宋体" w:eastAsia="宋体" w:hint="default"/>
          <w:sz w:val="22"/>
          <w:szCs w:val="22"/>
        </w:rPr>
      </w:pPr>
    </w:p>
    <w:p>
      <w:pPr>
        <w:pStyle w:val="Heading3"/>
        <w:tabs>
          <w:tab w:pos="637" w:val="left" w:leader="none"/>
        </w:tabs>
        <w:spacing w:line="240" w:lineRule="auto"/>
        <w:ind w:right="0"/>
        <w:jc w:val="left"/>
        <w:rPr>
          <w:b w:val="0"/>
          <w:bCs w:val="0"/>
        </w:rPr>
      </w:pPr>
      <w:r>
        <w:rPr>
          <w:rFonts w:ascii="宋体" w:hAnsi="宋体" w:cs="宋体" w:eastAsia="宋体" w:hint="default"/>
          <w:w w:val="95"/>
        </w:rPr>
        <w:t>1.</w:t>
        <w:tab/>
      </w:r>
      <w:r>
        <w:rPr/>
        <w:t>收入和成本分析</w:t>
      </w:r>
      <w:r>
        <w:rPr>
          <w:b w:val="0"/>
          <w:bCs w:val="0"/>
        </w:rPr>
      </w:r>
    </w:p>
    <w:p>
      <w:pPr>
        <w:pStyle w:val="BodyText"/>
        <w:spacing w:line="240" w:lineRule="auto" w:before="56"/>
        <w:ind w:right="0"/>
        <w:jc w:val="left"/>
      </w:pPr>
      <w:r>
        <w:rPr/>
        <w:t>□适用</w:t>
      </w:r>
      <w:r>
        <w:rPr>
          <w:spacing w:val="-1"/>
        </w:rPr>
        <w:t> </w:t>
      </w:r>
      <w:r>
        <w:rPr/>
        <w:t>√不适用</w:t>
      </w:r>
    </w:p>
    <w:p>
      <w:pPr>
        <w:spacing w:after="0" w:line="240" w:lineRule="auto"/>
        <w:jc w:val="left"/>
        <w:sectPr>
          <w:type w:val="continuous"/>
          <w:pgSz w:w="11910" w:h="16840"/>
          <w:pgMar w:top="1000" w:bottom="280" w:left="1580" w:right="960"/>
        </w:sectPr>
      </w:pPr>
    </w:p>
    <w:p>
      <w:pPr>
        <w:spacing w:line="240" w:lineRule="auto" w:before="4"/>
        <w:rPr>
          <w:rFonts w:ascii="宋体" w:hAnsi="宋体" w:cs="宋体" w:eastAsia="宋体" w:hint="default"/>
          <w:sz w:val="9"/>
          <w:szCs w:val="9"/>
        </w:rPr>
      </w:pPr>
    </w:p>
    <w:p>
      <w:pPr>
        <w:pStyle w:val="Heading3"/>
        <w:spacing w:line="240" w:lineRule="auto" w:before="36"/>
        <w:ind w:right="2757"/>
        <w:jc w:val="left"/>
        <w:rPr>
          <w:b w:val="0"/>
          <w:bCs w:val="0"/>
        </w:rPr>
      </w:pPr>
      <w:r>
        <w:rPr>
          <w:rFonts w:ascii="宋体" w:hAnsi="宋体" w:cs="宋体" w:eastAsia="宋体" w:hint="default"/>
        </w:rPr>
        <w:t>(1).</w:t>
      </w:r>
      <w:r>
        <w:rPr>
          <w:rFonts w:ascii="宋体" w:hAnsi="宋体" w:cs="宋体" w:eastAsia="宋体" w:hint="default"/>
          <w:spacing w:val="37"/>
        </w:rPr>
        <w:t> </w:t>
      </w:r>
      <w:r>
        <w:rPr/>
        <w:t>主营业务分行业、分产品、分地区情况</w:t>
      </w:r>
      <w:r>
        <w:rPr>
          <w:b w:val="0"/>
          <w:bCs w:val="0"/>
        </w:rPr>
      </w:r>
    </w:p>
    <w:p>
      <w:pPr>
        <w:pStyle w:val="BodyText"/>
        <w:tabs>
          <w:tab w:pos="946" w:val="left" w:leader="none"/>
        </w:tabs>
        <w:spacing w:line="240" w:lineRule="auto" w:before="58"/>
        <w:ind w:left="0" w:right="230"/>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116"/>
        <w:gridCol w:w="1688"/>
        <w:gridCol w:w="2060"/>
        <w:gridCol w:w="847"/>
        <w:gridCol w:w="1114"/>
        <w:gridCol w:w="1117"/>
        <w:gridCol w:w="1109"/>
      </w:tblGrid>
      <w:tr>
        <w:trPr>
          <w:trHeight w:val="283"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主营业务分行业情况</w:t>
            </w:r>
          </w:p>
        </w:tc>
      </w:tr>
      <w:tr>
        <w:trPr>
          <w:trHeight w:val="828"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7" w:right="0"/>
              <w:jc w:val="left"/>
              <w:rPr>
                <w:rFonts w:ascii="宋体" w:hAnsi="宋体" w:cs="宋体" w:eastAsia="宋体" w:hint="default"/>
                <w:sz w:val="21"/>
                <w:szCs w:val="21"/>
              </w:rPr>
            </w:pPr>
            <w:r>
              <w:rPr>
                <w:rFonts w:ascii="宋体" w:hAnsi="宋体" w:cs="宋体" w:eastAsia="宋体" w:hint="default"/>
                <w:sz w:val="21"/>
                <w:szCs w:val="21"/>
              </w:rPr>
              <w:t>分行业</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60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103"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3" w:lineRule="exact"/>
              <w:ind w:left="15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1" w:right="0"/>
              <w:jc w:val="left"/>
              <w:rPr>
                <w:rFonts w:ascii="宋体" w:hAnsi="宋体" w:cs="宋体" w:eastAsia="宋体" w:hint="default"/>
                <w:sz w:val="21"/>
                <w:szCs w:val="21"/>
              </w:rPr>
            </w:pPr>
            <w:r>
              <w:rPr>
                <w:rFonts w:ascii="宋体" w:hAnsi="宋体" w:cs="宋体" w:eastAsia="宋体" w:hint="default"/>
                <w:sz w:val="21"/>
                <w:szCs w:val="21"/>
              </w:rPr>
              <w:t>营业收入</w:t>
            </w:r>
          </w:p>
          <w:p>
            <w:pPr>
              <w:pStyle w:val="TableParagraph"/>
              <w:spacing w:line="272" w:lineRule="exact" w:before="27"/>
              <w:ind w:left="184" w:right="127" w:hanging="53"/>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2" w:right="0"/>
              <w:jc w:val="left"/>
              <w:rPr>
                <w:rFonts w:ascii="宋体" w:hAnsi="宋体" w:cs="宋体" w:eastAsia="宋体" w:hint="default"/>
                <w:sz w:val="21"/>
                <w:szCs w:val="21"/>
              </w:rPr>
            </w:pPr>
            <w:r>
              <w:rPr>
                <w:rFonts w:ascii="宋体" w:hAnsi="宋体" w:cs="宋体" w:eastAsia="宋体" w:hint="default"/>
                <w:sz w:val="21"/>
                <w:szCs w:val="21"/>
              </w:rPr>
              <w:t>营业成本</w:t>
            </w:r>
          </w:p>
          <w:p>
            <w:pPr>
              <w:pStyle w:val="TableParagraph"/>
              <w:spacing w:line="272" w:lineRule="exact" w:before="27"/>
              <w:ind w:left="184" w:right="130" w:hanging="53"/>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毛利率比</w:t>
            </w:r>
          </w:p>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上年增减</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r>
      <w:tr>
        <w:trPr>
          <w:trHeight w:val="554"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应用软件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服务业</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243,776,725.70</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51,728,254.04</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78.78</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19.09</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23.10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55" w:right="0" w:hanging="53"/>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0.69</w:t>
            </w:r>
          </w:p>
          <w:p>
            <w:pPr>
              <w:pStyle w:val="TableParagraph"/>
              <w:spacing w:line="273" w:lineRule="exact"/>
              <w:ind w:left="155"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281"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主营业务分产品情况</w:t>
            </w:r>
          </w:p>
        </w:tc>
      </w:tr>
      <w:tr>
        <w:trPr>
          <w:trHeight w:val="829"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7" w:right="0"/>
              <w:jc w:val="left"/>
              <w:rPr>
                <w:rFonts w:ascii="宋体" w:hAnsi="宋体" w:cs="宋体" w:eastAsia="宋体" w:hint="default"/>
                <w:sz w:val="21"/>
                <w:szCs w:val="21"/>
              </w:rPr>
            </w:pPr>
            <w:r>
              <w:rPr>
                <w:rFonts w:ascii="宋体" w:hAnsi="宋体" w:cs="宋体" w:eastAsia="宋体" w:hint="default"/>
                <w:sz w:val="21"/>
                <w:szCs w:val="21"/>
              </w:rPr>
              <w:t>分产品</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60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2"/>
              <w:ind w:left="103"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4" w:lineRule="exact"/>
              <w:ind w:left="15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1" w:right="0"/>
              <w:jc w:val="left"/>
              <w:rPr>
                <w:rFonts w:ascii="宋体" w:hAnsi="宋体" w:cs="宋体" w:eastAsia="宋体" w:hint="default"/>
                <w:sz w:val="21"/>
                <w:szCs w:val="21"/>
              </w:rPr>
            </w:pPr>
            <w:r>
              <w:rPr>
                <w:rFonts w:ascii="宋体" w:hAnsi="宋体" w:cs="宋体" w:eastAsia="宋体" w:hint="default"/>
                <w:sz w:val="21"/>
                <w:szCs w:val="21"/>
              </w:rPr>
              <w:t>营业收入</w:t>
            </w:r>
          </w:p>
          <w:p>
            <w:pPr>
              <w:pStyle w:val="TableParagraph"/>
              <w:spacing w:line="272" w:lineRule="exact" w:before="26"/>
              <w:ind w:left="184" w:right="127" w:hanging="53"/>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2" w:right="0"/>
              <w:jc w:val="left"/>
              <w:rPr>
                <w:rFonts w:ascii="宋体" w:hAnsi="宋体" w:cs="宋体" w:eastAsia="宋体" w:hint="default"/>
                <w:sz w:val="21"/>
                <w:szCs w:val="21"/>
              </w:rPr>
            </w:pPr>
            <w:r>
              <w:rPr>
                <w:rFonts w:ascii="宋体" w:hAnsi="宋体" w:cs="宋体" w:eastAsia="宋体" w:hint="default"/>
                <w:sz w:val="21"/>
                <w:szCs w:val="21"/>
              </w:rPr>
              <w:t>营业成本</w:t>
            </w:r>
          </w:p>
          <w:p>
            <w:pPr>
              <w:pStyle w:val="TableParagraph"/>
              <w:spacing w:line="272" w:lineRule="exact" w:before="26"/>
              <w:ind w:left="184" w:right="130" w:hanging="53"/>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毛利率比</w:t>
            </w:r>
          </w:p>
          <w:p>
            <w:pPr>
              <w:pStyle w:val="TableParagraph"/>
              <w:spacing w:line="271" w:lineRule="exact"/>
              <w:ind w:left="2" w:right="0"/>
              <w:jc w:val="center"/>
              <w:rPr>
                <w:rFonts w:ascii="宋体" w:hAnsi="宋体" w:cs="宋体" w:eastAsia="宋体" w:hint="default"/>
                <w:sz w:val="21"/>
                <w:szCs w:val="21"/>
              </w:rPr>
            </w:pPr>
            <w:r>
              <w:rPr>
                <w:rFonts w:ascii="宋体" w:hAnsi="宋体" w:cs="宋体" w:eastAsia="宋体" w:hint="default"/>
                <w:sz w:val="21"/>
                <w:szCs w:val="21"/>
              </w:rPr>
              <w:t>上年增减</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r>
      <w:tr>
        <w:trPr>
          <w:trHeight w:val="554"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定制软件</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152,572,948.10</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41,280,267.16</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72.94</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11.73</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22.21</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5" w:right="0" w:hanging="53"/>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2.32</w:t>
            </w:r>
          </w:p>
          <w:p>
            <w:pPr>
              <w:pStyle w:val="TableParagraph"/>
              <w:spacing w:line="274" w:lineRule="exact"/>
              <w:ind w:left="155"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4"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产品化软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件</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sz w:val="21"/>
              </w:rPr>
              <w:t>42,114,786.93</w:t>
            </w:r>
          </w:p>
        </w:tc>
        <w:tc>
          <w:tcPr>
            <w:tcW w:w="2060"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55.18</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0.00</w:t>
            </w: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运维服务</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sz w:val="21"/>
              </w:rPr>
              <w:t>40,174,216.84</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3,652,655.36</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90.91</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16.92</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43.71</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5" w:right="0" w:hanging="53"/>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1.69</w:t>
            </w:r>
          </w:p>
          <w:p>
            <w:pPr>
              <w:pStyle w:val="TableParagraph"/>
              <w:spacing w:line="274" w:lineRule="exact"/>
              <w:ind w:left="155"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4"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系统集成</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3" w:right="0"/>
              <w:jc w:val="center"/>
              <w:rPr>
                <w:rFonts w:ascii="宋体" w:hAnsi="宋体" w:cs="宋体" w:eastAsia="宋体" w:hint="default"/>
                <w:sz w:val="21"/>
                <w:szCs w:val="21"/>
              </w:rPr>
            </w:pPr>
            <w:r>
              <w:rPr>
                <w:rFonts w:ascii="宋体"/>
                <w:sz w:val="21"/>
              </w:rPr>
              <w:t>8,914,773.83</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6,795,331.52</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23.77</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34.46</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19.18</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5" w:right="0" w:hanging="53"/>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9.77</w:t>
            </w:r>
          </w:p>
          <w:p>
            <w:pPr>
              <w:pStyle w:val="TableParagraph"/>
              <w:spacing w:line="274" w:lineRule="exact"/>
              <w:ind w:left="155"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283"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主营业务分地区情况</w:t>
            </w:r>
          </w:p>
        </w:tc>
      </w:tr>
      <w:tr>
        <w:trPr>
          <w:trHeight w:val="828"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7" w:right="0"/>
              <w:jc w:val="left"/>
              <w:rPr>
                <w:rFonts w:ascii="宋体" w:hAnsi="宋体" w:cs="宋体" w:eastAsia="宋体" w:hint="default"/>
                <w:sz w:val="21"/>
                <w:szCs w:val="21"/>
              </w:rPr>
            </w:pPr>
            <w:r>
              <w:rPr>
                <w:rFonts w:ascii="宋体" w:hAnsi="宋体" w:cs="宋体" w:eastAsia="宋体" w:hint="default"/>
                <w:sz w:val="21"/>
                <w:szCs w:val="21"/>
              </w:rPr>
              <w:t>分地区</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60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103"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3" w:lineRule="exact"/>
              <w:ind w:left="15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1" w:right="0"/>
              <w:jc w:val="left"/>
              <w:rPr>
                <w:rFonts w:ascii="宋体" w:hAnsi="宋体" w:cs="宋体" w:eastAsia="宋体" w:hint="default"/>
                <w:sz w:val="21"/>
                <w:szCs w:val="21"/>
              </w:rPr>
            </w:pPr>
            <w:r>
              <w:rPr>
                <w:rFonts w:ascii="宋体" w:hAnsi="宋体" w:cs="宋体" w:eastAsia="宋体" w:hint="default"/>
                <w:sz w:val="21"/>
                <w:szCs w:val="21"/>
              </w:rPr>
              <w:t>营业收入</w:t>
            </w:r>
          </w:p>
          <w:p>
            <w:pPr>
              <w:pStyle w:val="TableParagraph"/>
              <w:spacing w:line="272" w:lineRule="exact" w:before="27"/>
              <w:ind w:left="184" w:right="127" w:hanging="53"/>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2" w:right="0"/>
              <w:jc w:val="left"/>
              <w:rPr>
                <w:rFonts w:ascii="宋体" w:hAnsi="宋体" w:cs="宋体" w:eastAsia="宋体" w:hint="default"/>
                <w:sz w:val="21"/>
                <w:szCs w:val="21"/>
              </w:rPr>
            </w:pPr>
            <w:r>
              <w:rPr>
                <w:rFonts w:ascii="宋体" w:hAnsi="宋体" w:cs="宋体" w:eastAsia="宋体" w:hint="default"/>
                <w:sz w:val="21"/>
                <w:szCs w:val="21"/>
              </w:rPr>
              <w:t>营业成本</w:t>
            </w:r>
          </w:p>
          <w:p>
            <w:pPr>
              <w:pStyle w:val="TableParagraph"/>
              <w:spacing w:line="272" w:lineRule="exact" w:before="27"/>
              <w:ind w:left="184" w:right="130" w:hanging="53"/>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毛利率比</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上年增减</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r>
      <w:tr>
        <w:trPr>
          <w:trHeight w:val="554"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东北</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sz w:val="21"/>
              </w:rPr>
              <w:t>27,142,201.72</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3,239,580.29</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88.06</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59.07</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94.19</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55" w:right="0" w:hanging="53"/>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2.16</w:t>
            </w:r>
          </w:p>
          <w:p>
            <w:pPr>
              <w:pStyle w:val="TableParagraph"/>
              <w:spacing w:line="273" w:lineRule="exact"/>
              <w:ind w:left="155"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4"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华北</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sz w:val="21"/>
              </w:rPr>
              <w:t>50,760,520.52</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13,300,975.45</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73.80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7.6</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25.72</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55" w:right="0" w:hanging="53"/>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3.77</w:t>
            </w:r>
          </w:p>
          <w:p>
            <w:pPr>
              <w:pStyle w:val="TableParagraph"/>
              <w:spacing w:line="273" w:lineRule="exact"/>
              <w:ind w:left="155"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4"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华东</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119,764,389.17</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26,177,319.27</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78.14</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11.19</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10.02</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5" w:right="0" w:hanging="53"/>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0.23</w:t>
            </w:r>
          </w:p>
          <w:p>
            <w:pPr>
              <w:pStyle w:val="TableParagraph"/>
              <w:spacing w:line="274" w:lineRule="exact"/>
              <w:ind w:left="155"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4"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华南</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sz w:val="21"/>
              </w:rPr>
              <w:t>33,879,541.29</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7,042,560.26</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79.21</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48.51</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73.20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5" w:right="0" w:hanging="53"/>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2.97</w:t>
            </w:r>
          </w:p>
          <w:p>
            <w:pPr>
              <w:pStyle w:val="TableParagraph"/>
              <w:spacing w:line="274" w:lineRule="exact"/>
              <w:ind w:left="155"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4"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西南</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3" w:right="0"/>
              <w:jc w:val="center"/>
              <w:rPr>
                <w:rFonts w:ascii="宋体" w:hAnsi="宋体" w:cs="宋体" w:eastAsia="宋体" w:hint="default"/>
                <w:sz w:val="21"/>
                <w:szCs w:val="21"/>
              </w:rPr>
            </w:pPr>
            <w:r>
              <w:rPr>
                <w:rFonts w:ascii="宋体"/>
                <w:sz w:val="21"/>
              </w:rPr>
              <w:t>8,434,342.47</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1,362,703.21</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83.84</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54.38</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26.26</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5" w:right="0" w:hanging="53"/>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3.59</w:t>
            </w:r>
          </w:p>
          <w:p>
            <w:pPr>
              <w:pStyle w:val="TableParagraph"/>
              <w:spacing w:line="274" w:lineRule="exact"/>
              <w:ind w:left="155"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7"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西北</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3" w:right="0"/>
              <w:jc w:val="center"/>
              <w:rPr>
                <w:rFonts w:ascii="宋体" w:hAnsi="宋体" w:cs="宋体" w:eastAsia="宋体" w:hint="default"/>
                <w:sz w:val="21"/>
                <w:szCs w:val="21"/>
              </w:rPr>
            </w:pPr>
            <w:r>
              <w:rPr>
                <w:rFonts w:ascii="宋体"/>
                <w:sz w:val="21"/>
              </w:rPr>
              <w:t>3,795,730.53</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605,115.56</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84.06</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-15.02</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-27.61</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5" w:right="0" w:hanging="53"/>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2.78</w:t>
            </w:r>
          </w:p>
          <w:p>
            <w:pPr>
              <w:pStyle w:val="TableParagraph"/>
              <w:spacing w:line="275" w:lineRule="exact"/>
              <w:ind w:left="155" w:right="0"/>
              <w:jc w:val="left"/>
              <w:rPr>
                <w:rFonts w:ascii="宋体" w:hAnsi="宋体" w:cs="宋体" w:eastAsia="宋体" w:hint="default"/>
                <w:sz w:val="21"/>
                <w:szCs w:val="21"/>
              </w:rPr>
            </w:pPr>
            <w:r>
              <w:rPr>
                <w:rFonts w:ascii="宋体" w:hAnsi="宋体" w:cs="宋体" w:eastAsia="宋体" w:hint="default"/>
                <w:sz w:val="21"/>
                <w:szCs w:val="21"/>
              </w:rPr>
              <w:t>个百分点</w:t>
            </w:r>
          </w:p>
        </w:tc>
      </w:tr>
    </w:tbl>
    <w:p>
      <w:pPr>
        <w:spacing w:line="240" w:lineRule="auto" w:before="5"/>
        <w:rPr>
          <w:rFonts w:ascii="宋体" w:hAnsi="宋体" w:cs="宋体" w:eastAsia="宋体" w:hint="default"/>
          <w:sz w:val="15"/>
          <w:szCs w:val="15"/>
        </w:rPr>
      </w:pPr>
    </w:p>
    <w:p>
      <w:pPr>
        <w:pStyle w:val="BodyText"/>
        <w:spacing w:line="274" w:lineRule="exact" w:before="36"/>
        <w:ind w:right="2757"/>
        <w:jc w:val="left"/>
      </w:pPr>
      <w:r>
        <w:rPr/>
        <w:t>主营业务分行业、分产品、分地区情况的说明</w:t>
      </w:r>
    </w:p>
    <w:p>
      <w:pPr>
        <w:pStyle w:val="BodyText"/>
        <w:spacing w:line="237" w:lineRule="auto" w:before="2"/>
        <w:ind w:right="0"/>
        <w:jc w:val="left"/>
      </w:pPr>
      <w:r>
        <w:rPr/>
        <w:t>√适用</w:t>
      </w:r>
      <w:r>
        <w:rPr>
          <w:spacing w:val="-2"/>
        </w:rPr>
        <w:t> </w:t>
      </w:r>
      <w:r>
        <w:rPr/>
        <w:t>□不适用</w:t>
      </w:r>
      <w:r>
        <w:rPr>
          <w:w w:val="100"/>
        </w:rPr>
        <w:t> </w:t>
      </w:r>
      <w:r>
        <w:rPr>
          <w:spacing w:val="-2"/>
        </w:rPr>
        <w:t>本期公司业务发展态势良好，各项业务及重点经营区域收入均实现持续增长，各软件开发类业务</w:t>
      </w:r>
      <w:r>
        <w:rPr>
          <w:spacing w:val="-25"/>
        </w:rPr>
        <w:t> </w:t>
      </w:r>
      <w:r>
        <w:rPr>
          <w:spacing w:val="-25"/>
        </w:rPr>
      </w:r>
      <w:r>
        <w:rPr>
          <w:spacing w:val="-2"/>
        </w:rPr>
        <w:t>毛利率变化不大，系统集成业务本期个别业务毛利率较高，导致该类业务毛利率较上年同期增加</w:t>
      </w:r>
      <w:r>
        <w:rPr>
          <w:spacing w:val="-26"/>
        </w:rPr>
        <w:t> </w:t>
      </w:r>
      <w:r>
        <w:rPr>
          <w:spacing w:val="-26"/>
        </w:rPr>
      </w:r>
      <w:r>
        <w:rPr>
          <w:rFonts w:ascii="宋体" w:hAnsi="宋体" w:cs="宋体" w:eastAsia="宋体" w:hint="default"/>
        </w:rPr>
        <w:t>9.77%</w:t>
      </w:r>
      <w:r>
        <w:rPr/>
        <w:t>。</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3"/>
        <w:spacing w:line="240" w:lineRule="auto"/>
        <w:ind w:right="2757"/>
        <w:jc w:val="left"/>
        <w:rPr>
          <w:b w:val="0"/>
          <w:bCs w:val="0"/>
        </w:rPr>
      </w:pPr>
      <w:r>
        <w:rPr>
          <w:rFonts w:ascii="宋体" w:hAnsi="宋体" w:cs="宋体" w:eastAsia="宋体" w:hint="default"/>
        </w:rPr>
        <w:t>(2).</w:t>
      </w:r>
      <w:r>
        <w:rPr>
          <w:rFonts w:ascii="宋体" w:hAnsi="宋体" w:cs="宋体" w:eastAsia="宋体" w:hint="default"/>
          <w:spacing w:val="40"/>
        </w:rPr>
        <w:t> </w:t>
      </w:r>
      <w:r>
        <w:rPr/>
        <w:t>产销量情况分析表</w:t>
      </w:r>
      <w:r>
        <w:rPr>
          <w:b w:val="0"/>
          <w:bCs w:val="0"/>
        </w:rPr>
      </w:r>
    </w:p>
    <w:p>
      <w:pPr>
        <w:pStyle w:val="BodyText"/>
        <w:spacing w:line="240" w:lineRule="auto" w:before="58"/>
        <w:ind w:right="2757"/>
        <w:jc w:val="left"/>
      </w:pPr>
      <w:r>
        <w:rPr/>
        <w:t>□适用</w:t>
      </w:r>
      <w:r>
        <w:rPr>
          <w:spacing w:val="-1"/>
        </w:rPr>
        <w:t> </w:t>
      </w:r>
      <w:r>
        <w:rPr/>
        <w:t>√不适用</w:t>
      </w:r>
    </w:p>
    <w:p>
      <w:pPr>
        <w:spacing w:after="0" w:line="240" w:lineRule="auto"/>
        <w:jc w:val="left"/>
        <w:sectPr>
          <w:pgSz w:w="11910" w:h="16840"/>
          <w:pgMar w:header="855" w:footer="1195" w:top="1320" w:bottom="1380" w:left="1580" w:right="1040"/>
        </w:sectPr>
      </w:pPr>
    </w:p>
    <w:p>
      <w:pPr>
        <w:spacing w:line="240" w:lineRule="auto" w:before="4"/>
        <w:rPr>
          <w:rFonts w:ascii="宋体" w:hAnsi="宋体" w:cs="宋体" w:eastAsia="宋体" w:hint="default"/>
          <w:sz w:val="9"/>
          <w:szCs w:val="9"/>
        </w:rPr>
      </w:pPr>
    </w:p>
    <w:p>
      <w:pPr>
        <w:pStyle w:val="Heading3"/>
        <w:spacing w:line="240" w:lineRule="auto" w:before="36"/>
        <w:ind w:right="2757"/>
        <w:jc w:val="left"/>
        <w:rPr>
          <w:b w:val="0"/>
          <w:bCs w:val="0"/>
        </w:rPr>
      </w:pPr>
      <w:r>
        <w:rPr>
          <w:rFonts w:ascii="宋体" w:hAnsi="宋体" w:cs="宋体" w:eastAsia="宋体" w:hint="default"/>
        </w:rPr>
        <w:t>(3).</w:t>
      </w:r>
      <w:r>
        <w:rPr>
          <w:rFonts w:ascii="宋体" w:hAnsi="宋体" w:cs="宋体" w:eastAsia="宋体" w:hint="default"/>
          <w:spacing w:val="39"/>
        </w:rPr>
        <w:t> </w:t>
      </w:r>
      <w:r>
        <w:rPr/>
        <w:t>成本分析表</w:t>
      </w:r>
      <w:r>
        <w:rPr>
          <w:b w:val="0"/>
          <w:bCs w:val="0"/>
        </w:rPr>
      </w:r>
    </w:p>
    <w:p>
      <w:pPr>
        <w:pStyle w:val="BodyText"/>
        <w:spacing w:line="240" w:lineRule="auto" w:before="58"/>
        <w:ind w:left="0" w:right="230"/>
        <w:jc w:val="right"/>
      </w:pPr>
      <w:r>
        <w:rPr>
          <w:spacing w:val="-1"/>
        </w:rPr>
        <w:t>单位：元</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123"/>
        <w:gridCol w:w="1042"/>
        <w:gridCol w:w="1582"/>
        <w:gridCol w:w="1016"/>
        <w:gridCol w:w="1582"/>
        <w:gridCol w:w="946"/>
        <w:gridCol w:w="919"/>
        <w:gridCol w:w="840"/>
      </w:tblGrid>
      <w:tr>
        <w:trPr>
          <w:trHeight w:val="283" w:hRule="exact"/>
        </w:trPr>
        <w:tc>
          <w:tcPr>
            <w:tcW w:w="90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分行业情况</w:t>
            </w:r>
          </w:p>
        </w:tc>
      </w:tr>
      <w:tr>
        <w:trPr>
          <w:trHeight w:val="1373" w:hRule="exact"/>
        </w:trPr>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分行业</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96" w:right="200"/>
              <w:jc w:val="left"/>
              <w:rPr>
                <w:rFonts w:ascii="宋体" w:hAnsi="宋体" w:cs="宋体" w:eastAsia="宋体" w:hint="default"/>
                <w:sz w:val="21"/>
                <w:szCs w:val="21"/>
              </w:rPr>
            </w:pPr>
            <w:r>
              <w:rPr>
                <w:rFonts w:ascii="宋体" w:hAnsi="宋体" w:cs="宋体" w:eastAsia="宋体" w:hint="default"/>
                <w:sz w:val="21"/>
                <w:szCs w:val="21"/>
              </w:rPr>
              <w:t>成本构</w:t>
            </w:r>
            <w:r>
              <w:rPr>
                <w:rFonts w:ascii="宋体" w:hAnsi="宋体" w:cs="宋体" w:eastAsia="宋体" w:hint="default"/>
                <w:spacing w:val="-102"/>
                <w:sz w:val="21"/>
                <w:szCs w:val="21"/>
              </w:rPr>
              <w:t> </w:t>
            </w:r>
            <w:r>
              <w:rPr>
                <w:rFonts w:ascii="宋体" w:hAnsi="宋体" w:cs="宋体" w:eastAsia="宋体" w:hint="default"/>
                <w:sz w:val="21"/>
                <w:szCs w:val="21"/>
              </w:rPr>
              <w:t>成项目</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62"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34" w:right="132" w:firstLine="52"/>
              <w:jc w:val="both"/>
              <w:rPr>
                <w:rFonts w:ascii="宋体" w:hAnsi="宋体" w:cs="宋体" w:eastAsia="宋体" w:hint="default"/>
                <w:sz w:val="21"/>
                <w:szCs w:val="21"/>
              </w:rPr>
            </w:pPr>
            <w:r>
              <w:rPr>
                <w:rFonts w:ascii="宋体" w:hAnsi="宋体" w:cs="宋体" w:eastAsia="宋体" w:hint="default"/>
                <w:sz w:val="21"/>
                <w:szCs w:val="21"/>
              </w:rPr>
              <w:t>本期占</w:t>
            </w:r>
            <w:r>
              <w:rPr>
                <w:rFonts w:ascii="宋体" w:hAnsi="宋体" w:cs="宋体" w:eastAsia="宋体" w:hint="default"/>
                <w:w w:val="100"/>
                <w:sz w:val="21"/>
                <w:szCs w:val="21"/>
              </w:rPr>
              <w:t> </w:t>
            </w:r>
            <w:r>
              <w:rPr>
                <w:rFonts w:ascii="宋体" w:hAnsi="宋体" w:cs="宋体" w:eastAsia="宋体" w:hint="default"/>
                <w:sz w:val="21"/>
                <w:szCs w:val="21"/>
              </w:rPr>
              <w:t>总成本</w:t>
            </w:r>
            <w:r>
              <w:rPr>
                <w:rFonts w:ascii="宋体" w:hAnsi="宋体" w:cs="宋体" w:eastAsia="宋体" w:hint="default"/>
                <w:spacing w:val="-102"/>
                <w:sz w:val="21"/>
                <w:szCs w:val="21"/>
              </w:rPr>
              <w:t> </w:t>
            </w:r>
            <w:r>
              <w:rPr>
                <w:rFonts w:ascii="宋体" w:hAnsi="宋体" w:cs="宋体" w:eastAsia="宋体" w:hint="default"/>
                <w:sz w:val="21"/>
                <w:szCs w:val="21"/>
              </w:rPr>
              <w:t>比例</w:t>
            </w:r>
            <w:r>
              <w:rPr>
                <w:rFonts w:ascii="宋体" w:hAnsi="宋体" w:cs="宋体" w:eastAsia="宋体" w:hint="default"/>
                <w:sz w:val="21"/>
                <w:szCs w:val="21"/>
              </w:rPr>
              <w:t>(%)</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53" w:right="0"/>
              <w:jc w:val="left"/>
              <w:rPr>
                <w:rFonts w:ascii="宋体" w:hAnsi="宋体" w:cs="宋体" w:eastAsia="宋体" w:hint="default"/>
                <w:sz w:val="21"/>
                <w:szCs w:val="21"/>
              </w:rPr>
            </w:pPr>
            <w:r>
              <w:rPr>
                <w:rFonts w:ascii="宋体" w:hAnsi="宋体" w:cs="宋体" w:eastAsia="宋体" w:hint="default"/>
                <w:sz w:val="21"/>
                <w:szCs w:val="21"/>
              </w:rPr>
              <w:t>上年同期金额</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51" w:right="149"/>
              <w:jc w:val="both"/>
              <w:rPr>
                <w:rFonts w:ascii="宋体" w:hAnsi="宋体" w:cs="宋体" w:eastAsia="宋体" w:hint="default"/>
                <w:sz w:val="21"/>
                <w:szCs w:val="21"/>
              </w:rPr>
            </w:pPr>
            <w:r>
              <w:rPr>
                <w:rFonts w:ascii="宋体" w:hAnsi="宋体" w:cs="宋体" w:eastAsia="宋体" w:hint="default"/>
                <w:sz w:val="21"/>
                <w:szCs w:val="21"/>
              </w:rPr>
              <w:t>上年同</w:t>
            </w:r>
            <w:r>
              <w:rPr>
                <w:rFonts w:ascii="宋体" w:hAnsi="宋体" w:cs="宋体" w:eastAsia="宋体" w:hint="default"/>
                <w:spacing w:val="-102"/>
                <w:sz w:val="21"/>
                <w:szCs w:val="21"/>
              </w:rPr>
              <w:t> </w:t>
            </w:r>
            <w:r>
              <w:rPr>
                <w:rFonts w:ascii="宋体" w:hAnsi="宋体" w:cs="宋体" w:eastAsia="宋体" w:hint="default"/>
                <w:sz w:val="21"/>
                <w:szCs w:val="21"/>
              </w:rPr>
              <w:t>期占总</w:t>
            </w:r>
            <w:r>
              <w:rPr>
                <w:rFonts w:ascii="宋体" w:hAnsi="宋体" w:cs="宋体" w:eastAsia="宋体" w:hint="default"/>
                <w:spacing w:val="-102"/>
                <w:sz w:val="21"/>
                <w:szCs w:val="21"/>
              </w:rPr>
              <w:t> </w:t>
            </w:r>
            <w:r>
              <w:rPr>
                <w:rFonts w:ascii="宋体" w:hAnsi="宋体" w:cs="宋体" w:eastAsia="宋体" w:hint="default"/>
                <w:sz w:val="21"/>
                <w:szCs w:val="21"/>
              </w:rPr>
              <w:t>成本比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6" w:right="0"/>
              <w:jc w:val="both"/>
              <w:rPr>
                <w:rFonts w:ascii="宋体" w:hAnsi="宋体" w:cs="宋体" w:eastAsia="宋体" w:hint="default"/>
                <w:sz w:val="21"/>
                <w:szCs w:val="21"/>
              </w:rPr>
            </w:pPr>
            <w:r>
              <w:rPr>
                <w:rFonts w:ascii="宋体" w:hAnsi="宋体" w:cs="宋体" w:eastAsia="宋体" w:hint="default"/>
                <w:sz w:val="21"/>
                <w:szCs w:val="21"/>
              </w:rPr>
              <w:t>本期金</w:t>
            </w:r>
          </w:p>
          <w:p>
            <w:pPr>
              <w:pStyle w:val="TableParagraph"/>
              <w:spacing w:line="237" w:lineRule="auto" w:before="2"/>
              <w:ind w:left="136" w:right="137"/>
              <w:jc w:val="both"/>
              <w:rPr>
                <w:rFonts w:ascii="宋体" w:hAnsi="宋体" w:cs="宋体" w:eastAsia="宋体" w:hint="default"/>
                <w:sz w:val="21"/>
                <w:szCs w:val="21"/>
              </w:rPr>
            </w:pPr>
            <w:r>
              <w:rPr>
                <w:rFonts w:ascii="宋体" w:hAnsi="宋体" w:cs="宋体" w:eastAsia="宋体" w:hint="default"/>
                <w:sz w:val="21"/>
                <w:szCs w:val="21"/>
              </w:rPr>
              <w:t>额较上</w:t>
            </w:r>
            <w:r>
              <w:rPr>
                <w:rFonts w:ascii="宋体" w:hAnsi="宋体" w:cs="宋体" w:eastAsia="宋体" w:hint="default"/>
                <w:spacing w:val="-102"/>
                <w:sz w:val="21"/>
                <w:szCs w:val="21"/>
              </w:rPr>
              <w:t> </w:t>
            </w:r>
            <w:r>
              <w:rPr>
                <w:rFonts w:ascii="宋体" w:hAnsi="宋体" w:cs="宋体" w:eastAsia="宋体" w:hint="default"/>
                <w:sz w:val="21"/>
                <w:szCs w:val="21"/>
              </w:rPr>
              <w:t>年同期</w:t>
            </w:r>
            <w:r>
              <w:rPr>
                <w:rFonts w:ascii="宋体" w:hAnsi="宋体" w:cs="宋体" w:eastAsia="宋体" w:hint="default"/>
                <w:spacing w:val="-102"/>
                <w:sz w:val="21"/>
                <w:szCs w:val="21"/>
              </w:rPr>
              <w:t> </w:t>
            </w:r>
            <w:r>
              <w:rPr>
                <w:rFonts w:ascii="宋体" w:hAnsi="宋体" w:cs="宋体" w:eastAsia="宋体" w:hint="default"/>
                <w:sz w:val="21"/>
                <w:szCs w:val="21"/>
              </w:rPr>
              <w:t>变动比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03" w:right="203"/>
              <w:jc w:val="left"/>
              <w:rPr>
                <w:rFonts w:ascii="宋体" w:hAnsi="宋体" w:cs="宋体" w:eastAsia="宋体" w:hint="default"/>
                <w:sz w:val="21"/>
                <w:szCs w:val="21"/>
              </w:rPr>
            </w:pPr>
            <w:r>
              <w:rPr>
                <w:rFonts w:ascii="宋体" w:hAnsi="宋体" w:cs="宋体" w:eastAsia="宋体" w:hint="default"/>
                <w:sz w:val="21"/>
                <w:szCs w:val="21"/>
              </w:rPr>
              <w:t>情况</w:t>
            </w:r>
            <w:r>
              <w:rPr>
                <w:rFonts w:ascii="宋体" w:hAnsi="宋体" w:cs="宋体" w:eastAsia="宋体" w:hint="default"/>
                <w:spacing w:val="-103"/>
                <w:sz w:val="21"/>
                <w:szCs w:val="21"/>
              </w:rPr>
              <w:t> </w:t>
            </w:r>
            <w:r>
              <w:rPr>
                <w:rFonts w:ascii="宋体" w:hAnsi="宋体" w:cs="宋体" w:eastAsia="宋体" w:hint="default"/>
                <w:sz w:val="21"/>
                <w:szCs w:val="21"/>
              </w:rPr>
              <w:t>说明</w:t>
            </w:r>
          </w:p>
        </w:tc>
      </w:tr>
      <w:tr>
        <w:trPr>
          <w:trHeight w:val="826" w:hRule="exact"/>
        </w:trPr>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0" w:right="132" w:hanging="104"/>
              <w:jc w:val="left"/>
              <w:rPr>
                <w:rFonts w:ascii="宋体" w:hAnsi="宋体" w:cs="宋体" w:eastAsia="宋体" w:hint="default"/>
                <w:sz w:val="21"/>
                <w:szCs w:val="21"/>
              </w:rPr>
            </w:pPr>
            <w:r>
              <w:rPr>
                <w:rFonts w:ascii="宋体" w:hAnsi="宋体" w:cs="宋体" w:eastAsia="宋体" w:hint="default"/>
                <w:sz w:val="21"/>
                <w:szCs w:val="21"/>
              </w:rPr>
              <w:t>应用软件</w:t>
            </w:r>
            <w:r>
              <w:rPr>
                <w:rFonts w:ascii="宋体" w:hAnsi="宋体" w:cs="宋体" w:eastAsia="宋体" w:hint="default"/>
                <w:w w:val="100"/>
                <w:sz w:val="21"/>
                <w:szCs w:val="21"/>
              </w:rPr>
              <w:t> </w:t>
            </w:r>
            <w:r>
              <w:rPr>
                <w:rFonts w:ascii="宋体" w:hAnsi="宋体" w:cs="宋体" w:eastAsia="宋体" w:hint="default"/>
                <w:sz w:val="21"/>
                <w:szCs w:val="21"/>
              </w:rPr>
              <w:t>服务业</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6" w:right="0" w:hanging="96"/>
              <w:jc w:val="left"/>
              <w:rPr>
                <w:rFonts w:ascii="宋体" w:hAnsi="宋体" w:cs="宋体" w:eastAsia="宋体" w:hint="default"/>
                <w:sz w:val="21"/>
                <w:szCs w:val="21"/>
              </w:rPr>
            </w:pPr>
            <w:r>
              <w:rPr>
                <w:rFonts w:ascii="宋体" w:hAnsi="宋体" w:cs="宋体" w:eastAsia="宋体" w:hint="default"/>
                <w:spacing w:val="-5"/>
                <w:sz w:val="21"/>
                <w:szCs w:val="21"/>
              </w:rPr>
              <w:t>人工、差</w:t>
            </w:r>
          </w:p>
          <w:p>
            <w:pPr>
              <w:pStyle w:val="TableParagraph"/>
              <w:spacing w:line="240" w:lineRule="auto"/>
              <w:ind w:left="196" w:right="200"/>
              <w:jc w:val="left"/>
              <w:rPr>
                <w:rFonts w:ascii="宋体" w:hAnsi="宋体" w:cs="宋体" w:eastAsia="宋体" w:hint="default"/>
                <w:sz w:val="21"/>
                <w:szCs w:val="21"/>
              </w:rPr>
            </w:pPr>
            <w:r>
              <w:rPr>
                <w:rFonts w:ascii="宋体" w:hAnsi="宋体" w:cs="宋体" w:eastAsia="宋体" w:hint="default"/>
                <w:sz w:val="21"/>
                <w:szCs w:val="21"/>
              </w:rPr>
              <w:t>旅费及</w:t>
            </w:r>
            <w:r>
              <w:rPr>
                <w:rFonts w:ascii="宋体" w:hAnsi="宋体" w:cs="宋体" w:eastAsia="宋体" w:hint="default"/>
                <w:spacing w:val="-102"/>
                <w:sz w:val="21"/>
                <w:szCs w:val="21"/>
              </w:rPr>
              <w:t> </w:t>
            </w:r>
            <w:r>
              <w:rPr>
                <w:rFonts w:ascii="宋体" w:hAnsi="宋体" w:cs="宋体" w:eastAsia="宋体" w:hint="default"/>
                <w:sz w:val="21"/>
                <w:szCs w:val="21"/>
              </w:rPr>
              <w:t>软硬件</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51,728,254.04</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sz w:val="21"/>
              </w:rPr>
              <w:t>100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232" w:right="0"/>
              <w:jc w:val="left"/>
              <w:rPr>
                <w:rFonts w:ascii="Arial Narrow" w:hAnsi="Arial Narrow" w:cs="Arial Narrow" w:eastAsia="Arial Narrow" w:hint="default"/>
                <w:sz w:val="21"/>
                <w:szCs w:val="21"/>
              </w:rPr>
            </w:pPr>
            <w:r>
              <w:rPr>
                <w:rFonts w:ascii="Arial Narrow"/>
                <w:sz w:val="21"/>
              </w:rPr>
              <w:t>42,022,488.48</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09" w:right="0"/>
              <w:jc w:val="left"/>
              <w:rPr>
                <w:rFonts w:ascii="宋体" w:hAnsi="宋体" w:cs="宋体" w:eastAsia="宋体" w:hint="default"/>
                <w:sz w:val="21"/>
                <w:szCs w:val="21"/>
              </w:rPr>
            </w:pPr>
            <w:r>
              <w:rPr>
                <w:rFonts w:ascii="宋体"/>
                <w:sz w:val="21"/>
              </w:rPr>
              <w:t>100</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89" w:right="0"/>
              <w:jc w:val="left"/>
              <w:rPr>
                <w:rFonts w:ascii="宋体" w:hAnsi="宋体" w:cs="宋体" w:eastAsia="宋体" w:hint="default"/>
                <w:sz w:val="21"/>
                <w:szCs w:val="21"/>
              </w:rPr>
            </w:pPr>
            <w:r>
              <w:rPr>
                <w:rFonts w:ascii="宋体"/>
                <w:sz w:val="21"/>
              </w:rPr>
              <w:t>23.10</w:t>
            </w:r>
          </w:p>
        </w:tc>
        <w:tc>
          <w:tcPr>
            <w:tcW w:w="840"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90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分产品情况</w:t>
            </w:r>
          </w:p>
        </w:tc>
      </w:tr>
      <w:tr>
        <w:trPr>
          <w:trHeight w:val="1370" w:hRule="exact"/>
        </w:trPr>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分产品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96" w:right="200"/>
              <w:jc w:val="left"/>
              <w:rPr>
                <w:rFonts w:ascii="宋体" w:hAnsi="宋体" w:cs="宋体" w:eastAsia="宋体" w:hint="default"/>
                <w:sz w:val="21"/>
                <w:szCs w:val="21"/>
              </w:rPr>
            </w:pPr>
            <w:r>
              <w:rPr>
                <w:rFonts w:ascii="宋体" w:hAnsi="宋体" w:cs="宋体" w:eastAsia="宋体" w:hint="default"/>
                <w:sz w:val="21"/>
                <w:szCs w:val="21"/>
              </w:rPr>
              <w:t>成本构</w:t>
            </w:r>
            <w:r>
              <w:rPr>
                <w:rFonts w:ascii="宋体" w:hAnsi="宋体" w:cs="宋体" w:eastAsia="宋体" w:hint="default"/>
                <w:spacing w:val="-102"/>
                <w:sz w:val="21"/>
                <w:szCs w:val="21"/>
              </w:rPr>
              <w:t> </w:t>
            </w:r>
            <w:r>
              <w:rPr>
                <w:rFonts w:ascii="宋体" w:hAnsi="宋体" w:cs="宋体" w:eastAsia="宋体" w:hint="default"/>
                <w:sz w:val="21"/>
                <w:szCs w:val="21"/>
              </w:rPr>
              <w:t>成项目</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62"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34" w:right="132" w:firstLine="52"/>
              <w:jc w:val="both"/>
              <w:rPr>
                <w:rFonts w:ascii="宋体" w:hAnsi="宋体" w:cs="宋体" w:eastAsia="宋体" w:hint="default"/>
                <w:sz w:val="21"/>
                <w:szCs w:val="21"/>
              </w:rPr>
            </w:pPr>
            <w:r>
              <w:rPr>
                <w:rFonts w:ascii="宋体" w:hAnsi="宋体" w:cs="宋体" w:eastAsia="宋体" w:hint="default"/>
                <w:sz w:val="21"/>
                <w:szCs w:val="21"/>
              </w:rPr>
              <w:t>本期占</w:t>
            </w:r>
            <w:r>
              <w:rPr>
                <w:rFonts w:ascii="宋体" w:hAnsi="宋体" w:cs="宋体" w:eastAsia="宋体" w:hint="default"/>
                <w:w w:val="100"/>
                <w:sz w:val="21"/>
                <w:szCs w:val="21"/>
              </w:rPr>
              <w:t> </w:t>
            </w:r>
            <w:r>
              <w:rPr>
                <w:rFonts w:ascii="宋体" w:hAnsi="宋体" w:cs="宋体" w:eastAsia="宋体" w:hint="default"/>
                <w:sz w:val="21"/>
                <w:szCs w:val="21"/>
              </w:rPr>
              <w:t>总成本</w:t>
            </w:r>
            <w:r>
              <w:rPr>
                <w:rFonts w:ascii="宋体" w:hAnsi="宋体" w:cs="宋体" w:eastAsia="宋体" w:hint="default"/>
                <w:spacing w:val="-102"/>
                <w:sz w:val="21"/>
                <w:szCs w:val="21"/>
              </w:rPr>
              <w:t> </w:t>
            </w:r>
            <w:r>
              <w:rPr>
                <w:rFonts w:ascii="宋体" w:hAnsi="宋体" w:cs="宋体" w:eastAsia="宋体" w:hint="default"/>
                <w:sz w:val="21"/>
                <w:szCs w:val="21"/>
              </w:rPr>
              <w:t>比例</w:t>
            </w:r>
            <w:r>
              <w:rPr>
                <w:rFonts w:ascii="宋体" w:hAnsi="宋体" w:cs="宋体" w:eastAsia="宋体" w:hint="default"/>
                <w:sz w:val="21"/>
                <w:szCs w:val="21"/>
              </w:rPr>
              <w:t>(%)</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53" w:right="0"/>
              <w:jc w:val="left"/>
              <w:rPr>
                <w:rFonts w:ascii="宋体" w:hAnsi="宋体" w:cs="宋体" w:eastAsia="宋体" w:hint="default"/>
                <w:sz w:val="21"/>
                <w:szCs w:val="21"/>
              </w:rPr>
            </w:pPr>
            <w:r>
              <w:rPr>
                <w:rFonts w:ascii="宋体" w:hAnsi="宋体" w:cs="宋体" w:eastAsia="宋体" w:hint="default"/>
                <w:sz w:val="21"/>
                <w:szCs w:val="21"/>
              </w:rPr>
              <w:t>上年同期金额</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51" w:right="149"/>
              <w:jc w:val="both"/>
              <w:rPr>
                <w:rFonts w:ascii="宋体" w:hAnsi="宋体" w:cs="宋体" w:eastAsia="宋体" w:hint="default"/>
                <w:sz w:val="21"/>
                <w:szCs w:val="21"/>
              </w:rPr>
            </w:pPr>
            <w:r>
              <w:rPr>
                <w:rFonts w:ascii="宋体" w:hAnsi="宋体" w:cs="宋体" w:eastAsia="宋体" w:hint="default"/>
                <w:sz w:val="21"/>
                <w:szCs w:val="21"/>
              </w:rPr>
              <w:t>上年同</w:t>
            </w:r>
            <w:r>
              <w:rPr>
                <w:rFonts w:ascii="宋体" w:hAnsi="宋体" w:cs="宋体" w:eastAsia="宋体" w:hint="default"/>
                <w:spacing w:val="-102"/>
                <w:sz w:val="21"/>
                <w:szCs w:val="21"/>
              </w:rPr>
              <w:t> </w:t>
            </w:r>
            <w:r>
              <w:rPr>
                <w:rFonts w:ascii="宋体" w:hAnsi="宋体" w:cs="宋体" w:eastAsia="宋体" w:hint="default"/>
                <w:sz w:val="21"/>
                <w:szCs w:val="21"/>
              </w:rPr>
              <w:t>期占总</w:t>
            </w:r>
            <w:r>
              <w:rPr>
                <w:rFonts w:ascii="宋体" w:hAnsi="宋体" w:cs="宋体" w:eastAsia="宋体" w:hint="default"/>
                <w:spacing w:val="-102"/>
                <w:sz w:val="21"/>
                <w:szCs w:val="21"/>
              </w:rPr>
              <w:t> </w:t>
            </w:r>
            <w:r>
              <w:rPr>
                <w:rFonts w:ascii="宋体" w:hAnsi="宋体" w:cs="宋体" w:eastAsia="宋体" w:hint="default"/>
                <w:sz w:val="21"/>
                <w:szCs w:val="21"/>
              </w:rPr>
              <w:t>成本比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6" w:right="0"/>
              <w:jc w:val="both"/>
              <w:rPr>
                <w:rFonts w:ascii="宋体" w:hAnsi="宋体" w:cs="宋体" w:eastAsia="宋体" w:hint="default"/>
                <w:sz w:val="21"/>
                <w:szCs w:val="21"/>
              </w:rPr>
            </w:pPr>
            <w:r>
              <w:rPr>
                <w:rFonts w:ascii="宋体" w:hAnsi="宋体" w:cs="宋体" w:eastAsia="宋体" w:hint="default"/>
                <w:sz w:val="21"/>
                <w:szCs w:val="21"/>
              </w:rPr>
              <w:t>本期金</w:t>
            </w:r>
          </w:p>
          <w:p>
            <w:pPr>
              <w:pStyle w:val="TableParagraph"/>
              <w:spacing w:line="237" w:lineRule="auto"/>
              <w:ind w:left="136" w:right="137"/>
              <w:jc w:val="both"/>
              <w:rPr>
                <w:rFonts w:ascii="宋体" w:hAnsi="宋体" w:cs="宋体" w:eastAsia="宋体" w:hint="default"/>
                <w:sz w:val="21"/>
                <w:szCs w:val="21"/>
              </w:rPr>
            </w:pPr>
            <w:r>
              <w:rPr>
                <w:rFonts w:ascii="宋体" w:hAnsi="宋体" w:cs="宋体" w:eastAsia="宋体" w:hint="default"/>
                <w:sz w:val="21"/>
                <w:szCs w:val="21"/>
              </w:rPr>
              <w:t>额较上</w:t>
            </w:r>
            <w:r>
              <w:rPr>
                <w:rFonts w:ascii="宋体" w:hAnsi="宋体" w:cs="宋体" w:eastAsia="宋体" w:hint="default"/>
                <w:spacing w:val="-102"/>
                <w:sz w:val="21"/>
                <w:szCs w:val="21"/>
              </w:rPr>
              <w:t> </w:t>
            </w:r>
            <w:r>
              <w:rPr>
                <w:rFonts w:ascii="宋体" w:hAnsi="宋体" w:cs="宋体" w:eastAsia="宋体" w:hint="default"/>
                <w:sz w:val="21"/>
                <w:szCs w:val="21"/>
              </w:rPr>
              <w:t>年同期</w:t>
            </w:r>
            <w:r>
              <w:rPr>
                <w:rFonts w:ascii="宋体" w:hAnsi="宋体" w:cs="宋体" w:eastAsia="宋体" w:hint="default"/>
                <w:spacing w:val="-102"/>
                <w:sz w:val="21"/>
                <w:szCs w:val="21"/>
              </w:rPr>
              <w:t> </w:t>
            </w:r>
            <w:r>
              <w:rPr>
                <w:rFonts w:ascii="宋体" w:hAnsi="宋体" w:cs="宋体" w:eastAsia="宋体" w:hint="default"/>
                <w:sz w:val="21"/>
                <w:szCs w:val="21"/>
              </w:rPr>
              <w:t>变动比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03" w:right="203"/>
              <w:jc w:val="left"/>
              <w:rPr>
                <w:rFonts w:ascii="宋体" w:hAnsi="宋体" w:cs="宋体" w:eastAsia="宋体" w:hint="default"/>
                <w:sz w:val="21"/>
                <w:szCs w:val="21"/>
              </w:rPr>
            </w:pPr>
            <w:r>
              <w:rPr>
                <w:rFonts w:ascii="宋体" w:hAnsi="宋体" w:cs="宋体" w:eastAsia="宋体" w:hint="default"/>
                <w:sz w:val="21"/>
                <w:szCs w:val="21"/>
              </w:rPr>
              <w:t>情况</w:t>
            </w:r>
            <w:r>
              <w:rPr>
                <w:rFonts w:ascii="宋体" w:hAnsi="宋体" w:cs="宋体" w:eastAsia="宋体" w:hint="default"/>
                <w:spacing w:val="-103"/>
                <w:sz w:val="21"/>
                <w:szCs w:val="21"/>
              </w:rPr>
              <w:t> </w:t>
            </w:r>
            <w:r>
              <w:rPr>
                <w:rFonts w:ascii="宋体" w:hAnsi="宋体" w:cs="宋体" w:eastAsia="宋体" w:hint="default"/>
                <w:sz w:val="21"/>
                <w:szCs w:val="21"/>
              </w:rPr>
              <w:t>说明</w:t>
            </w:r>
          </w:p>
        </w:tc>
      </w:tr>
      <w:tr>
        <w:trPr>
          <w:trHeight w:val="283" w:hRule="exact"/>
        </w:trPr>
        <w:tc>
          <w:tcPr>
            <w:tcW w:w="1123" w:type="dxa"/>
            <w:vMerge w:val="restart"/>
            <w:tcBorders>
              <w:top w:val="single" w:sz="4" w:space="0" w:color="000000"/>
              <w:left w:val="single" w:sz="4" w:space="0" w:color="000000"/>
              <w:right w:val="single" w:sz="4" w:space="0" w:color="000000"/>
            </w:tcBorders>
          </w:tcPr>
          <w:p>
            <w:pPr>
              <w:pStyle w:val="TableParagraph"/>
              <w:spacing w:line="240" w:lineRule="auto" w:before="18"/>
              <w:ind w:left="451" w:right="132" w:hanging="315"/>
              <w:jc w:val="left"/>
              <w:rPr>
                <w:rFonts w:ascii="宋体" w:hAnsi="宋体" w:cs="宋体" w:eastAsia="宋体" w:hint="default"/>
                <w:sz w:val="21"/>
                <w:szCs w:val="21"/>
              </w:rPr>
            </w:pPr>
            <w:r>
              <w:rPr>
                <w:rFonts w:ascii="宋体" w:hAnsi="宋体" w:cs="宋体" w:eastAsia="宋体" w:hint="default"/>
                <w:sz w:val="21"/>
                <w:szCs w:val="21"/>
              </w:rPr>
              <w:t>产品化软</w:t>
            </w:r>
            <w:r>
              <w:rPr>
                <w:rFonts w:ascii="宋体" w:hAnsi="宋体" w:cs="宋体" w:eastAsia="宋体" w:hint="default"/>
                <w:w w:val="100"/>
                <w:sz w:val="21"/>
                <w:szCs w:val="21"/>
              </w:rPr>
              <w:t> </w:t>
            </w:r>
            <w:r>
              <w:rPr>
                <w:rFonts w:ascii="宋体" w:hAnsi="宋体" w:cs="宋体" w:eastAsia="宋体" w:hint="default"/>
                <w:sz w:val="21"/>
                <w:szCs w:val="21"/>
              </w:rPr>
              <w:t>件</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人工</w:t>
            </w:r>
          </w:p>
        </w:tc>
        <w:tc>
          <w:tcPr>
            <w:tcW w:w="1582" w:type="dxa"/>
            <w:tcBorders>
              <w:top w:val="single" w:sz="4" w:space="0" w:color="000000"/>
              <w:left w:val="single" w:sz="4" w:space="0" w:color="000000"/>
              <w:bottom w:val="single" w:sz="4" w:space="0" w:color="000000"/>
              <w:right w:val="single" w:sz="4" w:space="0" w:color="000000"/>
            </w:tcBorders>
          </w:tcPr>
          <w:p>
            <w:pPr/>
          </w:p>
        </w:tc>
        <w:tc>
          <w:tcPr>
            <w:tcW w:w="101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123" w:type="dxa"/>
            <w:vMerge/>
            <w:tcBorders>
              <w:left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1582" w:type="dxa"/>
            <w:tcBorders>
              <w:top w:val="single" w:sz="4" w:space="0" w:color="000000"/>
              <w:left w:val="single" w:sz="4" w:space="0" w:color="000000"/>
              <w:bottom w:val="single" w:sz="4" w:space="0" w:color="000000"/>
              <w:right w:val="single" w:sz="4" w:space="0" w:color="000000"/>
            </w:tcBorders>
          </w:tcPr>
          <w:p>
            <w:pPr/>
          </w:p>
        </w:tc>
        <w:tc>
          <w:tcPr>
            <w:tcW w:w="101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23" w:type="dxa"/>
            <w:vMerge/>
            <w:tcBorders>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软硬件</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及其他</w:t>
            </w:r>
          </w:p>
        </w:tc>
        <w:tc>
          <w:tcPr>
            <w:tcW w:w="1582" w:type="dxa"/>
            <w:tcBorders>
              <w:top w:val="single" w:sz="4" w:space="0" w:color="000000"/>
              <w:left w:val="single" w:sz="4" w:space="0" w:color="000000"/>
              <w:bottom w:val="single" w:sz="4" w:space="0" w:color="000000"/>
              <w:right w:val="single" w:sz="4" w:space="0" w:color="000000"/>
            </w:tcBorders>
          </w:tcPr>
          <w:p>
            <w:pPr/>
          </w:p>
        </w:tc>
        <w:tc>
          <w:tcPr>
            <w:tcW w:w="101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12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136" w:right="0"/>
              <w:jc w:val="left"/>
              <w:rPr>
                <w:rFonts w:ascii="宋体" w:hAnsi="宋体" w:cs="宋体" w:eastAsia="宋体" w:hint="default"/>
                <w:sz w:val="21"/>
                <w:szCs w:val="21"/>
              </w:rPr>
            </w:pPr>
            <w:r>
              <w:rPr>
                <w:rFonts w:ascii="宋体" w:hAnsi="宋体" w:cs="宋体" w:eastAsia="宋体" w:hint="default"/>
                <w:sz w:val="21"/>
                <w:szCs w:val="21"/>
              </w:rPr>
              <w:t>定制软件</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人工</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32,373,813.41</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62.58</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25,618,479.11</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60.96</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26.37</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无重</w:t>
            </w:r>
          </w:p>
          <w:p>
            <w:pPr>
              <w:pStyle w:val="TableParagraph"/>
              <w:spacing w:line="240" w:lineRule="auto"/>
              <w:ind w:left="100" w:right="305"/>
              <w:jc w:val="left"/>
              <w:rPr>
                <w:rFonts w:ascii="宋体" w:hAnsi="宋体" w:cs="宋体" w:eastAsia="宋体" w:hint="default"/>
                <w:sz w:val="21"/>
                <w:szCs w:val="21"/>
              </w:rPr>
            </w:pPr>
            <w:r>
              <w:rPr>
                <w:rFonts w:ascii="宋体" w:hAnsi="宋体" w:cs="宋体" w:eastAsia="宋体" w:hint="default"/>
                <w:sz w:val="21"/>
                <w:szCs w:val="21"/>
              </w:rPr>
              <w:t>大变</w:t>
            </w:r>
            <w:r>
              <w:rPr>
                <w:rFonts w:ascii="宋体" w:hAnsi="宋体" w:cs="宋体" w:eastAsia="宋体" w:hint="default"/>
                <w:spacing w:val="-103"/>
                <w:sz w:val="21"/>
                <w:szCs w:val="21"/>
              </w:rPr>
              <w:t> </w:t>
            </w:r>
            <w:r>
              <w:rPr>
                <w:rFonts w:ascii="宋体" w:hAnsi="宋体" w:cs="宋体" w:eastAsia="宋体" w:hint="default"/>
                <w:sz w:val="21"/>
                <w:szCs w:val="21"/>
              </w:rPr>
              <w:t>化</w:t>
            </w:r>
          </w:p>
        </w:tc>
      </w:tr>
      <w:tr>
        <w:trPr>
          <w:trHeight w:val="828" w:hRule="exact"/>
        </w:trPr>
        <w:tc>
          <w:tcPr>
            <w:tcW w:w="1123" w:type="dxa"/>
            <w:vMerge/>
            <w:tcBorders>
              <w:left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7,762,103.01</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15.01</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6,555,360.84</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15.60</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18.41</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无重</w:t>
            </w:r>
          </w:p>
          <w:p>
            <w:pPr>
              <w:pStyle w:val="TableParagraph"/>
              <w:spacing w:line="272" w:lineRule="exact" w:before="26"/>
              <w:ind w:left="100" w:right="305"/>
              <w:jc w:val="left"/>
              <w:rPr>
                <w:rFonts w:ascii="宋体" w:hAnsi="宋体" w:cs="宋体" w:eastAsia="宋体" w:hint="default"/>
                <w:sz w:val="21"/>
                <w:szCs w:val="21"/>
              </w:rPr>
            </w:pPr>
            <w:r>
              <w:rPr>
                <w:rFonts w:ascii="宋体" w:hAnsi="宋体" w:cs="宋体" w:eastAsia="宋体" w:hint="default"/>
                <w:sz w:val="21"/>
                <w:szCs w:val="21"/>
              </w:rPr>
              <w:t>大变</w:t>
            </w:r>
            <w:r>
              <w:rPr>
                <w:rFonts w:ascii="宋体" w:hAnsi="宋体" w:cs="宋体" w:eastAsia="宋体" w:hint="default"/>
                <w:spacing w:val="-103"/>
                <w:sz w:val="21"/>
                <w:szCs w:val="21"/>
              </w:rPr>
              <w:t> </w:t>
            </w:r>
            <w:r>
              <w:rPr>
                <w:rFonts w:ascii="宋体" w:hAnsi="宋体" w:cs="宋体" w:eastAsia="宋体" w:hint="default"/>
                <w:sz w:val="21"/>
                <w:szCs w:val="21"/>
              </w:rPr>
              <w:t>化</w:t>
            </w:r>
          </w:p>
        </w:tc>
      </w:tr>
      <w:tr>
        <w:trPr>
          <w:trHeight w:val="554" w:hRule="exact"/>
        </w:trPr>
        <w:tc>
          <w:tcPr>
            <w:tcW w:w="1123" w:type="dxa"/>
            <w:vMerge/>
            <w:tcBorders>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软硬件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及其他</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1,144,350.72</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2.21</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1,605,483.12</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3.82</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2" w:right="0"/>
              <w:jc w:val="left"/>
              <w:rPr>
                <w:rFonts w:ascii="宋体" w:hAnsi="宋体" w:cs="宋体" w:eastAsia="宋体" w:hint="default"/>
                <w:sz w:val="21"/>
                <w:szCs w:val="21"/>
              </w:rPr>
            </w:pPr>
            <w:r>
              <w:rPr>
                <w:rFonts w:ascii="宋体"/>
                <w:sz w:val="21"/>
              </w:rPr>
              <w:t>-28.72</w:t>
            </w:r>
          </w:p>
        </w:tc>
        <w:tc>
          <w:tcPr>
            <w:tcW w:w="840"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12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136" w:right="0"/>
              <w:jc w:val="left"/>
              <w:rPr>
                <w:rFonts w:ascii="宋体" w:hAnsi="宋体" w:cs="宋体" w:eastAsia="宋体" w:hint="default"/>
                <w:sz w:val="21"/>
                <w:szCs w:val="21"/>
              </w:rPr>
            </w:pPr>
            <w:r>
              <w:rPr>
                <w:rFonts w:ascii="宋体" w:hAnsi="宋体" w:cs="宋体" w:eastAsia="宋体" w:hint="default"/>
                <w:sz w:val="21"/>
                <w:szCs w:val="21"/>
              </w:rPr>
              <w:t>运维服务</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人工</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3,097,926.81</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5.99</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2,011,330.16</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4.79</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54.02</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无重</w:t>
            </w:r>
          </w:p>
          <w:p>
            <w:pPr>
              <w:pStyle w:val="TableParagraph"/>
              <w:spacing w:line="272" w:lineRule="exact" w:before="27"/>
              <w:ind w:left="100" w:right="305"/>
              <w:jc w:val="left"/>
              <w:rPr>
                <w:rFonts w:ascii="宋体" w:hAnsi="宋体" w:cs="宋体" w:eastAsia="宋体" w:hint="default"/>
                <w:sz w:val="21"/>
                <w:szCs w:val="21"/>
              </w:rPr>
            </w:pPr>
            <w:r>
              <w:rPr>
                <w:rFonts w:ascii="宋体" w:hAnsi="宋体" w:cs="宋体" w:eastAsia="宋体" w:hint="default"/>
                <w:sz w:val="21"/>
                <w:szCs w:val="21"/>
              </w:rPr>
              <w:t>大变</w:t>
            </w:r>
            <w:r>
              <w:rPr>
                <w:rFonts w:ascii="宋体" w:hAnsi="宋体" w:cs="宋体" w:eastAsia="宋体" w:hint="default"/>
                <w:spacing w:val="-103"/>
                <w:sz w:val="21"/>
                <w:szCs w:val="21"/>
              </w:rPr>
              <w:t> </w:t>
            </w:r>
            <w:r>
              <w:rPr>
                <w:rFonts w:ascii="宋体" w:hAnsi="宋体" w:cs="宋体" w:eastAsia="宋体" w:hint="default"/>
                <w:sz w:val="21"/>
                <w:szCs w:val="21"/>
              </w:rPr>
              <w:t>化</w:t>
            </w:r>
          </w:p>
        </w:tc>
      </w:tr>
      <w:tr>
        <w:trPr>
          <w:trHeight w:val="826" w:hRule="exact"/>
        </w:trPr>
        <w:tc>
          <w:tcPr>
            <w:tcW w:w="1123" w:type="dxa"/>
            <w:vMerge/>
            <w:tcBorders>
              <w:left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184,833.63</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0.36</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244,319.80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0.58</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2" w:right="0"/>
              <w:jc w:val="left"/>
              <w:rPr>
                <w:rFonts w:ascii="宋体" w:hAnsi="宋体" w:cs="宋体" w:eastAsia="宋体" w:hint="default"/>
                <w:sz w:val="21"/>
                <w:szCs w:val="21"/>
              </w:rPr>
            </w:pPr>
            <w:r>
              <w:rPr>
                <w:rFonts w:ascii="宋体"/>
                <w:sz w:val="21"/>
              </w:rPr>
              <w:t>-24.35</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无重</w:t>
            </w:r>
          </w:p>
          <w:p>
            <w:pPr>
              <w:pStyle w:val="TableParagraph"/>
              <w:spacing w:line="240" w:lineRule="auto"/>
              <w:ind w:left="100" w:right="305"/>
              <w:jc w:val="left"/>
              <w:rPr>
                <w:rFonts w:ascii="宋体" w:hAnsi="宋体" w:cs="宋体" w:eastAsia="宋体" w:hint="default"/>
                <w:sz w:val="21"/>
                <w:szCs w:val="21"/>
              </w:rPr>
            </w:pPr>
            <w:r>
              <w:rPr>
                <w:rFonts w:ascii="宋体" w:hAnsi="宋体" w:cs="宋体" w:eastAsia="宋体" w:hint="default"/>
                <w:sz w:val="21"/>
                <w:szCs w:val="21"/>
              </w:rPr>
              <w:t>大变</w:t>
            </w:r>
            <w:r>
              <w:rPr>
                <w:rFonts w:ascii="宋体" w:hAnsi="宋体" w:cs="宋体" w:eastAsia="宋体" w:hint="default"/>
                <w:spacing w:val="-103"/>
                <w:sz w:val="21"/>
                <w:szCs w:val="21"/>
              </w:rPr>
              <w:t> </w:t>
            </w:r>
            <w:r>
              <w:rPr>
                <w:rFonts w:ascii="宋体" w:hAnsi="宋体" w:cs="宋体" w:eastAsia="宋体" w:hint="default"/>
                <w:sz w:val="21"/>
                <w:szCs w:val="21"/>
              </w:rPr>
              <w:t>化</w:t>
            </w:r>
          </w:p>
        </w:tc>
      </w:tr>
      <w:tr>
        <w:trPr>
          <w:trHeight w:val="555" w:hRule="exact"/>
        </w:trPr>
        <w:tc>
          <w:tcPr>
            <w:tcW w:w="1123" w:type="dxa"/>
            <w:vMerge/>
            <w:tcBorders>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软硬件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及其他</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369,894.94</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0.72</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286,001.63</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0.68</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29.33</w:t>
            </w:r>
          </w:p>
        </w:tc>
        <w:tc>
          <w:tcPr>
            <w:tcW w:w="84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12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136" w:right="0"/>
              <w:jc w:val="left"/>
              <w:rPr>
                <w:rFonts w:ascii="宋体" w:hAnsi="宋体" w:cs="宋体" w:eastAsia="宋体" w:hint="default"/>
                <w:sz w:val="21"/>
                <w:szCs w:val="21"/>
              </w:rPr>
            </w:pPr>
            <w:r>
              <w:rPr>
                <w:rFonts w:ascii="宋体" w:hAnsi="宋体" w:cs="宋体" w:eastAsia="宋体" w:hint="default"/>
                <w:sz w:val="21"/>
                <w:szCs w:val="21"/>
              </w:rPr>
              <w:t>系统集成</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人工</w:t>
            </w:r>
          </w:p>
        </w:tc>
        <w:tc>
          <w:tcPr>
            <w:tcW w:w="1582" w:type="dxa"/>
            <w:tcBorders>
              <w:top w:val="single" w:sz="4" w:space="0" w:color="000000"/>
              <w:left w:val="single" w:sz="4" w:space="0" w:color="000000"/>
              <w:bottom w:val="single" w:sz="4" w:space="0" w:color="000000"/>
              <w:right w:val="single" w:sz="4" w:space="0" w:color="000000"/>
            </w:tcBorders>
          </w:tcPr>
          <w:p>
            <w:pPr/>
          </w:p>
        </w:tc>
        <w:tc>
          <w:tcPr>
            <w:tcW w:w="101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123" w:type="dxa"/>
            <w:vMerge/>
            <w:tcBorders>
              <w:left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1582" w:type="dxa"/>
            <w:tcBorders>
              <w:top w:val="single" w:sz="4" w:space="0" w:color="000000"/>
              <w:left w:val="single" w:sz="4" w:space="0" w:color="000000"/>
              <w:bottom w:val="single" w:sz="4" w:space="0" w:color="000000"/>
              <w:right w:val="single" w:sz="4" w:space="0" w:color="000000"/>
            </w:tcBorders>
          </w:tcPr>
          <w:p>
            <w:pPr/>
          </w:p>
        </w:tc>
        <w:tc>
          <w:tcPr>
            <w:tcW w:w="101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123" w:type="dxa"/>
            <w:vMerge/>
            <w:tcBorders>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软硬件</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及其他</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6,795,331.52</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13.14</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5,701,513.82</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13.57</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19.18</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无重</w:t>
            </w:r>
          </w:p>
          <w:p>
            <w:pPr>
              <w:pStyle w:val="TableParagraph"/>
              <w:spacing w:line="240" w:lineRule="auto"/>
              <w:ind w:left="100" w:right="305"/>
              <w:jc w:val="left"/>
              <w:rPr>
                <w:rFonts w:ascii="宋体" w:hAnsi="宋体" w:cs="宋体" w:eastAsia="宋体" w:hint="default"/>
                <w:sz w:val="21"/>
                <w:szCs w:val="21"/>
              </w:rPr>
            </w:pPr>
            <w:r>
              <w:rPr>
                <w:rFonts w:ascii="宋体" w:hAnsi="宋体" w:cs="宋体" w:eastAsia="宋体" w:hint="default"/>
                <w:sz w:val="21"/>
                <w:szCs w:val="21"/>
              </w:rPr>
              <w:t>大变</w:t>
            </w:r>
            <w:r>
              <w:rPr>
                <w:rFonts w:ascii="宋体" w:hAnsi="宋体" w:cs="宋体" w:eastAsia="宋体" w:hint="default"/>
                <w:spacing w:val="-103"/>
                <w:sz w:val="21"/>
                <w:szCs w:val="21"/>
              </w:rPr>
              <w:t> </w:t>
            </w:r>
            <w:r>
              <w:rPr>
                <w:rFonts w:ascii="宋体" w:hAnsi="宋体" w:cs="宋体" w:eastAsia="宋体" w:hint="default"/>
                <w:sz w:val="21"/>
                <w:szCs w:val="21"/>
              </w:rPr>
              <w:t>化</w:t>
            </w:r>
          </w:p>
        </w:tc>
      </w:tr>
    </w:tbl>
    <w:p>
      <w:pPr>
        <w:spacing w:line="240" w:lineRule="auto" w:before="7"/>
        <w:rPr>
          <w:rFonts w:ascii="宋体" w:hAnsi="宋体" w:cs="宋体" w:eastAsia="宋体" w:hint="default"/>
          <w:sz w:val="15"/>
          <w:szCs w:val="15"/>
        </w:rPr>
      </w:pPr>
    </w:p>
    <w:p>
      <w:pPr>
        <w:pStyle w:val="BodyText"/>
        <w:spacing w:line="273" w:lineRule="exact" w:before="36"/>
        <w:ind w:right="2757"/>
        <w:jc w:val="left"/>
      </w:pPr>
      <w:r>
        <w:rPr/>
        <w:t>成本分析其他情况说明</w:t>
      </w:r>
    </w:p>
    <w:p>
      <w:pPr>
        <w:pStyle w:val="BodyText"/>
        <w:spacing w:line="273" w:lineRule="exact"/>
        <w:ind w:right="2757"/>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3"/>
        <w:spacing w:line="240" w:lineRule="auto"/>
        <w:ind w:right="2757"/>
        <w:jc w:val="left"/>
        <w:rPr>
          <w:b w:val="0"/>
          <w:bCs w:val="0"/>
        </w:rPr>
      </w:pPr>
      <w:r>
        <w:rPr>
          <w:rFonts w:ascii="宋体" w:hAnsi="宋体" w:cs="宋体" w:eastAsia="宋体" w:hint="default"/>
        </w:rPr>
        <w:t>(4).</w:t>
      </w:r>
      <w:r>
        <w:rPr>
          <w:rFonts w:ascii="宋体" w:hAnsi="宋体" w:cs="宋体" w:eastAsia="宋体" w:hint="default"/>
          <w:spacing w:val="36"/>
        </w:rPr>
        <w:t> </w:t>
      </w:r>
      <w:r>
        <w:rPr/>
        <w:t>主要销售客户及主要供应商情况</w:t>
      </w:r>
      <w:r>
        <w:rPr>
          <w:b w:val="0"/>
          <w:bCs w:val="0"/>
        </w:rPr>
      </w:r>
    </w:p>
    <w:p>
      <w:pPr>
        <w:pStyle w:val="BodyText"/>
        <w:spacing w:line="240" w:lineRule="auto" w:before="59"/>
        <w:ind w:right="2757"/>
        <w:jc w:val="left"/>
      </w:pPr>
      <w:r>
        <w:rPr/>
        <w:t>√适用</w:t>
      </w:r>
      <w:r>
        <w:rPr>
          <w:spacing w:val="-1"/>
        </w:rPr>
        <w:t> </w:t>
      </w:r>
      <w:r>
        <w:rPr/>
        <w:t>□不适用</w:t>
      </w:r>
    </w:p>
    <w:p>
      <w:pPr>
        <w:spacing w:after="0" w:line="240" w:lineRule="auto"/>
        <w:jc w:val="left"/>
        <w:sectPr>
          <w:pgSz w:w="11910" w:h="16840"/>
          <w:pgMar w:header="855" w:footer="1195" w:top="1320" w:bottom="1380" w:left="1580" w:right="1040"/>
        </w:sectPr>
      </w:pPr>
    </w:p>
    <w:p>
      <w:pPr>
        <w:spacing w:line="240" w:lineRule="auto" w:before="4"/>
        <w:rPr>
          <w:rFonts w:ascii="宋体" w:hAnsi="宋体" w:cs="宋体" w:eastAsia="宋体" w:hint="default"/>
          <w:sz w:val="9"/>
          <w:szCs w:val="9"/>
        </w:rPr>
      </w:pPr>
    </w:p>
    <w:p>
      <w:pPr>
        <w:pStyle w:val="BodyText"/>
        <w:spacing w:line="240" w:lineRule="auto" w:before="36"/>
        <w:ind w:right="1332"/>
        <w:jc w:val="left"/>
      </w:pPr>
      <w:r>
        <w:rPr/>
        <w:t>前五名客户销售额</w:t>
      </w:r>
      <w:r>
        <w:rPr>
          <w:spacing w:val="-56"/>
        </w:rPr>
        <w:t> </w:t>
      </w:r>
      <w:r>
        <w:rPr>
          <w:rFonts w:ascii="宋体" w:hAnsi="宋体" w:cs="宋体" w:eastAsia="宋体" w:hint="default"/>
        </w:rPr>
        <w:t>3,807.37</w:t>
      </w:r>
      <w:r>
        <w:rPr>
          <w:rFonts w:ascii="宋体" w:hAnsi="宋体" w:cs="宋体" w:eastAsia="宋体" w:hint="default"/>
          <w:spacing w:val="-55"/>
        </w:rPr>
        <w:t> </w:t>
      </w:r>
      <w:r>
        <w:rPr/>
        <w:t>万元，占年度销售总额</w:t>
      </w:r>
      <w:r>
        <w:rPr>
          <w:spacing w:val="-58"/>
        </w:rPr>
        <w:t> </w:t>
      </w:r>
      <w:r>
        <w:rPr>
          <w:rFonts w:ascii="宋体" w:hAnsi="宋体" w:cs="宋体" w:eastAsia="宋体" w:hint="default"/>
        </w:rPr>
        <w:t>15.62%</w:t>
      </w:r>
      <w:r>
        <w:rPr/>
        <w:t>；其中前五名客户销售额中关联方销</w:t>
      </w:r>
      <w:r>
        <w:rPr>
          <w:w w:val="100"/>
        </w:rPr>
        <w:t> </w:t>
      </w:r>
      <w:r>
        <w:rPr/>
        <w:t>售额</w:t>
      </w:r>
      <w:r>
        <w:rPr>
          <w:spacing w:val="-52"/>
        </w:rPr>
        <w:t> </w:t>
      </w:r>
      <w:r>
        <w:rPr>
          <w:rFonts w:ascii="宋体" w:hAnsi="宋体" w:cs="宋体" w:eastAsia="宋体" w:hint="default"/>
        </w:rPr>
        <w:t>0</w:t>
      </w:r>
      <w:r>
        <w:rPr>
          <w:rFonts w:ascii="宋体" w:hAnsi="宋体" w:cs="宋体" w:eastAsia="宋体" w:hint="default"/>
          <w:spacing w:val="-54"/>
        </w:rPr>
        <w:t> </w:t>
      </w:r>
      <w:r>
        <w:rPr/>
        <w:t>万元，占年度销售总额</w:t>
      </w:r>
      <w:r>
        <w:rPr>
          <w:spacing w:val="-51"/>
        </w:rPr>
        <w:t> </w:t>
      </w:r>
      <w:r>
        <w:rPr>
          <w:rFonts w:ascii="宋体" w:hAnsi="宋体" w:cs="宋体" w:eastAsia="宋体" w:hint="default"/>
        </w:rPr>
        <w:t>0 %</w:t>
      </w:r>
      <w:r>
        <w:rPr/>
        <w:t>。</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spacing w:line="240" w:lineRule="auto"/>
        <w:ind w:right="1330"/>
        <w:jc w:val="left"/>
      </w:pPr>
      <w:r>
        <w:rPr/>
        <w:t>前五名供应商采购额</w:t>
      </w:r>
      <w:r>
        <w:rPr>
          <w:spacing w:val="-55"/>
        </w:rPr>
        <w:t> </w:t>
      </w:r>
      <w:r>
        <w:rPr>
          <w:rFonts w:ascii="宋体" w:hAnsi="宋体" w:cs="宋体" w:eastAsia="宋体" w:hint="default"/>
        </w:rPr>
        <w:t>513.21</w:t>
      </w:r>
      <w:r>
        <w:rPr>
          <w:rFonts w:ascii="宋体" w:hAnsi="宋体" w:cs="宋体" w:eastAsia="宋体" w:hint="default"/>
          <w:spacing w:val="-55"/>
        </w:rPr>
        <w:t> </w:t>
      </w:r>
      <w:r>
        <w:rPr/>
        <w:t>万元，占年度采购总额</w:t>
      </w:r>
      <w:r>
        <w:rPr>
          <w:spacing w:val="-57"/>
        </w:rPr>
        <w:t> </w:t>
      </w:r>
      <w:r>
        <w:rPr>
          <w:rFonts w:ascii="宋体" w:hAnsi="宋体" w:cs="宋体" w:eastAsia="宋体" w:hint="default"/>
        </w:rPr>
        <w:t>52.52%</w:t>
      </w:r>
      <w:r>
        <w:rPr/>
        <w:t>；其中前五名供应商采购额中关联方</w:t>
      </w:r>
      <w:r>
        <w:rPr>
          <w:w w:val="100"/>
        </w:rPr>
        <w:t> </w:t>
      </w:r>
      <w:r>
        <w:rPr/>
        <w:t>采购额</w:t>
      </w:r>
      <w:r>
        <w:rPr>
          <w:spacing w:val="-54"/>
        </w:rPr>
        <w:t> </w:t>
      </w:r>
      <w:r>
        <w:rPr>
          <w:rFonts w:ascii="宋体" w:hAnsi="宋体" w:cs="宋体" w:eastAsia="宋体" w:hint="default"/>
        </w:rPr>
        <w:t>0</w:t>
      </w:r>
      <w:r>
        <w:rPr>
          <w:rFonts w:ascii="宋体" w:hAnsi="宋体" w:cs="宋体" w:eastAsia="宋体" w:hint="default"/>
          <w:spacing w:val="-54"/>
        </w:rPr>
        <w:t> </w:t>
      </w:r>
      <w:r>
        <w:rPr/>
        <w:t>万元，占年度采购总额</w:t>
      </w:r>
      <w:r>
        <w:rPr>
          <w:spacing w:val="-53"/>
        </w:rPr>
        <w:t> </w:t>
      </w:r>
      <w:r>
        <w:rPr>
          <w:rFonts w:ascii="宋体" w:hAnsi="宋体" w:cs="宋体" w:eastAsia="宋体" w:hint="default"/>
        </w:rPr>
        <w:t>0%</w:t>
      </w:r>
      <w:r>
        <w:rPr/>
        <w:t>。</w:t>
      </w:r>
    </w:p>
    <w:p>
      <w:pPr>
        <w:spacing w:line="240" w:lineRule="auto" w:before="10"/>
        <w:rPr>
          <w:rFonts w:ascii="宋体" w:hAnsi="宋体" w:cs="宋体" w:eastAsia="宋体" w:hint="default"/>
          <w:sz w:val="22"/>
          <w:szCs w:val="22"/>
        </w:rPr>
      </w:pPr>
    </w:p>
    <w:p>
      <w:pPr>
        <w:pStyle w:val="BodyText"/>
        <w:spacing w:line="272" w:lineRule="exact"/>
        <w:ind w:right="9248"/>
        <w:jc w:val="left"/>
      </w:pPr>
      <w:r>
        <w:rPr/>
        <w:t>其他说明</w:t>
      </w:r>
      <w:r>
        <w:rPr>
          <w:w w:val="100"/>
        </w:rPr>
        <w:t> </w:t>
      </w:r>
      <w:r>
        <w:rPr/>
        <w:t>无</w:t>
      </w:r>
    </w:p>
    <w:p>
      <w:pPr>
        <w:spacing w:line="240" w:lineRule="auto" w:before="4"/>
        <w:rPr>
          <w:rFonts w:ascii="宋体" w:hAnsi="宋体" w:cs="宋体" w:eastAsia="宋体" w:hint="default"/>
          <w:sz w:val="23"/>
          <w:szCs w:val="23"/>
        </w:rPr>
      </w:pPr>
    </w:p>
    <w:p>
      <w:pPr>
        <w:pStyle w:val="Heading3"/>
        <w:tabs>
          <w:tab w:pos="637" w:val="left" w:leader="none"/>
        </w:tabs>
        <w:spacing w:line="240" w:lineRule="auto"/>
        <w:ind w:right="1332"/>
        <w:jc w:val="left"/>
        <w:rPr>
          <w:b w:val="0"/>
          <w:bCs w:val="0"/>
        </w:rPr>
      </w:pPr>
      <w:r>
        <w:rPr>
          <w:rFonts w:ascii="宋体" w:hAnsi="宋体" w:cs="宋体" w:eastAsia="宋体" w:hint="default"/>
          <w:w w:val="95"/>
        </w:rPr>
        <w:t>2.</w:t>
        <w:tab/>
      </w:r>
      <w:r>
        <w:rPr/>
        <w:t>费用</w:t>
      </w:r>
      <w:r>
        <w:rPr>
          <w:b w:val="0"/>
          <w:bCs w:val="0"/>
        </w:rPr>
      </w:r>
    </w:p>
    <w:p>
      <w:pPr>
        <w:pStyle w:val="BodyText"/>
        <w:spacing w:line="240" w:lineRule="auto" w:before="58"/>
        <w:ind w:right="1332"/>
        <w:jc w:val="left"/>
      </w:pPr>
      <w:r>
        <w:rPr/>
        <w:t>√适用</w:t>
      </w:r>
      <w:r>
        <w:rPr>
          <w:spacing w:val="-1"/>
        </w:rPr>
        <w:t> </w:t>
      </w:r>
      <w:r>
        <w:rPr/>
        <w:t>□不适用</w:t>
      </w:r>
    </w:p>
    <w:p>
      <w:pPr>
        <w:spacing w:line="240" w:lineRule="auto" w:before="4"/>
        <w:rPr>
          <w:rFonts w:ascii="宋体" w:hAnsi="宋体" w:cs="宋体" w:eastAsia="宋体" w:hint="default"/>
          <w:sz w:val="23"/>
          <w:szCs w:val="23"/>
        </w:rPr>
      </w:pPr>
    </w:p>
    <w:tbl>
      <w:tblPr>
        <w:tblW w:w="0" w:type="auto"/>
        <w:jc w:val="left"/>
        <w:tblInd w:w="105" w:type="dxa"/>
        <w:tblLayout w:type="fixed"/>
        <w:tblCellMar>
          <w:top w:w="0" w:type="dxa"/>
          <w:left w:w="0" w:type="dxa"/>
          <w:bottom w:w="0" w:type="dxa"/>
          <w:right w:w="0" w:type="dxa"/>
        </w:tblCellMar>
        <w:tblLook w:val="01E0"/>
      </w:tblPr>
      <w:tblGrid>
        <w:gridCol w:w="2235"/>
        <w:gridCol w:w="2357"/>
        <w:gridCol w:w="2360"/>
        <w:gridCol w:w="2098"/>
      </w:tblGrid>
      <w:tr>
        <w:trPr>
          <w:trHeight w:val="281"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同比增减幅度（</w:t>
            </w:r>
            <w:r>
              <w:rPr>
                <w:rFonts w:ascii="宋体" w:hAnsi="宋体" w:cs="宋体" w:eastAsia="宋体" w:hint="default"/>
                <w:sz w:val="21"/>
                <w:szCs w:val="21"/>
              </w:rPr>
              <w:t>%</w:t>
            </w:r>
            <w:r>
              <w:rPr>
                <w:rFonts w:ascii="宋体" w:hAnsi="宋体" w:cs="宋体" w:eastAsia="宋体" w:hint="default"/>
                <w:sz w:val="21"/>
                <w:szCs w:val="21"/>
              </w:rPr>
              <w:t>）</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29,197,043.35</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27,325,404.59</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6.85</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85,114,997.74</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69,246,194.03</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22.92</w:t>
            </w:r>
          </w:p>
        </w:tc>
      </w:tr>
      <w:tr>
        <w:trPr>
          <w:trHeight w:val="281"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-4,607,679.58</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-5,482,497.01</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55" w:footer="1195" w:top="1320" w:bottom="1380" w:left="1580" w:right="0"/>
        </w:sectPr>
      </w:pPr>
    </w:p>
    <w:p>
      <w:pPr>
        <w:pStyle w:val="Heading3"/>
        <w:tabs>
          <w:tab w:pos="637" w:val="left" w:leader="none"/>
        </w:tabs>
        <w:spacing w:line="290" w:lineRule="auto" w:before="36"/>
        <w:ind w:right="202"/>
        <w:jc w:val="left"/>
        <w:rPr>
          <w:b w:val="0"/>
          <w:bCs w:val="0"/>
        </w:rPr>
      </w:pPr>
      <w:r>
        <w:rPr>
          <w:rFonts w:ascii="宋体" w:hAnsi="宋体" w:cs="宋体" w:eastAsia="宋体" w:hint="default"/>
          <w:w w:val="95"/>
        </w:rPr>
        <w:t>3.</w:t>
        <w:tab/>
      </w:r>
      <w:r>
        <w:rPr/>
        <w:t>研发投入</w:t>
      </w:r>
      <w:r>
        <w:rPr>
          <w:w w:val="100"/>
        </w:rPr>
        <w:t> </w:t>
      </w:r>
      <w:r>
        <w:rPr/>
        <w:t>研发投入情况表</w:t>
      </w:r>
      <w:r>
        <w:rPr>
          <w:b w:val="0"/>
          <w:bCs w:val="0"/>
        </w:rPr>
      </w:r>
    </w:p>
    <w:p>
      <w:pPr>
        <w:pStyle w:val="BodyText"/>
        <w:tabs>
          <w:tab w:pos="1060" w:val="left" w:leader="none"/>
        </w:tabs>
        <w:spacing w:line="240" w:lineRule="auto" w:before="12"/>
        <w:ind w:right="-12"/>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ind w:right="0"/>
        <w:jc w:val="left"/>
      </w:pPr>
      <w:r>
        <w:rPr/>
        <w:t>单位：元</w:t>
      </w:r>
    </w:p>
    <w:p>
      <w:pPr>
        <w:spacing w:after="0" w:line="240" w:lineRule="auto"/>
        <w:jc w:val="left"/>
        <w:sectPr>
          <w:type w:val="continuous"/>
          <w:pgSz w:w="11910" w:h="16840"/>
          <w:pgMar w:top="1000" w:bottom="280" w:left="1580" w:right="0"/>
          <w:cols w:num="2" w:equalWidth="0">
            <w:col w:w="1901" w:space="6093"/>
            <w:col w:w="2336"/>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795"/>
        <w:gridCol w:w="5255"/>
      </w:tblGrid>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本期费用化研发投入</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49,771,599.02</w:t>
            </w:r>
          </w:p>
        </w:tc>
      </w:tr>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本期资本化研发投入</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0.00</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研发投入合计</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49,771,599.02</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研发投入总额占营业收入比例（</w:t>
            </w:r>
            <w:r>
              <w:rPr>
                <w:rFonts w:ascii="宋体" w:hAnsi="宋体" w:cs="宋体" w:eastAsia="宋体" w:hint="default"/>
                <w:sz w:val="21"/>
                <w:szCs w:val="21"/>
              </w:rPr>
              <w:t>%</w:t>
            </w:r>
            <w:r>
              <w:rPr>
                <w:rFonts w:ascii="宋体" w:hAnsi="宋体" w:cs="宋体" w:eastAsia="宋体" w:hint="default"/>
                <w:sz w:val="21"/>
                <w:szCs w:val="21"/>
              </w:rPr>
              <w:t>）</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20.42</w:t>
            </w:r>
          </w:p>
        </w:tc>
      </w:tr>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公司研发人员的数量</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286</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研发人员数量占公司总人数的比例（</w:t>
            </w:r>
            <w:r>
              <w:rPr>
                <w:rFonts w:ascii="宋体" w:hAnsi="宋体" w:cs="宋体" w:eastAsia="宋体" w:hint="default"/>
                <w:spacing w:val="-2"/>
                <w:sz w:val="21"/>
                <w:szCs w:val="21"/>
              </w:rPr>
              <w:t>%</w:t>
            </w:r>
            <w:r>
              <w:rPr>
                <w:rFonts w:ascii="宋体" w:hAnsi="宋体" w:cs="宋体" w:eastAsia="宋体" w:hint="default"/>
                <w:spacing w:val="-2"/>
                <w:sz w:val="21"/>
                <w:szCs w:val="21"/>
              </w:rPr>
              <w:t>）</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34.09</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研发投入资本化的比重（</w:t>
            </w:r>
            <w:r>
              <w:rPr>
                <w:rFonts w:ascii="宋体" w:hAnsi="宋体" w:cs="宋体" w:eastAsia="宋体" w:hint="default"/>
                <w:sz w:val="21"/>
                <w:szCs w:val="21"/>
              </w:rPr>
              <w:t>%</w:t>
            </w:r>
            <w:r>
              <w:rPr>
                <w:rFonts w:ascii="宋体" w:hAnsi="宋体" w:cs="宋体" w:eastAsia="宋体" w:hint="default"/>
                <w:sz w:val="21"/>
                <w:szCs w:val="21"/>
              </w:rPr>
              <w:t>）</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0.00</w:t>
            </w:r>
          </w:p>
        </w:tc>
      </w:tr>
    </w:tbl>
    <w:p>
      <w:pPr>
        <w:spacing w:line="240" w:lineRule="auto" w:before="12"/>
        <w:rPr>
          <w:rFonts w:ascii="宋体" w:hAnsi="宋体" w:cs="宋体" w:eastAsia="宋体" w:hint="default"/>
          <w:sz w:val="19"/>
          <w:szCs w:val="19"/>
        </w:rPr>
      </w:pPr>
    </w:p>
    <w:p>
      <w:pPr>
        <w:pStyle w:val="Heading3"/>
        <w:spacing w:line="240" w:lineRule="auto" w:before="36"/>
        <w:ind w:right="0"/>
        <w:jc w:val="both"/>
        <w:rPr>
          <w:b w:val="0"/>
          <w:bCs w:val="0"/>
        </w:rPr>
      </w:pPr>
      <w:r>
        <w:rPr/>
        <w:t>情况说明</w:t>
      </w:r>
      <w:r>
        <w:rPr>
          <w:b w:val="0"/>
          <w:bCs w:val="0"/>
        </w:rPr>
      </w:r>
    </w:p>
    <w:p>
      <w:pPr>
        <w:pStyle w:val="BodyText"/>
        <w:spacing w:line="240" w:lineRule="auto" w:before="58"/>
        <w:ind w:right="0"/>
        <w:jc w:val="both"/>
      </w:pPr>
      <w:r>
        <w:rPr/>
        <w:t>√适用</w:t>
      </w:r>
      <w:r>
        <w:rPr>
          <w:spacing w:val="-1"/>
        </w:rPr>
        <w:t> </w:t>
      </w:r>
      <w:r>
        <w:rPr/>
        <w:t>□不适用</w:t>
      </w:r>
    </w:p>
    <w:p>
      <w:pPr>
        <w:pStyle w:val="BodyText"/>
        <w:spacing w:line="237" w:lineRule="auto" w:before="59"/>
        <w:ind w:right="1268"/>
        <w:jc w:val="both"/>
      </w:pPr>
      <w:r>
        <w:rPr>
          <w:spacing w:val="-4"/>
        </w:rPr>
        <w:t>注：</w:t>
      </w:r>
      <w:r>
        <w:rPr>
          <w:rFonts w:ascii="宋体" w:hAnsi="宋体" w:cs="宋体" w:eastAsia="宋体" w:hint="default"/>
          <w:spacing w:val="-4"/>
        </w:rPr>
        <w:t>1</w:t>
      </w:r>
      <w:r>
        <w:rPr>
          <w:spacing w:val="-4"/>
        </w:rPr>
        <w:t>、报告期内，公司持续加大对互联网应用、移动互联网应用、大数据、人工智能等新技术领</w:t>
      </w:r>
      <w:r>
        <w:rPr>
          <w:spacing w:val="-34"/>
        </w:rPr>
        <w:t> </w:t>
      </w:r>
      <w:r>
        <w:rPr>
          <w:spacing w:val="-34"/>
        </w:rPr>
      </w:r>
      <w:r>
        <w:rPr>
          <w:spacing w:val="-3"/>
        </w:rPr>
        <w:t>域的投入，推进新技术在公司各业务线的应用。研发投入主要为研究开发过程中人员薪酬、 差旅</w:t>
      </w:r>
      <w:r>
        <w:rPr>
          <w:spacing w:val="-81"/>
        </w:rPr>
        <w:t> </w:t>
      </w:r>
      <w:r>
        <w:rPr>
          <w:spacing w:val="-81"/>
        </w:rPr>
      </w:r>
      <w:r>
        <w:rPr/>
        <w:t>费用等相关支出。</w:t>
      </w:r>
    </w:p>
    <w:p>
      <w:pPr>
        <w:pStyle w:val="BodyText"/>
        <w:spacing w:line="274" w:lineRule="exact"/>
        <w:ind w:left="638" w:right="1332"/>
        <w:jc w:val="left"/>
      </w:pPr>
      <w:r>
        <w:rPr>
          <w:rFonts w:ascii="宋体" w:hAnsi="宋体" w:cs="宋体" w:eastAsia="宋体" w:hint="default"/>
        </w:rPr>
        <w:t>2</w:t>
      </w:r>
      <w:r>
        <w:rPr/>
        <w:t>、本公司技术人员</w:t>
      </w:r>
      <w:r>
        <w:rPr>
          <w:spacing w:val="-54"/>
        </w:rPr>
        <w:t> </w:t>
      </w:r>
      <w:r>
        <w:rPr>
          <w:rFonts w:ascii="宋体" w:hAnsi="宋体" w:cs="宋体" w:eastAsia="宋体" w:hint="default"/>
        </w:rPr>
        <w:t>700</w:t>
      </w:r>
      <w:r>
        <w:rPr>
          <w:rFonts w:ascii="宋体" w:hAnsi="宋体" w:cs="宋体" w:eastAsia="宋体" w:hint="default"/>
          <w:spacing w:val="-54"/>
        </w:rPr>
        <w:t> </w:t>
      </w:r>
      <w:r>
        <w:rPr/>
        <w:t>人，其中研发人员</w:t>
      </w:r>
      <w:r>
        <w:rPr>
          <w:spacing w:val="-52"/>
        </w:rPr>
        <w:t> </w:t>
      </w:r>
      <w:r>
        <w:rPr>
          <w:rFonts w:ascii="宋体" w:hAnsi="宋体" w:cs="宋体" w:eastAsia="宋体" w:hint="default"/>
        </w:rPr>
        <w:t>286</w:t>
      </w:r>
      <w:r>
        <w:rPr>
          <w:rFonts w:ascii="宋体" w:hAnsi="宋体" w:cs="宋体" w:eastAsia="宋体" w:hint="default"/>
          <w:spacing w:val="-54"/>
        </w:rPr>
        <w:t> </w:t>
      </w:r>
      <w:r>
        <w:rPr/>
        <w:t>人。</w:t>
      </w:r>
    </w:p>
    <w:p>
      <w:pPr>
        <w:spacing w:line="240" w:lineRule="auto" w:before="3"/>
        <w:rPr>
          <w:rFonts w:ascii="宋体" w:hAnsi="宋体" w:cs="宋体" w:eastAsia="宋体" w:hint="default"/>
          <w:sz w:val="25"/>
          <w:szCs w:val="25"/>
        </w:rPr>
      </w:pPr>
    </w:p>
    <w:p>
      <w:pPr>
        <w:pStyle w:val="Heading3"/>
        <w:spacing w:line="240" w:lineRule="auto"/>
        <w:ind w:right="0"/>
        <w:jc w:val="both"/>
        <w:rPr>
          <w:b w:val="0"/>
          <w:bCs w:val="0"/>
        </w:rPr>
      </w:pPr>
      <w:r>
        <w:rPr>
          <w:rFonts w:ascii="宋体" w:hAnsi="宋体" w:cs="宋体" w:eastAsia="宋体" w:hint="default"/>
        </w:rPr>
        <w:t>4.</w:t>
      </w:r>
      <w:r>
        <w:rPr>
          <w:rFonts w:ascii="宋体" w:hAnsi="宋体" w:cs="宋体" w:eastAsia="宋体" w:hint="default"/>
          <w:spacing w:val="103"/>
        </w:rPr>
        <w:t> </w:t>
      </w:r>
      <w:r>
        <w:rPr/>
        <w:t>现金流</w:t>
      </w:r>
      <w:r>
        <w:rPr>
          <w:b w:val="0"/>
          <w:bCs w:val="0"/>
        </w:rPr>
      </w:r>
    </w:p>
    <w:p>
      <w:pPr>
        <w:pStyle w:val="BodyText"/>
        <w:spacing w:line="240" w:lineRule="auto" w:before="56"/>
        <w:ind w:right="0"/>
        <w:jc w:val="both"/>
      </w:pPr>
      <w:r>
        <w:rPr/>
        <w:pict>
          <v:shape style="position:absolute;margin-left:89.424004pt;margin-top:46.74366pt;width:507.15pt;height:71.55pt;mso-position-horizontal-relative:page;mso-position-vertical-relative:paragraph;z-index:10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395"/>
                    <w:gridCol w:w="3119"/>
                    <w:gridCol w:w="2620"/>
                  </w:tblGrid>
                  <w:tr>
                    <w:trPr>
                      <w:trHeight w:val="319" w:hRule="exact"/>
                    </w:trPr>
                    <w:tc>
                      <w:tcPr>
                        <w:tcW w:w="4395"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1" w:right="0"/>
                          <w:jc w:val="center"/>
                          <w:rPr>
                            <w:rFonts w:ascii="宋体" w:hAnsi="宋体" w:cs="宋体" w:eastAsia="宋体" w:hint="default"/>
                            <w:sz w:val="21"/>
                            <w:szCs w:val="21"/>
                          </w:rPr>
                        </w:pPr>
                        <w:r>
                          <w:rPr>
                            <w:rFonts w:ascii="宋体" w:hAnsi="宋体" w:cs="宋体" w:eastAsia="宋体" w:hint="default"/>
                            <w:sz w:val="21"/>
                            <w:szCs w:val="21"/>
                          </w:rPr>
                          <w:t>科目</w:t>
                        </w:r>
                      </w:p>
                    </w:tc>
                    <w:tc>
                      <w:tcPr>
                        <w:tcW w:w="3119"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620" w:type="dxa"/>
                        <w:tcBorders>
                          <w:top w:val="single" w:sz="8" w:space="0" w:color="000000"/>
                          <w:left w:val="single" w:sz="8" w:space="0" w:color="000000"/>
                          <w:bottom w:val="single" w:sz="8" w:space="0" w:color="000000"/>
                          <w:right w:val="nil" w:sz="6" w:space="0" w:color="auto"/>
                        </w:tcBorders>
                      </w:tcPr>
                      <w:p>
                        <w:pPr>
                          <w:pStyle w:val="TableParagraph"/>
                          <w:spacing w:line="255" w:lineRule="exact"/>
                          <w:ind w:left="880"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547" w:hRule="exact"/>
                    </w:trPr>
                    <w:tc>
                      <w:tcPr>
                        <w:tcW w:w="43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left="98"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31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94"/>
                          <w:jc w:val="right"/>
                          <w:rPr>
                            <w:rFonts w:ascii="宋体" w:hAnsi="宋体" w:cs="宋体" w:eastAsia="宋体" w:hint="default"/>
                            <w:sz w:val="21"/>
                            <w:szCs w:val="21"/>
                          </w:rPr>
                        </w:pPr>
                        <w:r>
                          <w:rPr>
                            <w:rFonts w:ascii="宋体"/>
                            <w:spacing w:val="-1"/>
                            <w:sz w:val="21"/>
                          </w:rPr>
                          <w:t>103,665,536.19</w:t>
                        </w:r>
                      </w:p>
                    </w:tc>
                    <w:tc>
                      <w:tcPr>
                        <w:tcW w:w="262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3"/>
                          <w:ind w:right="-4"/>
                          <w:jc w:val="right"/>
                          <w:rPr>
                            <w:rFonts w:ascii="宋体" w:hAnsi="宋体" w:cs="宋体" w:eastAsia="宋体" w:hint="default"/>
                            <w:sz w:val="21"/>
                            <w:szCs w:val="21"/>
                          </w:rPr>
                        </w:pPr>
                        <w:r>
                          <w:rPr>
                            <w:rFonts w:ascii="宋体"/>
                            <w:spacing w:val="-1"/>
                            <w:sz w:val="21"/>
                          </w:rPr>
                          <w:t>95,193,528.9</w:t>
                        </w:r>
                      </w:p>
                    </w:tc>
                  </w:tr>
                  <w:tr>
                    <w:trPr>
                      <w:trHeight w:val="545" w:hRule="exact"/>
                    </w:trPr>
                    <w:tc>
                      <w:tcPr>
                        <w:tcW w:w="43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left="98"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31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94"/>
                          <w:jc w:val="right"/>
                          <w:rPr>
                            <w:rFonts w:ascii="宋体" w:hAnsi="宋体" w:cs="宋体" w:eastAsia="宋体" w:hint="default"/>
                            <w:sz w:val="21"/>
                            <w:szCs w:val="21"/>
                          </w:rPr>
                        </w:pPr>
                        <w:r>
                          <w:rPr>
                            <w:rFonts w:ascii="宋体"/>
                            <w:spacing w:val="-1"/>
                            <w:sz w:val="21"/>
                          </w:rPr>
                          <w:t>-651,470,656.34</w:t>
                        </w:r>
                      </w:p>
                    </w:tc>
                    <w:tc>
                      <w:tcPr>
                        <w:tcW w:w="262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3"/>
                          <w:ind w:right="-4"/>
                          <w:jc w:val="right"/>
                          <w:rPr>
                            <w:rFonts w:ascii="宋体" w:hAnsi="宋体" w:cs="宋体" w:eastAsia="宋体" w:hint="default"/>
                            <w:sz w:val="21"/>
                            <w:szCs w:val="21"/>
                          </w:rPr>
                        </w:pPr>
                        <w:r>
                          <w:rPr>
                            <w:rFonts w:ascii="宋体"/>
                            <w:spacing w:val="-1"/>
                            <w:sz w:val="21"/>
                          </w:rPr>
                          <w:t>-3,443,020.5</w:t>
                        </w:r>
                      </w:p>
                    </w:tc>
                  </w:tr>
                </w:tbl>
                <w:p>
                  <w:pPr/>
                </w:p>
              </w:txbxContent>
            </v:textbox>
            <w10:wrap type="none"/>
          </v:shape>
        </w:pict>
      </w:r>
      <w:r>
        <w:rPr/>
        <w:t>√适用</w:t>
      </w:r>
      <w:r>
        <w:rPr>
          <w:spacing w:val="-1"/>
        </w:rPr>
        <w:t> </w:t>
      </w:r>
      <w:r>
        <w:rPr/>
        <w:t>□不适用</w:t>
      </w:r>
    </w:p>
    <w:p>
      <w:pPr>
        <w:spacing w:after="0" w:line="240" w:lineRule="auto"/>
        <w:jc w:val="both"/>
        <w:sectPr>
          <w:type w:val="continuous"/>
          <w:pgSz w:w="11910" w:h="16840"/>
          <w:pgMar w:top="1000" w:bottom="280" w:left="15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37" w:lineRule="auto" w:before="38"/>
        <w:ind w:right="993"/>
        <w:jc w:val="left"/>
      </w:pPr>
      <w:r>
        <w:rPr/>
        <w:pict>
          <v:shape style="position:absolute;margin-left:89.424004pt;margin-top:-34.218937pt;width:507.45pt;height:37.7pt;mso-position-horizontal-relative:page;mso-position-vertical-relative:paragraph;z-index:10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395"/>
                    <w:gridCol w:w="3119"/>
                    <w:gridCol w:w="2626"/>
                  </w:tblGrid>
                  <w:tr>
                    <w:trPr>
                      <w:trHeight w:val="737" w:hRule="exact"/>
                    </w:trPr>
                    <w:tc>
                      <w:tcPr>
                        <w:tcW w:w="4395" w:type="dxa"/>
                        <w:tcBorders>
                          <w:top w:val="single" w:sz="6"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98"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3119" w:type="dxa"/>
                        <w:tcBorders>
                          <w:top w:val="single" w:sz="6"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1529" w:right="0"/>
                          <w:jc w:val="left"/>
                          <w:rPr>
                            <w:rFonts w:ascii="宋体" w:hAnsi="宋体" w:cs="宋体" w:eastAsia="宋体" w:hint="default"/>
                            <w:sz w:val="21"/>
                            <w:szCs w:val="21"/>
                          </w:rPr>
                        </w:pPr>
                        <w:r>
                          <w:rPr>
                            <w:rFonts w:ascii="宋体"/>
                            <w:sz w:val="21"/>
                          </w:rPr>
                          <w:t>401,542,195.00</w:t>
                        </w:r>
                      </w:p>
                    </w:tc>
                    <w:tc>
                      <w:tcPr>
                        <w:tcW w:w="2626" w:type="dxa"/>
                        <w:tcBorders>
                          <w:top w:val="single" w:sz="6" w:space="0" w:color="000000"/>
                          <w:left w:val="single" w:sz="8" w:space="0" w:color="000000"/>
                          <w:bottom w:val="single" w:sz="8" w:space="0" w:color="000000"/>
                          <w:right w:val="nil" w:sz="6" w:space="0" w:color="auto"/>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1562" w:right="0"/>
                          <w:jc w:val="left"/>
                          <w:rPr>
                            <w:rFonts w:ascii="宋体" w:hAnsi="宋体" w:cs="宋体" w:eastAsia="宋体" w:hint="default"/>
                            <w:sz w:val="21"/>
                            <w:szCs w:val="21"/>
                          </w:rPr>
                        </w:pPr>
                        <w:r>
                          <w:rPr>
                            <w:rFonts w:ascii="宋体"/>
                            <w:sz w:val="21"/>
                          </w:rPr>
                          <w:t>-700,000.0</w:t>
                        </w:r>
                      </w:p>
                    </w:tc>
                  </w:tr>
                </w:tbl>
                <w:p>
                  <w:pPr/>
                </w:p>
              </w:txbxContent>
            </v:textbox>
            <w10:wrap type="none"/>
          </v:shape>
        </w:pict>
      </w:r>
      <w:r>
        <w:rPr>
          <w:spacing w:val="-4"/>
          <w:w w:val="100"/>
        </w:rPr>
        <w:t>经营活动产生的现金流量净额变动原因说明</w:t>
      </w:r>
      <w:r>
        <w:rPr>
          <w:rFonts w:ascii="宋体" w:hAnsi="宋体" w:cs="宋体" w:eastAsia="宋体" w:hint="default"/>
          <w:spacing w:val="-4"/>
          <w:w w:val="100"/>
        </w:rPr>
        <w:t>:</w:t>
      </w:r>
      <w:r>
        <w:rPr>
          <w:spacing w:val="-4"/>
          <w:w w:val="100"/>
        </w:rPr>
        <w:t>本期销售商品、提供劳务收到的现金较上年同期增加；</w:t>
      </w:r>
      <w:r>
        <w:rPr>
          <w:spacing w:val="-88"/>
          <w:w w:val="100"/>
        </w:rPr>
        <w:t> </w:t>
      </w:r>
      <w:r>
        <w:rPr>
          <w:spacing w:val="-88"/>
          <w:w w:val="100"/>
        </w:rPr>
      </w:r>
      <w:r>
        <w:rPr/>
        <w:t>投资活动产生的现金流量净额变动原因说明</w:t>
      </w:r>
      <w:r>
        <w:rPr>
          <w:rFonts w:ascii="宋体" w:hAnsi="宋体" w:cs="宋体" w:eastAsia="宋体" w:hint="default"/>
        </w:rPr>
        <w:t>:</w:t>
      </w:r>
      <w:r>
        <w:rPr/>
        <w:t>本期公司购买保本型理财产品增加；</w:t>
      </w:r>
      <w:r>
        <w:rPr>
          <w:w w:val="100"/>
        </w:rPr>
        <w:t> </w:t>
      </w:r>
      <w:r>
        <w:rPr/>
        <w:t>筹资活动产生的现金流量净额变动原因说明</w:t>
      </w:r>
      <w:r>
        <w:rPr>
          <w:rFonts w:ascii="宋体" w:hAnsi="宋体" w:cs="宋体" w:eastAsia="宋体" w:hint="default"/>
        </w:rPr>
        <w:t>:</w:t>
      </w:r>
      <w:r>
        <w:rPr/>
        <w:t>本期收到首次公开发行股票募集资金及股权激励资</w:t>
      </w:r>
      <w:r>
        <w:rPr>
          <w:w w:val="100"/>
        </w:rPr>
        <w:t> </w:t>
      </w:r>
      <w:r>
        <w:rPr/>
        <w:t>金。</w:t>
      </w:r>
    </w:p>
    <w:p>
      <w:pPr>
        <w:spacing w:line="240" w:lineRule="auto" w:before="3"/>
        <w:rPr>
          <w:rFonts w:ascii="宋体" w:hAnsi="宋体" w:cs="宋体" w:eastAsia="宋体" w:hint="default"/>
          <w:sz w:val="25"/>
          <w:szCs w:val="25"/>
        </w:rPr>
      </w:pPr>
    </w:p>
    <w:p>
      <w:pPr>
        <w:pStyle w:val="Heading3"/>
        <w:tabs>
          <w:tab w:pos="1057" w:val="left" w:leader="none"/>
        </w:tabs>
        <w:spacing w:line="240" w:lineRule="auto"/>
        <w:ind w:right="1332"/>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spacing w:val="-1"/>
        </w:rPr>
        <w:t>非主营业务导致利润重大变化的说明</w:t>
      </w:r>
      <w:r>
        <w:rPr>
          <w:b w:val="0"/>
          <w:bCs w:val="0"/>
          <w:spacing w:val="-1"/>
        </w:rPr>
      </w:r>
    </w:p>
    <w:p>
      <w:pPr>
        <w:pStyle w:val="BodyText"/>
        <w:spacing w:line="240" w:lineRule="auto" w:before="56"/>
        <w:ind w:right="1332"/>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55" w:footer="1195" w:top="1280" w:bottom="1380" w:left="1580" w:right="0"/>
        </w:sectPr>
      </w:pPr>
    </w:p>
    <w:p>
      <w:pPr>
        <w:pStyle w:val="Heading3"/>
        <w:tabs>
          <w:tab w:pos="1057" w:val="left" w:leader="none"/>
        </w:tabs>
        <w:spacing w:line="240" w:lineRule="auto" w:before="36"/>
        <w:ind w:right="-16"/>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t>资产、负债情况分析</w:t>
      </w:r>
      <w:r>
        <w:rPr>
          <w:b w:val="0"/>
          <w:bCs w:val="0"/>
        </w:rPr>
      </w:r>
    </w:p>
    <w:p>
      <w:pPr>
        <w:pStyle w:val="BodyText"/>
        <w:tabs>
          <w:tab w:pos="1060" w:val="left" w:leader="none"/>
        </w:tabs>
        <w:spacing w:line="240" w:lineRule="auto" w:before="59"/>
        <w:ind w:right="-16"/>
        <w:jc w:val="left"/>
      </w:pPr>
      <w:r>
        <w:rPr>
          <w:spacing w:val="-1"/>
        </w:rPr>
        <w:t>√适用</w:t>
        <w:tab/>
      </w:r>
      <w:r>
        <w:rPr>
          <w:spacing w:val="-2"/>
        </w:rPr>
        <w:t>□不适用</w:t>
      </w:r>
    </w:p>
    <w:p>
      <w:pPr>
        <w:pStyle w:val="Heading3"/>
        <w:tabs>
          <w:tab w:pos="642" w:val="left" w:leader="none"/>
        </w:tabs>
        <w:spacing w:line="240" w:lineRule="auto" w:before="56"/>
        <w:ind w:right="-16"/>
        <w:jc w:val="left"/>
        <w:rPr>
          <w:b w:val="0"/>
          <w:bCs w:val="0"/>
        </w:rPr>
      </w:pPr>
      <w:r>
        <w:rPr>
          <w:rFonts w:ascii="宋体" w:hAnsi="宋体" w:cs="宋体" w:eastAsia="宋体" w:hint="default"/>
          <w:w w:val="95"/>
        </w:rPr>
        <w:t>1.</w:t>
        <w:tab/>
      </w:r>
      <w:r>
        <w:rPr/>
        <w:t>资产及负债状况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pStyle w:val="BodyText"/>
        <w:spacing w:line="240" w:lineRule="auto"/>
        <w:ind w:right="0"/>
        <w:jc w:val="left"/>
      </w:pPr>
      <w:r>
        <w:rPr/>
        <w:t>单位：元</w:t>
      </w:r>
    </w:p>
    <w:p>
      <w:pPr>
        <w:spacing w:after="0" w:line="240" w:lineRule="auto"/>
        <w:jc w:val="left"/>
        <w:sectPr>
          <w:type w:val="continuous"/>
          <w:pgSz w:w="11910" w:h="16840"/>
          <w:pgMar w:top="1000" w:bottom="280" w:left="1580" w:right="0"/>
          <w:cols w:num="2" w:equalWidth="0">
            <w:col w:w="2959" w:space="5034"/>
            <w:col w:w="233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327"/>
        <w:gridCol w:w="1688"/>
        <w:gridCol w:w="1205"/>
        <w:gridCol w:w="1685"/>
        <w:gridCol w:w="1159"/>
        <w:gridCol w:w="1162"/>
        <w:gridCol w:w="1238"/>
      </w:tblGrid>
      <w:tr>
        <w:trPr>
          <w:trHeight w:val="1099" w:hRule="exact"/>
        </w:trPr>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237"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311" w:right="0"/>
              <w:jc w:val="left"/>
              <w:rPr>
                <w:rFonts w:ascii="宋体" w:hAnsi="宋体" w:cs="宋体" w:eastAsia="宋体" w:hint="default"/>
                <w:sz w:val="21"/>
                <w:szCs w:val="21"/>
              </w:rPr>
            </w:pPr>
            <w:r>
              <w:rPr>
                <w:rFonts w:ascii="宋体" w:hAnsi="宋体" w:cs="宋体" w:eastAsia="宋体" w:hint="default"/>
                <w:sz w:val="21"/>
                <w:szCs w:val="21"/>
              </w:rPr>
              <w:t>本期期末数</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本期期末</w:t>
            </w:r>
          </w:p>
          <w:p>
            <w:pPr>
              <w:pStyle w:val="TableParagraph"/>
              <w:spacing w:line="272" w:lineRule="exact" w:before="27"/>
              <w:ind w:left="177" w:right="173"/>
              <w:jc w:val="center"/>
              <w:rPr>
                <w:rFonts w:ascii="宋体" w:hAnsi="宋体" w:cs="宋体" w:eastAsia="宋体" w:hint="default"/>
                <w:sz w:val="21"/>
                <w:szCs w:val="21"/>
              </w:rPr>
            </w:pPr>
            <w:r>
              <w:rPr>
                <w:rFonts w:ascii="宋体" w:hAnsi="宋体" w:cs="宋体" w:eastAsia="宋体" w:hint="default"/>
                <w:sz w:val="21"/>
                <w:szCs w:val="21"/>
              </w:rPr>
              <w:t>数占总资</w:t>
            </w:r>
            <w:r>
              <w:rPr>
                <w:rFonts w:ascii="宋体" w:hAnsi="宋体" w:cs="宋体" w:eastAsia="宋体" w:hint="default"/>
                <w:w w:val="100"/>
                <w:sz w:val="21"/>
                <w:szCs w:val="21"/>
              </w:rPr>
              <w:t> </w:t>
            </w:r>
            <w:r>
              <w:rPr>
                <w:rFonts w:ascii="宋体" w:hAnsi="宋体" w:cs="宋体" w:eastAsia="宋体" w:hint="default"/>
                <w:sz w:val="21"/>
                <w:szCs w:val="21"/>
              </w:rPr>
              <w:t>产的比例</w:t>
            </w:r>
          </w:p>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309" w:right="0"/>
              <w:jc w:val="left"/>
              <w:rPr>
                <w:rFonts w:ascii="宋体" w:hAnsi="宋体" w:cs="宋体" w:eastAsia="宋体" w:hint="default"/>
                <w:sz w:val="21"/>
                <w:szCs w:val="21"/>
              </w:rPr>
            </w:pPr>
            <w:r>
              <w:rPr>
                <w:rFonts w:ascii="宋体" w:hAnsi="宋体" w:cs="宋体" w:eastAsia="宋体" w:hint="default"/>
                <w:sz w:val="21"/>
                <w:szCs w:val="21"/>
              </w:rPr>
              <w:t>上期期末数</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上期期末</w:t>
            </w:r>
          </w:p>
          <w:p>
            <w:pPr>
              <w:pStyle w:val="TableParagraph"/>
              <w:spacing w:line="272" w:lineRule="exact" w:before="27"/>
              <w:ind w:left="153" w:right="151"/>
              <w:jc w:val="center"/>
              <w:rPr>
                <w:rFonts w:ascii="宋体" w:hAnsi="宋体" w:cs="宋体" w:eastAsia="宋体" w:hint="default"/>
                <w:sz w:val="21"/>
                <w:szCs w:val="21"/>
              </w:rPr>
            </w:pPr>
            <w:r>
              <w:rPr>
                <w:rFonts w:ascii="宋体" w:hAnsi="宋体" w:cs="宋体" w:eastAsia="宋体" w:hint="default"/>
                <w:sz w:val="21"/>
                <w:szCs w:val="21"/>
              </w:rPr>
              <w:t>数占总资</w:t>
            </w:r>
            <w:r>
              <w:rPr>
                <w:rFonts w:ascii="宋体" w:hAnsi="宋体" w:cs="宋体" w:eastAsia="宋体" w:hint="default"/>
                <w:w w:val="100"/>
                <w:sz w:val="21"/>
                <w:szCs w:val="21"/>
              </w:rPr>
              <w:t> </w:t>
            </w:r>
            <w:r>
              <w:rPr>
                <w:rFonts w:ascii="宋体" w:hAnsi="宋体" w:cs="宋体" w:eastAsia="宋体" w:hint="default"/>
                <w:sz w:val="21"/>
                <w:szCs w:val="21"/>
              </w:rPr>
              <w:t>产的比例</w:t>
            </w:r>
          </w:p>
          <w:p>
            <w:pPr>
              <w:pStyle w:val="TableParagraph"/>
              <w:spacing w:line="249" w:lineRule="exact"/>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6" w:right="0"/>
              <w:jc w:val="left"/>
              <w:rPr>
                <w:rFonts w:ascii="宋体" w:hAnsi="宋体" w:cs="宋体" w:eastAsia="宋体" w:hint="default"/>
                <w:sz w:val="21"/>
                <w:szCs w:val="21"/>
              </w:rPr>
            </w:pPr>
            <w:r>
              <w:rPr>
                <w:rFonts w:ascii="宋体" w:hAnsi="宋体" w:cs="宋体" w:eastAsia="宋体" w:hint="default"/>
                <w:sz w:val="21"/>
                <w:szCs w:val="21"/>
              </w:rPr>
              <w:t>本期期末</w:t>
            </w:r>
          </w:p>
          <w:p>
            <w:pPr>
              <w:pStyle w:val="TableParagraph"/>
              <w:spacing w:line="237" w:lineRule="auto" w:before="2"/>
              <w:ind w:left="103" w:right="-5" w:firstLine="53"/>
              <w:jc w:val="left"/>
              <w:rPr>
                <w:rFonts w:ascii="宋体" w:hAnsi="宋体" w:cs="宋体" w:eastAsia="宋体" w:hint="default"/>
                <w:sz w:val="21"/>
                <w:szCs w:val="21"/>
              </w:rPr>
            </w:pPr>
            <w:r>
              <w:rPr>
                <w:rFonts w:ascii="宋体" w:hAnsi="宋体" w:cs="宋体" w:eastAsia="宋体" w:hint="default"/>
                <w:sz w:val="21"/>
                <w:szCs w:val="21"/>
              </w:rPr>
              <w:t>金额较上</w:t>
            </w:r>
            <w:r>
              <w:rPr>
                <w:rFonts w:ascii="宋体" w:hAnsi="宋体" w:cs="宋体" w:eastAsia="宋体" w:hint="default"/>
                <w:w w:val="100"/>
                <w:sz w:val="21"/>
                <w:szCs w:val="21"/>
              </w:rPr>
              <w:t> </w:t>
            </w:r>
            <w:r>
              <w:rPr>
                <w:rFonts w:ascii="宋体" w:hAnsi="宋体" w:cs="宋体" w:eastAsia="宋体" w:hint="default"/>
                <w:sz w:val="21"/>
                <w:szCs w:val="21"/>
              </w:rPr>
              <w:t>期期末变</w:t>
            </w:r>
            <w:r>
              <w:rPr>
                <w:rFonts w:ascii="宋体" w:hAnsi="宋体" w:cs="宋体" w:eastAsia="宋体" w:hint="default"/>
                <w:w w:val="100"/>
                <w:sz w:val="21"/>
                <w:szCs w:val="21"/>
              </w:rPr>
              <w:t> </w:t>
            </w:r>
            <w:r>
              <w:rPr>
                <w:rFonts w:ascii="宋体" w:hAnsi="宋体" w:cs="宋体" w:eastAsia="宋体" w:hint="default"/>
                <w:spacing w:val="-18"/>
                <w:w w:val="100"/>
                <w:sz w:val="21"/>
                <w:szCs w:val="21"/>
              </w:rPr>
              <w:t>动比例（</w:t>
            </w:r>
            <w:r>
              <w:rPr>
                <w:rFonts w:ascii="宋体" w:hAnsi="宋体" w:cs="宋体" w:eastAsia="宋体" w:hint="default"/>
                <w:spacing w:val="-18"/>
                <w:w w:val="100"/>
                <w:sz w:val="21"/>
                <w:szCs w:val="21"/>
              </w:rPr>
              <w:t>%</w:t>
            </w:r>
            <w:r>
              <w:rPr>
                <w:rFonts w:ascii="宋体" w:hAnsi="宋体" w:cs="宋体" w:eastAsia="宋体" w:hint="default"/>
                <w:spacing w:val="-18"/>
                <w:w w:val="100"/>
                <w:sz w:val="21"/>
                <w:szCs w:val="21"/>
              </w:rPr>
              <w:t>）</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94" w:right="0"/>
              <w:jc w:val="left"/>
              <w:rPr>
                <w:rFonts w:ascii="宋体" w:hAnsi="宋体" w:cs="宋体" w:eastAsia="宋体" w:hint="default"/>
                <w:sz w:val="21"/>
                <w:szCs w:val="21"/>
              </w:rPr>
            </w:pPr>
            <w:r>
              <w:rPr>
                <w:rFonts w:ascii="宋体" w:hAnsi="宋体" w:cs="宋体" w:eastAsia="宋体" w:hint="default"/>
                <w:sz w:val="21"/>
                <w:szCs w:val="21"/>
              </w:rPr>
              <w:t>情况说明</w:t>
            </w:r>
          </w:p>
        </w:tc>
      </w:tr>
      <w:tr>
        <w:trPr>
          <w:trHeight w:val="1373" w:hRule="exact"/>
        </w:trPr>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366,596,590.26</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31.65</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512,859,515.41</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81.23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-28.52</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44"/>
                <w:sz w:val="21"/>
                <w:szCs w:val="21"/>
              </w:rPr>
              <w:t>本期公司</w:t>
            </w:r>
            <w:r>
              <w:rPr>
                <w:rFonts w:ascii="宋体" w:hAnsi="宋体" w:cs="宋体" w:eastAsia="宋体" w:hint="default"/>
                <w:spacing w:val="-45"/>
                <w:sz w:val="21"/>
                <w:szCs w:val="21"/>
              </w:rPr>
              <w:t> </w:t>
            </w:r>
            <w:r>
              <w:rPr>
                <w:rFonts w:ascii="宋体" w:hAnsi="宋体" w:cs="宋体" w:eastAsia="宋体" w:hint="default"/>
                <w:sz w:val="21"/>
                <w:szCs w:val="21"/>
              </w:rPr>
            </w:r>
          </w:p>
          <w:p>
            <w:pPr>
              <w:pStyle w:val="TableParagraph"/>
              <w:spacing w:line="237" w:lineRule="auto" w:before="2"/>
              <w:ind w:left="103" w:right="38"/>
              <w:jc w:val="both"/>
              <w:rPr>
                <w:rFonts w:ascii="宋体" w:hAnsi="宋体" w:cs="宋体" w:eastAsia="宋体" w:hint="default"/>
                <w:sz w:val="21"/>
                <w:szCs w:val="21"/>
              </w:rPr>
            </w:pPr>
            <w:r>
              <w:rPr>
                <w:rFonts w:ascii="宋体" w:hAnsi="宋体" w:cs="宋体" w:eastAsia="宋体" w:hint="default"/>
                <w:spacing w:val="44"/>
                <w:sz w:val="21"/>
                <w:szCs w:val="21"/>
              </w:rPr>
              <w:t>对部分货</w:t>
            </w:r>
            <w:r>
              <w:rPr>
                <w:rFonts w:ascii="宋体" w:hAnsi="宋体" w:cs="宋体" w:eastAsia="宋体" w:hint="default"/>
                <w:spacing w:val="-97"/>
                <w:sz w:val="21"/>
                <w:szCs w:val="21"/>
              </w:rPr>
              <w:t> </w:t>
            </w:r>
            <w:r>
              <w:rPr>
                <w:rFonts w:ascii="宋体" w:hAnsi="宋体" w:cs="宋体" w:eastAsia="宋体" w:hint="default"/>
                <w:spacing w:val="44"/>
                <w:sz w:val="21"/>
                <w:szCs w:val="21"/>
              </w:rPr>
              <w:t>币资金进</w:t>
            </w:r>
            <w:r>
              <w:rPr>
                <w:rFonts w:ascii="宋体" w:hAnsi="宋体" w:cs="宋体" w:eastAsia="宋体" w:hint="default"/>
                <w:spacing w:val="-97"/>
                <w:sz w:val="21"/>
                <w:szCs w:val="21"/>
              </w:rPr>
              <w:t> </w:t>
            </w:r>
            <w:r>
              <w:rPr>
                <w:rFonts w:ascii="宋体" w:hAnsi="宋体" w:cs="宋体" w:eastAsia="宋体" w:hint="default"/>
                <w:spacing w:val="44"/>
                <w:sz w:val="21"/>
                <w:szCs w:val="21"/>
              </w:rPr>
              <w:t>行保本型</w:t>
            </w:r>
            <w:r>
              <w:rPr>
                <w:rFonts w:ascii="宋体" w:hAnsi="宋体" w:cs="宋体" w:eastAsia="宋体" w:hint="default"/>
                <w:spacing w:val="-97"/>
                <w:sz w:val="21"/>
                <w:szCs w:val="21"/>
              </w:rPr>
              <w:t> </w:t>
            </w:r>
            <w:r>
              <w:rPr>
                <w:rFonts w:ascii="宋体" w:hAnsi="宋体" w:cs="宋体" w:eastAsia="宋体" w:hint="default"/>
                <w:sz w:val="21"/>
                <w:szCs w:val="21"/>
              </w:rPr>
              <w:t>理财。</w:t>
            </w:r>
          </w:p>
        </w:tc>
      </w:tr>
      <w:tr>
        <w:trPr>
          <w:trHeight w:val="1099" w:hRule="exact"/>
        </w:trPr>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6,723,842.57</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0.58</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889,742.73</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0.14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655.71</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44"/>
                <w:sz w:val="21"/>
                <w:szCs w:val="21"/>
              </w:rPr>
              <w:t>本期期末</w:t>
            </w:r>
            <w:r>
              <w:rPr>
                <w:rFonts w:ascii="宋体" w:hAnsi="宋体" w:cs="宋体" w:eastAsia="宋体" w:hint="default"/>
                <w:spacing w:val="-45"/>
                <w:sz w:val="21"/>
                <w:szCs w:val="21"/>
              </w:rPr>
              <w:t> </w:t>
            </w:r>
            <w:r>
              <w:rPr>
                <w:rFonts w:ascii="宋体" w:hAnsi="宋体" w:cs="宋体" w:eastAsia="宋体" w:hint="default"/>
                <w:sz w:val="21"/>
                <w:szCs w:val="21"/>
              </w:rPr>
            </w:r>
          </w:p>
          <w:p>
            <w:pPr>
              <w:pStyle w:val="TableParagraph"/>
              <w:spacing w:line="237" w:lineRule="auto"/>
              <w:ind w:left="103" w:right="38"/>
              <w:jc w:val="both"/>
              <w:rPr>
                <w:rFonts w:ascii="宋体" w:hAnsi="宋体" w:cs="宋体" w:eastAsia="宋体" w:hint="default"/>
                <w:sz w:val="21"/>
                <w:szCs w:val="21"/>
              </w:rPr>
            </w:pPr>
            <w:r>
              <w:rPr>
                <w:rFonts w:ascii="宋体" w:hAnsi="宋体" w:cs="宋体" w:eastAsia="宋体" w:hint="default"/>
                <w:spacing w:val="44"/>
                <w:sz w:val="21"/>
                <w:szCs w:val="21"/>
              </w:rPr>
              <w:t>部分理财</w:t>
            </w:r>
            <w:r>
              <w:rPr>
                <w:rFonts w:ascii="宋体" w:hAnsi="宋体" w:cs="宋体" w:eastAsia="宋体" w:hint="default"/>
                <w:spacing w:val="-97"/>
                <w:sz w:val="21"/>
                <w:szCs w:val="21"/>
              </w:rPr>
              <w:t> </w:t>
            </w:r>
            <w:r>
              <w:rPr>
                <w:rFonts w:ascii="宋体" w:hAnsi="宋体" w:cs="宋体" w:eastAsia="宋体" w:hint="default"/>
                <w:spacing w:val="44"/>
                <w:sz w:val="21"/>
                <w:szCs w:val="21"/>
              </w:rPr>
              <w:t>收益尚未</w:t>
            </w:r>
            <w:r>
              <w:rPr>
                <w:rFonts w:ascii="宋体" w:hAnsi="宋体" w:cs="宋体" w:eastAsia="宋体" w:hint="default"/>
                <w:spacing w:val="-97"/>
                <w:sz w:val="21"/>
                <w:szCs w:val="21"/>
              </w:rPr>
              <w:t> </w:t>
            </w:r>
            <w:r>
              <w:rPr>
                <w:rFonts w:ascii="宋体" w:hAnsi="宋体" w:cs="宋体" w:eastAsia="宋体" w:hint="default"/>
                <w:sz w:val="21"/>
                <w:szCs w:val="21"/>
              </w:rPr>
              <w:t>到账。</w:t>
            </w:r>
          </w:p>
        </w:tc>
      </w:tr>
      <w:tr>
        <w:trPr>
          <w:trHeight w:val="1370" w:hRule="exact"/>
        </w:trPr>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52,301,835.62</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4.52</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36,268,577.00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5.74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44.21</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44"/>
                <w:sz w:val="21"/>
                <w:szCs w:val="21"/>
              </w:rPr>
              <w:t>本期期末</w:t>
            </w:r>
            <w:r>
              <w:rPr>
                <w:rFonts w:ascii="宋体" w:hAnsi="宋体" w:cs="宋体" w:eastAsia="宋体" w:hint="default"/>
                <w:spacing w:val="-45"/>
                <w:sz w:val="21"/>
                <w:szCs w:val="21"/>
              </w:rPr>
              <w:t> </w:t>
            </w:r>
            <w:r>
              <w:rPr>
                <w:rFonts w:ascii="宋体" w:hAnsi="宋体" w:cs="宋体" w:eastAsia="宋体" w:hint="default"/>
                <w:sz w:val="21"/>
                <w:szCs w:val="21"/>
              </w:rPr>
            </w:r>
          </w:p>
          <w:p>
            <w:pPr>
              <w:pStyle w:val="TableParagraph"/>
              <w:spacing w:line="237" w:lineRule="auto" w:before="2"/>
              <w:ind w:left="103" w:right="38"/>
              <w:jc w:val="both"/>
              <w:rPr>
                <w:rFonts w:ascii="宋体" w:hAnsi="宋体" w:cs="宋体" w:eastAsia="宋体" w:hint="default"/>
                <w:sz w:val="21"/>
                <w:szCs w:val="21"/>
              </w:rPr>
            </w:pPr>
            <w:r>
              <w:rPr>
                <w:rFonts w:ascii="宋体" w:hAnsi="宋体" w:cs="宋体" w:eastAsia="宋体" w:hint="default"/>
                <w:spacing w:val="44"/>
                <w:sz w:val="21"/>
                <w:szCs w:val="21"/>
              </w:rPr>
              <w:t>公司部分</w:t>
            </w:r>
            <w:r>
              <w:rPr>
                <w:rFonts w:ascii="宋体" w:hAnsi="宋体" w:cs="宋体" w:eastAsia="宋体" w:hint="default"/>
                <w:spacing w:val="-97"/>
                <w:sz w:val="21"/>
                <w:szCs w:val="21"/>
              </w:rPr>
              <w:t> </w:t>
            </w:r>
            <w:r>
              <w:rPr>
                <w:rFonts w:ascii="宋体" w:hAnsi="宋体" w:cs="宋体" w:eastAsia="宋体" w:hint="default"/>
                <w:spacing w:val="44"/>
                <w:sz w:val="21"/>
                <w:szCs w:val="21"/>
              </w:rPr>
              <w:t>在执行项</w:t>
            </w:r>
            <w:r>
              <w:rPr>
                <w:rFonts w:ascii="宋体" w:hAnsi="宋体" w:cs="宋体" w:eastAsia="宋体" w:hint="default"/>
                <w:spacing w:val="-97"/>
                <w:sz w:val="21"/>
                <w:szCs w:val="21"/>
              </w:rPr>
              <w:t> </w:t>
            </w:r>
            <w:r>
              <w:rPr>
                <w:rFonts w:ascii="宋体" w:hAnsi="宋体" w:cs="宋体" w:eastAsia="宋体" w:hint="default"/>
                <w:spacing w:val="44"/>
                <w:sz w:val="21"/>
                <w:szCs w:val="21"/>
              </w:rPr>
              <w:t>目尚未验</w:t>
            </w:r>
            <w:r>
              <w:rPr>
                <w:rFonts w:ascii="宋体" w:hAnsi="宋体" w:cs="宋体" w:eastAsia="宋体" w:hint="default"/>
                <w:spacing w:val="-97"/>
                <w:sz w:val="21"/>
                <w:szCs w:val="21"/>
              </w:rPr>
              <w:t> </w:t>
            </w:r>
            <w:r>
              <w:rPr>
                <w:rFonts w:ascii="宋体" w:hAnsi="宋体" w:cs="宋体" w:eastAsia="宋体" w:hint="default"/>
                <w:sz w:val="21"/>
                <w:szCs w:val="21"/>
              </w:rPr>
              <w:t>收。</w:t>
            </w:r>
          </w:p>
        </w:tc>
      </w:tr>
      <w:tr>
        <w:trPr>
          <w:trHeight w:val="1373" w:hRule="exact"/>
        </w:trPr>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其他流动资</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产</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601,083,933.53</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51.90</w:t>
            </w:r>
          </w:p>
        </w:tc>
        <w:tc>
          <w:tcPr>
            <w:tcW w:w="1685"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pacing w:val="44"/>
                <w:sz w:val="21"/>
                <w:szCs w:val="21"/>
              </w:rPr>
              <w:t>本期公司</w:t>
            </w:r>
            <w:r>
              <w:rPr>
                <w:rFonts w:ascii="宋体" w:hAnsi="宋体" w:cs="宋体" w:eastAsia="宋体" w:hint="default"/>
                <w:spacing w:val="-45"/>
                <w:sz w:val="21"/>
                <w:szCs w:val="21"/>
              </w:rPr>
              <w:t> </w:t>
            </w:r>
            <w:r>
              <w:rPr>
                <w:rFonts w:ascii="宋体" w:hAnsi="宋体" w:cs="宋体" w:eastAsia="宋体" w:hint="default"/>
                <w:sz w:val="21"/>
                <w:szCs w:val="21"/>
              </w:rPr>
            </w:r>
          </w:p>
          <w:p>
            <w:pPr>
              <w:pStyle w:val="TableParagraph"/>
              <w:spacing w:line="237" w:lineRule="auto"/>
              <w:ind w:left="103" w:right="38"/>
              <w:jc w:val="both"/>
              <w:rPr>
                <w:rFonts w:ascii="宋体" w:hAnsi="宋体" w:cs="宋体" w:eastAsia="宋体" w:hint="default"/>
                <w:sz w:val="21"/>
                <w:szCs w:val="21"/>
              </w:rPr>
            </w:pPr>
            <w:r>
              <w:rPr>
                <w:rFonts w:ascii="宋体" w:hAnsi="宋体" w:cs="宋体" w:eastAsia="宋体" w:hint="default"/>
                <w:spacing w:val="44"/>
                <w:sz w:val="21"/>
                <w:szCs w:val="21"/>
              </w:rPr>
              <w:t>对部分货</w:t>
            </w:r>
            <w:r>
              <w:rPr>
                <w:rFonts w:ascii="宋体" w:hAnsi="宋体" w:cs="宋体" w:eastAsia="宋体" w:hint="default"/>
                <w:spacing w:val="-97"/>
                <w:sz w:val="21"/>
                <w:szCs w:val="21"/>
              </w:rPr>
              <w:t> </w:t>
            </w:r>
            <w:r>
              <w:rPr>
                <w:rFonts w:ascii="宋体" w:hAnsi="宋体" w:cs="宋体" w:eastAsia="宋体" w:hint="default"/>
                <w:spacing w:val="44"/>
                <w:sz w:val="21"/>
                <w:szCs w:val="21"/>
              </w:rPr>
              <w:t>币资金进</w:t>
            </w:r>
            <w:r>
              <w:rPr>
                <w:rFonts w:ascii="宋体" w:hAnsi="宋体" w:cs="宋体" w:eastAsia="宋体" w:hint="default"/>
                <w:spacing w:val="-97"/>
                <w:sz w:val="21"/>
                <w:szCs w:val="21"/>
              </w:rPr>
              <w:t> </w:t>
            </w:r>
            <w:r>
              <w:rPr>
                <w:rFonts w:ascii="宋体" w:hAnsi="宋体" w:cs="宋体" w:eastAsia="宋体" w:hint="default"/>
                <w:spacing w:val="44"/>
                <w:sz w:val="21"/>
                <w:szCs w:val="21"/>
              </w:rPr>
              <w:t>行保本型</w:t>
            </w:r>
            <w:r>
              <w:rPr>
                <w:rFonts w:ascii="宋体" w:hAnsi="宋体" w:cs="宋体" w:eastAsia="宋体" w:hint="default"/>
                <w:spacing w:val="-97"/>
                <w:sz w:val="21"/>
                <w:szCs w:val="21"/>
              </w:rPr>
              <w:t> </w:t>
            </w:r>
            <w:r>
              <w:rPr>
                <w:rFonts w:ascii="宋体" w:hAnsi="宋体" w:cs="宋体" w:eastAsia="宋体" w:hint="default"/>
                <w:sz w:val="21"/>
                <w:szCs w:val="21"/>
              </w:rPr>
              <w:t>理财。</w:t>
            </w:r>
          </w:p>
        </w:tc>
      </w:tr>
      <w:tr>
        <w:trPr>
          <w:trHeight w:val="3279" w:hRule="exact"/>
        </w:trPr>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其他非流动</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53,751,050.57</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4.64</w:t>
            </w:r>
          </w:p>
        </w:tc>
        <w:tc>
          <w:tcPr>
            <w:tcW w:w="1685"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2017 </w:t>
            </w:r>
            <w:r>
              <w:rPr>
                <w:rFonts w:ascii="宋体" w:hAnsi="宋体" w:cs="宋体" w:eastAsia="宋体" w:hint="default"/>
                <w:sz w:val="21"/>
                <w:szCs w:val="21"/>
              </w:rPr>
              <w:t>年</w:t>
            </w:r>
            <w:r>
              <w:rPr>
                <w:rFonts w:ascii="宋体" w:hAnsi="宋体" w:cs="宋体" w:eastAsia="宋体" w:hint="default"/>
                <w:spacing w:val="-27"/>
                <w:sz w:val="21"/>
                <w:szCs w:val="21"/>
              </w:rPr>
              <w:t> </w:t>
            </w:r>
            <w:r>
              <w:rPr>
                <w:rFonts w:ascii="宋体" w:hAnsi="宋体" w:cs="宋体" w:eastAsia="宋体" w:hint="default"/>
                <w:sz w:val="21"/>
                <w:szCs w:val="21"/>
              </w:rPr>
              <w:t>12</w:t>
            </w:r>
          </w:p>
          <w:p>
            <w:pPr>
              <w:pStyle w:val="TableParagraph"/>
              <w:spacing w:line="237" w:lineRule="auto" w:before="2"/>
              <w:ind w:left="103" w:right="38"/>
              <w:jc w:val="both"/>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42"/>
                <w:sz w:val="21"/>
                <w:szCs w:val="21"/>
              </w:rPr>
              <w:t> </w:t>
            </w:r>
            <w:r>
              <w:rPr>
                <w:rFonts w:ascii="宋体" w:hAnsi="宋体" w:cs="宋体" w:eastAsia="宋体" w:hint="default"/>
                <w:spacing w:val="39"/>
                <w:sz w:val="21"/>
                <w:szCs w:val="21"/>
              </w:rPr>
              <w:t>公司与</w:t>
            </w:r>
            <w:r>
              <w:rPr>
                <w:rFonts w:ascii="宋体" w:hAnsi="宋体" w:cs="宋体" w:eastAsia="宋体" w:hint="default"/>
                <w:spacing w:val="-101"/>
                <w:sz w:val="21"/>
                <w:szCs w:val="21"/>
              </w:rPr>
              <w:t> </w:t>
            </w:r>
            <w:r>
              <w:rPr>
                <w:rFonts w:ascii="宋体" w:hAnsi="宋体" w:cs="宋体" w:eastAsia="宋体" w:hint="default"/>
                <w:spacing w:val="44"/>
                <w:sz w:val="21"/>
                <w:szCs w:val="21"/>
              </w:rPr>
              <w:t>福州软件</w:t>
            </w:r>
            <w:r>
              <w:rPr>
                <w:rFonts w:ascii="宋体" w:hAnsi="宋体" w:cs="宋体" w:eastAsia="宋体" w:hint="default"/>
                <w:spacing w:val="-97"/>
                <w:sz w:val="21"/>
                <w:szCs w:val="21"/>
              </w:rPr>
              <w:t> </w:t>
            </w:r>
            <w:r>
              <w:rPr>
                <w:rFonts w:ascii="宋体" w:hAnsi="宋体" w:cs="宋体" w:eastAsia="宋体" w:hint="default"/>
                <w:spacing w:val="44"/>
                <w:sz w:val="21"/>
                <w:szCs w:val="21"/>
              </w:rPr>
              <w:t>园产业基</w:t>
            </w:r>
            <w:r>
              <w:rPr>
                <w:rFonts w:ascii="宋体" w:hAnsi="宋体" w:cs="宋体" w:eastAsia="宋体" w:hint="default"/>
                <w:spacing w:val="-97"/>
                <w:sz w:val="21"/>
                <w:szCs w:val="21"/>
              </w:rPr>
              <w:t> </w:t>
            </w:r>
            <w:r>
              <w:rPr>
                <w:rFonts w:ascii="宋体" w:hAnsi="宋体" w:cs="宋体" w:eastAsia="宋体" w:hint="default"/>
                <w:spacing w:val="44"/>
                <w:sz w:val="21"/>
                <w:szCs w:val="21"/>
              </w:rPr>
              <w:t>地开发有</w:t>
            </w:r>
            <w:r>
              <w:rPr>
                <w:rFonts w:ascii="宋体" w:hAnsi="宋体" w:cs="宋体" w:eastAsia="宋体" w:hint="default"/>
                <w:spacing w:val="-97"/>
                <w:sz w:val="21"/>
                <w:szCs w:val="21"/>
              </w:rPr>
              <w:t> </w:t>
            </w:r>
            <w:r>
              <w:rPr>
                <w:rFonts w:ascii="宋体" w:hAnsi="宋体" w:cs="宋体" w:eastAsia="宋体" w:hint="default"/>
                <w:spacing w:val="44"/>
                <w:sz w:val="21"/>
                <w:szCs w:val="21"/>
              </w:rPr>
              <w:t>限公司签</w:t>
            </w:r>
            <w:r>
              <w:rPr>
                <w:rFonts w:ascii="宋体" w:hAnsi="宋体" w:cs="宋体" w:eastAsia="宋体" w:hint="default"/>
                <w:spacing w:val="-97"/>
                <w:sz w:val="21"/>
                <w:szCs w:val="21"/>
              </w:rPr>
              <w:t> </w:t>
            </w:r>
            <w:r>
              <w:rPr>
                <w:rFonts w:ascii="宋体" w:hAnsi="宋体" w:cs="宋体" w:eastAsia="宋体" w:hint="default"/>
                <w:spacing w:val="-7"/>
                <w:sz w:val="21"/>
                <w:szCs w:val="21"/>
              </w:rPr>
              <w:t>署《福州软</w:t>
            </w:r>
          </w:p>
          <w:p>
            <w:pPr>
              <w:pStyle w:val="TableParagraph"/>
              <w:spacing w:line="237" w:lineRule="auto" w:before="1"/>
              <w:ind w:left="103" w:right="38"/>
              <w:jc w:val="both"/>
              <w:rPr>
                <w:rFonts w:ascii="宋体" w:hAnsi="宋体" w:cs="宋体" w:eastAsia="宋体" w:hint="default"/>
                <w:sz w:val="21"/>
                <w:szCs w:val="21"/>
              </w:rPr>
            </w:pPr>
            <w:r>
              <w:rPr>
                <w:rFonts w:ascii="宋体" w:hAnsi="宋体" w:cs="宋体" w:eastAsia="宋体" w:hint="default"/>
                <w:spacing w:val="44"/>
                <w:sz w:val="21"/>
                <w:szCs w:val="21"/>
              </w:rPr>
              <w:t>件园研发</w:t>
            </w:r>
            <w:r>
              <w:rPr>
                <w:rFonts w:ascii="宋体" w:hAnsi="宋体" w:cs="宋体" w:eastAsia="宋体" w:hint="default"/>
                <w:spacing w:val="-97"/>
                <w:sz w:val="21"/>
                <w:szCs w:val="21"/>
              </w:rPr>
              <w:t> </w:t>
            </w:r>
            <w:r>
              <w:rPr>
                <w:rFonts w:ascii="宋体" w:hAnsi="宋体" w:cs="宋体" w:eastAsia="宋体" w:hint="default"/>
                <w:spacing w:val="44"/>
                <w:sz w:val="21"/>
                <w:szCs w:val="21"/>
              </w:rPr>
              <w:t>楼转让合</w:t>
            </w:r>
            <w:r>
              <w:rPr>
                <w:rFonts w:ascii="宋体" w:hAnsi="宋体" w:cs="宋体" w:eastAsia="宋体" w:hint="default"/>
                <w:spacing w:val="-97"/>
                <w:sz w:val="21"/>
                <w:szCs w:val="21"/>
              </w:rPr>
              <w:t> </w:t>
            </w:r>
            <w:r>
              <w:rPr>
                <w:rFonts w:ascii="宋体" w:hAnsi="宋体" w:cs="宋体" w:eastAsia="宋体" w:hint="default"/>
                <w:w w:val="100"/>
                <w:sz w:val="21"/>
                <w:szCs w:val="21"/>
              </w:rPr>
              <w:t>同</w:t>
            </w:r>
            <w:r>
              <w:rPr>
                <w:rFonts w:ascii="宋体" w:hAnsi="宋体" w:cs="宋体" w:eastAsia="宋体" w:hint="default"/>
                <w:spacing w:val="-87"/>
                <w:w w:val="100"/>
                <w:sz w:val="21"/>
                <w:szCs w:val="21"/>
              </w:rPr>
              <w:t> </w:t>
            </w:r>
            <w:r>
              <w:rPr>
                <w:rFonts w:ascii="宋体" w:hAnsi="宋体" w:cs="宋体" w:eastAsia="宋体" w:hint="default"/>
                <w:spacing w:val="-24"/>
                <w:w w:val="100"/>
                <w:sz w:val="21"/>
                <w:szCs w:val="21"/>
              </w:rPr>
              <w:t>》，购</w:t>
            </w:r>
            <w:r>
              <w:rPr>
                <w:rFonts w:ascii="宋体" w:hAnsi="宋体" w:cs="宋体" w:eastAsia="宋体" w:hint="default"/>
                <w:spacing w:val="-87"/>
                <w:w w:val="100"/>
                <w:sz w:val="21"/>
                <w:szCs w:val="21"/>
              </w:rPr>
              <w:t> </w:t>
            </w:r>
            <w:r>
              <w:rPr>
                <w:rFonts w:ascii="宋体" w:hAnsi="宋体" w:cs="宋体" w:eastAsia="宋体" w:hint="default"/>
                <w:w w:val="100"/>
                <w:sz w:val="21"/>
                <w:szCs w:val="21"/>
              </w:rPr>
              <w:t>买</w:t>
            </w:r>
          </w:p>
          <w:p>
            <w:pPr>
              <w:pStyle w:val="TableParagraph"/>
              <w:spacing w:line="272" w:lineRule="exact" w:before="26"/>
              <w:ind w:left="103" w:right="38"/>
              <w:jc w:val="both"/>
              <w:rPr>
                <w:rFonts w:ascii="宋体" w:hAnsi="宋体" w:cs="宋体" w:eastAsia="宋体" w:hint="default"/>
                <w:sz w:val="21"/>
                <w:szCs w:val="21"/>
              </w:rPr>
            </w:pPr>
            <w:r>
              <w:rPr>
                <w:rFonts w:ascii="宋体" w:hAnsi="宋体" w:cs="宋体" w:eastAsia="宋体" w:hint="default"/>
                <w:spacing w:val="44"/>
                <w:sz w:val="21"/>
                <w:szCs w:val="21"/>
              </w:rPr>
              <w:t>福州软件</w:t>
            </w:r>
            <w:r>
              <w:rPr>
                <w:rFonts w:ascii="宋体" w:hAnsi="宋体" w:cs="宋体" w:eastAsia="宋体" w:hint="default"/>
                <w:spacing w:val="-97"/>
                <w:sz w:val="21"/>
                <w:szCs w:val="21"/>
              </w:rPr>
              <w:t> </w:t>
            </w:r>
            <w:r>
              <w:rPr>
                <w:rFonts w:ascii="宋体" w:hAnsi="宋体" w:cs="宋体" w:eastAsia="宋体" w:hint="default"/>
                <w:spacing w:val="47"/>
                <w:w w:val="100"/>
                <w:sz w:val="21"/>
                <w:szCs w:val="21"/>
              </w:rPr>
              <w:t>大道</w:t>
            </w:r>
            <w:r>
              <w:rPr>
                <w:rFonts w:ascii="宋体" w:hAnsi="宋体" w:cs="宋体" w:eastAsia="宋体" w:hint="default"/>
                <w:w w:val="100"/>
                <w:sz w:val="21"/>
                <w:szCs w:val="21"/>
              </w:rPr>
              <w:t> </w:t>
            </w:r>
            <w:r>
              <w:rPr>
                <w:rFonts w:ascii="宋体" w:hAnsi="宋体" w:cs="宋体" w:eastAsia="宋体" w:hint="default"/>
                <w:spacing w:val="85"/>
                <w:w w:val="100"/>
                <w:sz w:val="21"/>
                <w:szCs w:val="21"/>
              </w:rPr>
              <w:t> </w:t>
            </w:r>
            <w:r>
              <w:rPr>
                <w:rFonts w:ascii="宋体" w:hAnsi="宋体" w:cs="宋体" w:eastAsia="宋体" w:hint="default"/>
                <w:w w:val="100"/>
                <w:sz w:val="21"/>
                <w:szCs w:val="21"/>
              </w:rPr>
              <w:t>89</w:t>
            </w:r>
          </w:p>
        </w:tc>
      </w:tr>
    </w:tbl>
    <w:p>
      <w:pPr>
        <w:spacing w:after="0" w:line="272" w:lineRule="exact"/>
        <w:jc w:val="both"/>
        <w:rPr>
          <w:rFonts w:ascii="宋体" w:hAnsi="宋体" w:cs="宋体" w:eastAsia="宋体" w:hint="default"/>
          <w:sz w:val="21"/>
          <w:szCs w:val="21"/>
        </w:rPr>
        <w:sectPr>
          <w:type w:val="continuous"/>
          <w:pgSz w:w="11910" w:h="16840"/>
          <w:pgMar w:top="1000" w:bottom="280" w:left="1580" w:right="0"/>
        </w:sectPr>
      </w:pPr>
    </w:p>
    <w:p>
      <w:pPr>
        <w:spacing w:line="240" w:lineRule="auto" w:before="1"/>
        <w:rPr>
          <w:rFonts w:ascii="宋体" w:hAnsi="宋体" w:cs="宋体" w:eastAsia="宋体" w:hint="default"/>
          <w:sz w:val="2"/>
          <w:szCs w:val="2"/>
        </w:rPr>
      </w:pPr>
    </w:p>
    <w:p>
      <w:pPr>
        <w:spacing w:line="20" w:lineRule="exact"/>
        <w:ind w:left="182"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2;height:2" coordorigin="7,7" coordsize="8872,2">
              <v:shape style="position:absolute;left:7;top:7;width:8872;height:2" coordorigin="7,7" coordsize="8872,0" path="m7,7l8879,7e" filled="false" stroked="true" strokeweight=".72pt" strokecolor="#000000">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1327"/>
        <w:gridCol w:w="1688"/>
        <w:gridCol w:w="1205"/>
        <w:gridCol w:w="1685"/>
        <w:gridCol w:w="1159"/>
        <w:gridCol w:w="1162"/>
        <w:gridCol w:w="1238"/>
      </w:tblGrid>
      <w:tr>
        <w:trPr>
          <w:trHeight w:val="1644" w:hRule="exact"/>
        </w:trPr>
        <w:tc>
          <w:tcPr>
            <w:tcW w:w="1327"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pacing w:val="44"/>
                <w:sz w:val="21"/>
                <w:szCs w:val="21"/>
              </w:rPr>
              <w:t>号软件园</w:t>
            </w:r>
            <w:r>
              <w:rPr>
                <w:rFonts w:ascii="宋体" w:hAnsi="宋体" w:cs="宋体" w:eastAsia="宋体" w:hint="default"/>
                <w:spacing w:val="-45"/>
                <w:sz w:val="21"/>
                <w:szCs w:val="21"/>
              </w:rPr>
              <w:t> </w:t>
            </w:r>
            <w:r>
              <w:rPr>
                <w:rFonts w:ascii="宋体" w:hAnsi="宋体" w:cs="宋体" w:eastAsia="宋体" w:hint="default"/>
                <w:sz w:val="21"/>
                <w:szCs w:val="21"/>
              </w:rPr>
            </w:r>
          </w:p>
          <w:p>
            <w:pPr>
              <w:pStyle w:val="TableParagraph"/>
              <w:spacing w:line="240" w:lineRule="auto"/>
              <w:ind w:left="103" w:right="98"/>
              <w:jc w:val="both"/>
              <w:rPr>
                <w:rFonts w:ascii="宋体" w:hAnsi="宋体" w:cs="宋体" w:eastAsia="宋体" w:hint="default"/>
                <w:sz w:val="21"/>
                <w:szCs w:val="21"/>
              </w:rPr>
            </w:pPr>
            <w:r>
              <w:rPr>
                <w:rFonts w:ascii="宋体" w:hAnsi="宋体" w:cs="宋体" w:eastAsia="宋体" w:hint="default"/>
                <w:sz w:val="21"/>
                <w:szCs w:val="21"/>
              </w:rPr>
              <w:t>G </w:t>
            </w:r>
            <w:r>
              <w:rPr>
                <w:rFonts w:ascii="宋体" w:hAnsi="宋体" w:cs="宋体" w:eastAsia="宋体" w:hint="default"/>
                <w:sz w:val="21"/>
                <w:szCs w:val="21"/>
              </w:rPr>
              <w:t>区</w:t>
            </w:r>
            <w:r>
              <w:rPr>
                <w:rFonts w:ascii="宋体" w:hAnsi="宋体" w:cs="宋体" w:eastAsia="宋体" w:hint="default"/>
                <w:spacing w:val="51"/>
                <w:sz w:val="21"/>
                <w:szCs w:val="21"/>
              </w:rPr>
              <w:t> </w:t>
            </w:r>
            <w:r>
              <w:rPr>
                <w:rFonts w:ascii="宋体" w:hAnsi="宋体" w:cs="宋体" w:eastAsia="宋体" w:hint="default"/>
                <w:spacing w:val="8"/>
                <w:sz w:val="21"/>
                <w:szCs w:val="21"/>
              </w:rPr>
              <w:t>8</w:t>
            </w:r>
            <w:r>
              <w:rPr>
                <w:rFonts w:ascii="宋体" w:hAnsi="宋体" w:cs="宋体" w:eastAsia="宋体" w:hint="default"/>
                <w:spacing w:val="8"/>
                <w:sz w:val="21"/>
                <w:szCs w:val="21"/>
              </w:rPr>
              <w:t>、</w:t>
            </w:r>
            <w:r>
              <w:rPr>
                <w:rFonts w:ascii="宋体" w:hAnsi="宋体" w:cs="宋体" w:eastAsia="宋体" w:hint="default"/>
                <w:spacing w:val="8"/>
                <w:sz w:val="21"/>
                <w:szCs w:val="21"/>
              </w:rPr>
              <w:t>9</w:t>
            </w:r>
            <w:r>
              <w:rPr>
                <w:rFonts w:ascii="宋体" w:hAnsi="宋体" w:cs="宋体" w:eastAsia="宋体" w:hint="default"/>
                <w:w w:val="100"/>
                <w:sz w:val="21"/>
                <w:szCs w:val="21"/>
              </w:rPr>
              <w:t> </w:t>
            </w:r>
            <w:r>
              <w:rPr>
                <w:rFonts w:ascii="宋体" w:hAnsi="宋体" w:cs="宋体" w:eastAsia="宋体" w:hint="default"/>
                <w:spacing w:val="-7"/>
                <w:sz w:val="21"/>
                <w:szCs w:val="21"/>
              </w:rPr>
              <w:t>号楼，截至</w:t>
            </w:r>
          </w:p>
          <w:p>
            <w:pPr>
              <w:pStyle w:val="TableParagraph"/>
              <w:spacing w:line="237" w:lineRule="auto"/>
              <w:ind w:left="103" w:right="38"/>
              <w:jc w:val="both"/>
              <w:rPr>
                <w:rFonts w:ascii="宋体" w:hAnsi="宋体" w:cs="宋体" w:eastAsia="宋体" w:hint="default"/>
                <w:sz w:val="21"/>
                <w:szCs w:val="21"/>
              </w:rPr>
            </w:pPr>
            <w:r>
              <w:rPr>
                <w:rFonts w:ascii="宋体" w:hAnsi="宋体" w:cs="宋体" w:eastAsia="宋体" w:hint="default"/>
                <w:spacing w:val="29"/>
                <w:sz w:val="21"/>
                <w:szCs w:val="21"/>
              </w:rPr>
              <w:t>期末</w:t>
            </w:r>
            <w:r>
              <w:rPr>
                <w:rFonts w:ascii="宋体" w:hAnsi="宋体" w:cs="宋体" w:eastAsia="宋体" w:hint="default"/>
                <w:spacing w:val="-41"/>
                <w:sz w:val="21"/>
                <w:szCs w:val="21"/>
              </w:rPr>
              <w:t> </w:t>
            </w:r>
            <w:r>
              <w:rPr>
                <w:rFonts w:ascii="宋体" w:hAnsi="宋体" w:cs="宋体" w:eastAsia="宋体" w:hint="default"/>
                <w:spacing w:val="29"/>
                <w:sz w:val="21"/>
                <w:szCs w:val="21"/>
              </w:rPr>
              <w:t>交接</w:t>
            </w:r>
            <w:r>
              <w:rPr>
                <w:rFonts w:ascii="宋体" w:hAnsi="宋体" w:cs="宋体" w:eastAsia="宋体" w:hint="default"/>
                <w:spacing w:val="-101"/>
                <w:sz w:val="21"/>
                <w:szCs w:val="21"/>
              </w:rPr>
              <w:t> </w:t>
            </w:r>
            <w:r>
              <w:rPr>
                <w:rFonts w:ascii="宋体" w:hAnsi="宋体" w:cs="宋体" w:eastAsia="宋体" w:hint="default"/>
                <w:spacing w:val="29"/>
                <w:sz w:val="21"/>
                <w:szCs w:val="21"/>
              </w:rPr>
              <w:t>手续</w:t>
            </w:r>
            <w:r>
              <w:rPr>
                <w:rFonts w:ascii="宋体" w:hAnsi="宋体" w:cs="宋体" w:eastAsia="宋体" w:hint="default"/>
                <w:spacing w:val="-41"/>
                <w:sz w:val="21"/>
                <w:szCs w:val="21"/>
              </w:rPr>
              <w:t> </w:t>
            </w:r>
            <w:r>
              <w:rPr>
                <w:rFonts w:ascii="宋体" w:hAnsi="宋体" w:cs="宋体" w:eastAsia="宋体" w:hint="default"/>
                <w:spacing w:val="29"/>
                <w:sz w:val="21"/>
                <w:szCs w:val="21"/>
              </w:rPr>
              <w:t>尚未</w:t>
            </w:r>
            <w:r>
              <w:rPr>
                <w:rFonts w:ascii="宋体" w:hAnsi="宋体" w:cs="宋体" w:eastAsia="宋体" w:hint="default"/>
                <w:spacing w:val="-101"/>
                <w:sz w:val="21"/>
                <w:szCs w:val="21"/>
              </w:rPr>
              <w:t> </w:t>
            </w:r>
            <w:r>
              <w:rPr>
                <w:rFonts w:ascii="宋体" w:hAnsi="宋体" w:cs="宋体" w:eastAsia="宋体" w:hint="default"/>
                <w:sz w:val="21"/>
                <w:szCs w:val="21"/>
              </w:rPr>
              <w:t>办理完毕。</w:t>
            </w:r>
          </w:p>
        </w:tc>
      </w:tr>
      <w:tr>
        <w:trPr>
          <w:trHeight w:val="1102" w:hRule="exact"/>
        </w:trPr>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146,986,314.76</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12.69</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126,413,346.99</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20.02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16.27</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pacing w:val="44"/>
                <w:sz w:val="21"/>
                <w:szCs w:val="21"/>
              </w:rPr>
              <w:t>本期各项</w:t>
            </w:r>
            <w:r>
              <w:rPr>
                <w:rFonts w:ascii="宋体" w:hAnsi="宋体" w:cs="宋体" w:eastAsia="宋体" w:hint="default"/>
                <w:spacing w:val="-45"/>
                <w:sz w:val="21"/>
                <w:szCs w:val="21"/>
              </w:rPr>
              <w:t> </w:t>
            </w:r>
            <w:r>
              <w:rPr>
                <w:rFonts w:ascii="宋体" w:hAnsi="宋体" w:cs="宋体" w:eastAsia="宋体" w:hint="default"/>
                <w:sz w:val="21"/>
                <w:szCs w:val="21"/>
              </w:rPr>
            </w:r>
          </w:p>
          <w:p>
            <w:pPr>
              <w:pStyle w:val="TableParagraph"/>
              <w:spacing w:line="237" w:lineRule="auto"/>
              <w:ind w:left="103" w:right="38"/>
              <w:jc w:val="both"/>
              <w:rPr>
                <w:rFonts w:ascii="宋体" w:hAnsi="宋体" w:cs="宋体" w:eastAsia="宋体" w:hint="default"/>
                <w:sz w:val="21"/>
                <w:szCs w:val="21"/>
              </w:rPr>
            </w:pPr>
            <w:r>
              <w:rPr>
                <w:rFonts w:ascii="宋体" w:hAnsi="宋体" w:cs="宋体" w:eastAsia="宋体" w:hint="default"/>
                <w:spacing w:val="44"/>
                <w:sz w:val="21"/>
                <w:szCs w:val="21"/>
              </w:rPr>
              <w:t>业务持续</w:t>
            </w:r>
            <w:r>
              <w:rPr>
                <w:rFonts w:ascii="宋体" w:hAnsi="宋体" w:cs="宋体" w:eastAsia="宋体" w:hint="default"/>
                <w:spacing w:val="-97"/>
                <w:sz w:val="21"/>
                <w:szCs w:val="21"/>
              </w:rPr>
              <w:t> </w:t>
            </w:r>
            <w:r>
              <w:rPr>
                <w:rFonts w:ascii="宋体" w:hAnsi="宋体" w:cs="宋体" w:eastAsia="宋体" w:hint="default"/>
                <w:spacing w:val="-7"/>
                <w:sz w:val="21"/>
                <w:szCs w:val="21"/>
              </w:rPr>
              <w:t>向好，回款</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态势良好。</w:t>
            </w:r>
          </w:p>
        </w:tc>
      </w:tr>
      <w:tr>
        <w:trPr>
          <w:trHeight w:val="1100" w:hRule="exact"/>
        </w:trPr>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应付职工薪</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酬</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18,961,150.00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1.64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14,883,345.00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2.36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27.40</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4"/>
                <w:sz w:val="21"/>
                <w:szCs w:val="21"/>
              </w:rPr>
              <w:t>本期员工</w:t>
            </w:r>
            <w:r>
              <w:rPr>
                <w:rFonts w:ascii="宋体" w:hAnsi="宋体" w:cs="宋体" w:eastAsia="宋体" w:hint="default"/>
                <w:spacing w:val="-45"/>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人数增加，</w:t>
            </w:r>
          </w:p>
          <w:p>
            <w:pPr>
              <w:pStyle w:val="TableParagraph"/>
              <w:spacing w:line="272" w:lineRule="exact" w:before="27"/>
              <w:ind w:left="103" w:right="38"/>
              <w:jc w:val="left"/>
              <w:rPr>
                <w:rFonts w:ascii="宋体" w:hAnsi="宋体" w:cs="宋体" w:eastAsia="宋体" w:hint="default"/>
                <w:sz w:val="21"/>
                <w:szCs w:val="21"/>
              </w:rPr>
            </w:pPr>
            <w:r>
              <w:rPr>
                <w:rFonts w:ascii="宋体" w:hAnsi="宋体" w:cs="宋体" w:eastAsia="宋体" w:hint="default"/>
                <w:spacing w:val="44"/>
                <w:sz w:val="21"/>
                <w:szCs w:val="21"/>
              </w:rPr>
              <w:t>薪酬持续</w:t>
            </w:r>
            <w:r>
              <w:rPr>
                <w:rFonts w:ascii="宋体" w:hAnsi="宋体" w:cs="宋体" w:eastAsia="宋体" w:hint="default"/>
                <w:spacing w:val="-97"/>
                <w:sz w:val="21"/>
                <w:szCs w:val="21"/>
              </w:rPr>
              <w:t> </w:t>
            </w:r>
            <w:r>
              <w:rPr>
                <w:rFonts w:ascii="宋体" w:hAnsi="宋体" w:cs="宋体" w:eastAsia="宋体" w:hint="default"/>
                <w:sz w:val="21"/>
                <w:szCs w:val="21"/>
              </w:rPr>
              <w:t>提升。</w:t>
            </w:r>
          </w:p>
        </w:tc>
      </w:tr>
      <w:tr>
        <w:trPr>
          <w:trHeight w:val="1099" w:hRule="exact"/>
        </w:trPr>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9,714,176.46</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0.84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11,414,185.73</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1.81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-14.89</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44"/>
                <w:sz w:val="21"/>
                <w:szCs w:val="21"/>
              </w:rPr>
              <w:t>本期末应</w:t>
            </w:r>
            <w:r>
              <w:rPr>
                <w:rFonts w:ascii="宋体" w:hAnsi="宋体" w:cs="宋体" w:eastAsia="宋体" w:hint="default"/>
                <w:spacing w:val="-45"/>
                <w:sz w:val="21"/>
                <w:szCs w:val="21"/>
              </w:rPr>
              <w:t> </w:t>
            </w:r>
            <w:r>
              <w:rPr>
                <w:rFonts w:ascii="宋体" w:hAnsi="宋体" w:cs="宋体" w:eastAsia="宋体" w:hint="default"/>
                <w:sz w:val="21"/>
                <w:szCs w:val="21"/>
              </w:rPr>
            </w:r>
          </w:p>
          <w:p>
            <w:pPr>
              <w:pStyle w:val="TableParagraph"/>
              <w:spacing w:line="237" w:lineRule="auto"/>
              <w:ind w:left="103" w:right="38"/>
              <w:jc w:val="both"/>
              <w:rPr>
                <w:rFonts w:ascii="宋体" w:hAnsi="宋体" w:cs="宋体" w:eastAsia="宋体" w:hint="default"/>
                <w:sz w:val="21"/>
                <w:szCs w:val="21"/>
              </w:rPr>
            </w:pPr>
            <w:r>
              <w:rPr>
                <w:rFonts w:ascii="宋体" w:hAnsi="宋体" w:cs="宋体" w:eastAsia="宋体" w:hint="default"/>
                <w:spacing w:val="44"/>
                <w:sz w:val="21"/>
                <w:szCs w:val="21"/>
              </w:rPr>
              <w:t>交增值税</w:t>
            </w:r>
            <w:r>
              <w:rPr>
                <w:rFonts w:ascii="宋体" w:hAnsi="宋体" w:cs="宋体" w:eastAsia="宋体" w:hint="default"/>
                <w:spacing w:val="-97"/>
                <w:sz w:val="21"/>
                <w:szCs w:val="21"/>
              </w:rPr>
              <w:t> </w:t>
            </w:r>
            <w:r>
              <w:rPr>
                <w:rFonts w:ascii="宋体" w:hAnsi="宋体" w:cs="宋体" w:eastAsia="宋体" w:hint="default"/>
                <w:spacing w:val="44"/>
                <w:sz w:val="21"/>
                <w:szCs w:val="21"/>
              </w:rPr>
              <w:t>较上年期</w:t>
            </w:r>
            <w:r>
              <w:rPr>
                <w:rFonts w:ascii="宋体" w:hAnsi="宋体" w:cs="宋体" w:eastAsia="宋体" w:hint="default"/>
                <w:spacing w:val="-97"/>
                <w:sz w:val="21"/>
                <w:szCs w:val="21"/>
              </w:rPr>
              <w:t> </w:t>
            </w:r>
            <w:r>
              <w:rPr>
                <w:rFonts w:ascii="宋体" w:hAnsi="宋体" w:cs="宋体" w:eastAsia="宋体" w:hint="default"/>
                <w:sz w:val="21"/>
                <w:szCs w:val="21"/>
              </w:rPr>
              <w:t>末减少。</w:t>
            </w:r>
          </w:p>
        </w:tc>
      </w:tr>
      <w:tr>
        <w:trPr>
          <w:trHeight w:val="826" w:hRule="exact"/>
        </w:trPr>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38,572,334.17</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3.33</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110,972.30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34,658.52</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4"/>
                <w:sz w:val="21"/>
                <w:szCs w:val="21"/>
              </w:rPr>
              <w:t>本期公司</w:t>
            </w:r>
            <w:r>
              <w:rPr>
                <w:rFonts w:ascii="宋体" w:hAnsi="宋体" w:cs="宋体" w:eastAsia="宋体" w:hint="default"/>
                <w:spacing w:val="-45"/>
                <w:sz w:val="21"/>
                <w:szCs w:val="21"/>
              </w:rPr>
              <w:t> </w:t>
            </w:r>
            <w:r>
              <w:rPr>
                <w:rFonts w:ascii="宋体" w:hAnsi="宋体" w:cs="宋体" w:eastAsia="宋体" w:hint="default"/>
                <w:sz w:val="21"/>
                <w:szCs w:val="21"/>
              </w:rPr>
            </w:r>
          </w:p>
          <w:p>
            <w:pPr>
              <w:pStyle w:val="TableParagraph"/>
              <w:spacing w:line="240" w:lineRule="auto"/>
              <w:ind w:left="103" w:right="38"/>
              <w:jc w:val="left"/>
              <w:rPr>
                <w:rFonts w:ascii="宋体" w:hAnsi="宋体" w:cs="宋体" w:eastAsia="宋体" w:hint="default"/>
                <w:sz w:val="21"/>
                <w:szCs w:val="21"/>
              </w:rPr>
            </w:pPr>
            <w:r>
              <w:rPr>
                <w:rFonts w:ascii="宋体" w:hAnsi="宋体" w:cs="宋体" w:eastAsia="宋体" w:hint="default"/>
                <w:spacing w:val="44"/>
                <w:sz w:val="21"/>
                <w:szCs w:val="21"/>
              </w:rPr>
              <w:t>进行了股</w:t>
            </w:r>
            <w:r>
              <w:rPr>
                <w:rFonts w:ascii="宋体" w:hAnsi="宋体" w:cs="宋体" w:eastAsia="宋体" w:hint="default"/>
                <w:spacing w:val="-97"/>
                <w:sz w:val="21"/>
                <w:szCs w:val="21"/>
              </w:rPr>
              <w:t> </w:t>
            </w:r>
            <w:r>
              <w:rPr>
                <w:rFonts w:ascii="宋体" w:hAnsi="宋体" w:cs="宋体" w:eastAsia="宋体" w:hint="default"/>
                <w:sz w:val="21"/>
                <w:szCs w:val="21"/>
              </w:rPr>
              <w:t>权激励。</w:t>
            </w:r>
          </w:p>
        </w:tc>
      </w:tr>
    </w:tbl>
    <w:p>
      <w:pPr>
        <w:pStyle w:val="BodyText"/>
        <w:spacing w:line="240" w:lineRule="exact"/>
        <w:ind w:right="520"/>
        <w:jc w:val="left"/>
      </w:pPr>
      <w:r>
        <w:rPr/>
        <w:t>其他说明</w:t>
      </w:r>
    </w:p>
    <w:p>
      <w:pPr>
        <w:pStyle w:val="BodyText"/>
        <w:spacing w:line="274" w:lineRule="exact"/>
        <w:ind w:right="520"/>
        <w:jc w:val="left"/>
      </w:pPr>
      <w:r>
        <w:rPr>
          <w:w w:val="100"/>
        </w:rPr>
        <w:t>无</w:t>
      </w:r>
    </w:p>
    <w:p>
      <w:pPr>
        <w:spacing w:after="0" w:line="274" w:lineRule="exact"/>
        <w:jc w:val="left"/>
        <w:sectPr>
          <w:pgSz w:w="11910" w:h="16840"/>
          <w:pgMar w:header="855" w:footer="1195" w:top="1280" w:bottom="1380" w:left="1580" w:right="6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p>
      <w:pPr>
        <w:pStyle w:val="Heading3"/>
        <w:tabs>
          <w:tab w:pos="562" w:val="left" w:leader="none"/>
        </w:tabs>
        <w:spacing w:line="240" w:lineRule="auto" w:before="36"/>
        <w:ind w:left="138" w:right="0"/>
        <w:jc w:val="left"/>
        <w:rPr>
          <w:b w:val="0"/>
          <w:bCs w:val="0"/>
        </w:rPr>
      </w:pPr>
      <w:r>
        <w:rPr>
          <w:rFonts w:ascii="宋体" w:hAnsi="宋体" w:cs="宋体" w:eastAsia="宋体" w:hint="default"/>
          <w:w w:val="95"/>
        </w:rPr>
        <w:t>2.</w:t>
        <w:tab/>
      </w:r>
      <w:r>
        <w:rPr/>
        <w:t>截至报告期末主要资产受限情况</w:t>
      </w:r>
      <w:r>
        <w:rPr>
          <w:b w:val="0"/>
          <w:bCs w:val="0"/>
        </w:rPr>
      </w:r>
    </w:p>
    <w:p>
      <w:pPr>
        <w:pStyle w:val="BodyText"/>
        <w:tabs>
          <w:tab w:pos="980" w:val="left" w:leader="none"/>
        </w:tabs>
        <w:spacing w:line="273" w:lineRule="exact" w:before="58"/>
        <w:ind w:left="138" w:right="0"/>
        <w:jc w:val="left"/>
      </w:pPr>
      <w:r>
        <w:rPr>
          <w:spacing w:val="-1"/>
        </w:rPr>
        <w:t>√适用</w:t>
        <w:tab/>
      </w:r>
      <w:r>
        <w:rPr>
          <w:spacing w:val="-2"/>
        </w:rPr>
        <w:t>□不适用</w:t>
      </w:r>
    </w:p>
    <w:p>
      <w:pPr>
        <w:pStyle w:val="BodyText"/>
        <w:spacing w:line="273" w:lineRule="exact"/>
        <w:ind w:left="138" w:right="0"/>
        <w:jc w:val="left"/>
      </w:pPr>
      <w:r>
        <w:rPr/>
        <w:t>期末货币资金中</w:t>
      </w:r>
      <w:r>
        <w:rPr>
          <w:spacing w:val="-52"/>
        </w:rPr>
        <w:t> </w:t>
      </w:r>
      <w:r>
        <w:rPr>
          <w:rFonts w:ascii="宋体" w:hAnsi="宋体" w:cs="宋体" w:eastAsia="宋体" w:hint="default"/>
        </w:rPr>
        <w:t>2.5</w:t>
      </w:r>
      <w:r>
        <w:rPr>
          <w:rFonts w:ascii="宋体" w:hAnsi="宋体" w:cs="宋体" w:eastAsia="宋体" w:hint="default"/>
          <w:spacing w:val="-54"/>
        </w:rPr>
        <w:t> </w:t>
      </w:r>
      <w:r>
        <w:rPr/>
        <w:t>万元为履约保函保证金。</w:t>
      </w:r>
    </w:p>
    <w:p>
      <w:pPr>
        <w:spacing w:line="240" w:lineRule="auto" w:before="3"/>
        <w:rPr>
          <w:rFonts w:ascii="宋体" w:hAnsi="宋体" w:cs="宋体" w:eastAsia="宋体" w:hint="default"/>
          <w:sz w:val="25"/>
          <w:szCs w:val="25"/>
        </w:rPr>
      </w:pPr>
    </w:p>
    <w:p>
      <w:pPr>
        <w:pStyle w:val="Heading3"/>
        <w:tabs>
          <w:tab w:pos="562" w:val="left" w:leader="none"/>
        </w:tabs>
        <w:spacing w:line="240" w:lineRule="auto"/>
        <w:ind w:left="138" w:right="0"/>
        <w:jc w:val="left"/>
        <w:rPr>
          <w:b w:val="0"/>
          <w:bCs w:val="0"/>
        </w:rPr>
      </w:pPr>
      <w:r>
        <w:rPr>
          <w:rFonts w:ascii="宋体" w:hAnsi="宋体" w:cs="宋体" w:eastAsia="宋体" w:hint="default"/>
          <w:w w:val="95"/>
        </w:rPr>
        <w:t>3.</w:t>
        <w:tab/>
      </w:r>
      <w:r>
        <w:rPr/>
        <w:t>其他说明</w:t>
      </w:r>
      <w:r>
        <w:rPr>
          <w:b w:val="0"/>
          <w:bCs w:val="0"/>
        </w:rPr>
      </w:r>
    </w:p>
    <w:p>
      <w:pPr>
        <w:pStyle w:val="BodyText"/>
        <w:tabs>
          <w:tab w:pos="980" w:val="left" w:leader="none"/>
        </w:tabs>
        <w:spacing w:line="240" w:lineRule="auto" w:before="58"/>
        <w:ind w:left="138"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3"/>
        <w:tabs>
          <w:tab w:pos="977" w:val="left" w:leader="none"/>
        </w:tabs>
        <w:spacing w:line="240" w:lineRule="auto"/>
        <w:ind w:left="138" w:right="0"/>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行业经营性信息分析</w:t>
      </w:r>
      <w:r>
        <w:rPr>
          <w:b w:val="0"/>
          <w:bCs w:val="0"/>
        </w:rPr>
      </w:r>
    </w:p>
    <w:p>
      <w:pPr>
        <w:pStyle w:val="BodyText"/>
        <w:tabs>
          <w:tab w:pos="980" w:val="left" w:leader="none"/>
        </w:tabs>
        <w:spacing w:line="240" w:lineRule="auto" w:before="56"/>
        <w:ind w:left="138" w:right="4972"/>
        <w:jc w:val="left"/>
      </w:pPr>
      <w:r>
        <w:rPr>
          <w:spacing w:val="-1"/>
        </w:rPr>
        <w:t>√适用</w:t>
        <w:tab/>
      </w:r>
      <w:r>
        <w:rPr>
          <w:spacing w:val="-2"/>
        </w:rPr>
        <w:t>□不适用</w:t>
      </w:r>
      <w:r>
        <w:rPr>
          <w:spacing w:val="-99"/>
        </w:rPr>
        <w:t> </w:t>
      </w:r>
      <w:r>
        <w:rPr>
          <w:spacing w:val="-99"/>
        </w:rPr>
      </w:r>
      <w:r>
        <w:rPr>
          <w:spacing w:val="-2"/>
        </w:rPr>
        <w:t>详见第三节公司业务概要中行业情况说明。</w:t>
      </w:r>
    </w:p>
    <w:p>
      <w:pPr>
        <w:spacing w:after="0" w:line="240" w:lineRule="auto"/>
        <w:jc w:val="left"/>
        <w:sectPr>
          <w:pgSz w:w="11910" w:h="16840"/>
          <w:pgMar w:header="855" w:footer="1195" w:top="1280" w:bottom="1380" w:left="1660" w:right="11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7"/>
          <w:szCs w:val="17"/>
        </w:rPr>
      </w:pPr>
    </w:p>
    <w:p>
      <w:pPr>
        <w:pStyle w:val="Heading3"/>
        <w:spacing w:line="240" w:lineRule="auto" w:before="36"/>
        <w:ind w:left="138" w:right="0"/>
        <w:jc w:val="both"/>
        <w:rPr>
          <w:b w:val="0"/>
          <w:bCs w:val="0"/>
        </w:rPr>
      </w:pPr>
      <w:r>
        <w:rPr>
          <w:rFonts w:ascii="宋体" w:hAnsi="宋体" w:cs="宋体" w:eastAsia="宋体" w:hint="default"/>
        </w:rPr>
        <w:t>(</w:t>
      </w:r>
      <w:r>
        <w:rPr/>
        <w:t>五</w:t>
      </w:r>
      <w:r>
        <w:rPr>
          <w:rFonts w:ascii="宋体" w:hAnsi="宋体" w:cs="宋体" w:eastAsia="宋体" w:hint="default"/>
        </w:rPr>
        <w:t>)  </w:t>
      </w:r>
      <w:r>
        <w:rPr>
          <w:rFonts w:ascii="宋体" w:hAnsi="宋体" w:cs="宋体" w:eastAsia="宋体" w:hint="default"/>
          <w:spacing w:val="101"/>
        </w:rPr>
        <w:t> </w:t>
      </w:r>
      <w:r>
        <w:rPr/>
        <w:t>投资状况分析</w:t>
      </w:r>
      <w:r>
        <w:rPr>
          <w:b w:val="0"/>
          <w:bCs w:val="0"/>
        </w:rPr>
      </w:r>
    </w:p>
    <w:p>
      <w:pPr>
        <w:pStyle w:val="Heading3"/>
        <w:spacing w:line="240" w:lineRule="auto" w:before="56"/>
        <w:ind w:left="138" w:right="0"/>
        <w:jc w:val="both"/>
        <w:rPr>
          <w:b w:val="0"/>
          <w:bCs w:val="0"/>
        </w:rPr>
      </w:pPr>
      <w:r>
        <w:rPr>
          <w:rFonts w:ascii="宋体" w:hAnsi="宋体" w:cs="宋体" w:eastAsia="宋体" w:hint="default"/>
        </w:rPr>
        <w:t>1</w:t>
      </w:r>
      <w:r>
        <w:rPr/>
        <w:t>、</w:t>
      </w:r>
      <w:r>
        <w:rPr>
          <w:spacing w:val="-3"/>
        </w:rPr>
        <w:t> </w:t>
      </w:r>
      <w:r>
        <w:rPr/>
        <w:t>对外股权投资总体分析</w:t>
      </w:r>
      <w:r>
        <w:rPr>
          <w:b w:val="0"/>
          <w:bCs w:val="0"/>
        </w:rPr>
      </w:r>
    </w:p>
    <w:p>
      <w:pPr>
        <w:pStyle w:val="BodyText"/>
        <w:spacing w:line="240" w:lineRule="auto" w:before="58"/>
        <w:ind w:left="138"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3"/>
        <w:spacing w:line="240" w:lineRule="auto"/>
        <w:ind w:left="138" w:right="0"/>
        <w:jc w:val="both"/>
        <w:rPr>
          <w:b w:val="0"/>
          <w:bCs w:val="0"/>
        </w:rPr>
      </w:pPr>
      <w:r>
        <w:rPr>
          <w:rFonts w:ascii="宋体" w:hAnsi="宋体" w:cs="宋体" w:eastAsia="宋体" w:hint="default"/>
        </w:rPr>
        <w:t>(1)</w:t>
      </w:r>
      <w:r>
        <w:rPr>
          <w:rFonts w:ascii="宋体" w:hAnsi="宋体" w:cs="宋体" w:eastAsia="宋体" w:hint="default"/>
          <w:spacing w:val="-1"/>
        </w:rPr>
        <w:t> </w:t>
      </w:r>
      <w:r>
        <w:rPr/>
        <w:t>重大的股权投资</w:t>
      </w:r>
      <w:r>
        <w:rPr>
          <w:b w:val="0"/>
          <w:bCs w:val="0"/>
        </w:rPr>
      </w:r>
    </w:p>
    <w:p>
      <w:pPr>
        <w:pStyle w:val="BodyText"/>
        <w:spacing w:line="240" w:lineRule="auto" w:before="56"/>
        <w:ind w:left="138" w:right="0"/>
        <w:jc w:val="both"/>
      </w:pPr>
      <w:r>
        <w:rPr/>
        <w:t>□适用</w:t>
      </w:r>
      <w:r>
        <w:rPr>
          <w:spacing w:val="104"/>
        </w:rPr>
        <w:t> </w:t>
      </w:r>
      <w:r>
        <w:rPr/>
        <w:t>√不适用</w:t>
      </w:r>
    </w:p>
    <w:p>
      <w:pPr>
        <w:spacing w:line="240" w:lineRule="auto" w:before="3"/>
        <w:rPr>
          <w:rFonts w:ascii="宋体" w:hAnsi="宋体" w:cs="宋体" w:eastAsia="宋体" w:hint="default"/>
          <w:sz w:val="25"/>
          <w:szCs w:val="25"/>
        </w:rPr>
      </w:pPr>
    </w:p>
    <w:p>
      <w:pPr>
        <w:pStyle w:val="Heading3"/>
        <w:spacing w:line="240" w:lineRule="auto"/>
        <w:ind w:left="138" w:right="0"/>
        <w:jc w:val="both"/>
        <w:rPr>
          <w:b w:val="0"/>
          <w:bCs w:val="0"/>
        </w:rPr>
      </w:pPr>
      <w:r>
        <w:rPr>
          <w:rFonts w:ascii="宋体" w:hAnsi="宋体" w:cs="宋体" w:eastAsia="宋体" w:hint="default"/>
        </w:rPr>
        <w:t>(2)</w:t>
      </w:r>
      <w:r>
        <w:rPr>
          <w:rFonts w:ascii="宋体" w:hAnsi="宋体" w:cs="宋体" w:eastAsia="宋体" w:hint="default"/>
          <w:spacing w:val="-1"/>
        </w:rPr>
        <w:t> </w:t>
      </w:r>
      <w:r>
        <w:rPr/>
        <w:t>重大的非股权投资</w:t>
      </w:r>
      <w:r>
        <w:rPr>
          <w:b w:val="0"/>
          <w:bCs w:val="0"/>
        </w:rPr>
      </w:r>
    </w:p>
    <w:p>
      <w:pPr>
        <w:pStyle w:val="BodyText"/>
        <w:spacing w:line="240" w:lineRule="auto" w:before="58"/>
        <w:ind w:left="138" w:right="0"/>
        <w:jc w:val="both"/>
      </w:pPr>
      <w:r>
        <w:rPr/>
        <w:t>□适用</w:t>
      </w:r>
      <w:r>
        <w:rPr>
          <w:spacing w:val="104"/>
        </w:rPr>
        <w:t> </w:t>
      </w:r>
      <w:r>
        <w:rPr/>
        <w:t>√不适用</w:t>
      </w:r>
    </w:p>
    <w:p>
      <w:pPr>
        <w:spacing w:line="240" w:lineRule="auto" w:before="3"/>
        <w:rPr>
          <w:rFonts w:ascii="宋体" w:hAnsi="宋体" w:cs="宋体" w:eastAsia="宋体" w:hint="default"/>
          <w:sz w:val="25"/>
          <w:szCs w:val="25"/>
        </w:rPr>
      </w:pPr>
    </w:p>
    <w:p>
      <w:pPr>
        <w:pStyle w:val="Heading3"/>
        <w:spacing w:line="240" w:lineRule="auto"/>
        <w:ind w:left="138" w:right="0"/>
        <w:jc w:val="both"/>
        <w:rPr>
          <w:b w:val="0"/>
          <w:bCs w:val="0"/>
        </w:rPr>
      </w:pPr>
      <w:r>
        <w:rPr>
          <w:rFonts w:ascii="宋体" w:hAnsi="宋体" w:cs="宋体" w:eastAsia="宋体" w:hint="default"/>
        </w:rPr>
        <w:t>(3)</w:t>
      </w:r>
      <w:r>
        <w:rPr>
          <w:rFonts w:ascii="宋体" w:hAnsi="宋体" w:cs="宋体" w:eastAsia="宋体" w:hint="default"/>
          <w:spacing w:val="-6"/>
        </w:rPr>
        <w:t> </w:t>
      </w:r>
      <w:r>
        <w:rPr/>
        <w:t>以公允价值计量的金融资产</w:t>
      </w:r>
      <w:r>
        <w:rPr>
          <w:b w:val="0"/>
          <w:bCs w:val="0"/>
        </w:rPr>
      </w:r>
    </w:p>
    <w:p>
      <w:pPr>
        <w:pStyle w:val="BodyText"/>
        <w:spacing w:line="240" w:lineRule="auto" w:before="56"/>
        <w:ind w:left="138" w:right="0"/>
        <w:jc w:val="both"/>
      </w:pPr>
      <w:r>
        <w:rPr/>
        <w:t>□适用</w:t>
      </w:r>
      <w:r>
        <w:rPr>
          <w:spacing w:val="104"/>
        </w:rPr>
        <w:t> </w:t>
      </w:r>
      <w:r>
        <w:rPr/>
        <w:t>√不适用</w:t>
      </w:r>
    </w:p>
    <w:p>
      <w:pPr>
        <w:spacing w:line="240" w:lineRule="auto" w:before="3"/>
        <w:rPr>
          <w:rFonts w:ascii="宋体" w:hAnsi="宋体" w:cs="宋体" w:eastAsia="宋体" w:hint="default"/>
          <w:sz w:val="25"/>
          <w:szCs w:val="25"/>
        </w:rPr>
      </w:pPr>
    </w:p>
    <w:p>
      <w:pPr>
        <w:pStyle w:val="Heading3"/>
        <w:spacing w:line="240" w:lineRule="auto"/>
        <w:ind w:left="138" w:right="0"/>
        <w:jc w:val="both"/>
        <w:rPr>
          <w:b w:val="0"/>
          <w:bCs w:val="0"/>
        </w:rPr>
      </w:pPr>
      <w:r>
        <w:rPr>
          <w:rFonts w:ascii="宋体" w:hAnsi="宋体" w:cs="宋体" w:eastAsia="宋体" w:hint="default"/>
        </w:rPr>
        <w:t>(</w:t>
      </w:r>
      <w:r>
        <w:rPr/>
        <w:t>六</w:t>
      </w:r>
      <w:r>
        <w:rPr>
          <w:rFonts w:ascii="宋体" w:hAnsi="宋体" w:cs="宋体" w:eastAsia="宋体" w:hint="default"/>
        </w:rPr>
        <w:t>)  </w:t>
      </w:r>
      <w:r>
        <w:rPr>
          <w:rFonts w:ascii="宋体" w:hAnsi="宋体" w:cs="宋体" w:eastAsia="宋体" w:hint="default"/>
          <w:spacing w:val="102"/>
        </w:rPr>
        <w:t> </w:t>
      </w:r>
      <w:r>
        <w:rPr/>
        <w:t>重大资产和股权出售</w:t>
      </w:r>
      <w:r>
        <w:rPr>
          <w:b w:val="0"/>
          <w:bCs w:val="0"/>
        </w:rPr>
      </w:r>
    </w:p>
    <w:p>
      <w:pPr>
        <w:pStyle w:val="BodyText"/>
        <w:spacing w:line="240" w:lineRule="auto" w:before="58"/>
        <w:ind w:left="138" w:right="0"/>
        <w:jc w:val="both"/>
      </w:pPr>
      <w:r>
        <w:rPr/>
        <w:t>□适用</w:t>
      </w:r>
      <w:r>
        <w:rPr>
          <w:spacing w:val="104"/>
        </w:rPr>
        <w:t> </w:t>
      </w:r>
      <w:r>
        <w:rPr/>
        <w:t>√不适用</w:t>
      </w:r>
    </w:p>
    <w:p>
      <w:pPr>
        <w:spacing w:line="240" w:lineRule="auto" w:before="3"/>
        <w:rPr>
          <w:rFonts w:ascii="宋体" w:hAnsi="宋体" w:cs="宋体" w:eastAsia="宋体" w:hint="default"/>
          <w:sz w:val="25"/>
          <w:szCs w:val="25"/>
        </w:rPr>
      </w:pPr>
    </w:p>
    <w:p>
      <w:pPr>
        <w:pStyle w:val="Heading3"/>
        <w:spacing w:line="240" w:lineRule="auto"/>
        <w:ind w:left="138" w:right="0"/>
        <w:jc w:val="both"/>
        <w:rPr>
          <w:b w:val="0"/>
          <w:bCs w:val="0"/>
        </w:rPr>
      </w:pPr>
      <w:r>
        <w:rPr>
          <w:rFonts w:ascii="宋体" w:hAnsi="宋体" w:cs="宋体" w:eastAsia="宋体" w:hint="default"/>
        </w:rPr>
        <w:t>(</w:t>
      </w:r>
      <w:r>
        <w:rPr/>
        <w:t>七</w:t>
      </w:r>
      <w:r>
        <w:rPr>
          <w:rFonts w:ascii="宋体" w:hAnsi="宋体" w:cs="宋体" w:eastAsia="宋体" w:hint="default"/>
        </w:rPr>
        <w:t>)  </w:t>
      </w:r>
      <w:r>
        <w:rPr>
          <w:rFonts w:ascii="宋体" w:hAnsi="宋体" w:cs="宋体" w:eastAsia="宋体" w:hint="default"/>
          <w:spacing w:val="99"/>
        </w:rPr>
        <w:t> </w:t>
      </w:r>
      <w:r>
        <w:rPr/>
        <w:t>主要控股参股公司分析</w:t>
      </w:r>
      <w:r>
        <w:rPr>
          <w:b w:val="0"/>
          <w:bCs w:val="0"/>
        </w:rPr>
      </w:r>
    </w:p>
    <w:p>
      <w:pPr>
        <w:pStyle w:val="BodyText"/>
        <w:spacing w:line="240" w:lineRule="auto" w:before="56"/>
        <w:ind w:left="138" w:right="0"/>
        <w:jc w:val="both"/>
      </w:pPr>
      <w:r>
        <w:rPr/>
        <w:t>□适用</w:t>
      </w:r>
      <w:r>
        <w:rPr>
          <w:spacing w:val="104"/>
        </w:rPr>
        <w:t> </w:t>
      </w:r>
      <w:r>
        <w:rPr/>
        <w:t>√不适用</w:t>
      </w:r>
    </w:p>
    <w:p>
      <w:pPr>
        <w:spacing w:line="240" w:lineRule="auto" w:before="3"/>
        <w:rPr>
          <w:rFonts w:ascii="宋体" w:hAnsi="宋体" w:cs="宋体" w:eastAsia="宋体" w:hint="default"/>
          <w:sz w:val="25"/>
          <w:szCs w:val="25"/>
        </w:rPr>
      </w:pPr>
    </w:p>
    <w:p>
      <w:pPr>
        <w:pStyle w:val="Heading3"/>
        <w:spacing w:line="240" w:lineRule="auto"/>
        <w:ind w:left="138" w:right="0"/>
        <w:jc w:val="both"/>
        <w:rPr>
          <w:b w:val="0"/>
          <w:bCs w:val="0"/>
        </w:rPr>
      </w:pPr>
      <w:r>
        <w:rPr>
          <w:rFonts w:ascii="宋体" w:hAnsi="宋体" w:cs="宋体" w:eastAsia="宋体" w:hint="default"/>
        </w:rPr>
        <w:t>(</w:t>
      </w:r>
      <w:r>
        <w:rPr/>
        <w:t>八</w:t>
      </w:r>
      <w:r>
        <w:rPr>
          <w:rFonts w:ascii="宋体" w:hAnsi="宋体" w:cs="宋体" w:eastAsia="宋体" w:hint="default"/>
        </w:rPr>
        <w:t>)  </w:t>
      </w:r>
      <w:r>
        <w:rPr>
          <w:rFonts w:ascii="宋体" w:hAnsi="宋体" w:cs="宋体" w:eastAsia="宋体" w:hint="default"/>
          <w:spacing w:val="97"/>
        </w:rPr>
        <w:t> </w:t>
      </w:r>
      <w:r>
        <w:rPr/>
        <w:t>公司控制的结构化主体情况</w:t>
      </w:r>
      <w:r>
        <w:rPr>
          <w:b w:val="0"/>
          <w:bCs w:val="0"/>
        </w:rPr>
      </w:r>
    </w:p>
    <w:p>
      <w:pPr>
        <w:pStyle w:val="BodyText"/>
        <w:spacing w:line="240" w:lineRule="auto" w:before="56"/>
        <w:ind w:left="138" w:right="0"/>
        <w:jc w:val="both"/>
      </w:pPr>
      <w:r>
        <w:rPr/>
        <w:t>□适用</w:t>
      </w:r>
      <w:r>
        <w:rPr>
          <w:spacing w:val="104"/>
        </w:rPr>
        <w:t> </w:t>
      </w:r>
      <w:r>
        <w:rPr/>
        <w:t>√不适用</w:t>
      </w:r>
    </w:p>
    <w:p>
      <w:pPr>
        <w:spacing w:line="240" w:lineRule="auto" w:before="3"/>
        <w:rPr>
          <w:rFonts w:ascii="宋体" w:hAnsi="宋体" w:cs="宋体" w:eastAsia="宋体" w:hint="default"/>
          <w:sz w:val="25"/>
          <w:szCs w:val="25"/>
        </w:rPr>
      </w:pPr>
    </w:p>
    <w:p>
      <w:pPr>
        <w:pStyle w:val="Heading3"/>
        <w:tabs>
          <w:tab w:pos="977" w:val="left" w:leader="none"/>
        </w:tabs>
        <w:spacing w:line="290" w:lineRule="auto"/>
        <w:ind w:left="138" w:right="5169"/>
        <w:jc w:val="left"/>
        <w:rPr>
          <w:b w:val="0"/>
          <w:bCs w:val="0"/>
        </w:rPr>
      </w:pPr>
      <w:r>
        <w:rPr>
          <w:spacing w:val="-1"/>
        </w:rPr>
        <w:t>三、公司关于公司未来发展的讨论与分析</w:t>
      </w:r>
      <w:r>
        <w:rPr>
          <w:spacing w:val="-88"/>
        </w:rPr>
        <w:t> </w:t>
      </w:r>
      <w:r>
        <w:rPr>
          <w:spacing w:val="-88"/>
        </w:rPr>
      </w:r>
      <w:r>
        <w:rPr>
          <w:rFonts w:ascii="宋体" w:hAnsi="宋体" w:cs="宋体" w:eastAsia="宋体" w:hint="default"/>
          <w:spacing w:val="-1"/>
        </w:rPr>
        <w:t>(</w:t>
      </w:r>
      <w:r>
        <w:rPr>
          <w:spacing w:val="-1"/>
        </w:rPr>
        <w:t>一</w:t>
      </w:r>
      <w:r>
        <w:rPr>
          <w:rFonts w:ascii="宋体" w:hAnsi="宋体" w:cs="宋体" w:eastAsia="宋体" w:hint="default"/>
          <w:spacing w:val="-1"/>
        </w:rPr>
        <w:t>)</w:t>
        <w:tab/>
      </w:r>
      <w:r>
        <w:rPr/>
        <w:t>行业格局和趋势</w:t>
      </w:r>
      <w:r>
        <w:rPr>
          <w:b w:val="0"/>
          <w:bCs w:val="0"/>
        </w:rPr>
      </w:r>
    </w:p>
    <w:p>
      <w:pPr>
        <w:pStyle w:val="BodyText"/>
        <w:spacing w:line="273" w:lineRule="exact" w:before="12"/>
        <w:ind w:left="138" w:right="0"/>
        <w:jc w:val="both"/>
      </w:pPr>
      <w:r>
        <w:rPr/>
        <w:t>√适用</w:t>
      </w:r>
      <w:r>
        <w:rPr>
          <w:spacing w:val="104"/>
        </w:rPr>
        <w:t> </w:t>
      </w:r>
      <w:r>
        <w:rPr/>
        <w:t>□不适用</w:t>
      </w:r>
    </w:p>
    <w:p>
      <w:pPr>
        <w:pStyle w:val="Heading2"/>
        <w:spacing w:line="355" w:lineRule="auto" w:before="0"/>
        <w:ind w:right="0" w:firstLine="419"/>
        <w:jc w:val="left"/>
      </w:pPr>
      <w:r>
        <w:rPr>
          <w:spacing w:val="-1"/>
        </w:rPr>
        <w:t>在推动移动互联网、人工智能、大数据、云计算和区块链技术与实体经济深度融合的背</w:t>
      </w:r>
      <w:r>
        <w:rPr>
          <w:w w:val="100"/>
        </w:rPr>
        <w:t> </w:t>
      </w:r>
      <w:r>
        <w:rPr/>
        <w:t>景下，金融科技呈现欣欣向荣的发展趋势。</w:t>
      </w:r>
    </w:p>
    <w:p>
      <w:pPr>
        <w:pStyle w:val="Heading2"/>
        <w:spacing w:line="240" w:lineRule="auto" w:before="33"/>
        <w:ind w:left="577" w:right="0"/>
        <w:jc w:val="left"/>
      </w:pPr>
      <w:r>
        <w:rPr>
          <w:rFonts w:ascii="宋体" w:hAnsi="宋体" w:cs="宋体" w:eastAsia="宋体" w:hint="default"/>
        </w:rPr>
        <w:t>1</w:t>
      </w:r>
      <w:r>
        <w:rPr/>
        <w:t>、</w:t>
      </w:r>
      <w:r>
        <w:rPr>
          <w:spacing w:val="-2"/>
        </w:rPr>
        <w:t> </w:t>
      </w:r>
      <w:r>
        <w:rPr/>
        <w:t>金融科技行业总体发展情况</w:t>
      </w:r>
    </w:p>
    <w:p>
      <w:pPr>
        <w:pStyle w:val="Heading2"/>
        <w:spacing w:line="357" w:lineRule="auto" w:before="141"/>
        <w:ind w:right="124" w:firstLine="439"/>
        <w:jc w:val="left"/>
      </w:pPr>
      <w:r>
        <w:rPr/>
        <w:t>根据</w:t>
      </w:r>
      <w:r>
        <w:rPr>
          <w:spacing w:val="-55"/>
        </w:rPr>
        <w:t> </w:t>
      </w:r>
      <w:r>
        <w:rPr>
          <w:rFonts w:ascii="宋体" w:hAnsi="宋体" w:cs="宋体" w:eastAsia="宋体" w:hint="default"/>
        </w:rPr>
        <w:t>CB</w:t>
      </w:r>
      <w:r>
        <w:rPr>
          <w:rFonts w:ascii="宋体" w:hAnsi="宋体" w:cs="宋体" w:eastAsia="宋体" w:hint="default"/>
          <w:spacing w:val="-4"/>
        </w:rPr>
        <w:t> </w:t>
      </w:r>
      <w:r>
        <w:rPr>
          <w:rFonts w:ascii="宋体" w:hAnsi="宋体" w:cs="宋体" w:eastAsia="宋体" w:hint="default"/>
        </w:rPr>
        <w:t>Insights</w:t>
      </w:r>
      <w:r>
        <w:rPr>
          <w:rFonts w:ascii="宋体" w:hAnsi="宋体" w:cs="宋体" w:eastAsia="宋体" w:hint="default"/>
          <w:spacing w:val="-57"/>
        </w:rPr>
        <w:t> </w:t>
      </w:r>
      <w:r>
        <w:rPr/>
        <w:t>发表的《</w:t>
      </w:r>
      <w:r>
        <w:rPr>
          <w:rFonts w:ascii="宋体" w:hAnsi="宋体" w:cs="宋体" w:eastAsia="宋体" w:hint="default"/>
        </w:rPr>
        <w:t>2018</w:t>
      </w:r>
      <w:r>
        <w:rPr>
          <w:rFonts w:ascii="宋体" w:hAnsi="宋体" w:cs="宋体" w:eastAsia="宋体" w:hint="default"/>
          <w:spacing w:val="-55"/>
        </w:rPr>
        <w:t> </w:t>
      </w:r>
      <w:r>
        <w:rPr/>
        <w:t>的金融科技趋势报告》（</w:t>
      </w:r>
      <w:r>
        <w:rPr>
          <w:rFonts w:ascii="宋体" w:hAnsi="宋体" w:cs="宋体" w:eastAsia="宋体" w:hint="default"/>
        </w:rPr>
        <w:t>Fintech</w:t>
      </w:r>
      <w:r>
        <w:rPr>
          <w:rFonts w:ascii="宋体" w:hAnsi="宋体" w:cs="宋体" w:eastAsia="宋体" w:hint="default"/>
          <w:spacing w:val="-6"/>
        </w:rPr>
        <w:t> </w:t>
      </w:r>
      <w:r>
        <w:rPr>
          <w:rFonts w:ascii="宋体" w:hAnsi="宋体" w:cs="宋体" w:eastAsia="宋体" w:hint="default"/>
        </w:rPr>
        <w:t>Trends</w:t>
      </w:r>
      <w:r>
        <w:rPr>
          <w:rFonts w:ascii="宋体" w:hAnsi="宋体" w:cs="宋体" w:eastAsia="宋体" w:hint="default"/>
          <w:spacing w:val="-6"/>
        </w:rPr>
        <w:t> </w:t>
      </w:r>
      <w:r>
        <w:rPr>
          <w:rFonts w:ascii="宋体" w:hAnsi="宋体" w:cs="宋体" w:eastAsia="宋体" w:hint="default"/>
        </w:rPr>
        <w:t>to</w:t>
      </w:r>
      <w:r>
        <w:rPr>
          <w:rFonts w:ascii="宋体" w:hAnsi="宋体" w:cs="宋体" w:eastAsia="宋体" w:hint="default"/>
          <w:spacing w:val="-4"/>
        </w:rPr>
        <w:t> </w:t>
      </w:r>
      <w:r>
        <w:rPr>
          <w:rFonts w:ascii="宋体" w:hAnsi="宋体" w:cs="宋体" w:eastAsia="宋体" w:hint="default"/>
        </w:rPr>
        <w:t>Watch</w:t>
      </w:r>
      <w:r>
        <w:rPr>
          <w:rFonts w:ascii="宋体" w:hAnsi="宋体" w:cs="宋体" w:eastAsia="宋体" w:hint="default"/>
          <w:spacing w:val="-5"/>
        </w:rPr>
        <w:t> </w:t>
      </w:r>
      <w:r>
        <w:rPr>
          <w:rFonts w:ascii="宋体" w:hAnsi="宋体" w:cs="宋体" w:eastAsia="宋体" w:hint="default"/>
          <w:spacing w:val="-3"/>
        </w:rPr>
        <w:t>in</w:t>
      </w:r>
      <w:r>
        <w:rPr>
          <w:rFonts w:ascii="宋体" w:hAnsi="宋体" w:cs="宋体" w:eastAsia="宋体" w:hint="default"/>
          <w:spacing w:val="-3"/>
          <w:w w:val="100"/>
        </w:rPr>
        <w:t> </w:t>
      </w:r>
      <w:r>
        <w:rPr>
          <w:rFonts w:ascii="宋体" w:hAnsi="宋体" w:cs="宋体" w:eastAsia="宋体" w:hint="default"/>
          <w:spacing w:val="-7"/>
        </w:rPr>
        <w:t>2018</w:t>
      </w:r>
      <w:r>
        <w:rPr>
          <w:spacing w:val="-7"/>
        </w:rPr>
        <w:t>），看好</w:t>
      </w:r>
      <w:r>
        <w:rPr>
          <w:spacing w:val="-71"/>
        </w:rPr>
        <w:t> </w:t>
      </w:r>
      <w:r>
        <w:rPr>
          <w:rFonts w:ascii="宋体" w:hAnsi="宋体" w:cs="宋体" w:eastAsia="宋体" w:hint="default"/>
        </w:rPr>
        <w:t>2018</w:t>
      </w:r>
      <w:r>
        <w:rPr>
          <w:rFonts w:ascii="宋体" w:hAnsi="宋体" w:cs="宋体" w:eastAsia="宋体" w:hint="default"/>
          <w:spacing w:val="-69"/>
        </w:rPr>
        <w:t> </w:t>
      </w:r>
      <w:r>
        <w:rPr/>
        <w:t>年金融科技行业的发展，认为过去几十年的金融业从未像今天这样受到巨</w:t>
      </w:r>
    </w:p>
    <w:p>
      <w:pPr>
        <w:pStyle w:val="Heading2"/>
        <w:spacing w:line="357" w:lineRule="auto"/>
        <w:ind w:right="159"/>
        <w:jc w:val="both"/>
      </w:pPr>
      <w:r>
        <w:rPr/>
        <w:t>大技术推动力。报告显示</w:t>
      </w:r>
      <w:r>
        <w:rPr>
          <w:spacing w:val="-55"/>
        </w:rPr>
        <w:t> </w:t>
      </w:r>
      <w:r>
        <w:rPr>
          <w:rFonts w:ascii="宋体" w:hAnsi="宋体" w:cs="宋体" w:eastAsia="宋体" w:hint="default"/>
        </w:rPr>
        <w:t>2017</w:t>
      </w:r>
      <w:r>
        <w:rPr>
          <w:rFonts w:ascii="宋体" w:hAnsi="宋体" w:cs="宋体" w:eastAsia="宋体" w:hint="default"/>
          <w:spacing w:val="-55"/>
        </w:rPr>
        <w:t> </w:t>
      </w:r>
      <w:r>
        <w:rPr/>
        <w:t>年全球累计发生投融资事件</w:t>
      </w:r>
      <w:r>
        <w:rPr>
          <w:spacing w:val="-55"/>
        </w:rPr>
        <w:t> </w:t>
      </w:r>
      <w:r>
        <w:rPr>
          <w:rFonts w:ascii="宋体" w:hAnsi="宋体" w:cs="宋体" w:eastAsia="宋体" w:hint="default"/>
        </w:rPr>
        <w:t>1128</w:t>
      </w:r>
      <w:r>
        <w:rPr>
          <w:rFonts w:ascii="宋体" w:hAnsi="宋体" w:cs="宋体" w:eastAsia="宋体" w:hint="default"/>
          <w:spacing w:val="-58"/>
        </w:rPr>
        <w:t> </w:t>
      </w:r>
      <w:r>
        <w:rPr/>
        <w:t>笔，金额总计</w:t>
      </w:r>
      <w:r>
        <w:rPr>
          <w:spacing w:val="-55"/>
        </w:rPr>
        <w:t> </w:t>
      </w:r>
      <w:r>
        <w:rPr>
          <w:rFonts w:ascii="宋体" w:hAnsi="宋体" w:cs="宋体" w:eastAsia="宋体" w:hint="default"/>
        </w:rPr>
        <w:t>166</w:t>
      </w:r>
      <w:r>
        <w:rPr>
          <w:rFonts w:ascii="宋体" w:hAnsi="宋体" w:cs="宋体" w:eastAsia="宋体" w:hint="default"/>
          <w:spacing w:val="-55"/>
        </w:rPr>
        <w:t> </w:t>
      </w:r>
      <w:r>
        <w:rPr/>
        <w:t>亿美元，</w:t>
      </w:r>
      <w:r>
        <w:rPr>
          <w:w w:val="100"/>
        </w:rPr>
        <w:t> </w:t>
      </w:r>
      <w:r>
        <w:rPr/>
        <w:t>融资数量和总金额双双新高。</w:t>
      </w:r>
      <w:r>
        <w:rPr>
          <w:rFonts w:ascii="宋体" w:hAnsi="宋体" w:cs="宋体" w:eastAsia="宋体" w:hint="default"/>
        </w:rPr>
        <w:t>2017</w:t>
      </w:r>
      <w:r>
        <w:rPr>
          <w:rFonts w:ascii="宋体" w:hAnsi="宋体" w:cs="宋体" w:eastAsia="宋体" w:hint="default"/>
          <w:spacing w:val="-58"/>
        </w:rPr>
        <w:t> </w:t>
      </w:r>
      <w:r>
        <w:rPr/>
        <w:t>年全球金融科技领域共发生了</w:t>
      </w:r>
      <w:r>
        <w:rPr>
          <w:spacing w:val="-57"/>
        </w:rPr>
        <w:t> </w:t>
      </w:r>
      <w:r>
        <w:rPr>
          <w:rFonts w:ascii="宋体" w:hAnsi="宋体" w:cs="宋体" w:eastAsia="宋体" w:hint="default"/>
        </w:rPr>
        <w:t>35</w:t>
      </w:r>
      <w:r>
        <w:rPr>
          <w:rFonts w:ascii="宋体" w:hAnsi="宋体" w:cs="宋体" w:eastAsia="宋体" w:hint="default"/>
          <w:spacing w:val="-55"/>
        </w:rPr>
        <w:t> </w:t>
      </w:r>
      <w:r>
        <w:rPr/>
        <w:t>笔亿元以上（美元）融</w:t>
      </w:r>
      <w:r>
        <w:rPr>
          <w:w w:val="100"/>
        </w:rPr>
        <w:t> </w:t>
      </w:r>
      <w:r>
        <w:rPr/>
        <w:t>资，总金额</w:t>
      </w:r>
      <w:r>
        <w:rPr>
          <w:spacing w:val="-55"/>
        </w:rPr>
        <w:t> </w:t>
      </w:r>
      <w:r>
        <w:rPr>
          <w:rFonts w:ascii="宋体" w:hAnsi="宋体" w:cs="宋体" w:eastAsia="宋体" w:hint="default"/>
        </w:rPr>
        <w:t>77.6</w:t>
      </w:r>
      <w:r>
        <w:rPr>
          <w:rFonts w:ascii="宋体" w:hAnsi="宋体" w:cs="宋体" w:eastAsia="宋体" w:hint="default"/>
          <w:spacing w:val="-58"/>
        </w:rPr>
        <w:t> </w:t>
      </w:r>
      <w:r>
        <w:rPr/>
        <w:t>亿美元。</w:t>
      </w:r>
      <w:r>
        <w:rPr>
          <w:spacing w:val="1"/>
        </w:rPr>
        <w:t> </w:t>
      </w:r>
      <w:r>
        <w:rPr>
          <w:rFonts w:ascii="宋体" w:hAnsi="宋体" w:cs="宋体" w:eastAsia="宋体" w:hint="default"/>
        </w:rPr>
        <w:t>2017</w:t>
      </w:r>
      <w:r>
        <w:rPr>
          <w:rFonts w:ascii="宋体" w:hAnsi="宋体" w:cs="宋体" w:eastAsia="宋体" w:hint="default"/>
          <w:spacing w:val="-58"/>
        </w:rPr>
        <w:t> </w:t>
      </w:r>
      <w:r>
        <w:rPr/>
        <w:t>年全球金融科技独角兽企业的总市值达到了</w:t>
      </w:r>
      <w:r>
        <w:rPr>
          <w:spacing w:val="-54"/>
        </w:rPr>
        <w:t> </w:t>
      </w:r>
      <w:r>
        <w:rPr>
          <w:rFonts w:ascii="宋体" w:hAnsi="宋体" w:cs="宋体" w:eastAsia="宋体" w:hint="default"/>
        </w:rPr>
        <w:t>759</w:t>
      </w:r>
      <w:r>
        <w:rPr>
          <w:rFonts w:ascii="宋体" w:hAnsi="宋体" w:cs="宋体" w:eastAsia="宋体" w:hint="default"/>
          <w:spacing w:val="-55"/>
        </w:rPr>
        <w:t> </w:t>
      </w:r>
      <w:r>
        <w:rPr/>
        <w:t>亿美元。</w:t>
      </w:r>
    </w:p>
    <w:p>
      <w:pPr>
        <w:pStyle w:val="Heading2"/>
        <w:spacing w:line="357" w:lineRule="auto"/>
        <w:ind w:right="127" w:firstLine="439"/>
        <w:jc w:val="left"/>
      </w:pPr>
      <w:r>
        <w:rPr>
          <w:spacing w:val="-12"/>
          <w:w w:val="100"/>
        </w:rPr>
        <w:t>数据显示，</w:t>
      </w:r>
      <w:r>
        <w:rPr>
          <w:rFonts w:ascii="宋体" w:hAnsi="宋体" w:cs="宋体" w:eastAsia="宋体" w:hint="default"/>
          <w:spacing w:val="-12"/>
          <w:w w:val="100"/>
        </w:rPr>
        <w:t>2017</w:t>
      </w:r>
      <w:r>
        <w:rPr>
          <w:rFonts w:ascii="宋体" w:hAnsi="宋体" w:cs="宋体" w:eastAsia="宋体" w:hint="default"/>
          <w:spacing w:val="-51"/>
          <w:w w:val="100"/>
        </w:rPr>
        <w:t> </w:t>
      </w:r>
      <w:r>
        <w:rPr>
          <w:spacing w:val="-7"/>
          <w:w w:val="100"/>
        </w:rPr>
        <w:t>年，我国金融科技企业的营收总规模达到</w:t>
      </w:r>
      <w:r>
        <w:rPr>
          <w:spacing w:val="-49"/>
          <w:w w:val="100"/>
        </w:rPr>
        <w:t> </w:t>
      </w:r>
      <w:r>
        <w:rPr>
          <w:rFonts w:ascii="宋体" w:hAnsi="宋体" w:cs="宋体" w:eastAsia="宋体" w:hint="default"/>
          <w:spacing w:val="-1"/>
          <w:w w:val="100"/>
        </w:rPr>
        <w:t>6541.4</w:t>
      </w:r>
      <w:r>
        <w:rPr>
          <w:rFonts w:ascii="宋体" w:hAnsi="宋体" w:cs="宋体" w:eastAsia="宋体" w:hint="default"/>
          <w:spacing w:val="-51"/>
          <w:w w:val="100"/>
        </w:rPr>
        <w:t> </w:t>
      </w:r>
      <w:r>
        <w:rPr>
          <w:spacing w:val="-16"/>
          <w:w w:val="100"/>
        </w:rPr>
        <w:t>亿元，同比增速</w:t>
      </w:r>
      <w:r>
        <w:rPr>
          <w:spacing w:val="-51"/>
          <w:w w:val="100"/>
        </w:rPr>
        <w:t> </w:t>
      </w:r>
      <w:r>
        <w:rPr>
          <w:rFonts w:ascii="宋体" w:hAnsi="宋体" w:cs="宋体" w:eastAsia="宋体" w:hint="default"/>
          <w:spacing w:val="-1"/>
          <w:w w:val="100"/>
        </w:rPr>
        <w:t>55.2%</w:t>
      </w:r>
      <w:r>
        <w:rPr>
          <w:spacing w:val="-1"/>
          <w:w w:val="100"/>
        </w:rPr>
        <w:t>。</w:t>
      </w:r>
      <w:r>
        <w:rPr>
          <w:w w:val="100"/>
        </w:rPr>
        <w:t> </w:t>
      </w:r>
      <w:r>
        <w:rPr/>
        <w:t>预计，</w:t>
      </w:r>
      <w:r>
        <w:rPr>
          <w:rFonts w:ascii="宋体" w:hAnsi="宋体" w:cs="宋体" w:eastAsia="宋体" w:hint="default"/>
        </w:rPr>
        <w:t>2020</w:t>
      </w:r>
      <w:r>
        <w:rPr>
          <w:rFonts w:ascii="宋体" w:hAnsi="宋体" w:cs="宋体" w:eastAsia="宋体" w:hint="default"/>
          <w:spacing w:val="-56"/>
        </w:rPr>
        <w:t> </w:t>
      </w:r>
      <w:r>
        <w:rPr/>
        <w:t>年国内金融科技企业的营收总规模将达到近</w:t>
      </w:r>
      <w:r>
        <w:rPr>
          <w:spacing w:val="-55"/>
        </w:rPr>
        <w:t> </w:t>
      </w:r>
      <w:r>
        <w:rPr>
          <w:rFonts w:ascii="宋体" w:hAnsi="宋体" w:cs="宋体" w:eastAsia="宋体" w:hint="default"/>
        </w:rPr>
        <w:t>2</w:t>
      </w:r>
      <w:r>
        <w:rPr>
          <w:rFonts w:ascii="宋体" w:hAnsi="宋体" w:cs="宋体" w:eastAsia="宋体" w:hint="default"/>
          <w:spacing w:val="-59"/>
        </w:rPr>
        <w:t> </w:t>
      </w:r>
      <w:r>
        <w:rPr/>
        <w:t>万亿元。</w:t>
      </w:r>
    </w:p>
    <w:p>
      <w:pPr>
        <w:pStyle w:val="Heading2"/>
        <w:spacing w:line="240" w:lineRule="auto"/>
        <w:ind w:left="577" w:right="0"/>
        <w:jc w:val="left"/>
      </w:pPr>
      <w:r>
        <w:rPr>
          <w:rFonts w:ascii="宋体" w:hAnsi="宋体" w:cs="宋体" w:eastAsia="宋体" w:hint="default"/>
        </w:rPr>
        <w:t>2</w:t>
      </w:r>
      <w:r>
        <w:rPr/>
        <w:t>、监管鼓励金融科技发展</w:t>
      </w:r>
    </w:p>
    <w:p>
      <w:pPr>
        <w:pStyle w:val="Heading2"/>
        <w:spacing w:line="357" w:lineRule="auto" w:before="139"/>
        <w:ind w:right="121" w:firstLine="439"/>
        <w:jc w:val="left"/>
      </w:pPr>
      <w:r>
        <w:rPr>
          <w:rFonts w:ascii="宋体" w:hAnsi="宋体" w:cs="宋体" w:eastAsia="宋体" w:hint="default"/>
        </w:rPr>
        <w:t>2017</w:t>
      </w:r>
      <w:r>
        <w:rPr>
          <w:rFonts w:ascii="宋体" w:hAnsi="宋体" w:cs="宋体" w:eastAsia="宋体" w:hint="default"/>
          <w:spacing w:val="-63"/>
        </w:rPr>
        <w:t> </w:t>
      </w:r>
      <w:r>
        <w:rPr/>
        <w:t>年</w:t>
      </w:r>
      <w:r>
        <w:rPr>
          <w:spacing w:val="-63"/>
        </w:rPr>
        <w:t> </w:t>
      </w:r>
      <w:r>
        <w:rPr>
          <w:rFonts w:ascii="宋体" w:hAnsi="宋体" w:cs="宋体" w:eastAsia="宋体" w:hint="default"/>
        </w:rPr>
        <w:t>5</w:t>
      </w:r>
      <w:r>
        <w:rPr>
          <w:rFonts w:ascii="宋体" w:hAnsi="宋体" w:cs="宋体" w:eastAsia="宋体" w:hint="default"/>
          <w:spacing w:val="-66"/>
        </w:rPr>
        <w:t> </w:t>
      </w:r>
      <w:r>
        <w:rPr/>
        <w:t>月，中国人民银行宣布成立金融科技委员会，旨在加强金融科技工作的研究规</w:t>
      </w:r>
      <w:r>
        <w:rPr>
          <w:w w:val="100"/>
        </w:rPr>
        <w:t> </w:t>
      </w:r>
      <w:r>
        <w:rPr>
          <w:spacing w:val="-1"/>
        </w:rPr>
        <w:t>划和统筹协调。央行在一定程度上对金融科技表示了肯定。央行表示，金融科技是技术驱动</w:t>
      </w:r>
    </w:p>
    <w:p>
      <w:pPr>
        <w:spacing w:after="0" w:line="357" w:lineRule="auto"/>
        <w:jc w:val="left"/>
        <w:sectPr>
          <w:pgSz w:w="11910" w:h="16840"/>
          <w:pgMar w:header="855" w:footer="1195" w:top="1280" w:bottom="1380" w:left="1660" w:right="1140"/>
        </w:sectPr>
      </w:pPr>
    </w:p>
    <w:p>
      <w:pPr>
        <w:spacing w:line="240" w:lineRule="auto" w:before="8"/>
        <w:rPr>
          <w:rFonts w:ascii="宋体" w:hAnsi="宋体" w:cs="宋体" w:eastAsia="宋体" w:hint="default"/>
          <w:sz w:val="12"/>
          <w:szCs w:val="12"/>
        </w:rPr>
      </w:pPr>
    </w:p>
    <w:p>
      <w:pPr>
        <w:pStyle w:val="Heading2"/>
        <w:spacing w:line="357" w:lineRule="auto" w:before="32"/>
        <w:ind w:right="365"/>
        <w:jc w:val="both"/>
      </w:pPr>
      <w:r>
        <w:rPr>
          <w:spacing w:val="-1"/>
        </w:rPr>
        <w:t>的金融创新，为金融发展注入了新的活力，也给金融安全带来了新挑战。愿与产学研用各方</w:t>
      </w:r>
      <w:r>
        <w:rPr>
          <w:spacing w:val="-77"/>
        </w:rPr>
        <w:t> </w:t>
      </w:r>
      <w:r>
        <w:rPr>
          <w:spacing w:val="-77"/>
        </w:rPr>
      </w:r>
      <w:r>
        <w:rPr/>
        <w:t>携手，共同推动我国金融科技健康有序发展，为服务实体经济、践行普惠金融贡献力量。</w:t>
      </w:r>
    </w:p>
    <w:p>
      <w:pPr>
        <w:pStyle w:val="Heading2"/>
        <w:spacing w:line="357" w:lineRule="auto"/>
        <w:ind w:right="0" w:firstLine="439"/>
        <w:jc w:val="left"/>
      </w:pPr>
      <w:r>
        <w:rPr/>
        <w:t>证监会鼓励证券期货行业要紧紧抓住全球金融科技变革的历史机遇，将金融科技作为推</w:t>
      </w:r>
      <w:r>
        <w:rPr>
          <w:w w:val="100"/>
        </w:rPr>
        <w:t> </w:t>
      </w:r>
      <w:r>
        <w:rPr/>
        <w:t>动行业实现跨越式发展的重要突破口，引导行业机构积极拥抱人工智能、大数据、云计算和</w:t>
      </w:r>
      <w:r>
        <w:rPr>
          <w:w w:val="100"/>
        </w:rPr>
        <w:t> </w:t>
      </w:r>
      <w:r>
        <w:rPr/>
        <w:t>区块链等现代信息技术，促进并规范行业金融科技和监管科技健康、平衡发展，加强金融科</w:t>
      </w:r>
      <w:r>
        <w:rPr>
          <w:w w:val="100"/>
        </w:rPr>
        <w:t> </w:t>
      </w:r>
      <w:r>
        <w:rPr>
          <w:spacing w:val="-3"/>
        </w:rPr>
        <w:t>技和监管科技应用的风险防控工作。证监会将积极营造适合金融科技创新发展的条件和环境，</w:t>
      </w:r>
      <w:r>
        <w:rPr>
          <w:spacing w:val="-71"/>
        </w:rPr>
        <w:t> </w:t>
      </w:r>
      <w:r>
        <w:rPr>
          <w:spacing w:val="-71"/>
        </w:rPr>
      </w:r>
      <w:r>
        <w:rPr/>
        <w:t>发挥现代信息技术引领业务发展作用，推动现代信息技术从金融服务、渠道、产品、投资、</w:t>
      </w:r>
      <w:r>
        <w:rPr>
          <w:w w:val="100"/>
        </w:rPr>
        <w:t> </w:t>
      </w:r>
      <w:r>
        <w:rPr>
          <w:spacing w:val="-6"/>
        </w:rPr>
        <w:t>信用、风控、合规、监管等领域全面变革，推进行业金融科技和监管科技应用的快速、健康、</w:t>
      </w:r>
      <w:r>
        <w:rPr>
          <w:spacing w:val="-55"/>
        </w:rPr>
        <w:t> </w:t>
      </w:r>
      <w:r>
        <w:rPr>
          <w:spacing w:val="-55"/>
        </w:rPr>
      </w:r>
      <w:r>
        <w:rPr/>
        <w:t>有序发展。</w:t>
      </w:r>
    </w:p>
    <w:p>
      <w:pPr>
        <w:pStyle w:val="Heading2"/>
        <w:spacing w:line="357" w:lineRule="auto"/>
        <w:ind w:left="577" w:right="0"/>
        <w:jc w:val="left"/>
      </w:pPr>
      <w:r>
        <w:rPr>
          <w:rFonts w:ascii="宋体" w:hAnsi="宋体" w:cs="宋体" w:eastAsia="宋体" w:hint="default"/>
        </w:rPr>
        <w:t>3</w:t>
      </w:r>
      <w:r>
        <w:rPr/>
        <w:t>、金融科技应用领域不断扩展</w:t>
      </w:r>
      <w:r>
        <w:rPr>
          <w:w w:val="100"/>
        </w:rPr>
        <w:t> </w:t>
      </w:r>
      <w:r>
        <w:rPr>
          <w:spacing w:val="-1"/>
        </w:rPr>
        <w:t>包括证券、期货、电子交易市场、银行、保险、信托、私募基金等行业在内的金融服务</w:t>
      </w:r>
    </w:p>
    <w:p>
      <w:pPr>
        <w:pStyle w:val="Heading2"/>
        <w:spacing w:line="357" w:lineRule="auto"/>
        <w:ind w:right="365"/>
        <w:jc w:val="both"/>
      </w:pPr>
      <w:r>
        <w:rPr>
          <w:spacing w:val="-1"/>
        </w:rPr>
        <w:t>业在利用客户管理、产品管理、业务运营、营销服务、投融资需求匹配等方面有一定共性。</w:t>
      </w:r>
      <w:r>
        <w:rPr>
          <w:spacing w:val="-77"/>
        </w:rPr>
        <w:t> </w:t>
      </w:r>
      <w:r>
        <w:rPr>
          <w:spacing w:val="-77"/>
        </w:rPr>
      </w:r>
      <w:r>
        <w:rPr>
          <w:spacing w:val="-1"/>
        </w:rPr>
        <w:t>行业实践证明，金融科技的运用可以帮助金融服务商提升核心业务能力、业务效率、用户体</w:t>
      </w:r>
      <w:r>
        <w:rPr>
          <w:spacing w:val="-77"/>
        </w:rPr>
        <w:t> </w:t>
      </w:r>
      <w:r>
        <w:rPr>
          <w:spacing w:val="-77"/>
        </w:rPr>
      </w:r>
      <w:r>
        <w:rPr/>
        <w:t>验，降低风险与成本。金融科技在金融业的应用领域主要体现在：</w:t>
      </w:r>
    </w:p>
    <w:p>
      <w:pPr>
        <w:pStyle w:val="Heading2"/>
        <w:spacing w:line="357" w:lineRule="auto"/>
        <w:ind w:right="365" w:firstLine="439"/>
        <w:jc w:val="both"/>
      </w:pPr>
      <w:r>
        <w:rPr>
          <w:spacing w:val="-1"/>
        </w:rPr>
        <w:t>首先，金融科技在金融机构获客方面的应用。金融科技使金融服务提供者能通过虚拟空</w:t>
      </w:r>
      <w:r>
        <w:rPr>
          <w:w w:val="100"/>
        </w:rPr>
        <w:t> </w:t>
      </w:r>
      <w:r>
        <w:rPr>
          <w:spacing w:val="-1"/>
        </w:rPr>
        <w:t>间丰富和优化服务场景，增强客户信息收集和了解客户的能力，优化服务流程，大幅度提升</w:t>
      </w:r>
      <w:r>
        <w:rPr>
          <w:spacing w:val="-77"/>
        </w:rPr>
        <w:t> </w:t>
      </w:r>
      <w:r>
        <w:rPr>
          <w:spacing w:val="-77"/>
        </w:rPr>
      </w:r>
      <w:r>
        <w:rPr/>
        <w:t>金融机构获客能力，提升客户价值转化，不断优化客户体验，增强客户黏性。</w:t>
      </w:r>
    </w:p>
    <w:p>
      <w:pPr>
        <w:pStyle w:val="Heading2"/>
        <w:spacing w:line="357" w:lineRule="auto"/>
        <w:ind w:right="0" w:firstLine="439"/>
        <w:jc w:val="left"/>
      </w:pPr>
      <w:r>
        <w:rPr/>
        <w:t>其次，金融科技在金融机构营运方面的应用。传统金融服务业在服务提供过程中，需要</w:t>
      </w:r>
      <w:r>
        <w:rPr>
          <w:w w:val="100"/>
        </w:rPr>
        <w:t> </w:t>
      </w:r>
      <w:r>
        <w:rPr/>
        <w:t>历经冗长的前端业务受理、中台审批和后台风险控制，整个服务流程效率较低，需要配备大</w:t>
      </w:r>
      <w:r>
        <w:rPr>
          <w:w w:val="100"/>
        </w:rPr>
        <w:t> </w:t>
      </w:r>
      <w:r>
        <w:rPr>
          <w:spacing w:val="-3"/>
        </w:rPr>
        <w:t>量的资源。随着金融科技发展</w:t>
      </w:r>
      <w:r>
        <w:rPr>
          <w:rFonts w:ascii="宋体" w:hAnsi="宋体" w:cs="宋体" w:eastAsia="宋体" w:hint="default"/>
          <w:spacing w:val="-3"/>
        </w:rPr>
        <w:t>,</w:t>
      </w:r>
      <w:r>
        <w:rPr>
          <w:spacing w:val="-3"/>
        </w:rPr>
        <w:t>金融服务机构可以利用大数据等先进的技术准确识别优质客户，</w:t>
      </w:r>
      <w:r>
        <w:rPr>
          <w:spacing w:val="-67"/>
        </w:rPr>
        <w:t> </w:t>
      </w:r>
      <w:r>
        <w:rPr>
          <w:spacing w:val="-67"/>
        </w:rPr>
      </w:r>
      <w:r>
        <w:rPr/>
        <w:t>通过在线渠道实现服务送达，并通过优化流程处理客户需求。越来越多金融服务商通过数字</w:t>
      </w:r>
      <w:r>
        <w:rPr>
          <w:w w:val="100"/>
        </w:rPr>
        <w:t> </w:t>
      </w:r>
      <w:r>
        <w:rPr/>
        <w:t>化运营业务创新，将标准化业务划分为前台受理、后台处理模式，通过集中运营体系建设，</w:t>
      </w:r>
      <w:r>
        <w:rPr>
          <w:w w:val="100"/>
        </w:rPr>
        <w:t> </w:t>
      </w:r>
      <w:r>
        <w:rPr/>
        <w:t>将零售客户的开户、交易、咨询等需求更多的由线上完成。在高频、复杂的业务环节增加机</w:t>
      </w:r>
      <w:r>
        <w:rPr>
          <w:w w:val="100"/>
        </w:rPr>
        <w:t> </w:t>
      </w:r>
      <w:r>
        <w:rPr/>
        <w:t>器学习、流程自动化工具，使得整个服务流程效率大幅度提升。并且，通过金融科技的应用</w:t>
      </w:r>
      <w:r>
        <w:rPr>
          <w:w w:val="100"/>
        </w:rPr>
        <w:t> </w:t>
      </w:r>
      <w:r>
        <w:rPr/>
        <w:t>还实现人员结构调整，提升运营效率，实现物理网点轻型化，达到降低成本提升经营效率的</w:t>
      </w:r>
      <w:r>
        <w:rPr>
          <w:w w:val="100"/>
        </w:rPr>
        <w:t> </w:t>
      </w:r>
      <w:r>
        <w:rPr/>
        <w:t>目的。</w:t>
      </w:r>
    </w:p>
    <w:p>
      <w:pPr>
        <w:pStyle w:val="Heading2"/>
        <w:spacing w:line="357" w:lineRule="auto" w:before="34"/>
        <w:ind w:right="364" w:firstLine="439"/>
        <w:jc w:val="both"/>
      </w:pPr>
      <w:r>
        <w:rPr>
          <w:spacing w:val="-1"/>
        </w:rPr>
        <w:t>第三，金融科技在金融服务商服务机构客户方面的应用。近年来，证券、期货、电子交</w:t>
      </w:r>
      <w:r>
        <w:rPr>
          <w:w w:val="100"/>
        </w:rPr>
        <w:t> </w:t>
      </w:r>
      <w:r>
        <w:rPr>
          <w:spacing w:val="-1"/>
        </w:rPr>
        <w:t>易市场、银行、保险、信托、私募基金等行业机构投资者，在投资者中的比例和交易量占比</w:t>
      </w:r>
      <w:r>
        <w:rPr>
          <w:spacing w:val="-77"/>
        </w:rPr>
        <w:t> </w:t>
      </w:r>
      <w:r>
        <w:rPr>
          <w:spacing w:val="-77"/>
        </w:rPr>
      </w:r>
      <w:r>
        <w:rPr>
          <w:spacing w:val="-1"/>
        </w:rPr>
        <w:t>稳步提升。不同类型的投资者在交易机制、信息渠道以及投研分析能力等方面存在差异。一</w:t>
      </w:r>
      <w:r>
        <w:rPr>
          <w:spacing w:val="-77"/>
        </w:rPr>
        <w:t> </w:t>
      </w:r>
      <w:r>
        <w:rPr>
          <w:spacing w:val="-77"/>
        </w:rPr>
      </w:r>
      <w:r>
        <w:rPr>
          <w:spacing w:val="-1"/>
        </w:rPr>
        <w:t>些服务机构也提出了针对性提出了聚焦机构客户服务的转型方向，充分发挥资本市场中介功</w:t>
      </w:r>
      <w:r>
        <w:rPr>
          <w:spacing w:val="-77"/>
        </w:rPr>
        <w:t> </w:t>
      </w:r>
      <w:r>
        <w:rPr>
          <w:spacing w:val="-77"/>
        </w:rPr>
      </w:r>
      <w:r>
        <w:rPr>
          <w:spacing w:val="-1"/>
        </w:rPr>
        <w:t>能，通过大力发展托管、交易、销售、研究、咨询、投融资需求一条龙服务等深度挖掘现有</w:t>
      </w:r>
      <w:r>
        <w:rPr>
          <w:spacing w:val="-76"/>
        </w:rPr>
        <w:t> </w:t>
      </w:r>
      <w:r>
        <w:rPr>
          <w:spacing w:val="-76"/>
        </w:rPr>
      </w:r>
      <w:r>
        <w:rPr>
          <w:spacing w:val="-1"/>
        </w:rPr>
        <w:t>客户及吸引新的企业客户。金融科技在机构客户的客户画像，商机挖掘、需求管理等方面起</w:t>
      </w:r>
    </w:p>
    <w:p>
      <w:pPr>
        <w:spacing w:after="0" w:line="357" w:lineRule="auto"/>
        <w:jc w:val="both"/>
        <w:sectPr>
          <w:footerReference w:type="default" r:id="rId13"/>
          <w:pgSz w:w="11910" w:h="16840"/>
          <w:pgMar w:footer="1195" w:header="855" w:top="1280" w:bottom="1380" w:left="1660" w:right="940"/>
        </w:sectPr>
      </w:pPr>
    </w:p>
    <w:p>
      <w:pPr>
        <w:spacing w:line="240" w:lineRule="auto" w:before="8"/>
        <w:rPr>
          <w:rFonts w:ascii="宋体" w:hAnsi="宋体" w:cs="宋体" w:eastAsia="宋体" w:hint="default"/>
          <w:sz w:val="12"/>
          <w:szCs w:val="12"/>
        </w:rPr>
      </w:pPr>
    </w:p>
    <w:p>
      <w:pPr>
        <w:pStyle w:val="Heading2"/>
        <w:spacing w:line="357" w:lineRule="auto" w:before="32"/>
        <w:ind w:right="245"/>
        <w:jc w:val="both"/>
      </w:pPr>
      <w:r>
        <w:rPr>
          <w:spacing w:val="-1"/>
        </w:rPr>
        <w:t>到重要作用。金融科技还在满足投资者需求的专业化交易工具、资产管理、投研服务起到关</w:t>
      </w:r>
      <w:r>
        <w:rPr>
          <w:spacing w:val="-77"/>
        </w:rPr>
        <w:t> </w:t>
      </w:r>
      <w:r>
        <w:rPr>
          <w:spacing w:val="-77"/>
        </w:rPr>
      </w:r>
      <w:r>
        <w:rPr/>
        <w:t>键作用。</w:t>
      </w:r>
    </w:p>
    <w:p>
      <w:pPr>
        <w:pStyle w:val="Heading2"/>
        <w:spacing w:line="240" w:lineRule="auto"/>
        <w:ind w:left="577" w:right="0"/>
        <w:jc w:val="left"/>
      </w:pPr>
      <w:r>
        <w:rPr/>
        <w:t>第四，金融科技对日益旺盛的财富管理需求提供支持。预计</w:t>
      </w:r>
      <w:r>
        <w:rPr>
          <w:spacing w:val="-57"/>
        </w:rPr>
        <w:t> </w:t>
      </w:r>
      <w:r>
        <w:rPr>
          <w:rFonts w:ascii="宋体" w:hAnsi="宋体" w:cs="宋体" w:eastAsia="宋体" w:hint="default"/>
        </w:rPr>
        <w:t>2017</w:t>
      </w:r>
      <w:r>
        <w:rPr>
          <w:rFonts w:ascii="宋体" w:hAnsi="宋体" w:cs="宋体" w:eastAsia="宋体" w:hint="default"/>
          <w:spacing w:val="-56"/>
        </w:rPr>
        <w:t> </w:t>
      </w:r>
      <w:r>
        <w:rPr/>
        <w:t>年中国拥有</w:t>
      </w:r>
      <w:r>
        <w:rPr>
          <w:spacing w:val="-56"/>
        </w:rPr>
        <w:t> </w:t>
      </w:r>
      <w:r>
        <w:rPr>
          <w:rFonts w:ascii="宋体" w:hAnsi="宋体" w:cs="宋体" w:eastAsia="宋体" w:hint="default"/>
        </w:rPr>
        <w:t>1000</w:t>
      </w:r>
      <w:r>
        <w:rPr>
          <w:rFonts w:ascii="宋体" w:hAnsi="宋体" w:cs="宋体" w:eastAsia="宋体" w:hint="default"/>
          <w:spacing w:val="-56"/>
        </w:rPr>
        <w:t> </w:t>
      </w:r>
      <w:r>
        <w:rPr>
          <w:spacing w:val="-3"/>
        </w:rPr>
        <w:t>万以</w:t>
      </w:r>
      <w:r>
        <w:rPr/>
      </w:r>
    </w:p>
    <w:p>
      <w:pPr>
        <w:pStyle w:val="Heading2"/>
        <w:spacing w:line="240" w:lineRule="auto" w:before="139"/>
        <w:ind w:right="0"/>
        <w:jc w:val="both"/>
      </w:pPr>
      <w:r>
        <w:rPr/>
        <w:t>上金融资产的人数为</w:t>
      </w:r>
      <w:r>
        <w:rPr>
          <w:spacing w:val="-51"/>
        </w:rPr>
        <w:t> </w:t>
      </w:r>
      <w:r>
        <w:rPr>
          <w:rFonts w:ascii="宋体" w:hAnsi="宋体" w:cs="宋体" w:eastAsia="宋体" w:hint="default"/>
        </w:rPr>
        <w:t>1900</w:t>
      </w:r>
      <w:r>
        <w:rPr>
          <w:rFonts w:ascii="宋体" w:hAnsi="宋体" w:cs="宋体" w:eastAsia="宋体" w:hint="default"/>
          <w:spacing w:val="-51"/>
        </w:rPr>
        <w:t> </w:t>
      </w:r>
      <w:r>
        <w:rPr/>
        <w:t>万人，过去</w:t>
      </w:r>
      <w:r>
        <w:rPr>
          <w:spacing w:val="-51"/>
        </w:rPr>
        <w:t> </w:t>
      </w:r>
      <w:r>
        <w:rPr>
          <w:rFonts w:ascii="宋体" w:hAnsi="宋体" w:cs="宋体" w:eastAsia="宋体" w:hint="default"/>
        </w:rPr>
        <w:t>10</w:t>
      </w:r>
      <w:r>
        <w:rPr>
          <w:rFonts w:ascii="宋体" w:hAnsi="宋体" w:cs="宋体" w:eastAsia="宋体" w:hint="default"/>
          <w:spacing w:val="-54"/>
        </w:rPr>
        <w:t> </w:t>
      </w:r>
      <w:r>
        <w:rPr/>
        <w:t>年增长将近</w:t>
      </w:r>
      <w:r>
        <w:rPr>
          <w:spacing w:val="-51"/>
        </w:rPr>
        <w:t> </w:t>
      </w:r>
      <w:r>
        <w:rPr>
          <w:rFonts w:ascii="宋体" w:hAnsi="宋体" w:cs="宋体" w:eastAsia="宋体" w:hint="default"/>
        </w:rPr>
        <w:t>10</w:t>
      </w:r>
      <w:r>
        <w:rPr>
          <w:rFonts w:ascii="宋体" w:hAnsi="宋体" w:cs="宋体" w:eastAsia="宋体" w:hint="default"/>
          <w:spacing w:val="-51"/>
        </w:rPr>
        <w:t> </w:t>
      </w:r>
      <w:r>
        <w:rPr/>
        <w:t>倍。中国财富总量升至全球第二位。</w:t>
      </w:r>
    </w:p>
    <w:p>
      <w:pPr>
        <w:pStyle w:val="Heading2"/>
        <w:spacing w:line="240" w:lineRule="auto" w:before="141"/>
        <w:ind w:right="0"/>
        <w:jc w:val="both"/>
        <w:rPr>
          <w:rFonts w:ascii="宋体" w:hAnsi="宋体" w:cs="宋体" w:eastAsia="宋体" w:hint="default"/>
        </w:rPr>
      </w:pPr>
      <w:r>
        <w:rPr/>
        <w:t>预计</w:t>
      </w:r>
      <w:r>
        <w:rPr>
          <w:spacing w:val="-55"/>
        </w:rPr>
        <w:t> </w:t>
      </w:r>
      <w:r>
        <w:rPr>
          <w:rFonts w:ascii="宋体" w:hAnsi="宋体" w:cs="宋体" w:eastAsia="宋体" w:hint="default"/>
        </w:rPr>
        <w:t>2017</w:t>
      </w:r>
      <w:r>
        <w:rPr>
          <w:rFonts w:ascii="宋体" w:hAnsi="宋体" w:cs="宋体" w:eastAsia="宋体" w:hint="default"/>
          <w:spacing w:val="-58"/>
        </w:rPr>
        <w:t> </w:t>
      </w:r>
      <w:r>
        <w:rPr/>
        <w:t>年高净值家庭拥有金融资产</w:t>
      </w:r>
      <w:r>
        <w:rPr>
          <w:spacing w:val="-55"/>
        </w:rPr>
        <w:t> </w:t>
      </w:r>
      <w:r>
        <w:rPr>
          <w:rFonts w:ascii="宋体" w:hAnsi="宋体" w:cs="宋体" w:eastAsia="宋体" w:hint="default"/>
        </w:rPr>
        <w:t>63</w:t>
      </w:r>
      <w:r>
        <w:rPr>
          <w:rFonts w:ascii="宋体" w:hAnsi="宋体" w:cs="宋体" w:eastAsia="宋体" w:hint="default"/>
          <w:spacing w:val="-58"/>
        </w:rPr>
        <w:t> </w:t>
      </w:r>
      <w:r>
        <w:rPr/>
        <w:t>万亿，普通家庭拥有金融资产</w:t>
      </w:r>
      <w:r>
        <w:rPr>
          <w:spacing w:val="-57"/>
        </w:rPr>
        <w:t> </w:t>
      </w:r>
      <w:r>
        <w:rPr>
          <w:rFonts w:ascii="宋体" w:hAnsi="宋体" w:cs="宋体" w:eastAsia="宋体" w:hint="default"/>
        </w:rPr>
        <w:t>79</w:t>
      </w:r>
      <w:r>
        <w:rPr>
          <w:rFonts w:ascii="宋体" w:hAnsi="宋体" w:cs="宋体" w:eastAsia="宋体" w:hint="default"/>
          <w:spacing w:val="-55"/>
        </w:rPr>
        <w:t> </w:t>
      </w:r>
      <w:r>
        <w:rPr>
          <w:spacing w:val="-3"/>
        </w:rPr>
        <w:t>万亿，预计未来</w:t>
      </w:r>
      <w:r>
        <w:rPr>
          <w:spacing w:val="-55"/>
        </w:rPr>
        <w:t> </w:t>
      </w:r>
      <w:r>
        <w:rPr>
          <w:rFonts w:ascii="宋体" w:hAnsi="宋体" w:cs="宋体" w:eastAsia="宋体" w:hint="default"/>
        </w:rPr>
        <w:t>5</w:t>
      </w:r>
    </w:p>
    <w:p>
      <w:pPr>
        <w:pStyle w:val="Heading2"/>
        <w:spacing w:line="357" w:lineRule="auto" w:before="139"/>
        <w:ind w:right="211"/>
        <w:jc w:val="both"/>
      </w:pPr>
      <w:r>
        <w:rPr>
          <w:spacing w:val="-3"/>
        </w:rPr>
        <w:t>年高净值家庭资产增速仍将快于整体，财富管理将是未来</w:t>
      </w:r>
      <w:r>
        <w:rPr>
          <w:spacing w:val="-32"/>
        </w:rPr>
        <w:t> </w:t>
      </w:r>
      <w:r>
        <w:rPr>
          <w:rFonts w:ascii="宋体" w:hAnsi="宋体" w:cs="宋体" w:eastAsia="宋体" w:hint="default"/>
        </w:rPr>
        <w:t>10</w:t>
      </w:r>
      <w:r>
        <w:rPr>
          <w:rFonts w:ascii="宋体" w:hAnsi="宋体" w:cs="宋体" w:eastAsia="宋体" w:hint="default"/>
          <w:spacing w:val="-38"/>
        </w:rPr>
        <w:t> </w:t>
      </w:r>
      <w:r>
        <w:rPr>
          <w:spacing w:val="-4"/>
        </w:rPr>
        <w:t>年最重要的金融风口之一。金融</w:t>
      </w:r>
      <w:r>
        <w:rPr>
          <w:spacing w:val="-105"/>
        </w:rPr>
        <w:t> </w:t>
      </w:r>
      <w:r>
        <w:rPr>
          <w:spacing w:val="-105"/>
        </w:rPr>
      </w:r>
      <w:r>
        <w:rPr>
          <w:spacing w:val="-1"/>
        </w:rPr>
        <w:t>机构纷纷已将目光投向附加值更高的高净值客户及富裕客户。财富管理业务需要加大各个业</w:t>
      </w:r>
      <w:r>
        <w:rPr>
          <w:spacing w:val="-77"/>
        </w:rPr>
        <w:t> </w:t>
      </w:r>
      <w:r>
        <w:rPr>
          <w:spacing w:val="-77"/>
        </w:rPr>
      </w:r>
      <w:r>
        <w:rPr>
          <w:spacing w:val="-1"/>
        </w:rPr>
        <w:t>务板块的联动，整合公司客户资源优势，以提供更全面、更多样化的服务。在财富客户服务</w:t>
      </w:r>
      <w:r>
        <w:rPr>
          <w:spacing w:val="-77"/>
        </w:rPr>
        <w:t> </w:t>
      </w:r>
      <w:r>
        <w:rPr>
          <w:spacing w:val="-77"/>
        </w:rPr>
      </w:r>
      <w:r>
        <w:rPr>
          <w:spacing w:val="-1"/>
        </w:rPr>
        <w:t>中也需要更加精细的客户识别、全面的资产配置与财务规划支持。因此对金融科技的需求也</w:t>
      </w:r>
      <w:r>
        <w:rPr>
          <w:spacing w:val="-78"/>
        </w:rPr>
        <w:t> </w:t>
      </w:r>
      <w:r>
        <w:rPr>
          <w:spacing w:val="-78"/>
        </w:rPr>
      </w:r>
      <w:r>
        <w:rPr/>
        <w:t>将十分旺盛。</w:t>
      </w:r>
    </w:p>
    <w:p>
      <w:pPr>
        <w:pStyle w:val="Heading2"/>
        <w:spacing w:line="357" w:lineRule="auto" w:before="34"/>
        <w:ind w:right="244" w:firstLine="439"/>
        <w:jc w:val="both"/>
      </w:pPr>
      <w:r>
        <w:rPr>
          <w:spacing w:val="-1"/>
        </w:rPr>
        <w:t>最后，金融科技在金融机构的信用风险管理方面的应用不断深化。当前金融服务市场已</w:t>
      </w:r>
      <w:r>
        <w:rPr>
          <w:w w:val="100"/>
        </w:rPr>
        <w:t> </w:t>
      </w:r>
      <w:r>
        <w:rPr>
          <w:spacing w:val="-1"/>
        </w:rPr>
        <w:t>经进入了大数据时代，主流金融机构开始利用大数据实现信用风险管理，通过数据搜集和挖</w:t>
      </w:r>
      <w:r>
        <w:rPr>
          <w:spacing w:val="-77"/>
        </w:rPr>
        <w:t> </w:t>
      </w:r>
      <w:r>
        <w:rPr>
          <w:spacing w:val="-77"/>
        </w:rPr>
      </w:r>
      <w:r>
        <w:rPr>
          <w:spacing w:val="-1"/>
        </w:rPr>
        <w:t>掘技术，在拥有海量的客户信息数据中，分析优质服务对象，完善客户画像，并以此为基础</w:t>
      </w:r>
      <w:r>
        <w:rPr>
          <w:spacing w:val="-76"/>
        </w:rPr>
        <w:t> </w:t>
      </w:r>
      <w:r>
        <w:rPr>
          <w:spacing w:val="-76"/>
        </w:rPr>
      </w:r>
      <w:r>
        <w:rPr>
          <w:spacing w:val="-1"/>
        </w:rPr>
        <w:t>为客户提供服务。这种技术使金融服务提供者能以更低的成本，更便捷地从广大人群中识别</w:t>
      </w:r>
      <w:r>
        <w:rPr>
          <w:spacing w:val="-77"/>
        </w:rPr>
        <w:t> </w:t>
      </w:r>
      <w:r>
        <w:rPr>
          <w:spacing w:val="-77"/>
        </w:rPr>
      </w:r>
      <w:r>
        <w:rPr>
          <w:spacing w:val="-1"/>
        </w:rPr>
        <w:t>合格的潜在用户，减少了客户遴选的时间成本和资金支出。结合客户风险承受能力、风险偏</w:t>
      </w:r>
      <w:r>
        <w:rPr>
          <w:spacing w:val="-77"/>
        </w:rPr>
        <w:t> </w:t>
      </w:r>
      <w:r>
        <w:rPr>
          <w:spacing w:val="-77"/>
        </w:rPr>
      </w:r>
      <w:r>
        <w:rPr>
          <w:spacing w:val="-1"/>
        </w:rPr>
        <w:t>好、客户行为等数据，用实时高效的技术手段，实现客户的信用评价和征信授信管理，有效</w:t>
      </w:r>
      <w:r>
        <w:rPr>
          <w:spacing w:val="-77"/>
        </w:rPr>
        <w:t> </w:t>
      </w:r>
      <w:r>
        <w:rPr>
          <w:spacing w:val="-77"/>
        </w:rPr>
      </w:r>
      <w:r>
        <w:rPr/>
        <w:t>减少客户违约风险。</w:t>
      </w:r>
    </w:p>
    <w:p>
      <w:pPr>
        <w:pStyle w:val="Heading2"/>
        <w:spacing w:line="357" w:lineRule="auto"/>
        <w:ind w:right="245" w:firstLine="439"/>
        <w:jc w:val="both"/>
      </w:pPr>
      <w:r>
        <w:rPr>
          <w:spacing w:val="-1"/>
        </w:rPr>
        <w:t>因此，金融科技在金融业的应用领域不断扩展。未来，金融科技能使金融行业在客户管</w:t>
      </w:r>
      <w:r>
        <w:rPr>
          <w:w w:val="100"/>
        </w:rPr>
        <w:t> </w:t>
      </w:r>
      <w:r>
        <w:rPr>
          <w:spacing w:val="-1"/>
        </w:rPr>
        <w:t>理、金融产品生产、资产管理、交易撮合、组织方式等方面呈现全新业态，细分金融领域会</w:t>
      </w:r>
      <w:r>
        <w:rPr>
          <w:spacing w:val="-78"/>
        </w:rPr>
        <w:t> </w:t>
      </w:r>
      <w:r>
        <w:rPr>
          <w:spacing w:val="-78"/>
        </w:rPr>
      </w:r>
      <w:r>
        <w:rPr/>
        <w:t>在金融科技推动下实现更多场景化实践。</w:t>
      </w:r>
    </w:p>
    <w:p>
      <w:pPr>
        <w:spacing w:line="240" w:lineRule="auto" w:before="11"/>
        <w:rPr>
          <w:rFonts w:ascii="宋体" w:hAnsi="宋体" w:cs="宋体" w:eastAsia="宋体" w:hint="default"/>
          <w:sz w:val="27"/>
          <w:szCs w:val="27"/>
        </w:rPr>
      </w:pPr>
    </w:p>
    <w:p>
      <w:pPr>
        <w:pStyle w:val="Heading3"/>
        <w:spacing w:line="240" w:lineRule="auto"/>
        <w:ind w:left="138" w:right="0"/>
        <w:jc w:val="both"/>
        <w:rPr>
          <w:b w:val="0"/>
          <w:bCs w:val="0"/>
        </w:rPr>
      </w:pPr>
      <w:r>
        <w:rPr>
          <w:rFonts w:ascii="宋体" w:hAnsi="宋体" w:cs="宋体" w:eastAsia="宋体" w:hint="default"/>
        </w:rPr>
        <w:t>(</w:t>
      </w:r>
      <w:r>
        <w:rPr/>
        <w:t>二</w:t>
      </w:r>
      <w:r>
        <w:rPr>
          <w:rFonts w:ascii="宋体" w:hAnsi="宋体" w:cs="宋体" w:eastAsia="宋体" w:hint="default"/>
        </w:rPr>
        <w:t>)  </w:t>
      </w:r>
      <w:r>
        <w:rPr>
          <w:rFonts w:ascii="宋体" w:hAnsi="宋体" w:cs="宋体" w:eastAsia="宋体" w:hint="default"/>
          <w:spacing w:val="101"/>
        </w:rPr>
        <w:t> </w:t>
      </w:r>
      <w:r>
        <w:rPr/>
        <w:t>公司发展战略</w:t>
      </w:r>
      <w:r>
        <w:rPr>
          <w:b w:val="0"/>
          <w:bCs w:val="0"/>
        </w:rPr>
      </w:r>
    </w:p>
    <w:p>
      <w:pPr>
        <w:pStyle w:val="BodyText"/>
        <w:tabs>
          <w:tab w:pos="980" w:val="left" w:leader="none"/>
        </w:tabs>
        <w:spacing w:line="272" w:lineRule="exact" w:before="86"/>
        <w:ind w:left="558" w:right="227" w:hanging="420"/>
        <w:jc w:val="left"/>
      </w:pPr>
      <w:r>
        <w:rPr>
          <w:spacing w:val="-1"/>
        </w:rPr>
        <w:t>√适用</w:t>
        <w:tab/>
      </w:r>
      <w:r>
        <w:rPr>
          <w:spacing w:val="-2"/>
        </w:rPr>
        <w:t>□不适用</w:t>
      </w:r>
      <w:r>
        <w:rPr>
          <w:spacing w:val="-99"/>
        </w:rPr>
        <w:t> </w:t>
      </w:r>
      <w:r>
        <w:rPr>
          <w:spacing w:val="-99"/>
        </w:rPr>
      </w:r>
      <w:r>
        <w:rPr>
          <w:spacing w:val="-4"/>
        </w:rPr>
        <w:t>公司以“软件科技超越客户梦想”的企业理念，采用创新的灵动业务架构平台（</w:t>
      </w:r>
      <w:r>
        <w:rPr>
          <w:rFonts w:ascii="宋体" w:hAnsi="宋体" w:cs="宋体" w:eastAsia="宋体" w:hint="default"/>
          <w:spacing w:val="-4"/>
        </w:rPr>
        <w:t>LiveBOS</w:t>
      </w:r>
      <w:r>
        <w:rPr>
          <w:spacing w:val="-4"/>
        </w:rPr>
        <w:t>）与</w:t>
      </w:r>
      <w:r>
        <w:rPr/>
      </w:r>
    </w:p>
    <w:p>
      <w:pPr>
        <w:pStyle w:val="BodyText"/>
        <w:spacing w:line="357" w:lineRule="auto" w:before="109"/>
        <w:ind w:left="138" w:right="208"/>
        <w:jc w:val="both"/>
      </w:pPr>
      <w:r>
        <w:rPr>
          <w:spacing w:val="-2"/>
        </w:rPr>
        <w:t>创新的软件开发模式，实施平台扩张战略，将公司的业务重点聚焦于证券、期货、信托、中小银</w:t>
      </w:r>
      <w:r>
        <w:rPr>
          <w:spacing w:val="-25"/>
        </w:rPr>
        <w:t> </w:t>
      </w:r>
      <w:r>
        <w:rPr>
          <w:spacing w:val="-25"/>
        </w:rPr>
      </w:r>
      <w:r>
        <w:rPr/>
        <w:t>行、公</w:t>
      </w:r>
      <w:r>
        <w:rPr>
          <w:rFonts w:ascii="宋体" w:hAnsi="宋体" w:cs="宋体" w:eastAsia="宋体" w:hint="default"/>
        </w:rPr>
        <w:t>/</w:t>
      </w:r>
      <w:r>
        <w:rPr/>
        <w:t>私募基金和电子交易市场为主的大金融</w:t>
      </w:r>
      <w:r>
        <w:rPr>
          <w:spacing w:val="-56"/>
        </w:rPr>
        <w:t> </w:t>
      </w:r>
      <w:r>
        <w:rPr>
          <w:rFonts w:ascii="宋体" w:hAnsi="宋体" w:cs="宋体" w:eastAsia="宋体" w:hint="default"/>
        </w:rPr>
        <w:t>IT</w:t>
      </w:r>
      <w:r>
        <w:rPr>
          <w:rFonts w:ascii="宋体" w:hAnsi="宋体" w:cs="宋体" w:eastAsia="宋体" w:hint="default"/>
          <w:spacing w:val="-58"/>
        </w:rPr>
        <w:t> </w:t>
      </w:r>
      <w:r>
        <w:rPr/>
        <w:t>行业，同时兼顾发展企业与教育行业，努力成</w:t>
      </w:r>
      <w:r>
        <w:rPr>
          <w:w w:val="100"/>
        </w:rPr>
        <w:t> </w:t>
      </w:r>
      <w:r>
        <w:rPr/>
        <w:t>为这些客户“互联网+”战略的全面</w:t>
      </w:r>
      <w:r>
        <w:rPr>
          <w:spacing w:val="-57"/>
        </w:rPr>
        <w:t> </w:t>
      </w:r>
      <w:r>
        <w:rPr>
          <w:rFonts w:ascii="宋体" w:hAnsi="宋体" w:cs="宋体" w:eastAsia="宋体" w:hint="default"/>
        </w:rPr>
        <w:t>IT</w:t>
      </w:r>
      <w:r>
        <w:rPr>
          <w:rFonts w:ascii="宋体" w:hAnsi="宋体" w:cs="宋体" w:eastAsia="宋体" w:hint="default"/>
          <w:spacing w:val="-57"/>
        </w:rPr>
        <w:t> </w:t>
      </w:r>
      <w:r>
        <w:rPr/>
        <w:t>解决方案提供商。同时，积极探索以云计算为基础，建立</w:t>
      </w:r>
      <w:r>
        <w:rPr>
          <w:w w:val="100"/>
        </w:rPr>
        <w:t> </w:t>
      </w:r>
      <w:r>
        <w:rPr>
          <w:spacing w:val="-9"/>
          <w:w w:val="100"/>
        </w:rPr>
        <w:t>面向行业的平台型“互联网+”系统，巩固并提升公司的行业影响力，加大投入“移动互联”、“云</w:t>
      </w:r>
      <w:r>
        <w:rPr>
          <w:spacing w:val="-74"/>
          <w:w w:val="100"/>
        </w:rPr>
        <w:t> </w:t>
      </w:r>
      <w:r>
        <w:rPr>
          <w:spacing w:val="-74"/>
          <w:w w:val="100"/>
        </w:rPr>
      </w:r>
      <w:r>
        <w:rPr>
          <w:spacing w:val="-2"/>
        </w:rPr>
        <w:t>计算”、“大数据”、“人工智能”、“区块链”等技术与金融业务相结合的场景应用研究与市</w:t>
      </w:r>
      <w:r>
        <w:rPr>
          <w:spacing w:val="-28"/>
        </w:rPr>
        <w:t> </w:t>
      </w:r>
      <w:r>
        <w:rPr>
          <w:spacing w:val="-28"/>
        </w:rPr>
      </w:r>
      <w:r>
        <w:rPr/>
        <w:t>场转化，力争成为国内金融科技的核心力量。</w:t>
      </w:r>
    </w:p>
    <w:p>
      <w:pPr>
        <w:spacing w:line="240" w:lineRule="auto" w:before="8"/>
        <w:rPr>
          <w:rFonts w:ascii="宋体" w:hAnsi="宋体" w:cs="宋体" w:eastAsia="宋体" w:hint="default"/>
          <w:sz w:val="27"/>
          <w:szCs w:val="27"/>
        </w:rPr>
      </w:pPr>
    </w:p>
    <w:p>
      <w:pPr>
        <w:pStyle w:val="Heading3"/>
        <w:spacing w:line="240" w:lineRule="auto"/>
        <w:ind w:left="138" w:right="0"/>
        <w:jc w:val="both"/>
        <w:rPr>
          <w:b w:val="0"/>
          <w:bCs w:val="0"/>
        </w:rPr>
      </w:pPr>
      <w:r>
        <w:rPr>
          <w:rFonts w:ascii="宋体" w:hAnsi="宋体" w:cs="宋体" w:eastAsia="宋体" w:hint="default"/>
        </w:rPr>
        <w:t>(</w:t>
      </w:r>
      <w:r>
        <w:rPr/>
        <w:t>三</w:t>
      </w:r>
      <w:r>
        <w:rPr>
          <w:rFonts w:ascii="宋体" w:hAnsi="宋体" w:cs="宋体" w:eastAsia="宋体" w:hint="default"/>
        </w:rPr>
        <w:t>)  </w:t>
      </w:r>
      <w:r>
        <w:rPr>
          <w:rFonts w:ascii="宋体" w:hAnsi="宋体" w:cs="宋体" w:eastAsia="宋体" w:hint="default"/>
          <w:spacing w:val="100"/>
        </w:rPr>
        <w:t> </w:t>
      </w:r>
      <w:r>
        <w:rPr/>
        <w:t>经营计划</w:t>
      </w:r>
      <w:r>
        <w:rPr>
          <w:b w:val="0"/>
          <w:bCs w:val="0"/>
        </w:rPr>
      </w:r>
    </w:p>
    <w:p>
      <w:pPr>
        <w:pStyle w:val="BodyText"/>
        <w:tabs>
          <w:tab w:pos="980" w:val="left" w:leader="none"/>
        </w:tabs>
        <w:spacing w:line="272" w:lineRule="exact" w:before="87"/>
        <w:ind w:left="558" w:right="7049" w:hanging="420"/>
        <w:jc w:val="left"/>
      </w:pPr>
      <w:r>
        <w:rPr>
          <w:spacing w:val="-1"/>
        </w:rPr>
        <w:t>√适用</w:t>
        <w:tab/>
      </w:r>
      <w:r>
        <w:rPr>
          <w:spacing w:val="-2"/>
        </w:rPr>
        <w:t>□不适用</w:t>
      </w:r>
      <w:r>
        <w:rPr>
          <w:spacing w:val="-99"/>
        </w:rPr>
        <w:t> </w:t>
      </w:r>
      <w:r>
        <w:rPr>
          <w:spacing w:val="-99"/>
        </w:rPr>
      </w:r>
      <w:r>
        <w:rPr>
          <w:rFonts w:ascii="宋体" w:hAnsi="宋体" w:cs="宋体" w:eastAsia="宋体" w:hint="default"/>
          <w:spacing w:val="-2"/>
        </w:rPr>
        <w:t>1</w:t>
      </w:r>
      <w:r>
        <w:rPr>
          <w:spacing w:val="-2"/>
        </w:rPr>
        <w:t>、基础技术研发</w:t>
      </w:r>
    </w:p>
    <w:p>
      <w:pPr>
        <w:spacing w:after="0" w:line="272" w:lineRule="exact"/>
        <w:jc w:val="left"/>
        <w:sectPr>
          <w:footerReference w:type="default" r:id="rId14"/>
          <w:pgSz w:w="11910" w:h="16840"/>
          <w:pgMar w:footer="1195" w:header="855" w:top="1280" w:bottom="1380" w:left="1660" w:right="1060"/>
          <w:pgNumType w:start="21"/>
        </w:sectPr>
      </w:pPr>
    </w:p>
    <w:p>
      <w:pPr>
        <w:spacing w:line="240" w:lineRule="auto" w:before="6"/>
        <w:rPr>
          <w:rFonts w:ascii="宋体" w:hAnsi="宋体" w:cs="宋体" w:eastAsia="宋体" w:hint="default"/>
          <w:sz w:val="12"/>
          <w:szCs w:val="12"/>
        </w:rPr>
      </w:pPr>
    </w:p>
    <w:p>
      <w:pPr>
        <w:pStyle w:val="BodyText"/>
        <w:spacing w:line="357" w:lineRule="auto" w:before="36"/>
        <w:ind w:left="138" w:right="210" w:firstLine="419"/>
        <w:jc w:val="both"/>
      </w:pPr>
      <w:r>
        <w:rPr>
          <w:rFonts w:ascii="宋体" w:hAnsi="宋体" w:cs="宋体" w:eastAsia="宋体" w:hint="default"/>
        </w:rPr>
        <w:t>2018</w:t>
      </w:r>
      <w:r>
        <w:rPr>
          <w:rFonts w:ascii="宋体" w:hAnsi="宋体" w:cs="宋体" w:eastAsia="宋体" w:hint="default"/>
          <w:spacing w:val="-10"/>
        </w:rPr>
        <w:t> </w:t>
      </w:r>
      <w:r>
        <w:rPr>
          <w:spacing w:val="-3"/>
        </w:rPr>
        <w:t>年公司进一步整合建立新的基础技术研发中心，加强大数据、人工智能、云计算、区块</w:t>
      </w:r>
      <w:r>
        <w:rPr>
          <w:w w:val="100"/>
        </w:rPr>
        <w:t> </w:t>
      </w:r>
      <w:r>
        <w:rPr>
          <w:spacing w:val="-2"/>
        </w:rPr>
        <w:t>链等基础技术的研究，推进一系列新科技、新工具在公司各业务线的应用，为各业务线产品开发</w:t>
      </w:r>
      <w:r>
        <w:rPr>
          <w:spacing w:val="-25"/>
        </w:rPr>
        <w:t> </w:t>
      </w:r>
      <w:r>
        <w:rPr>
          <w:spacing w:val="-25"/>
        </w:rPr>
      </w:r>
      <w:r>
        <w:rPr>
          <w:spacing w:val="-2"/>
        </w:rPr>
        <w:t>提供强有力的支持。公司将通过灵活的机制和科研院所等在基础技术研究、金融业务研究等方面</w:t>
      </w:r>
      <w:r>
        <w:rPr>
          <w:spacing w:val="-25"/>
        </w:rPr>
        <w:t> </w:t>
      </w:r>
      <w:r>
        <w:rPr>
          <w:spacing w:val="-25"/>
        </w:rPr>
      </w:r>
      <w:r>
        <w:rPr/>
        <w:t>建立长期合作关系，充分利用专家智囊的智力成果。</w:t>
      </w:r>
    </w:p>
    <w:p>
      <w:pPr>
        <w:pStyle w:val="BodyText"/>
        <w:spacing w:line="240" w:lineRule="auto" w:before="30"/>
        <w:ind w:left="558" w:right="0"/>
        <w:jc w:val="left"/>
      </w:pPr>
      <w:r>
        <w:rPr>
          <w:rFonts w:ascii="宋体" w:hAnsi="宋体" w:cs="宋体" w:eastAsia="宋体" w:hint="default"/>
        </w:rPr>
        <w:t>2</w:t>
      </w:r>
      <w:r>
        <w:rPr/>
        <w:t>、产品研发</w:t>
      </w:r>
    </w:p>
    <w:p>
      <w:pPr>
        <w:pStyle w:val="BodyText"/>
        <w:spacing w:line="357" w:lineRule="auto" w:before="133"/>
        <w:ind w:left="138" w:right="207" w:firstLine="419"/>
        <w:jc w:val="both"/>
      </w:pPr>
      <w:r>
        <w:rPr>
          <w:rFonts w:ascii="宋体" w:hAnsi="宋体" w:cs="宋体" w:eastAsia="宋体" w:hint="default"/>
        </w:rPr>
        <w:t>2018</w:t>
      </w:r>
      <w:r>
        <w:rPr>
          <w:rFonts w:ascii="宋体" w:hAnsi="宋体" w:cs="宋体" w:eastAsia="宋体" w:hint="default"/>
          <w:spacing w:val="-5"/>
        </w:rPr>
        <w:t> </w:t>
      </w:r>
      <w:r>
        <w:rPr>
          <w:spacing w:val="-3"/>
        </w:rPr>
        <w:t>年公司将在功能和架构上对各主要业务条线的产品持续升级并不断丰富产品线，以主营</w:t>
      </w:r>
      <w:r>
        <w:rPr>
          <w:w w:val="100"/>
        </w:rPr>
        <w:t> </w:t>
      </w:r>
      <w:r>
        <w:rPr>
          <w:spacing w:val="-2"/>
        </w:rPr>
        <w:t>业务为主线，加强金融科技和合规科技的顶层设计研究，完善升级覆盖金融机构前中后台体系的</w:t>
      </w:r>
      <w:r>
        <w:rPr>
          <w:spacing w:val="-25"/>
        </w:rPr>
        <w:t> </w:t>
      </w:r>
      <w:r>
        <w:rPr>
          <w:spacing w:val="-25"/>
        </w:rPr>
      </w:r>
      <w:r>
        <w:rPr>
          <w:spacing w:val="-2"/>
        </w:rPr>
        <w:t>信息化解决方案和服务。公司将根据客户需求的变化不断优化产品功能和组合，包括但不仅限于</w:t>
      </w:r>
      <w:r>
        <w:rPr>
          <w:spacing w:val="-25"/>
        </w:rPr>
        <w:t> </w:t>
      </w:r>
      <w:r>
        <w:rPr>
          <w:spacing w:val="-25"/>
        </w:rPr>
      </w:r>
      <w:r>
        <w:rPr>
          <w:spacing w:val="-2"/>
        </w:rPr>
        <w:t>基于互联网以及零售客户的智能理财服务系列产品、面向私人客户综合财富管理系列产品、面向</w:t>
      </w:r>
      <w:r>
        <w:rPr>
          <w:spacing w:val="-25"/>
        </w:rPr>
        <w:t> </w:t>
      </w:r>
      <w:r>
        <w:rPr>
          <w:spacing w:val="-25"/>
        </w:rPr>
      </w:r>
      <w:r>
        <w:rPr>
          <w:spacing w:val="-2"/>
        </w:rPr>
        <w:t>专业投资者的高端投资交易系列产品、面向机构投资者的全面资本中介服务系列产品、智慧金融</w:t>
      </w:r>
      <w:r>
        <w:rPr>
          <w:spacing w:val="-25"/>
        </w:rPr>
        <w:t> </w:t>
      </w:r>
      <w:r>
        <w:rPr>
          <w:spacing w:val="-25"/>
        </w:rPr>
      </w:r>
      <w:r>
        <w:rPr/>
        <w:t>运营支持体系系列产品等。</w:t>
      </w:r>
    </w:p>
    <w:p>
      <w:pPr>
        <w:pStyle w:val="BodyText"/>
        <w:spacing w:line="240" w:lineRule="auto" w:before="30"/>
        <w:ind w:left="558" w:right="0"/>
        <w:jc w:val="left"/>
      </w:pPr>
      <w:r>
        <w:rPr>
          <w:rFonts w:ascii="宋体" w:hAnsi="宋体" w:cs="宋体" w:eastAsia="宋体" w:hint="default"/>
        </w:rPr>
        <w:t>3</w:t>
      </w:r>
      <w:r>
        <w:rPr/>
        <w:t>、市场推广</w:t>
      </w:r>
    </w:p>
    <w:p>
      <w:pPr>
        <w:pStyle w:val="BodyText"/>
        <w:spacing w:line="357" w:lineRule="auto" w:before="133"/>
        <w:ind w:left="138" w:right="0" w:firstLine="419"/>
        <w:jc w:val="left"/>
      </w:pPr>
      <w:r>
        <w:rPr>
          <w:rFonts w:ascii="宋体" w:hAnsi="宋体" w:cs="宋体" w:eastAsia="宋体" w:hint="default"/>
        </w:rPr>
        <w:t>2018</w:t>
      </w:r>
      <w:r>
        <w:rPr>
          <w:rFonts w:ascii="宋体" w:hAnsi="宋体" w:cs="宋体" w:eastAsia="宋体" w:hint="default"/>
          <w:spacing w:val="-7"/>
        </w:rPr>
        <w:t> </w:t>
      </w:r>
      <w:r>
        <w:rPr/>
        <w:t>年公司将继续依托独特的业务积累和技术能力，做精产品和服务，不断完善业务链条、</w:t>
      </w:r>
      <w:r>
        <w:rPr>
          <w:w w:val="100"/>
        </w:rPr>
        <w:t> </w:t>
      </w:r>
      <w:r>
        <w:rPr/>
        <w:t>拓宽业务领域。除加强证券行业信息化业务的同时，公司将在信托、基金、中小银行、电子交易</w:t>
      </w:r>
      <w:r>
        <w:rPr>
          <w:w w:val="100"/>
        </w:rPr>
        <w:t> </w:t>
      </w:r>
      <w:r>
        <w:rPr/>
        <w:t>市场、私募等行业加大扩张力度。公司将依托已经建立合作关系的一批有行业影响力的客户，做</w:t>
      </w:r>
      <w:r>
        <w:rPr>
          <w:w w:val="100"/>
        </w:rPr>
        <w:t> </w:t>
      </w:r>
      <w:r>
        <w:rPr/>
        <w:t>深应用，获得更加宽阔的发展空间。公司将对针对重点产品分行业开展针对性、专门化的用户体</w:t>
      </w:r>
      <w:r>
        <w:rPr>
          <w:w w:val="100"/>
        </w:rPr>
        <w:t> </w:t>
      </w:r>
      <w:r>
        <w:rPr/>
        <w:t>验和市场推广活动，让众多的系统潜在用户能够近距离体验到公司最新的产品。</w:t>
      </w:r>
    </w:p>
    <w:p>
      <w:pPr>
        <w:pStyle w:val="BodyText"/>
        <w:spacing w:line="240" w:lineRule="auto" w:before="30"/>
        <w:ind w:left="558" w:right="0"/>
        <w:jc w:val="left"/>
      </w:pPr>
      <w:r>
        <w:rPr>
          <w:rFonts w:ascii="宋体" w:hAnsi="宋体" w:cs="宋体" w:eastAsia="宋体" w:hint="default"/>
        </w:rPr>
        <w:t>4</w:t>
      </w:r>
      <w:r>
        <w:rPr/>
        <w:t>、组织架构改革</w:t>
      </w:r>
    </w:p>
    <w:p>
      <w:pPr>
        <w:pStyle w:val="BodyText"/>
        <w:spacing w:line="357" w:lineRule="auto" w:before="133"/>
        <w:ind w:left="138" w:right="208" w:firstLine="419"/>
        <w:jc w:val="both"/>
      </w:pPr>
      <w:r>
        <w:rPr>
          <w:rFonts w:ascii="宋体" w:hAnsi="宋体" w:cs="宋体" w:eastAsia="宋体" w:hint="default"/>
        </w:rPr>
        <w:t>2018</w:t>
      </w:r>
      <w:r>
        <w:rPr>
          <w:rFonts w:ascii="宋体" w:hAnsi="宋体" w:cs="宋体" w:eastAsia="宋体" w:hint="default"/>
          <w:spacing w:val="-9"/>
        </w:rPr>
        <w:t> </w:t>
      </w:r>
      <w:r>
        <w:rPr>
          <w:spacing w:val="-3"/>
        </w:rPr>
        <w:t>年公司将在内部组织架构上进行一定的优化调整，配合经营计划的有力、高效执行。公</w:t>
      </w:r>
      <w:r>
        <w:rPr>
          <w:w w:val="100"/>
        </w:rPr>
        <w:t> </w:t>
      </w:r>
      <w:r>
        <w:rPr>
          <w:spacing w:val="-2"/>
        </w:rPr>
        <w:t>司将在具备一定基础的若干个细分领域组建相对独立的专业经营团队，让各条业务线人员能够在</w:t>
      </w:r>
      <w:r>
        <w:rPr>
          <w:spacing w:val="-25"/>
        </w:rPr>
        <w:t> </w:t>
      </w:r>
      <w:r>
        <w:rPr>
          <w:spacing w:val="-25"/>
        </w:rPr>
      </w:r>
      <w:r>
        <w:rPr>
          <w:spacing w:val="-2"/>
        </w:rPr>
        <w:t>所负责的特定领域深入钻研，做到术业有专攻，将使顶点具备更加深入的业务理解能力、技术研</w:t>
      </w:r>
      <w:r>
        <w:rPr>
          <w:spacing w:val="-25"/>
        </w:rPr>
        <w:t> </w:t>
      </w:r>
      <w:r>
        <w:rPr>
          <w:spacing w:val="-25"/>
        </w:rPr>
      </w:r>
      <w:r>
        <w:rPr/>
        <w:t>发能力、应用整合能力和快速响应能力。</w:t>
      </w:r>
    </w:p>
    <w:p>
      <w:pPr>
        <w:pStyle w:val="BodyText"/>
        <w:spacing w:line="240" w:lineRule="auto" w:before="30"/>
        <w:ind w:left="558" w:right="0"/>
        <w:jc w:val="left"/>
      </w:pPr>
      <w:r>
        <w:rPr>
          <w:rFonts w:ascii="宋体" w:hAnsi="宋体" w:cs="宋体" w:eastAsia="宋体" w:hint="default"/>
        </w:rPr>
        <w:t>5</w:t>
      </w:r>
      <w:r>
        <w:rPr/>
        <w:t>、人员团队建设</w:t>
      </w:r>
    </w:p>
    <w:p>
      <w:pPr>
        <w:pStyle w:val="BodyText"/>
        <w:spacing w:line="357" w:lineRule="auto" w:before="133"/>
        <w:ind w:left="138" w:right="208" w:firstLine="419"/>
        <w:jc w:val="both"/>
      </w:pPr>
      <w:r>
        <w:rPr>
          <w:rFonts w:ascii="宋体" w:hAnsi="宋体" w:cs="宋体" w:eastAsia="宋体" w:hint="default"/>
        </w:rPr>
        <w:t>2018</w:t>
      </w:r>
      <w:r>
        <w:rPr>
          <w:rFonts w:ascii="宋体" w:hAnsi="宋体" w:cs="宋体" w:eastAsia="宋体" w:hint="default"/>
          <w:spacing w:val="-10"/>
        </w:rPr>
        <w:t> </w:t>
      </w:r>
      <w:r>
        <w:rPr>
          <w:spacing w:val="-3"/>
        </w:rPr>
        <w:t>年公司将进一步完善人力资本激励机制，使其更具竞争力；同时加大高层次的人员引入</w:t>
      </w:r>
      <w:r>
        <w:rPr>
          <w:w w:val="100"/>
        </w:rPr>
        <w:t> </w:t>
      </w:r>
      <w:r>
        <w:rPr>
          <w:spacing w:val="-6"/>
        </w:rPr>
        <w:t>工作。公司将结合内部人才举荐、人力资源服务机构合作等渠道，吸引行业内杰出人才加盟公司。</w:t>
      </w:r>
      <w:r>
        <w:rPr>
          <w:spacing w:val="-54"/>
        </w:rPr>
        <w:t> </w:t>
      </w:r>
      <w:r>
        <w:rPr>
          <w:spacing w:val="-54"/>
        </w:rPr>
      </w:r>
      <w:r>
        <w:rPr>
          <w:spacing w:val="-2"/>
        </w:rPr>
        <w:t>公司将继续完善“研发中心</w:t>
      </w:r>
      <w:r>
        <w:rPr>
          <w:rFonts w:ascii="宋体" w:hAnsi="宋体" w:cs="宋体" w:eastAsia="宋体" w:hint="default"/>
          <w:spacing w:val="-2"/>
        </w:rPr>
        <w:t>-</w:t>
      </w:r>
      <w:r>
        <w:rPr>
          <w:spacing w:val="-2"/>
        </w:rPr>
        <w:t>客户服务中心</w:t>
      </w:r>
      <w:r>
        <w:rPr>
          <w:rFonts w:ascii="宋体" w:hAnsi="宋体" w:cs="宋体" w:eastAsia="宋体" w:hint="default"/>
          <w:spacing w:val="-2"/>
        </w:rPr>
        <w:t>-</w:t>
      </w:r>
      <w:r>
        <w:rPr>
          <w:spacing w:val="-2"/>
        </w:rPr>
        <w:t>交付中心”的多层次立体交付服务体系，提升各大交</w:t>
      </w:r>
      <w:r>
        <w:rPr>
          <w:spacing w:val="-24"/>
        </w:rPr>
        <w:t> </w:t>
      </w:r>
      <w:r>
        <w:rPr>
          <w:spacing w:val="-24"/>
        </w:rPr>
      </w:r>
      <w:r>
        <w:rPr/>
        <w:t>付中心的人员数量和质量，大力提升客户的满意度。</w:t>
      </w:r>
    </w:p>
    <w:p>
      <w:pPr>
        <w:spacing w:line="240" w:lineRule="auto" w:before="11"/>
        <w:rPr>
          <w:rFonts w:ascii="宋体" w:hAnsi="宋体" w:cs="宋体" w:eastAsia="宋体" w:hint="default"/>
          <w:sz w:val="27"/>
          <w:szCs w:val="27"/>
        </w:rPr>
      </w:pPr>
    </w:p>
    <w:p>
      <w:pPr>
        <w:pStyle w:val="Heading3"/>
        <w:tabs>
          <w:tab w:pos="977" w:val="left" w:leader="none"/>
        </w:tabs>
        <w:spacing w:line="240" w:lineRule="auto"/>
        <w:ind w:left="138" w:right="0"/>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可能面对的风险</w:t>
      </w:r>
      <w:r>
        <w:rPr>
          <w:b w:val="0"/>
          <w:bCs w:val="0"/>
        </w:rPr>
      </w:r>
    </w:p>
    <w:p>
      <w:pPr>
        <w:pStyle w:val="BodyText"/>
        <w:tabs>
          <w:tab w:pos="980" w:val="left" w:leader="none"/>
        </w:tabs>
        <w:spacing w:line="240" w:lineRule="auto" w:before="56"/>
        <w:ind w:left="558" w:right="6418" w:hanging="420"/>
        <w:jc w:val="left"/>
      </w:pPr>
      <w:r>
        <w:rPr>
          <w:spacing w:val="-1"/>
        </w:rPr>
        <w:t>√适用</w:t>
        <w:tab/>
      </w:r>
      <w:r>
        <w:rPr>
          <w:spacing w:val="-2"/>
        </w:rPr>
        <w:t>□不适用</w:t>
      </w:r>
      <w:r>
        <w:rPr>
          <w:spacing w:val="-99"/>
        </w:rPr>
        <w:t> </w:t>
      </w:r>
      <w:r>
        <w:rPr>
          <w:spacing w:val="-99"/>
        </w:rPr>
      </w:r>
      <w:r>
        <w:rPr>
          <w:rFonts w:ascii="宋体" w:hAnsi="宋体" w:cs="宋体" w:eastAsia="宋体" w:hint="default"/>
          <w:spacing w:val="-2"/>
        </w:rPr>
        <w:t>1</w:t>
      </w:r>
      <w:r>
        <w:rPr>
          <w:spacing w:val="-2"/>
        </w:rPr>
        <w:t>、行业竞争加剧的风险</w:t>
      </w:r>
    </w:p>
    <w:p>
      <w:pPr>
        <w:pStyle w:val="BodyText"/>
        <w:spacing w:line="357" w:lineRule="auto" w:before="133"/>
        <w:ind w:left="138" w:right="217" w:firstLine="419"/>
        <w:jc w:val="both"/>
      </w:pPr>
      <w:r>
        <w:rPr>
          <w:spacing w:val="-2"/>
        </w:rPr>
        <w:t>随着互联网技术的不断发展，以及用户对信息化服务的需求不断增长，行业内原有竞争对手</w:t>
      </w:r>
      <w:r>
        <w:rPr>
          <w:w w:val="100"/>
        </w:rPr>
        <w:t> </w:t>
      </w:r>
      <w:r>
        <w:rPr>
          <w:spacing w:val="-2"/>
        </w:rPr>
        <w:t>规模和竞争力不断提高，加之存在潜在竞争者进入行业的可能性，因此公司所处行业的竞争面临</w:t>
      </w:r>
      <w:r>
        <w:rPr>
          <w:spacing w:val="-25"/>
        </w:rPr>
        <w:t> </w:t>
      </w:r>
      <w:r>
        <w:rPr>
          <w:spacing w:val="-25"/>
        </w:rPr>
      </w:r>
      <w:r>
        <w:rPr/>
        <w:t>加剧的局面，将面临较大的市场竞争风险，可能导致公司的市场地位出现下滑。</w:t>
      </w:r>
    </w:p>
    <w:p>
      <w:pPr>
        <w:spacing w:after="0" w:line="357" w:lineRule="auto"/>
        <w:jc w:val="both"/>
        <w:sectPr>
          <w:pgSz w:w="11910" w:h="16840"/>
          <w:pgMar w:header="855" w:footer="1195" w:top="1280" w:bottom="1380" w:left="1660" w:right="1060"/>
        </w:sectPr>
      </w:pPr>
    </w:p>
    <w:p>
      <w:pPr>
        <w:spacing w:line="240" w:lineRule="auto" w:before="6"/>
        <w:rPr>
          <w:rFonts w:ascii="宋体" w:hAnsi="宋体" w:cs="宋体" w:eastAsia="宋体" w:hint="default"/>
          <w:sz w:val="12"/>
          <w:szCs w:val="12"/>
        </w:rPr>
      </w:pPr>
    </w:p>
    <w:p>
      <w:pPr>
        <w:pStyle w:val="BodyText"/>
        <w:spacing w:line="240" w:lineRule="auto" w:before="36"/>
        <w:ind w:left="558" w:right="0"/>
        <w:jc w:val="left"/>
      </w:pPr>
      <w:r>
        <w:rPr>
          <w:rFonts w:ascii="宋体" w:hAnsi="宋体" w:cs="宋体" w:eastAsia="宋体" w:hint="default"/>
        </w:rPr>
        <w:t>2</w:t>
      </w:r>
      <w:r>
        <w:rPr/>
        <w:t>、技术的风险</w:t>
      </w:r>
    </w:p>
    <w:p>
      <w:pPr>
        <w:pStyle w:val="BodyText"/>
        <w:spacing w:line="355" w:lineRule="auto" w:before="135"/>
        <w:ind w:left="138" w:right="128" w:firstLine="419"/>
        <w:jc w:val="both"/>
      </w:pPr>
      <w:r>
        <w:rPr/>
        <w:t>对于金融 </w:t>
      </w:r>
      <w:r>
        <w:rPr>
          <w:rFonts w:ascii="宋体" w:hAnsi="宋体" w:cs="宋体" w:eastAsia="宋体" w:hint="default"/>
        </w:rPr>
        <w:t>IT</w:t>
      </w:r>
      <w:r>
        <w:rPr>
          <w:rFonts w:ascii="宋体" w:hAnsi="宋体" w:cs="宋体" w:eastAsia="宋体" w:hint="default"/>
          <w:spacing w:val="-44"/>
        </w:rPr>
        <w:t> </w:t>
      </w:r>
      <w:r>
        <w:rPr>
          <w:spacing w:val="-5"/>
        </w:rPr>
        <w:t>企业来说，技术和产品开发是核心竞争要素。如果不能及时跟踪技术的发展升级</w:t>
      </w:r>
      <w:r>
        <w:rPr>
          <w:w w:val="100"/>
        </w:rPr>
        <w:t> </w:t>
      </w:r>
      <w:r>
        <w:rPr>
          <w:spacing w:val="-2"/>
        </w:rPr>
        <w:t>或者不能及时将储备技术开发成符合市场需求的新产品，公司可能会在新一轮竞争中丧失已有优</w:t>
      </w:r>
      <w:r>
        <w:rPr>
          <w:spacing w:val="-25"/>
        </w:rPr>
        <w:t> </w:t>
      </w:r>
      <w:r>
        <w:rPr>
          <w:spacing w:val="-25"/>
        </w:rPr>
      </w:r>
      <w:r>
        <w:rPr/>
        <w:t>势。</w:t>
      </w:r>
    </w:p>
    <w:p>
      <w:pPr>
        <w:pStyle w:val="BodyText"/>
        <w:spacing w:line="240" w:lineRule="auto" w:before="32"/>
        <w:ind w:left="558" w:right="0"/>
        <w:jc w:val="left"/>
      </w:pPr>
      <w:r>
        <w:rPr>
          <w:rFonts w:ascii="宋体" w:hAnsi="宋体" w:cs="宋体" w:eastAsia="宋体" w:hint="default"/>
        </w:rPr>
        <w:t>3</w:t>
      </w:r>
      <w:r>
        <w:rPr/>
        <w:t>、人力资源的风险</w:t>
      </w:r>
    </w:p>
    <w:p>
      <w:pPr>
        <w:pStyle w:val="BodyText"/>
        <w:spacing w:line="357" w:lineRule="auto" w:before="133"/>
        <w:ind w:left="138" w:right="140" w:firstLine="419"/>
        <w:jc w:val="both"/>
      </w:pPr>
      <w:r>
        <w:rPr/>
        <w:t>随着金融科技的迅猛发展，金融</w:t>
      </w:r>
      <w:r>
        <w:rPr>
          <w:spacing w:val="-54"/>
        </w:rPr>
        <w:t> </w:t>
      </w:r>
      <w:r>
        <w:rPr>
          <w:rFonts w:ascii="宋体" w:hAnsi="宋体" w:cs="宋体" w:eastAsia="宋体" w:hint="default"/>
        </w:rPr>
        <w:t>IT</w:t>
      </w:r>
      <w:r>
        <w:rPr>
          <w:rFonts w:ascii="宋体" w:hAnsi="宋体" w:cs="宋体" w:eastAsia="宋体" w:hint="default"/>
          <w:spacing w:val="-56"/>
        </w:rPr>
        <w:t> </w:t>
      </w:r>
      <w:r>
        <w:rPr/>
        <w:t>人才的需求增长较快。尤其是金融机构自身对金融</w:t>
      </w:r>
      <w:r>
        <w:rPr>
          <w:spacing w:val="-53"/>
        </w:rPr>
        <w:t> </w:t>
      </w:r>
      <w:r>
        <w:rPr>
          <w:rFonts w:ascii="宋体" w:hAnsi="宋体" w:cs="宋体" w:eastAsia="宋体" w:hint="default"/>
        </w:rPr>
        <w:t>IT</w:t>
      </w:r>
      <w:r>
        <w:rPr>
          <w:rFonts w:ascii="宋体" w:hAnsi="宋体" w:cs="宋体" w:eastAsia="宋体" w:hint="default"/>
          <w:spacing w:val="-54"/>
        </w:rPr>
        <w:t> </w:t>
      </w:r>
      <w:r>
        <w:rPr/>
        <w:t>人</w:t>
      </w:r>
      <w:r>
        <w:rPr>
          <w:w w:val="100"/>
        </w:rPr>
        <w:t> </w:t>
      </w:r>
      <w:r>
        <w:rPr/>
        <w:t>才的需求旺盛，同时能够提供较高的薪酬待遇，对公司的人力资源形成潜在较大影响。</w:t>
      </w:r>
    </w:p>
    <w:p>
      <w:pPr>
        <w:pStyle w:val="BodyText"/>
        <w:spacing w:line="357" w:lineRule="auto" w:before="30"/>
        <w:ind w:left="558" w:right="0"/>
        <w:jc w:val="left"/>
      </w:pPr>
      <w:r>
        <w:rPr>
          <w:rFonts w:ascii="宋体" w:hAnsi="宋体" w:cs="宋体" w:eastAsia="宋体" w:hint="default"/>
        </w:rPr>
        <w:t>4</w:t>
      </w:r>
      <w:r>
        <w:rPr/>
        <w:t>、公司客户及业务的合规性风险</w:t>
      </w:r>
      <w:r>
        <w:rPr>
          <w:w w:val="100"/>
        </w:rPr>
        <w:t> </w:t>
      </w:r>
      <w:r>
        <w:rPr>
          <w:spacing w:val="-2"/>
        </w:rPr>
        <w:t>如果已进行业务合作的客户受到处罚或公司软件服务的相关业务被暂停或终止开展，将对公</w:t>
      </w:r>
    </w:p>
    <w:p>
      <w:pPr>
        <w:pStyle w:val="BodyText"/>
        <w:spacing w:line="357" w:lineRule="auto" w:before="30"/>
        <w:ind w:left="558" w:right="4972" w:hanging="420"/>
        <w:jc w:val="left"/>
      </w:pPr>
      <w:r>
        <w:rPr/>
        <w:t>司的经营产生不利影响。</w:t>
      </w:r>
      <w:r>
        <w:rPr>
          <w:w w:val="100"/>
        </w:rPr>
        <w:t> </w:t>
      </w:r>
      <w:r>
        <w:rPr>
          <w:rFonts w:ascii="宋体" w:hAnsi="宋体" w:cs="宋体" w:eastAsia="宋体" w:hint="default"/>
          <w:spacing w:val="-2"/>
        </w:rPr>
        <w:t>5</w:t>
      </w:r>
      <w:r>
        <w:rPr>
          <w:spacing w:val="-2"/>
        </w:rPr>
        <w:t>、公司无法持续享受税收优惠的风险</w:t>
      </w:r>
    </w:p>
    <w:p>
      <w:pPr>
        <w:pStyle w:val="BodyText"/>
        <w:spacing w:line="355" w:lineRule="auto" w:before="30"/>
        <w:ind w:left="138" w:right="137" w:firstLine="419"/>
        <w:jc w:val="both"/>
      </w:pPr>
      <w:r>
        <w:rPr>
          <w:spacing w:val="-2"/>
        </w:rPr>
        <w:t>尽管公司报告期内持续享受税收优惠，但如果未来因不满足税收优惠条件，将对公司的业绩</w:t>
      </w:r>
      <w:r>
        <w:rPr>
          <w:w w:val="100"/>
        </w:rPr>
        <w:t> </w:t>
      </w:r>
      <w:r>
        <w:rPr/>
        <w:t>产生不利影响。</w:t>
      </w:r>
    </w:p>
    <w:p>
      <w:pPr>
        <w:spacing w:line="240" w:lineRule="auto" w:before="13"/>
        <w:rPr>
          <w:rFonts w:ascii="宋体" w:hAnsi="宋体" w:cs="宋体" w:eastAsia="宋体" w:hint="default"/>
          <w:sz w:val="27"/>
          <w:szCs w:val="27"/>
        </w:rPr>
      </w:pPr>
    </w:p>
    <w:p>
      <w:pPr>
        <w:pStyle w:val="Heading3"/>
        <w:spacing w:line="240" w:lineRule="auto"/>
        <w:ind w:left="138" w:right="0"/>
        <w:jc w:val="both"/>
        <w:rPr>
          <w:b w:val="0"/>
          <w:bCs w:val="0"/>
        </w:rPr>
      </w:pPr>
      <w:r>
        <w:rPr>
          <w:rFonts w:ascii="宋体" w:hAnsi="宋体" w:cs="宋体" w:eastAsia="宋体" w:hint="default"/>
        </w:rPr>
        <w:t>(</w:t>
      </w:r>
      <w:r>
        <w:rPr/>
        <w:t>五</w:t>
      </w:r>
      <w:r>
        <w:rPr>
          <w:rFonts w:ascii="宋体" w:hAnsi="宋体" w:cs="宋体" w:eastAsia="宋体" w:hint="default"/>
        </w:rPr>
        <w:t>)  </w:t>
      </w:r>
      <w:r>
        <w:rPr>
          <w:rFonts w:ascii="宋体" w:hAnsi="宋体" w:cs="宋体" w:eastAsia="宋体" w:hint="default"/>
          <w:spacing w:val="99"/>
        </w:rPr>
        <w:t> </w:t>
      </w:r>
      <w:r>
        <w:rPr/>
        <w:t>其他</w:t>
      </w:r>
      <w:r>
        <w:rPr>
          <w:b w:val="0"/>
          <w:bCs w:val="0"/>
        </w:rPr>
      </w:r>
    </w:p>
    <w:p>
      <w:pPr>
        <w:pStyle w:val="BodyText"/>
        <w:spacing w:line="240" w:lineRule="auto" w:before="56"/>
        <w:ind w:left="138" w:right="0"/>
        <w:jc w:val="both"/>
      </w:pPr>
      <w:r>
        <w:rPr/>
        <w:t>□适用</w:t>
      </w:r>
      <w:r>
        <w:rPr>
          <w:spacing w:val="104"/>
        </w:rPr>
        <w:t> </w:t>
      </w:r>
      <w:r>
        <w:rPr/>
        <w:t>√不适用</w:t>
      </w:r>
    </w:p>
    <w:p>
      <w:pPr>
        <w:spacing w:line="240" w:lineRule="auto" w:before="3"/>
        <w:rPr>
          <w:rFonts w:ascii="宋体" w:hAnsi="宋体" w:cs="宋体" w:eastAsia="宋体" w:hint="default"/>
          <w:sz w:val="25"/>
          <w:szCs w:val="25"/>
        </w:rPr>
      </w:pPr>
    </w:p>
    <w:p>
      <w:pPr>
        <w:pStyle w:val="Heading3"/>
        <w:spacing w:line="240" w:lineRule="auto"/>
        <w:ind w:left="138" w:right="0"/>
        <w:jc w:val="both"/>
        <w:rPr>
          <w:b w:val="0"/>
          <w:bCs w:val="0"/>
        </w:rPr>
      </w:pPr>
      <w:r>
        <w:rPr/>
        <w:t>四、公司因不适用准则规定或国家秘密、商业秘密等特殊原因，未按准则披露的情况和原因说明</w:t>
      </w:r>
      <w:r>
        <w:rPr>
          <w:b w:val="0"/>
          <w:bCs w:val="0"/>
        </w:rPr>
      </w:r>
    </w:p>
    <w:p>
      <w:pPr>
        <w:pStyle w:val="BodyText"/>
        <w:spacing w:line="240" w:lineRule="auto" w:before="58"/>
        <w:ind w:left="138" w:right="0"/>
        <w:jc w:val="both"/>
      </w:pPr>
      <w:r>
        <w:rPr/>
        <w:t>□适用</w:t>
      </w:r>
      <w:r>
        <w:rPr>
          <w:spacing w:val="104"/>
        </w:rPr>
        <w:t> </w:t>
      </w:r>
      <w:r>
        <w:rPr/>
        <w:t>√不适用</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pStyle w:val="Heading1"/>
        <w:tabs>
          <w:tab w:pos="1262" w:val="left" w:leader="none"/>
        </w:tabs>
        <w:spacing w:line="240" w:lineRule="auto"/>
        <w:ind w:left="2" w:right="0"/>
        <w:jc w:val="center"/>
        <w:rPr>
          <w:b w:val="0"/>
          <w:bCs w:val="0"/>
        </w:rPr>
      </w:pPr>
      <w:bookmarkStart w:name="_TOC_250007" w:id="5"/>
      <w:r>
        <w:rPr>
          <w:w w:val="95"/>
        </w:rPr>
        <w:t>第五节</w:t>
        <w:tab/>
      </w:r>
      <w:r>
        <w:rPr/>
        <w:t>重要事项</w:t>
      </w:r>
      <w:bookmarkEnd w:id="5"/>
      <w:r>
        <w:rPr>
          <w:b w:val="0"/>
          <w:bCs w:val="0"/>
        </w:rPr>
      </w:r>
    </w:p>
    <w:p>
      <w:pPr>
        <w:spacing w:line="240" w:lineRule="auto" w:before="4"/>
        <w:rPr>
          <w:rFonts w:ascii="黑体" w:hAnsi="黑体" w:cs="黑体" w:eastAsia="黑体" w:hint="default"/>
          <w:b/>
          <w:bCs/>
          <w:sz w:val="19"/>
          <w:szCs w:val="19"/>
        </w:rPr>
      </w:pPr>
    </w:p>
    <w:p>
      <w:pPr>
        <w:pStyle w:val="Heading3"/>
        <w:spacing w:line="240" w:lineRule="auto"/>
        <w:ind w:left="138" w:right="0"/>
        <w:jc w:val="both"/>
        <w:rPr>
          <w:b w:val="0"/>
          <w:bCs w:val="0"/>
        </w:rPr>
      </w:pPr>
      <w:r>
        <w:rPr/>
        <w:t>一、普通股利润分配或资本公积金转增预案</w:t>
      </w:r>
      <w:r>
        <w:rPr>
          <w:b w:val="0"/>
          <w:bCs w:val="0"/>
        </w:rPr>
      </w:r>
    </w:p>
    <w:p>
      <w:pPr>
        <w:pStyle w:val="Heading3"/>
        <w:spacing w:line="240" w:lineRule="auto" w:before="56"/>
        <w:ind w:left="138" w:right="0"/>
        <w:jc w:val="both"/>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0"/>
        </w:rPr>
        <w:t> </w:t>
      </w:r>
      <w:r>
        <w:rPr/>
        <w:t>现金分红政策的制定、执行或调整情况</w:t>
      </w:r>
      <w:r>
        <w:rPr>
          <w:b w:val="0"/>
          <w:bCs w:val="0"/>
        </w:rPr>
      </w:r>
    </w:p>
    <w:p>
      <w:pPr>
        <w:pStyle w:val="BodyText"/>
        <w:spacing w:line="273" w:lineRule="exact" w:before="32"/>
        <w:ind w:left="138" w:right="0"/>
        <w:jc w:val="both"/>
      </w:pPr>
      <w:r>
        <w:rPr/>
        <w:t>√适用</w:t>
      </w:r>
      <w:r>
        <w:rPr>
          <w:spacing w:val="104"/>
        </w:rPr>
        <w:t> </w:t>
      </w:r>
      <w:r>
        <w:rPr/>
        <w:t>□不适用</w:t>
      </w:r>
    </w:p>
    <w:p>
      <w:pPr>
        <w:pStyle w:val="BodyText"/>
        <w:spacing w:line="273" w:lineRule="exact"/>
        <w:ind w:left="558" w:right="0"/>
        <w:jc w:val="left"/>
      </w:pPr>
      <w:r>
        <w:rPr/>
        <w:t>根据《上市公司监管指引第</w:t>
      </w:r>
      <w:r>
        <w:rPr>
          <w:spacing w:val="-54"/>
        </w:rPr>
        <w:t> </w:t>
      </w:r>
      <w:r>
        <w:rPr>
          <w:rFonts w:ascii="宋体" w:hAnsi="宋体" w:cs="宋体" w:eastAsia="宋体" w:hint="default"/>
        </w:rPr>
        <w:t>3</w:t>
      </w:r>
      <w:r>
        <w:rPr>
          <w:rFonts w:ascii="宋体" w:hAnsi="宋体" w:cs="宋体" w:eastAsia="宋体" w:hint="default"/>
          <w:spacing w:val="-55"/>
        </w:rPr>
        <w:t> </w:t>
      </w:r>
      <w:r>
        <w:rPr/>
        <w:t>号</w:t>
      </w:r>
      <w:r>
        <w:rPr>
          <w:rFonts w:ascii="宋体" w:hAnsi="宋体" w:cs="宋体" w:eastAsia="宋体" w:hint="default"/>
        </w:rPr>
        <w:t>--</w:t>
      </w:r>
      <w:r>
        <w:rPr/>
        <w:t>上市公司现金分红》（中国证券监督管理委员会公告</w:t>
      </w:r>
    </w:p>
    <w:p>
      <w:pPr>
        <w:pStyle w:val="BodyText"/>
        <w:spacing w:line="355" w:lineRule="auto" w:before="136"/>
        <w:ind w:left="138" w:right="128"/>
        <w:jc w:val="both"/>
      </w:pPr>
      <w:r>
        <w:rPr>
          <w:rFonts w:ascii="宋体" w:hAnsi="宋体" w:cs="宋体" w:eastAsia="宋体" w:hint="default"/>
        </w:rPr>
        <w:t>[2013]43</w:t>
      </w:r>
      <w:r>
        <w:rPr>
          <w:rFonts w:ascii="宋体" w:hAnsi="宋体" w:cs="宋体" w:eastAsia="宋体" w:hint="default"/>
          <w:spacing w:val="-41"/>
        </w:rPr>
        <w:t> </w:t>
      </w:r>
      <w:r>
        <w:rPr>
          <w:spacing w:val="-17"/>
        </w:rPr>
        <w:t>号）的要求，公司</w:t>
      </w:r>
      <w:r>
        <w:rPr>
          <w:spacing w:val="-37"/>
        </w:rPr>
        <w:t> </w:t>
      </w:r>
      <w:r>
        <w:rPr>
          <w:rFonts w:ascii="宋体" w:hAnsi="宋体" w:cs="宋体" w:eastAsia="宋体" w:hint="default"/>
        </w:rPr>
        <w:t>2015</w:t>
      </w:r>
      <w:r>
        <w:rPr>
          <w:rFonts w:ascii="宋体" w:hAnsi="宋体" w:cs="宋体" w:eastAsia="宋体" w:hint="default"/>
          <w:spacing w:val="-38"/>
        </w:rPr>
        <w:t> </w:t>
      </w:r>
      <w:r>
        <w:rPr>
          <w:spacing w:val="-6"/>
        </w:rPr>
        <w:t>年第五次股东大会审议通过了《关于</w:t>
      </w:r>
      <w:r>
        <w:rPr>
          <w:rFonts w:ascii="宋体" w:hAnsi="宋体" w:cs="宋体" w:eastAsia="宋体" w:hint="default"/>
          <w:spacing w:val="-6"/>
        </w:rPr>
        <w:t>&lt;</w:t>
      </w:r>
      <w:r>
        <w:rPr>
          <w:spacing w:val="-6"/>
        </w:rPr>
        <w:t>股东未来分红回报规划（上</w:t>
      </w:r>
      <w:r>
        <w:rPr>
          <w:spacing w:val="-99"/>
        </w:rPr>
        <w:t> </w:t>
      </w:r>
      <w:r>
        <w:rPr>
          <w:spacing w:val="-99"/>
        </w:rPr>
      </w:r>
      <w:r>
        <w:rPr>
          <w:spacing w:val="-4"/>
        </w:rPr>
        <w:t>市后三年）</w:t>
      </w:r>
      <w:r>
        <w:rPr>
          <w:rFonts w:ascii="宋体" w:hAnsi="宋体" w:cs="宋体" w:eastAsia="宋体" w:hint="default"/>
          <w:spacing w:val="-4"/>
        </w:rPr>
        <w:t>&gt;</w:t>
      </w:r>
      <w:r>
        <w:rPr>
          <w:spacing w:val="-4"/>
        </w:rPr>
        <w:t>的议案》，在足额计提法定公积金、盈余公积金以后，公司上市后三年公司利润分配</w:t>
      </w:r>
      <w:r>
        <w:rPr>
          <w:spacing w:val="-34"/>
        </w:rPr>
        <w:t> </w:t>
      </w:r>
      <w:r>
        <w:rPr>
          <w:spacing w:val="-34"/>
        </w:rPr>
      </w:r>
      <w:r>
        <w:rPr/>
        <w:t>计划如下：</w:t>
      </w:r>
    </w:p>
    <w:p>
      <w:pPr>
        <w:pStyle w:val="BodyText"/>
        <w:spacing w:line="355" w:lineRule="auto" w:before="32"/>
        <w:ind w:left="558" w:right="0"/>
        <w:jc w:val="left"/>
      </w:pPr>
      <w:r>
        <w:rPr/>
        <w:t>（一）利润分配形式</w:t>
      </w:r>
      <w:r>
        <w:rPr>
          <w:w w:val="100"/>
        </w:rPr>
        <w:t> </w:t>
      </w:r>
      <w:r>
        <w:rPr>
          <w:spacing w:val="-2"/>
        </w:rPr>
        <w:t>在符合相关法律、法规、规范性文件、《公司章程》和本规划有关规定和条件，同时保持利</w:t>
      </w:r>
    </w:p>
    <w:p>
      <w:pPr>
        <w:pStyle w:val="BodyText"/>
        <w:spacing w:line="355" w:lineRule="auto" w:before="34"/>
        <w:ind w:left="138" w:right="0"/>
        <w:jc w:val="left"/>
      </w:pPr>
      <w:r>
        <w:rPr>
          <w:spacing w:val="-2"/>
        </w:rPr>
        <w:t>润分配政策的连续性与稳定性的前提下，公司可以采取现金、股票方式或者法律、法规允许的其</w:t>
      </w:r>
      <w:r>
        <w:rPr>
          <w:spacing w:val="-25"/>
        </w:rPr>
        <w:t> </w:t>
      </w:r>
      <w:r>
        <w:rPr>
          <w:spacing w:val="-25"/>
        </w:rPr>
      </w:r>
      <w:r>
        <w:rPr/>
        <w:t>他方式分配股利。上市后三年，公司将主要采取现金分红的股利分配政策。</w:t>
      </w:r>
    </w:p>
    <w:p>
      <w:pPr>
        <w:pStyle w:val="BodyText"/>
        <w:spacing w:line="357" w:lineRule="auto" w:before="32"/>
        <w:ind w:left="558" w:right="0"/>
        <w:jc w:val="left"/>
      </w:pPr>
      <w:r>
        <w:rPr/>
        <w:t>（二）发放现金分红、股票股利条件</w:t>
      </w:r>
      <w:r>
        <w:rPr>
          <w:w w:val="100"/>
        </w:rPr>
        <w:t> </w:t>
      </w:r>
      <w:r>
        <w:rPr>
          <w:spacing w:val="-2"/>
        </w:rPr>
        <w:t>除特殊情况外，公司在当年盈利且累计未分配利润为正的情况下，采取现金方式分配股利，</w:t>
      </w:r>
    </w:p>
    <w:p>
      <w:pPr>
        <w:pStyle w:val="BodyText"/>
        <w:spacing w:line="240" w:lineRule="auto" w:before="32"/>
        <w:ind w:left="138" w:right="0"/>
        <w:jc w:val="both"/>
      </w:pPr>
      <w:r>
        <w:rPr/>
        <w:t>每年以现金方式分配的股利不少于当年实现可分配利润（根据合并和母公司当年实现的可供分配</w:t>
      </w:r>
    </w:p>
    <w:p>
      <w:pPr>
        <w:spacing w:after="0" w:line="240" w:lineRule="auto"/>
        <w:jc w:val="both"/>
        <w:sectPr>
          <w:pgSz w:w="11910" w:h="16840"/>
          <w:pgMar w:header="855" w:footer="1195" w:top="1280" w:bottom="1380" w:left="1660" w:right="1140"/>
        </w:sectPr>
      </w:pPr>
    </w:p>
    <w:p>
      <w:pPr>
        <w:spacing w:line="240" w:lineRule="auto" w:before="6"/>
        <w:rPr>
          <w:rFonts w:ascii="宋体" w:hAnsi="宋体" w:cs="宋体" w:eastAsia="宋体" w:hint="default"/>
          <w:sz w:val="12"/>
          <w:szCs w:val="12"/>
        </w:rPr>
      </w:pPr>
    </w:p>
    <w:p>
      <w:pPr>
        <w:pStyle w:val="BodyText"/>
        <w:spacing w:line="357" w:lineRule="auto" w:before="36"/>
        <w:ind w:right="228"/>
        <w:jc w:val="both"/>
      </w:pPr>
      <w:r>
        <w:rPr>
          <w:spacing w:val="-4"/>
        </w:rPr>
        <w:t>利润孰低原则确定利润分配基数）</w:t>
      </w:r>
      <w:r>
        <w:rPr>
          <w:rFonts w:ascii="宋体" w:hAnsi="宋体" w:cs="宋体" w:eastAsia="宋体" w:hint="default"/>
          <w:spacing w:val="-4"/>
        </w:rPr>
        <w:t>10%</w:t>
      </w:r>
      <w:r>
        <w:rPr>
          <w:spacing w:val="-4"/>
        </w:rPr>
        <w:t>，公司可以另行增加股票股利分配。特殊情况是指：公司未</w:t>
      </w:r>
      <w:r>
        <w:rPr>
          <w:spacing w:val="-30"/>
        </w:rPr>
        <w:t> </w:t>
      </w:r>
      <w:r>
        <w:rPr>
          <w:spacing w:val="-30"/>
        </w:rPr>
      </w:r>
      <w:r>
        <w:rPr>
          <w:spacing w:val="-2"/>
        </w:rPr>
        <w:t>来十二个月内拟对外投资、收购资产或者购买设备的累计支出达到或者超过公司最近一期经审计</w:t>
      </w:r>
      <w:r>
        <w:rPr>
          <w:spacing w:val="-25"/>
        </w:rPr>
        <w:t> </w:t>
      </w:r>
      <w:r>
        <w:rPr>
          <w:spacing w:val="-25"/>
        </w:rPr>
      </w:r>
      <w:r>
        <w:rPr/>
        <w:t>净资产的</w:t>
      </w:r>
      <w:r>
        <w:rPr>
          <w:spacing w:val="-56"/>
        </w:rPr>
        <w:t> </w:t>
      </w:r>
      <w:r>
        <w:rPr>
          <w:rFonts w:ascii="宋体" w:hAnsi="宋体" w:cs="宋体" w:eastAsia="宋体" w:hint="default"/>
        </w:rPr>
        <w:t>30%(</w:t>
      </w:r>
      <w:r>
        <w:rPr/>
        <w:t>募集资金投资项目除外</w:t>
      </w:r>
      <w:r>
        <w:rPr>
          <w:rFonts w:ascii="宋体" w:hAnsi="宋体" w:cs="宋体" w:eastAsia="宋体" w:hint="default"/>
        </w:rPr>
        <w:t>)</w:t>
      </w:r>
      <w:r>
        <w:rPr/>
        <w:t>。</w:t>
      </w:r>
    </w:p>
    <w:p>
      <w:pPr>
        <w:pStyle w:val="BodyText"/>
        <w:spacing w:line="355" w:lineRule="auto" w:before="30"/>
        <w:ind w:right="237" w:firstLine="419"/>
        <w:jc w:val="both"/>
      </w:pPr>
      <w:r>
        <w:rPr>
          <w:spacing w:val="-2"/>
        </w:rPr>
        <w:t>公司在经营情况良好，并且董事会认为公司股票价格与公司股本规模不匹配、发放股票股利</w:t>
      </w:r>
      <w:r>
        <w:rPr>
          <w:w w:val="100"/>
        </w:rPr>
        <w:t> </w:t>
      </w:r>
      <w:r>
        <w:rPr>
          <w:spacing w:val="-2"/>
        </w:rPr>
        <w:t>有利于公司全体股东整体利益时，可以在满足上述现金分红的条件下，提出股票股利分配预案。</w:t>
      </w:r>
    </w:p>
    <w:p>
      <w:pPr>
        <w:pStyle w:val="BodyText"/>
        <w:spacing w:line="357" w:lineRule="auto" w:before="32"/>
        <w:ind w:left="638" w:right="0"/>
        <w:jc w:val="left"/>
      </w:pPr>
      <w:r>
        <w:rPr/>
        <w:t>（三）现金分红政策</w:t>
      </w:r>
      <w:r>
        <w:rPr>
          <w:w w:val="100"/>
        </w:rPr>
        <w:t> </w:t>
      </w:r>
      <w:r>
        <w:rPr>
          <w:rFonts w:ascii="宋体" w:hAnsi="宋体" w:cs="宋体" w:eastAsia="宋体" w:hint="default"/>
          <w:spacing w:val="-4"/>
        </w:rPr>
        <w:t>1</w:t>
      </w:r>
      <w:r>
        <w:rPr>
          <w:spacing w:val="-4"/>
        </w:rPr>
        <w:t>、公司发展阶段属成熟期且无重大资金支出安排的，进行利润分配时，现金分红在本次利润</w:t>
      </w:r>
    </w:p>
    <w:p>
      <w:pPr>
        <w:pStyle w:val="BodyText"/>
        <w:spacing w:line="357" w:lineRule="auto" w:before="30"/>
        <w:ind w:left="638" w:right="0" w:hanging="420"/>
        <w:jc w:val="left"/>
      </w:pPr>
      <w:r>
        <w:rPr/>
        <w:t>分配中所占比例最低应达到 </w:t>
      </w:r>
      <w:r>
        <w:rPr>
          <w:rFonts w:ascii="宋体" w:hAnsi="宋体" w:cs="宋体" w:eastAsia="宋体" w:hint="default"/>
        </w:rPr>
        <w:t>80%</w:t>
      </w:r>
      <w:r>
        <w:rPr/>
        <w:t>；</w:t>
      </w:r>
      <w:r>
        <w:rPr>
          <w:w w:val="100"/>
        </w:rPr>
        <w:t> </w:t>
      </w:r>
      <w:r>
        <w:rPr>
          <w:rFonts w:ascii="宋体" w:hAnsi="宋体" w:cs="宋体" w:eastAsia="宋体" w:hint="default"/>
          <w:spacing w:val="-4"/>
        </w:rPr>
        <w:t>2</w:t>
      </w:r>
      <w:r>
        <w:rPr>
          <w:spacing w:val="-4"/>
        </w:rPr>
        <w:t>、公司发展阶段属成熟期且有重大资金支出安排的，进行利润分配时，现金分红在本次利润</w:t>
      </w:r>
    </w:p>
    <w:p>
      <w:pPr>
        <w:pStyle w:val="BodyText"/>
        <w:spacing w:line="357" w:lineRule="auto" w:before="30"/>
        <w:ind w:left="638" w:right="0" w:hanging="420"/>
        <w:jc w:val="left"/>
      </w:pPr>
      <w:r>
        <w:rPr/>
        <w:t>分配中所占比例最低应达到 </w:t>
      </w:r>
      <w:r>
        <w:rPr>
          <w:rFonts w:ascii="宋体" w:hAnsi="宋体" w:cs="宋体" w:eastAsia="宋体" w:hint="default"/>
        </w:rPr>
        <w:t>40%</w:t>
      </w:r>
      <w:r>
        <w:rPr/>
        <w:t>；</w:t>
      </w:r>
      <w:r>
        <w:rPr>
          <w:w w:val="100"/>
        </w:rPr>
        <w:t> </w:t>
      </w:r>
      <w:r>
        <w:rPr>
          <w:rFonts w:ascii="宋体" w:hAnsi="宋体" w:cs="宋体" w:eastAsia="宋体" w:hint="default"/>
          <w:spacing w:val="-4"/>
        </w:rPr>
        <w:t>3</w:t>
      </w:r>
      <w:r>
        <w:rPr>
          <w:spacing w:val="-4"/>
        </w:rPr>
        <w:t>、公司发展阶段属成长期且有重大资金支出安排的，进行利润分配时，现金分红在本次利润</w:t>
      </w:r>
    </w:p>
    <w:p>
      <w:pPr>
        <w:pStyle w:val="BodyText"/>
        <w:spacing w:line="355" w:lineRule="auto" w:before="30"/>
        <w:ind w:left="638" w:right="0" w:hanging="420"/>
        <w:jc w:val="left"/>
      </w:pPr>
      <w:r>
        <w:rPr/>
        <w:t>分配中所占比例最低应达到 </w:t>
      </w:r>
      <w:r>
        <w:rPr>
          <w:rFonts w:ascii="宋体" w:hAnsi="宋体" w:cs="宋体" w:eastAsia="宋体" w:hint="default"/>
        </w:rPr>
        <w:t>20%</w:t>
      </w:r>
      <w:r>
        <w:rPr/>
        <w:t>；</w:t>
      </w:r>
      <w:r>
        <w:rPr>
          <w:w w:val="100"/>
        </w:rPr>
        <w:t> </w:t>
      </w:r>
      <w:r>
        <w:rPr>
          <w:spacing w:val="-3"/>
        </w:rPr>
        <w:t>公司发展阶段不易区分但有重大资金支出安排的，现金分红在本次分配所占比例不低于</w:t>
      </w:r>
      <w:r>
        <w:rPr>
          <w:spacing w:val="-5"/>
        </w:rPr>
        <w:t> </w:t>
      </w:r>
      <w:r>
        <w:rPr>
          <w:rFonts w:ascii="宋体" w:hAnsi="宋体" w:cs="宋体" w:eastAsia="宋体" w:hint="default"/>
        </w:rPr>
        <w:t>20%</w:t>
      </w:r>
      <w:r>
        <w:rPr/>
        <w:t>。</w:t>
      </w:r>
      <w:r>
        <w:rPr>
          <w:w w:val="100"/>
        </w:rPr>
        <w:t> </w:t>
      </w:r>
      <w:r>
        <w:rPr/>
        <w:t>报告期内，公司的现金分红政策未进行调整，具体执行如下：</w:t>
      </w:r>
      <w:r>
        <w:rPr>
          <w:w w:val="100"/>
        </w:rPr>
        <w:t> </w:t>
      </w:r>
      <w:r>
        <w:rPr/>
        <w:t>以公司实施利润分配方案的股权登记日总股本</w:t>
      </w:r>
      <w:r>
        <w:rPr>
          <w:spacing w:val="7"/>
        </w:rPr>
        <w:t> </w:t>
      </w:r>
      <w:r>
        <w:rPr>
          <w:rFonts w:ascii="宋体" w:hAnsi="宋体" w:cs="宋体" w:eastAsia="宋体" w:hint="default"/>
        </w:rPr>
        <w:t>8586.7</w:t>
      </w:r>
      <w:r>
        <w:rPr>
          <w:rFonts w:ascii="宋体" w:hAnsi="宋体" w:cs="宋体" w:eastAsia="宋体" w:hint="default"/>
          <w:spacing w:val="-49"/>
        </w:rPr>
        <w:t> </w:t>
      </w:r>
      <w:r>
        <w:rPr>
          <w:spacing w:val="-6"/>
        </w:rPr>
        <w:t>万为基数，向全体股东每</w:t>
      </w:r>
      <w:r>
        <w:rPr>
          <w:spacing w:val="-49"/>
        </w:rPr>
        <w:t> </w:t>
      </w:r>
      <w:r>
        <w:rPr>
          <w:rFonts w:ascii="宋体" w:hAnsi="宋体" w:cs="宋体" w:eastAsia="宋体" w:hint="default"/>
        </w:rPr>
        <w:t>10</w:t>
      </w:r>
      <w:r>
        <w:rPr>
          <w:rFonts w:ascii="宋体" w:hAnsi="宋体" w:cs="宋体" w:eastAsia="宋体" w:hint="default"/>
          <w:spacing w:val="-51"/>
        </w:rPr>
        <w:t> </w:t>
      </w:r>
      <w:r>
        <w:rPr/>
        <w:t>股派发现</w:t>
      </w:r>
    </w:p>
    <w:p>
      <w:pPr>
        <w:pStyle w:val="BodyText"/>
        <w:spacing w:line="357" w:lineRule="auto" w:before="34"/>
        <w:ind w:right="228"/>
        <w:jc w:val="both"/>
      </w:pPr>
      <w:r>
        <w:rPr/>
        <w:t>金红利</w:t>
      </w:r>
      <w:r>
        <w:rPr>
          <w:spacing w:val="-43"/>
        </w:rPr>
        <w:t> </w:t>
      </w:r>
      <w:r>
        <w:rPr>
          <w:rFonts w:ascii="宋体" w:hAnsi="宋体" w:cs="宋体" w:eastAsia="宋体" w:hint="default"/>
        </w:rPr>
        <w:t>5</w:t>
      </w:r>
      <w:r>
        <w:rPr>
          <w:rFonts w:ascii="宋体" w:hAnsi="宋体" w:cs="宋体" w:eastAsia="宋体" w:hint="default"/>
          <w:spacing w:val="-43"/>
        </w:rPr>
        <w:t> </w:t>
      </w:r>
      <w:r>
        <w:rPr>
          <w:spacing w:val="-7"/>
        </w:rPr>
        <w:t>元（含税），资本公积每</w:t>
      </w:r>
      <w:r>
        <w:rPr>
          <w:spacing w:val="-42"/>
        </w:rPr>
        <w:t> </w:t>
      </w:r>
      <w:r>
        <w:rPr>
          <w:rFonts w:ascii="宋体" w:hAnsi="宋体" w:cs="宋体" w:eastAsia="宋体" w:hint="default"/>
        </w:rPr>
        <w:t>10</w:t>
      </w:r>
      <w:r>
        <w:rPr>
          <w:rFonts w:ascii="宋体" w:hAnsi="宋体" w:cs="宋体" w:eastAsia="宋体" w:hint="default"/>
          <w:spacing w:val="-43"/>
        </w:rPr>
        <w:t> </w:t>
      </w:r>
      <w:r>
        <w:rPr/>
        <w:t>股转增</w:t>
      </w:r>
      <w:r>
        <w:rPr>
          <w:spacing w:val="-46"/>
        </w:rPr>
        <w:t> </w:t>
      </w:r>
      <w:r>
        <w:rPr>
          <w:rFonts w:ascii="宋体" w:hAnsi="宋体" w:cs="宋体" w:eastAsia="宋体" w:hint="default"/>
        </w:rPr>
        <w:t>4</w:t>
      </w:r>
      <w:r>
        <w:rPr>
          <w:rFonts w:ascii="宋体" w:hAnsi="宋体" w:cs="宋体" w:eastAsia="宋体" w:hint="default"/>
          <w:spacing w:val="-43"/>
        </w:rPr>
        <w:t> </w:t>
      </w:r>
      <w:r>
        <w:rPr>
          <w:spacing w:val="-4"/>
        </w:rPr>
        <w:t>股，剩余利润结转下一年度。该预案需提交股东大</w:t>
      </w:r>
      <w:r>
        <w:rPr>
          <w:spacing w:val="-101"/>
        </w:rPr>
        <w:t> </w:t>
      </w:r>
      <w:r>
        <w:rPr>
          <w:spacing w:val="-101"/>
        </w:rPr>
      </w:r>
      <w:r>
        <w:rPr/>
        <w:t>会审议通过后方可实施。</w:t>
      </w:r>
    </w:p>
    <w:p>
      <w:pPr>
        <w:pStyle w:val="BodyText"/>
        <w:spacing w:line="355" w:lineRule="auto" w:before="30"/>
        <w:ind w:right="228" w:firstLine="419"/>
        <w:jc w:val="both"/>
      </w:pPr>
      <w:r>
        <w:rPr>
          <w:rFonts w:ascii="宋体" w:hAnsi="宋体" w:cs="宋体" w:eastAsia="宋体" w:hint="default"/>
        </w:rPr>
        <w:t>2018</w:t>
      </w:r>
      <w:r>
        <w:rPr>
          <w:rFonts w:ascii="宋体" w:hAnsi="宋体" w:cs="宋体" w:eastAsia="宋体" w:hint="default"/>
          <w:spacing w:val="-3"/>
        </w:rPr>
        <w:t> </w:t>
      </w:r>
      <w:r>
        <w:rPr/>
        <w:t>年</w:t>
      </w:r>
      <w:r>
        <w:rPr>
          <w:spacing w:val="-54"/>
        </w:rPr>
        <w:t> </w:t>
      </w:r>
      <w:r>
        <w:rPr>
          <w:rFonts w:ascii="宋体" w:hAnsi="宋体" w:cs="宋体" w:eastAsia="宋体" w:hint="default"/>
        </w:rPr>
        <w:t>4</w:t>
      </w:r>
      <w:r>
        <w:rPr>
          <w:rFonts w:ascii="宋体" w:hAnsi="宋体" w:cs="宋体" w:eastAsia="宋体" w:hint="default"/>
          <w:spacing w:val="-56"/>
        </w:rPr>
        <w:t> </w:t>
      </w:r>
      <w:r>
        <w:rPr/>
        <w:t>月</w:t>
      </w:r>
      <w:r>
        <w:rPr>
          <w:spacing w:val="-54"/>
        </w:rPr>
        <w:t> </w:t>
      </w:r>
      <w:r>
        <w:rPr>
          <w:rFonts w:ascii="宋体" w:hAnsi="宋体" w:cs="宋体" w:eastAsia="宋体" w:hint="default"/>
        </w:rPr>
        <w:t>2</w:t>
      </w:r>
      <w:r>
        <w:rPr>
          <w:rFonts w:ascii="宋体" w:hAnsi="宋体" w:cs="宋体" w:eastAsia="宋体" w:hint="default"/>
          <w:spacing w:val="-56"/>
        </w:rPr>
        <w:t> </w:t>
      </w:r>
      <w:r>
        <w:rPr/>
        <w:t>日，公司第七届董事会第十一次会议审议通过《</w:t>
      </w:r>
      <w:r>
        <w:rPr>
          <w:rFonts w:ascii="宋体" w:hAnsi="宋体" w:cs="宋体" w:eastAsia="宋体" w:hint="default"/>
        </w:rPr>
        <w:t>2017</w:t>
      </w:r>
      <w:r>
        <w:rPr>
          <w:rFonts w:ascii="宋体" w:hAnsi="宋体" w:cs="宋体" w:eastAsia="宋体" w:hint="default"/>
          <w:spacing w:val="-54"/>
        </w:rPr>
        <w:t> </w:t>
      </w:r>
      <w:r>
        <w:rPr/>
        <w:t>年度利润分配预案及资</w:t>
      </w:r>
      <w:r>
        <w:rPr>
          <w:w w:val="100"/>
        </w:rPr>
        <w:t> </w:t>
      </w:r>
      <w:r>
        <w:rPr>
          <w:spacing w:val="-4"/>
        </w:rPr>
        <w:t>本公积金转增股本预案》</w:t>
      </w:r>
      <w:r>
        <w:rPr>
          <w:rFonts w:ascii="宋体" w:hAnsi="宋体" w:cs="宋体" w:eastAsia="宋体" w:hint="default"/>
          <w:spacing w:val="-4"/>
        </w:rPr>
        <w:t>,</w:t>
      </w:r>
      <w:r>
        <w:rPr>
          <w:spacing w:val="-4"/>
        </w:rPr>
        <w:t>利润分配审议程序符合《公司章程》的规定，独立董事发表了同意的独</w:t>
      </w:r>
      <w:r>
        <w:rPr>
          <w:spacing w:val="-35"/>
        </w:rPr>
        <w:t> </w:t>
      </w:r>
      <w:r>
        <w:rPr>
          <w:spacing w:val="-35"/>
        </w:rPr>
      </w:r>
      <w:r>
        <w:rPr/>
        <w:t>立意见。</w:t>
      </w:r>
    </w:p>
    <w:p>
      <w:pPr>
        <w:spacing w:line="240" w:lineRule="auto" w:before="13"/>
        <w:rPr>
          <w:rFonts w:ascii="宋体" w:hAnsi="宋体" w:cs="宋体" w:eastAsia="宋体" w:hint="default"/>
          <w:sz w:val="27"/>
          <w:szCs w:val="27"/>
        </w:rPr>
      </w:pPr>
    </w:p>
    <w:p>
      <w:pPr>
        <w:pStyle w:val="Heading3"/>
        <w:spacing w:line="240" w:lineRule="auto"/>
        <w:ind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公司近三年（含报告期）的普通股股利分配方案或预案、资本公积金转增股本方案或预案</w:t>
      </w:r>
      <w:r>
        <w:rPr>
          <w:b w:val="0"/>
          <w:bCs w:val="0"/>
        </w:rPr>
      </w:r>
    </w:p>
    <w:p>
      <w:pPr>
        <w:pStyle w:val="BodyText"/>
        <w:tabs>
          <w:tab w:pos="1051" w:val="left" w:leader="none"/>
        </w:tabs>
        <w:spacing w:line="240" w:lineRule="auto" w:before="32"/>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996"/>
        <w:gridCol w:w="1196"/>
        <w:gridCol w:w="1186"/>
        <w:gridCol w:w="1195"/>
        <w:gridCol w:w="1268"/>
        <w:gridCol w:w="1685"/>
        <w:gridCol w:w="1524"/>
      </w:tblGrid>
      <w:tr>
        <w:trPr>
          <w:trHeight w:val="1373" w:hRule="exact"/>
        </w:trPr>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283" w:right="278"/>
              <w:jc w:val="left"/>
              <w:rPr>
                <w:rFonts w:ascii="宋体" w:hAnsi="宋体" w:cs="宋体" w:eastAsia="宋体" w:hint="default"/>
                <w:sz w:val="21"/>
                <w:szCs w:val="21"/>
              </w:rPr>
            </w:pPr>
            <w:r>
              <w:rPr>
                <w:rFonts w:ascii="宋体" w:hAnsi="宋体" w:cs="宋体" w:eastAsia="宋体" w:hint="default"/>
                <w:sz w:val="21"/>
                <w:szCs w:val="21"/>
              </w:rPr>
              <w:t>分红</w:t>
            </w:r>
            <w:r>
              <w:rPr>
                <w:rFonts w:ascii="宋体" w:hAnsi="宋体" w:cs="宋体" w:eastAsia="宋体" w:hint="default"/>
                <w:spacing w:val="-103"/>
                <w:sz w:val="21"/>
                <w:szCs w:val="21"/>
              </w:rPr>
              <w:t> </w:t>
            </w:r>
            <w:r>
              <w:rPr>
                <w:rFonts w:ascii="宋体" w:hAnsi="宋体" w:cs="宋体" w:eastAsia="宋体" w:hint="default"/>
                <w:sz w:val="21"/>
                <w:szCs w:val="21"/>
              </w:rPr>
              <w:t>年度</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17" w:right="118"/>
              <w:jc w:val="center"/>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股送</w:t>
            </w:r>
            <w:r>
              <w:rPr>
                <w:rFonts w:ascii="宋体" w:hAnsi="宋体" w:cs="宋体" w:eastAsia="宋体" w:hint="default"/>
                <w:w w:val="100"/>
                <w:sz w:val="21"/>
                <w:szCs w:val="21"/>
              </w:rPr>
              <w:t> </w:t>
            </w:r>
            <w:r>
              <w:rPr>
                <w:rFonts w:ascii="宋体" w:hAnsi="宋体" w:cs="宋体" w:eastAsia="宋体" w:hint="default"/>
                <w:sz w:val="21"/>
                <w:szCs w:val="21"/>
              </w:rPr>
              <w:t>红股数</w:t>
            </w:r>
          </w:p>
          <w:p>
            <w:pPr>
              <w:pStyle w:val="TableParagraph"/>
              <w:spacing w:line="249" w:lineRule="exact"/>
              <w:ind w:right="3"/>
              <w:jc w:val="center"/>
              <w:rPr>
                <w:rFonts w:ascii="宋体" w:hAnsi="宋体" w:cs="宋体" w:eastAsia="宋体" w:hint="default"/>
                <w:sz w:val="21"/>
                <w:szCs w:val="21"/>
              </w:rPr>
            </w:pPr>
            <w:r>
              <w:rPr>
                <w:rFonts w:ascii="宋体" w:hAnsi="宋体" w:cs="宋体" w:eastAsia="宋体" w:hint="default"/>
                <w:sz w:val="21"/>
                <w:szCs w:val="21"/>
              </w:rPr>
              <w:t>（股）</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65" w:right="113" w:hanging="53"/>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股派</w:t>
            </w:r>
            <w:r>
              <w:rPr>
                <w:rFonts w:ascii="宋体" w:hAnsi="宋体" w:cs="宋体" w:eastAsia="宋体" w:hint="default"/>
                <w:w w:val="100"/>
                <w:sz w:val="21"/>
                <w:szCs w:val="21"/>
              </w:rPr>
              <w:t> </w:t>
            </w:r>
            <w:r>
              <w:rPr>
                <w:rFonts w:ascii="宋体" w:hAnsi="宋体" w:cs="宋体" w:eastAsia="宋体" w:hint="default"/>
                <w:sz w:val="21"/>
                <w:szCs w:val="21"/>
              </w:rPr>
              <w:t>息数</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p>
          <w:p>
            <w:pPr>
              <w:pStyle w:val="TableParagraph"/>
              <w:spacing w:line="249" w:lineRule="exact"/>
              <w:ind w:left="165" w:right="0"/>
              <w:jc w:val="left"/>
              <w:rPr>
                <w:rFonts w:ascii="宋体" w:hAnsi="宋体" w:cs="宋体" w:eastAsia="宋体" w:hint="default"/>
                <w:sz w:val="21"/>
                <w:szCs w:val="21"/>
              </w:rPr>
            </w:pPr>
            <w:r>
              <w:rPr>
                <w:rFonts w:ascii="宋体" w:hAnsi="宋体" w:cs="宋体" w:eastAsia="宋体" w:hint="default"/>
                <w:sz w:val="21"/>
                <w:szCs w:val="21"/>
              </w:rPr>
              <w:t>（含税）</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100" w:right="31" w:firstLine="16"/>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股转</w:t>
            </w:r>
            <w:r>
              <w:rPr>
                <w:rFonts w:ascii="宋体" w:hAnsi="宋体" w:cs="宋体" w:eastAsia="宋体" w:hint="default"/>
                <w:w w:val="100"/>
                <w:sz w:val="21"/>
                <w:szCs w:val="21"/>
              </w:rPr>
              <w:t> </w:t>
            </w:r>
            <w:r>
              <w:rPr>
                <w:rFonts w:ascii="宋体" w:hAnsi="宋体" w:cs="宋体" w:eastAsia="宋体" w:hint="default"/>
                <w:sz w:val="21"/>
                <w:szCs w:val="21"/>
              </w:rPr>
              <w:t>增数（股）</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03" w:right="98"/>
              <w:jc w:val="center"/>
              <w:rPr>
                <w:rFonts w:ascii="宋体" w:hAnsi="宋体" w:cs="宋体" w:eastAsia="宋体" w:hint="default"/>
                <w:sz w:val="21"/>
                <w:szCs w:val="21"/>
              </w:rPr>
            </w:pPr>
            <w:r>
              <w:rPr>
                <w:rFonts w:ascii="宋体" w:hAnsi="宋体" w:cs="宋体" w:eastAsia="宋体" w:hint="default"/>
                <w:sz w:val="21"/>
                <w:szCs w:val="21"/>
              </w:rPr>
              <w:t>现金分红的</w:t>
            </w:r>
            <w:r>
              <w:rPr>
                <w:rFonts w:ascii="宋体" w:hAnsi="宋体" w:cs="宋体" w:eastAsia="宋体" w:hint="default"/>
                <w:w w:val="100"/>
                <w:sz w:val="21"/>
                <w:szCs w:val="21"/>
              </w:rPr>
              <w:t> </w:t>
            </w:r>
            <w:r>
              <w:rPr>
                <w:rFonts w:ascii="宋体" w:hAnsi="宋体" w:cs="宋体" w:eastAsia="宋体" w:hint="default"/>
                <w:sz w:val="21"/>
                <w:szCs w:val="21"/>
              </w:rPr>
              <w:t>数额</w:t>
            </w:r>
          </w:p>
          <w:p>
            <w:pPr>
              <w:pStyle w:val="TableParagraph"/>
              <w:spacing w:line="249" w:lineRule="exact"/>
              <w:ind w:left="2" w:right="0"/>
              <w:jc w:val="center"/>
              <w:rPr>
                <w:rFonts w:ascii="宋体" w:hAnsi="宋体" w:cs="宋体" w:eastAsia="宋体" w:hint="default"/>
                <w:sz w:val="21"/>
                <w:szCs w:val="21"/>
              </w:rPr>
            </w:pPr>
            <w:r>
              <w:rPr>
                <w:rFonts w:ascii="宋体" w:hAnsi="宋体" w:cs="宋体" w:eastAsia="宋体" w:hint="default"/>
                <w:sz w:val="21"/>
                <w:szCs w:val="21"/>
              </w:rPr>
              <w:t>（含税）</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0" w:right="99"/>
              <w:jc w:val="center"/>
              <w:rPr>
                <w:rFonts w:ascii="宋体" w:hAnsi="宋体" w:cs="宋体" w:eastAsia="宋体" w:hint="default"/>
                <w:sz w:val="21"/>
                <w:szCs w:val="21"/>
              </w:rPr>
            </w:pPr>
            <w:r>
              <w:rPr>
                <w:rFonts w:ascii="宋体" w:hAnsi="宋体" w:cs="宋体" w:eastAsia="宋体" w:hint="default"/>
                <w:spacing w:val="-1"/>
                <w:sz w:val="21"/>
                <w:szCs w:val="21"/>
              </w:rPr>
              <w:t>分红年度合并报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表中归属于上市</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公司普通股股东</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的净利润</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占合并报表中</w:t>
            </w:r>
          </w:p>
          <w:p>
            <w:pPr>
              <w:pStyle w:val="TableParagraph"/>
              <w:spacing w:line="237" w:lineRule="auto" w:before="2"/>
              <w:ind w:left="127" w:right="122"/>
              <w:jc w:val="center"/>
              <w:rPr>
                <w:rFonts w:ascii="宋体" w:hAnsi="宋体" w:cs="宋体" w:eastAsia="宋体" w:hint="default"/>
                <w:sz w:val="21"/>
                <w:szCs w:val="21"/>
              </w:rPr>
            </w:pPr>
            <w:r>
              <w:rPr>
                <w:rFonts w:ascii="宋体" w:hAnsi="宋体" w:cs="宋体" w:eastAsia="宋体" w:hint="default"/>
                <w:spacing w:val="-1"/>
                <w:sz w:val="21"/>
                <w:szCs w:val="21"/>
              </w:rPr>
              <w:t>归属于上市公</w:t>
            </w:r>
            <w:r>
              <w:rPr>
                <w:rFonts w:ascii="宋体" w:hAnsi="宋体" w:cs="宋体" w:eastAsia="宋体" w:hint="default"/>
                <w:w w:val="100"/>
                <w:sz w:val="21"/>
                <w:szCs w:val="21"/>
              </w:rPr>
              <w:t> </w:t>
            </w:r>
            <w:r>
              <w:rPr>
                <w:rFonts w:ascii="宋体" w:hAnsi="宋体" w:cs="宋体" w:eastAsia="宋体" w:hint="default"/>
                <w:spacing w:val="-2"/>
                <w:sz w:val="21"/>
                <w:szCs w:val="21"/>
              </w:rPr>
              <w:t>司普通股股东</w:t>
            </w:r>
            <w:r>
              <w:rPr>
                <w:rFonts w:ascii="宋体" w:hAnsi="宋体" w:cs="宋体" w:eastAsia="宋体" w:hint="default"/>
                <w:spacing w:val="-3"/>
                <w:w w:val="100"/>
                <w:sz w:val="21"/>
                <w:szCs w:val="21"/>
              </w:rPr>
              <w:t> </w:t>
            </w:r>
            <w:r>
              <w:rPr>
                <w:rFonts w:ascii="宋体" w:hAnsi="宋体" w:cs="宋体" w:eastAsia="宋体" w:hint="default"/>
                <w:spacing w:val="-1"/>
                <w:sz w:val="21"/>
                <w:szCs w:val="21"/>
              </w:rPr>
              <w:t>的净利润的比</w:t>
            </w:r>
            <w:r>
              <w:rPr>
                <w:rFonts w:ascii="宋体" w:hAnsi="宋体" w:cs="宋体" w:eastAsia="宋体" w:hint="default"/>
                <w:w w:val="100"/>
                <w:sz w:val="21"/>
                <w:szCs w:val="21"/>
              </w:rPr>
              <w:t> </w:t>
            </w:r>
            <w:r>
              <w:rPr>
                <w:rFonts w:ascii="宋体" w:hAnsi="宋体" w:cs="宋体" w:eastAsia="宋体" w:hint="default"/>
                <w:sz w:val="21"/>
                <w:szCs w:val="21"/>
              </w:rPr>
              <w:t>率</w:t>
            </w:r>
            <w:r>
              <w:rPr>
                <w:rFonts w:ascii="宋体" w:hAnsi="宋体" w:cs="宋体" w:eastAsia="宋体" w:hint="default"/>
                <w:sz w:val="21"/>
                <w:szCs w:val="21"/>
              </w:rPr>
              <w:t>(%)</w:t>
            </w:r>
          </w:p>
        </w:tc>
      </w:tr>
      <w:tr>
        <w:trPr>
          <w:trHeight w:val="281" w:hRule="exact"/>
        </w:trPr>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w w:val="100"/>
                <w:sz w:val="21"/>
              </w:rPr>
              <w:t>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4</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42,933,500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101,908,339.29</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42.13</w:t>
            </w:r>
          </w:p>
        </w:tc>
      </w:tr>
      <w:tr>
        <w:trPr>
          <w:trHeight w:val="283" w:hRule="exact"/>
        </w:trPr>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4"/>
              <w:jc w:val="right"/>
              <w:rPr>
                <w:rFonts w:ascii="宋体" w:hAnsi="宋体" w:cs="宋体" w:eastAsia="宋体" w:hint="default"/>
                <w:sz w:val="21"/>
                <w:szCs w:val="21"/>
              </w:rPr>
            </w:pPr>
            <w:r>
              <w:rPr>
                <w:rFonts w:ascii="宋体"/>
                <w:w w:val="100"/>
                <w:sz w:val="21"/>
              </w:rPr>
              <w:t>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sz w:val="21"/>
              </w:rPr>
              <w:t>70,481,586.16</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r>
      <w:tr>
        <w:trPr>
          <w:trHeight w:val="283" w:hRule="exact"/>
        </w:trPr>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w w:val="100"/>
                <w:sz w:val="21"/>
              </w:rPr>
              <w:t>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83,880,853.37</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bl>
    <w:p>
      <w:pPr>
        <w:spacing w:line="240" w:lineRule="auto" w:before="12"/>
        <w:rPr>
          <w:rFonts w:ascii="宋体" w:hAnsi="宋体" w:cs="宋体" w:eastAsia="宋体" w:hint="default"/>
          <w:sz w:val="19"/>
          <w:szCs w:val="19"/>
        </w:rPr>
      </w:pPr>
    </w:p>
    <w:p>
      <w:pPr>
        <w:pStyle w:val="Heading3"/>
        <w:spacing w:line="240" w:lineRule="auto" w:before="36"/>
        <w:ind w:right="2757"/>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1"/>
        </w:rPr>
        <w:t> </w:t>
      </w:r>
      <w:r>
        <w:rPr/>
        <w:t>以现金方式要约回购股份计入现金分红的情况</w:t>
      </w:r>
      <w:r>
        <w:rPr>
          <w:b w:val="0"/>
          <w:bCs w:val="0"/>
        </w:rPr>
      </w:r>
    </w:p>
    <w:p>
      <w:pPr>
        <w:pStyle w:val="BodyText"/>
        <w:spacing w:line="240" w:lineRule="auto" w:before="32"/>
        <w:ind w:right="2757"/>
        <w:jc w:val="left"/>
      </w:pPr>
      <w:r>
        <w:rPr/>
        <w:t>□适用</w:t>
      </w:r>
      <w:r>
        <w:rPr>
          <w:spacing w:val="-1"/>
        </w:rPr>
        <w:t> </w:t>
      </w:r>
      <w:r>
        <w:rPr/>
        <w:t>√不适用</w:t>
      </w:r>
    </w:p>
    <w:p>
      <w:pPr>
        <w:pStyle w:val="Heading3"/>
        <w:spacing w:line="274" w:lineRule="exact" w:before="82"/>
        <w:ind w:left="638" w:right="217" w:hanging="42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9"/>
        </w:rPr>
        <w:t> </w:t>
      </w:r>
      <w:r>
        <w:rPr/>
        <w:t>报告期内盈利且母公司可供普通股股东分配利润为正，但未提出普通股现金利润分配方案预</w:t>
      </w:r>
      <w:r>
        <w:rPr>
          <w:w w:val="100"/>
        </w:rPr>
        <w:t> </w:t>
      </w:r>
      <w:r>
        <w:rPr/>
        <w:t>案的，公司应当详细披露原因以及未分配利润的用途和使用计划</w:t>
      </w:r>
      <w:r>
        <w:rPr>
          <w:b w:val="0"/>
          <w:bCs w:val="0"/>
        </w:rPr>
      </w:r>
    </w:p>
    <w:p>
      <w:pPr>
        <w:pStyle w:val="BodyText"/>
        <w:spacing w:line="240" w:lineRule="auto" w:before="31"/>
        <w:ind w:right="2757"/>
        <w:jc w:val="left"/>
      </w:pPr>
      <w:r>
        <w:rPr/>
        <w:t>□适用</w:t>
      </w:r>
      <w:r>
        <w:rPr>
          <w:spacing w:val="-1"/>
        </w:rPr>
        <w:t> </w:t>
      </w:r>
      <w:r>
        <w:rPr/>
        <w:t>√不适用</w:t>
      </w:r>
    </w:p>
    <w:p>
      <w:pPr>
        <w:spacing w:after="0" w:line="240" w:lineRule="auto"/>
        <w:jc w:val="left"/>
        <w:sectPr>
          <w:pgSz w:w="11910" w:h="16840"/>
          <w:pgMar w:header="855" w:footer="1195" w:top="1280" w:bottom="1380" w:left="1580" w:right="1040"/>
        </w:sectPr>
      </w:pPr>
    </w:p>
    <w:p>
      <w:pPr>
        <w:spacing w:line="240" w:lineRule="auto" w:before="6"/>
        <w:rPr>
          <w:rFonts w:ascii="宋体" w:hAnsi="宋体" w:cs="宋体" w:eastAsia="宋体" w:hint="default"/>
          <w:sz w:val="12"/>
          <w:szCs w:val="12"/>
        </w:rPr>
      </w:pPr>
    </w:p>
    <w:p>
      <w:pPr>
        <w:pStyle w:val="Heading3"/>
        <w:spacing w:line="240" w:lineRule="auto" w:before="36"/>
        <w:ind w:left="1258" w:right="935"/>
        <w:jc w:val="left"/>
        <w:rPr>
          <w:b w:val="0"/>
          <w:bCs w:val="0"/>
        </w:rPr>
      </w:pPr>
      <w:r>
        <w:rPr/>
        <w:t>二、承诺事项履行情况</w:t>
      </w:r>
      <w:r>
        <w:rPr>
          <w:b w:val="0"/>
          <w:bCs w:val="0"/>
        </w:rPr>
      </w:r>
    </w:p>
    <w:p>
      <w:pPr>
        <w:pStyle w:val="Heading3"/>
        <w:tabs>
          <w:tab w:pos="1824" w:val="left" w:leader="none"/>
        </w:tabs>
        <w:spacing w:line="272" w:lineRule="exact" w:before="86"/>
        <w:ind w:left="1824" w:right="935" w:hanging="567"/>
        <w:jc w:val="left"/>
        <w:rPr>
          <w:b w:val="0"/>
          <w:bCs w:val="0"/>
        </w:rPr>
      </w:pPr>
      <w:r>
        <w:rPr>
          <w:rFonts w:ascii="Calibri" w:hAnsi="Calibri" w:cs="Calibri" w:eastAsia="Calibri" w:hint="default"/>
        </w:rPr>
        <w:t>(</w:t>
      </w:r>
      <w:r>
        <w:rPr/>
        <w:t>一</w:t>
      </w:r>
      <w:r>
        <w:rPr>
          <w:rFonts w:ascii="Calibri" w:hAnsi="Calibri" w:cs="Calibri" w:eastAsia="Calibri" w:hint="default"/>
        </w:rPr>
        <w:t>)</w:t>
        <w:tab/>
      </w:r>
      <w:r>
        <w:rPr/>
        <w:t>公司实际控制人、股东、关联方、收购人以及公司等承诺相关方在报告期内或持续到报告</w:t>
      </w:r>
      <w:r>
        <w:rPr>
          <w:spacing w:val="-66"/>
        </w:rPr>
        <w:t> </w:t>
      </w:r>
      <w:r>
        <w:rPr>
          <w:spacing w:val="-66"/>
        </w:rPr>
      </w:r>
      <w:r>
        <w:rPr/>
        <w:t>期内的承诺事项</w:t>
      </w:r>
      <w:r>
        <w:rPr>
          <w:b w:val="0"/>
          <w:bCs w:val="0"/>
        </w:rPr>
      </w:r>
    </w:p>
    <w:p>
      <w:pPr>
        <w:pStyle w:val="BodyText"/>
        <w:spacing w:line="240" w:lineRule="auto" w:before="34"/>
        <w:ind w:left="1258" w:right="935"/>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958"/>
        <w:gridCol w:w="670"/>
        <w:gridCol w:w="1238"/>
        <w:gridCol w:w="3507"/>
        <w:gridCol w:w="1162"/>
        <w:gridCol w:w="812"/>
        <w:gridCol w:w="811"/>
        <w:gridCol w:w="811"/>
        <w:gridCol w:w="809"/>
      </w:tblGrid>
      <w:tr>
        <w:trPr>
          <w:trHeight w:val="2734"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367" w:right="156" w:hanging="212"/>
              <w:jc w:val="left"/>
              <w:rPr>
                <w:rFonts w:ascii="宋体" w:hAnsi="宋体" w:cs="宋体" w:eastAsia="宋体" w:hint="default"/>
                <w:sz w:val="21"/>
                <w:szCs w:val="21"/>
              </w:rPr>
            </w:pPr>
            <w:r>
              <w:rPr>
                <w:rFonts w:ascii="宋体" w:hAnsi="宋体" w:cs="宋体" w:eastAsia="宋体" w:hint="default"/>
                <w:sz w:val="21"/>
                <w:szCs w:val="21"/>
              </w:rPr>
              <w:t>承诺背</w:t>
            </w:r>
            <w:r>
              <w:rPr>
                <w:rFonts w:ascii="宋体" w:hAnsi="宋体" w:cs="宋体" w:eastAsia="宋体" w:hint="default"/>
                <w:spacing w:val="-102"/>
                <w:sz w:val="21"/>
                <w:szCs w:val="21"/>
              </w:rPr>
              <w:t> </w:t>
            </w:r>
            <w:r>
              <w:rPr>
                <w:rFonts w:ascii="宋体" w:hAnsi="宋体" w:cs="宋体" w:eastAsia="宋体" w:hint="default"/>
                <w:sz w:val="21"/>
                <w:szCs w:val="21"/>
              </w:rPr>
              <w:t>景</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19" w:right="115"/>
              <w:jc w:val="left"/>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spacing w:val="-103"/>
                <w:sz w:val="21"/>
                <w:szCs w:val="21"/>
              </w:rPr>
              <w:t> </w:t>
            </w:r>
            <w:r>
              <w:rPr>
                <w:rFonts w:ascii="宋体" w:hAnsi="宋体" w:cs="宋体" w:eastAsia="宋体" w:hint="default"/>
                <w:sz w:val="21"/>
                <w:szCs w:val="21"/>
              </w:rPr>
              <w:t>类型</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5"/>
              <w:ind w:right="295"/>
              <w:jc w:val="right"/>
              <w:rPr>
                <w:rFonts w:ascii="宋体" w:hAnsi="宋体" w:cs="宋体" w:eastAsia="宋体" w:hint="default"/>
                <w:sz w:val="21"/>
                <w:szCs w:val="21"/>
              </w:rPr>
            </w:pPr>
            <w:r>
              <w:rPr>
                <w:rFonts w:ascii="宋体" w:hAnsi="宋体" w:cs="宋体" w:eastAsia="宋体" w:hint="default"/>
                <w:sz w:val="21"/>
                <w:szCs w:val="21"/>
              </w:rPr>
              <w:t>承诺方</w:t>
            </w:r>
          </w:p>
        </w:tc>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538" w:right="1534"/>
              <w:jc w:val="center"/>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w w:val="100"/>
                <w:sz w:val="21"/>
                <w:szCs w:val="21"/>
              </w:rPr>
              <w:t> </w:t>
            </w:r>
            <w:r>
              <w:rPr>
                <w:rFonts w:ascii="宋体" w:hAnsi="宋体" w:cs="宋体" w:eastAsia="宋体" w:hint="default"/>
                <w:sz w:val="21"/>
                <w:szCs w:val="21"/>
              </w:rPr>
              <w:t>内容</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259" w:right="151" w:hanging="104"/>
              <w:jc w:val="left"/>
              <w:rPr>
                <w:rFonts w:ascii="宋体" w:hAnsi="宋体" w:cs="宋体" w:eastAsia="宋体" w:hint="default"/>
                <w:sz w:val="21"/>
                <w:szCs w:val="21"/>
              </w:rPr>
            </w:pPr>
            <w:r>
              <w:rPr>
                <w:rFonts w:ascii="宋体" w:hAnsi="宋体" w:cs="宋体" w:eastAsia="宋体" w:hint="default"/>
                <w:sz w:val="21"/>
                <w:szCs w:val="21"/>
              </w:rPr>
              <w:t>承诺时间</w:t>
            </w:r>
            <w:r>
              <w:rPr>
                <w:rFonts w:ascii="宋体" w:hAnsi="宋体" w:cs="宋体" w:eastAsia="宋体" w:hint="default"/>
                <w:w w:val="100"/>
                <w:sz w:val="21"/>
                <w:szCs w:val="21"/>
              </w:rPr>
              <w:t> </w:t>
            </w:r>
            <w:r>
              <w:rPr>
                <w:rFonts w:ascii="宋体" w:hAnsi="宋体" w:cs="宋体" w:eastAsia="宋体" w:hint="default"/>
                <w:sz w:val="21"/>
                <w:szCs w:val="21"/>
              </w:rPr>
              <w:t>及期限</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37" w:lineRule="auto"/>
              <w:ind w:left="189" w:right="188"/>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有履</w:t>
            </w:r>
            <w:r>
              <w:rPr>
                <w:rFonts w:ascii="宋体" w:hAnsi="宋体" w:cs="宋体" w:eastAsia="宋体" w:hint="default"/>
                <w:spacing w:val="-103"/>
                <w:sz w:val="21"/>
                <w:szCs w:val="21"/>
              </w:rPr>
              <w:t> </w:t>
            </w:r>
            <w:r>
              <w:rPr>
                <w:rFonts w:ascii="宋体" w:hAnsi="宋体" w:cs="宋体" w:eastAsia="宋体" w:hint="default"/>
                <w:sz w:val="21"/>
                <w:szCs w:val="21"/>
              </w:rPr>
              <w:t>行期</w:t>
            </w:r>
            <w:r>
              <w:rPr>
                <w:rFonts w:ascii="宋体" w:hAnsi="宋体" w:cs="宋体" w:eastAsia="宋体" w:hint="default"/>
                <w:spacing w:val="-103"/>
                <w:sz w:val="21"/>
                <w:szCs w:val="21"/>
              </w:rPr>
              <w:t> </w:t>
            </w:r>
            <w:r>
              <w:rPr>
                <w:rFonts w:ascii="宋体" w:hAnsi="宋体" w:cs="宋体" w:eastAsia="宋体" w:hint="default"/>
                <w:sz w:val="21"/>
                <w:szCs w:val="21"/>
              </w:rPr>
              <w:t>限</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37" w:lineRule="auto"/>
              <w:ind w:left="189" w:right="187"/>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及时</w:t>
            </w:r>
            <w:r>
              <w:rPr>
                <w:rFonts w:ascii="宋体" w:hAnsi="宋体" w:cs="宋体" w:eastAsia="宋体" w:hint="default"/>
                <w:spacing w:val="-103"/>
                <w:sz w:val="21"/>
                <w:szCs w:val="21"/>
              </w:rPr>
              <w:t> </w:t>
            </w:r>
            <w:r>
              <w:rPr>
                <w:rFonts w:ascii="宋体" w:hAnsi="宋体" w:cs="宋体" w:eastAsia="宋体" w:hint="default"/>
                <w:sz w:val="21"/>
                <w:szCs w:val="21"/>
              </w:rPr>
              <w:t>严格</w:t>
            </w:r>
            <w:r>
              <w:rPr>
                <w:rFonts w:ascii="宋体" w:hAnsi="宋体" w:cs="宋体" w:eastAsia="宋体" w:hint="default"/>
                <w:spacing w:val="-103"/>
                <w:sz w:val="21"/>
                <w:szCs w:val="21"/>
              </w:rPr>
              <w:t> </w:t>
            </w:r>
            <w:r>
              <w:rPr>
                <w:rFonts w:ascii="宋体" w:hAnsi="宋体" w:cs="宋体" w:eastAsia="宋体" w:hint="default"/>
                <w:sz w:val="21"/>
                <w:szCs w:val="21"/>
              </w:rPr>
              <w:t>履行</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7" w:right="0"/>
              <w:jc w:val="both"/>
              <w:rPr>
                <w:rFonts w:ascii="宋体" w:hAnsi="宋体" w:cs="宋体" w:eastAsia="宋体" w:hint="default"/>
                <w:sz w:val="21"/>
                <w:szCs w:val="21"/>
              </w:rPr>
            </w:pPr>
            <w:r>
              <w:rPr>
                <w:rFonts w:ascii="宋体" w:hAnsi="宋体" w:cs="宋体" w:eastAsia="宋体" w:hint="default"/>
                <w:sz w:val="21"/>
                <w:szCs w:val="21"/>
              </w:rPr>
              <w:t>如未</w:t>
            </w:r>
          </w:p>
          <w:p>
            <w:pPr>
              <w:pStyle w:val="TableParagraph"/>
              <w:spacing w:line="237" w:lineRule="auto" w:before="2"/>
              <w:ind w:left="187" w:right="191"/>
              <w:jc w:val="both"/>
              <w:rPr>
                <w:rFonts w:ascii="宋体" w:hAnsi="宋体" w:cs="宋体" w:eastAsia="宋体" w:hint="default"/>
                <w:sz w:val="21"/>
                <w:szCs w:val="21"/>
              </w:rPr>
            </w:pPr>
            <w:r>
              <w:rPr>
                <w:rFonts w:ascii="宋体" w:hAnsi="宋体" w:cs="宋体" w:eastAsia="宋体" w:hint="default"/>
                <w:sz w:val="21"/>
                <w:szCs w:val="21"/>
              </w:rPr>
              <w:t>能及</w:t>
            </w:r>
            <w:r>
              <w:rPr>
                <w:rFonts w:ascii="宋体" w:hAnsi="宋体" w:cs="宋体" w:eastAsia="宋体" w:hint="default"/>
                <w:spacing w:val="-103"/>
                <w:sz w:val="21"/>
                <w:szCs w:val="21"/>
              </w:rPr>
              <w:t> </w:t>
            </w:r>
            <w:r>
              <w:rPr>
                <w:rFonts w:ascii="宋体" w:hAnsi="宋体" w:cs="宋体" w:eastAsia="宋体" w:hint="default"/>
                <w:sz w:val="21"/>
                <w:szCs w:val="21"/>
              </w:rPr>
              <w:t>时履</w:t>
            </w:r>
            <w:r>
              <w:rPr>
                <w:rFonts w:ascii="宋体" w:hAnsi="宋体" w:cs="宋体" w:eastAsia="宋体" w:hint="default"/>
                <w:spacing w:val="-103"/>
                <w:sz w:val="21"/>
                <w:szCs w:val="21"/>
              </w:rPr>
              <w:t> </w:t>
            </w:r>
            <w:r>
              <w:rPr>
                <w:rFonts w:ascii="宋体" w:hAnsi="宋体" w:cs="宋体" w:eastAsia="宋体" w:hint="default"/>
                <w:sz w:val="21"/>
                <w:szCs w:val="21"/>
              </w:rPr>
              <w:t>行应</w:t>
            </w:r>
            <w:r>
              <w:rPr>
                <w:rFonts w:ascii="宋体" w:hAnsi="宋体" w:cs="宋体" w:eastAsia="宋体" w:hint="default"/>
                <w:spacing w:val="-103"/>
                <w:sz w:val="21"/>
                <w:szCs w:val="21"/>
              </w:rPr>
              <w:t> </w:t>
            </w:r>
            <w:r>
              <w:rPr>
                <w:rFonts w:ascii="宋体" w:hAnsi="宋体" w:cs="宋体" w:eastAsia="宋体" w:hint="default"/>
                <w:sz w:val="21"/>
                <w:szCs w:val="21"/>
              </w:rPr>
              <w:t>说明</w:t>
            </w:r>
            <w:r>
              <w:rPr>
                <w:rFonts w:ascii="宋体" w:hAnsi="宋体" w:cs="宋体" w:eastAsia="宋体" w:hint="default"/>
                <w:spacing w:val="-103"/>
                <w:sz w:val="21"/>
                <w:szCs w:val="21"/>
              </w:rPr>
              <w:t> </w:t>
            </w:r>
            <w:r>
              <w:rPr>
                <w:rFonts w:ascii="宋体" w:hAnsi="宋体" w:cs="宋体" w:eastAsia="宋体" w:hint="default"/>
                <w:sz w:val="21"/>
                <w:szCs w:val="21"/>
              </w:rPr>
              <w:t>未完</w:t>
            </w:r>
            <w:r>
              <w:rPr>
                <w:rFonts w:ascii="宋体" w:hAnsi="宋体" w:cs="宋体" w:eastAsia="宋体" w:hint="default"/>
                <w:spacing w:val="-103"/>
                <w:sz w:val="21"/>
                <w:szCs w:val="21"/>
              </w:rPr>
              <w:t> </w:t>
            </w:r>
            <w:r>
              <w:rPr>
                <w:rFonts w:ascii="宋体" w:hAnsi="宋体" w:cs="宋体" w:eastAsia="宋体" w:hint="default"/>
                <w:sz w:val="21"/>
                <w:szCs w:val="21"/>
              </w:rPr>
              <w:t>成履</w:t>
            </w:r>
            <w:r>
              <w:rPr>
                <w:rFonts w:ascii="宋体" w:hAnsi="宋体" w:cs="宋体" w:eastAsia="宋体" w:hint="default"/>
                <w:spacing w:val="-103"/>
                <w:sz w:val="21"/>
                <w:szCs w:val="21"/>
              </w:rPr>
              <w:t> </w:t>
            </w:r>
            <w:r>
              <w:rPr>
                <w:rFonts w:ascii="宋体" w:hAnsi="宋体" w:cs="宋体" w:eastAsia="宋体" w:hint="default"/>
                <w:sz w:val="21"/>
                <w:szCs w:val="21"/>
              </w:rPr>
              <w:t>行的</w:t>
            </w:r>
            <w:r>
              <w:rPr>
                <w:rFonts w:ascii="宋体" w:hAnsi="宋体" w:cs="宋体" w:eastAsia="宋体" w:hint="default"/>
                <w:spacing w:val="-103"/>
                <w:sz w:val="21"/>
                <w:szCs w:val="21"/>
              </w:rPr>
              <w:t> </w:t>
            </w:r>
            <w:r>
              <w:rPr>
                <w:rFonts w:ascii="宋体" w:hAnsi="宋体" w:cs="宋体" w:eastAsia="宋体" w:hint="default"/>
                <w:sz w:val="21"/>
                <w:szCs w:val="21"/>
              </w:rPr>
              <w:t>具体</w:t>
            </w:r>
            <w:r>
              <w:rPr>
                <w:rFonts w:ascii="宋体" w:hAnsi="宋体" w:cs="宋体" w:eastAsia="宋体" w:hint="default"/>
                <w:spacing w:val="-103"/>
                <w:sz w:val="21"/>
                <w:szCs w:val="21"/>
              </w:rPr>
              <w:t> </w:t>
            </w:r>
            <w:r>
              <w:rPr>
                <w:rFonts w:ascii="宋体" w:hAnsi="宋体" w:cs="宋体" w:eastAsia="宋体" w:hint="default"/>
                <w:sz w:val="21"/>
                <w:szCs w:val="21"/>
              </w:rPr>
              <w:t>原因</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89" w:right="185"/>
              <w:jc w:val="both"/>
              <w:rPr>
                <w:rFonts w:ascii="宋体" w:hAnsi="宋体" w:cs="宋体" w:eastAsia="宋体" w:hint="default"/>
                <w:sz w:val="21"/>
                <w:szCs w:val="21"/>
              </w:rPr>
            </w:pPr>
            <w:r>
              <w:rPr>
                <w:rFonts w:ascii="宋体" w:hAnsi="宋体" w:cs="宋体" w:eastAsia="宋体" w:hint="default"/>
                <w:sz w:val="21"/>
                <w:szCs w:val="21"/>
              </w:rPr>
              <w:t>如未</w:t>
            </w:r>
            <w:r>
              <w:rPr>
                <w:rFonts w:ascii="宋体" w:hAnsi="宋体" w:cs="宋体" w:eastAsia="宋体" w:hint="default"/>
                <w:spacing w:val="-103"/>
                <w:sz w:val="21"/>
                <w:szCs w:val="21"/>
              </w:rPr>
              <w:t> </w:t>
            </w:r>
            <w:r>
              <w:rPr>
                <w:rFonts w:ascii="宋体" w:hAnsi="宋体" w:cs="宋体" w:eastAsia="宋体" w:hint="default"/>
                <w:sz w:val="21"/>
                <w:szCs w:val="21"/>
              </w:rPr>
              <w:t>能及</w:t>
            </w:r>
            <w:r>
              <w:rPr>
                <w:rFonts w:ascii="宋体" w:hAnsi="宋体" w:cs="宋体" w:eastAsia="宋体" w:hint="default"/>
                <w:spacing w:val="-103"/>
                <w:sz w:val="21"/>
                <w:szCs w:val="21"/>
              </w:rPr>
              <w:t> </w:t>
            </w:r>
            <w:r>
              <w:rPr>
                <w:rFonts w:ascii="宋体" w:hAnsi="宋体" w:cs="宋体" w:eastAsia="宋体" w:hint="default"/>
                <w:sz w:val="21"/>
                <w:szCs w:val="21"/>
              </w:rPr>
              <w:t>时履</w:t>
            </w:r>
            <w:r>
              <w:rPr>
                <w:rFonts w:ascii="宋体" w:hAnsi="宋体" w:cs="宋体" w:eastAsia="宋体" w:hint="default"/>
                <w:spacing w:val="-103"/>
                <w:sz w:val="21"/>
                <w:szCs w:val="21"/>
              </w:rPr>
              <w:t> </w:t>
            </w:r>
            <w:r>
              <w:rPr>
                <w:rFonts w:ascii="宋体" w:hAnsi="宋体" w:cs="宋体" w:eastAsia="宋体" w:hint="default"/>
                <w:sz w:val="21"/>
                <w:szCs w:val="21"/>
              </w:rPr>
              <w:t>行应</w:t>
            </w:r>
            <w:r>
              <w:rPr>
                <w:rFonts w:ascii="宋体" w:hAnsi="宋体" w:cs="宋体" w:eastAsia="宋体" w:hint="default"/>
                <w:spacing w:val="-103"/>
                <w:sz w:val="21"/>
                <w:szCs w:val="21"/>
              </w:rPr>
              <w:t> </w:t>
            </w:r>
            <w:r>
              <w:rPr>
                <w:rFonts w:ascii="宋体" w:hAnsi="宋体" w:cs="宋体" w:eastAsia="宋体" w:hint="default"/>
                <w:sz w:val="21"/>
                <w:szCs w:val="21"/>
              </w:rPr>
              <w:t>说明</w:t>
            </w:r>
            <w:r>
              <w:rPr>
                <w:rFonts w:ascii="宋体" w:hAnsi="宋体" w:cs="宋体" w:eastAsia="宋体" w:hint="default"/>
                <w:spacing w:val="-103"/>
                <w:sz w:val="21"/>
                <w:szCs w:val="21"/>
              </w:rPr>
              <w:t> </w:t>
            </w:r>
            <w:r>
              <w:rPr>
                <w:rFonts w:ascii="宋体" w:hAnsi="宋体" w:cs="宋体" w:eastAsia="宋体" w:hint="default"/>
                <w:sz w:val="21"/>
                <w:szCs w:val="21"/>
              </w:rPr>
              <w:t>下一</w:t>
            </w:r>
            <w:r>
              <w:rPr>
                <w:rFonts w:ascii="宋体" w:hAnsi="宋体" w:cs="宋体" w:eastAsia="宋体" w:hint="default"/>
                <w:spacing w:val="-103"/>
                <w:sz w:val="21"/>
                <w:szCs w:val="21"/>
              </w:rPr>
              <w:t> </w:t>
            </w:r>
            <w:r>
              <w:rPr>
                <w:rFonts w:ascii="宋体" w:hAnsi="宋体" w:cs="宋体" w:eastAsia="宋体" w:hint="default"/>
                <w:sz w:val="21"/>
                <w:szCs w:val="21"/>
              </w:rPr>
              <w:t>步计</w:t>
            </w:r>
            <w:r>
              <w:rPr>
                <w:rFonts w:ascii="宋体" w:hAnsi="宋体" w:cs="宋体" w:eastAsia="宋体" w:hint="default"/>
                <w:spacing w:val="-103"/>
                <w:sz w:val="21"/>
                <w:szCs w:val="21"/>
              </w:rPr>
              <w:t> </w:t>
            </w:r>
            <w:r>
              <w:rPr>
                <w:rFonts w:ascii="宋体" w:hAnsi="宋体" w:cs="宋体" w:eastAsia="宋体" w:hint="default"/>
                <w:sz w:val="21"/>
                <w:szCs w:val="21"/>
              </w:rPr>
              <w:t>划</w:t>
            </w:r>
          </w:p>
        </w:tc>
      </w:tr>
      <w:tr>
        <w:trPr>
          <w:trHeight w:val="1644" w:hRule="exact"/>
        </w:trPr>
        <w:tc>
          <w:tcPr>
            <w:tcW w:w="9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37" w:lineRule="auto" w:before="154"/>
              <w:ind w:left="103" w:right="209"/>
              <w:jc w:val="both"/>
              <w:rPr>
                <w:rFonts w:ascii="宋体" w:hAnsi="宋体" w:cs="宋体" w:eastAsia="宋体" w:hint="default"/>
                <w:sz w:val="21"/>
                <w:szCs w:val="21"/>
              </w:rPr>
            </w:pPr>
            <w:r>
              <w:rPr>
                <w:rFonts w:ascii="宋体" w:hAnsi="宋体" w:cs="宋体" w:eastAsia="宋体" w:hint="default"/>
                <w:sz w:val="21"/>
                <w:szCs w:val="21"/>
              </w:rPr>
              <w:t>与首次</w:t>
            </w:r>
            <w:r>
              <w:rPr>
                <w:rFonts w:ascii="宋体" w:hAnsi="宋体" w:cs="宋体" w:eastAsia="宋体" w:hint="default"/>
                <w:spacing w:val="-102"/>
                <w:sz w:val="21"/>
                <w:szCs w:val="21"/>
              </w:rPr>
              <w:t> </w:t>
            </w:r>
            <w:r>
              <w:rPr>
                <w:rFonts w:ascii="宋体" w:hAnsi="宋体" w:cs="宋体" w:eastAsia="宋体" w:hint="default"/>
                <w:sz w:val="21"/>
                <w:szCs w:val="21"/>
              </w:rPr>
              <w:t>公开发</w:t>
            </w:r>
            <w:r>
              <w:rPr>
                <w:rFonts w:ascii="宋体" w:hAnsi="宋体" w:cs="宋体" w:eastAsia="宋体" w:hint="default"/>
                <w:spacing w:val="-102"/>
                <w:sz w:val="21"/>
                <w:szCs w:val="21"/>
              </w:rPr>
              <w:t> </w:t>
            </w:r>
            <w:r>
              <w:rPr>
                <w:rFonts w:ascii="宋体" w:hAnsi="宋体" w:cs="宋体" w:eastAsia="宋体" w:hint="default"/>
                <w:sz w:val="21"/>
                <w:szCs w:val="21"/>
              </w:rPr>
              <w:t>行相关</w:t>
            </w:r>
            <w:r>
              <w:rPr>
                <w:rFonts w:ascii="宋体" w:hAnsi="宋体" w:cs="宋体" w:eastAsia="宋体" w:hint="default"/>
                <w:spacing w:val="-102"/>
                <w:sz w:val="21"/>
                <w:szCs w:val="21"/>
              </w:rPr>
              <w:t> </w:t>
            </w:r>
            <w:r>
              <w:rPr>
                <w:rFonts w:ascii="宋体" w:hAnsi="宋体" w:cs="宋体" w:eastAsia="宋体" w:hint="default"/>
                <w:sz w:val="21"/>
                <w:szCs w:val="21"/>
              </w:rPr>
              <w:t>的承诺</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股份</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限售</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公司控股</w:t>
            </w:r>
          </w:p>
          <w:p>
            <w:pPr>
              <w:pStyle w:val="TableParagraph"/>
              <w:spacing w:line="237" w:lineRule="auto" w:before="2"/>
              <w:ind w:left="103" w:right="98"/>
              <w:jc w:val="left"/>
              <w:rPr>
                <w:rFonts w:ascii="宋体" w:hAnsi="宋体" w:cs="宋体" w:eastAsia="宋体" w:hint="default"/>
                <w:sz w:val="21"/>
                <w:szCs w:val="21"/>
              </w:rPr>
            </w:pPr>
            <w:r>
              <w:rPr>
                <w:rFonts w:ascii="宋体" w:hAnsi="宋体" w:cs="宋体" w:eastAsia="宋体" w:hint="default"/>
                <w:sz w:val="21"/>
                <w:szCs w:val="21"/>
              </w:rPr>
              <w:t>股东及实</w:t>
            </w:r>
            <w:r>
              <w:rPr>
                <w:rFonts w:ascii="宋体" w:hAnsi="宋体" w:cs="宋体" w:eastAsia="宋体" w:hint="default"/>
                <w:w w:val="100"/>
                <w:sz w:val="21"/>
                <w:szCs w:val="21"/>
              </w:rPr>
              <w:t> </w:t>
            </w:r>
            <w:r>
              <w:rPr>
                <w:rFonts w:ascii="宋体" w:hAnsi="宋体" w:cs="宋体" w:eastAsia="宋体" w:hint="default"/>
                <w:sz w:val="21"/>
                <w:szCs w:val="21"/>
              </w:rPr>
              <w:t>际控制人</w:t>
            </w:r>
            <w:r>
              <w:rPr>
                <w:rFonts w:ascii="宋体" w:hAnsi="宋体" w:cs="宋体" w:eastAsia="宋体" w:hint="default"/>
                <w:w w:val="100"/>
                <w:sz w:val="21"/>
                <w:szCs w:val="21"/>
              </w:rPr>
              <w:t> </w:t>
            </w:r>
            <w:r>
              <w:rPr>
                <w:rFonts w:ascii="宋体" w:hAnsi="宋体" w:cs="宋体" w:eastAsia="宋体" w:hint="default"/>
                <w:spacing w:val="-7"/>
                <w:sz w:val="21"/>
                <w:szCs w:val="21"/>
              </w:rPr>
              <w:t>严孟宇、法</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人股东爱</w:t>
            </w:r>
            <w:r>
              <w:rPr>
                <w:rFonts w:ascii="宋体" w:hAnsi="宋体" w:cs="宋体" w:eastAsia="宋体" w:hint="default"/>
                <w:w w:val="100"/>
                <w:sz w:val="21"/>
                <w:szCs w:val="21"/>
              </w:rPr>
              <w:t> </w:t>
            </w:r>
            <w:r>
              <w:rPr>
                <w:rFonts w:ascii="宋体" w:hAnsi="宋体" w:cs="宋体" w:eastAsia="宋体" w:hint="default"/>
                <w:sz w:val="21"/>
                <w:szCs w:val="21"/>
              </w:rPr>
              <w:t>派克</w:t>
            </w:r>
          </w:p>
        </w:tc>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自公司股票在上海证券交易所上市</w:t>
            </w:r>
          </w:p>
          <w:p>
            <w:pPr>
              <w:pStyle w:val="TableParagraph"/>
              <w:spacing w:line="237" w:lineRule="auto" w:before="2"/>
              <w:ind w:left="103" w:right="99"/>
              <w:jc w:val="left"/>
              <w:rPr>
                <w:rFonts w:ascii="宋体" w:hAnsi="宋体" w:cs="宋体" w:eastAsia="宋体" w:hint="default"/>
                <w:sz w:val="21"/>
                <w:szCs w:val="21"/>
              </w:rPr>
            </w:pPr>
            <w:r>
              <w:rPr>
                <w:rFonts w:ascii="宋体" w:hAnsi="宋体" w:cs="宋体" w:eastAsia="宋体" w:hint="default"/>
                <w:spacing w:val="-6"/>
                <w:sz w:val="21"/>
                <w:szCs w:val="21"/>
              </w:rPr>
              <w:t>交易之日起三十六个月内，不转让或</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委托他人管理其在顶点软件本次发</w:t>
            </w:r>
            <w:r>
              <w:rPr>
                <w:rFonts w:ascii="宋体" w:hAnsi="宋体" w:cs="宋体" w:eastAsia="宋体" w:hint="default"/>
                <w:w w:val="100"/>
                <w:sz w:val="21"/>
                <w:szCs w:val="21"/>
              </w:rPr>
              <w:t> </w:t>
            </w:r>
            <w:r>
              <w:rPr>
                <w:rFonts w:ascii="宋体" w:hAnsi="宋体" w:cs="宋体" w:eastAsia="宋体" w:hint="default"/>
                <w:spacing w:val="-6"/>
                <w:sz w:val="21"/>
                <w:szCs w:val="21"/>
              </w:rPr>
              <w:t>行前持有的顶点软件的股份，也不由</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顶点软件回购该股份。</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自上市之</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z w:val="21"/>
                <w:szCs w:val="21"/>
              </w:rPr>
              <w:t>日起</w:t>
            </w:r>
            <w:r>
              <w:rPr>
                <w:rFonts w:ascii="宋体" w:hAnsi="宋体" w:cs="宋体" w:eastAsia="宋体" w:hint="default"/>
                <w:spacing w:val="-53"/>
                <w:sz w:val="21"/>
                <w:szCs w:val="21"/>
              </w:rPr>
              <w:t> </w:t>
            </w:r>
            <w:r>
              <w:rPr>
                <w:rFonts w:ascii="宋体" w:hAnsi="宋体" w:cs="宋体" w:eastAsia="宋体" w:hint="default"/>
                <w:sz w:val="21"/>
                <w:szCs w:val="21"/>
              </w:rPr>
              <w:t>36</w:t>
            </w:r>
            <w:r>
              <w:rPr>
                <w:rFonts w:ascii="宋体" w:hAnsi="宋体" w:cs="宋体" w:eastAsia="宋体" w:hint="default"/>
                <w:spacing w:val="-53"/>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月内</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不适</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用</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用</w:t>
            </w:r>
          </w:p>
        </w:tc>
      </w:tr>
      <w:tr>
        <w:trPr>
          <w:trHeight w:val="1918" w:hRule="exact"/>
        </w:trPr>
        <w:tc>
          <w:tcPr>
            <w:tcW w:w="958" w:type="dxa"/>
            <w:vMerge/>
            <w:tcBorders>
              <w:left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股份</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限售</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81"/>
              <w:jc w:val="right"/>
              <w:rPr>
                <w:rFonts w:ascii="宋体" w:hAnsi="宋体" w:cs="宋体" w:eastAsia="宋体" w:hint="default"/>
                <w:sz w:val="21"/>
                <w:szCs w:val="21"/>
              </w:rPr>
            </w:pPr>
            <w:r>
              <w:rPr>
                <w:rFonts w:ascii="宋体" w:hAnsi="宋体" w:cs="宋体" w:eastAsia="宋体" w:hint="default"/>
                <w:spacing w:val="-1"/>
                <w:sz w:val="21"/>
                <w:szCs w:val="21"/>
              </w:rPr>
              <w:t>金石投资</w:t>
            </w:r>
          </w:p>
        </w:tc>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自顶点软件股票在上海证券交易所</w:t>
            </w:r>
          </w:p>
          <w:p>
            <w:pPr>
              <w:pStyle w:val="TableParagraph"/>
              <w:spacing w:line="237" w:lineRule="auto" w:before="2"/>
              <w:ind w:left="103" w:right="99"/>
              <w:jc w:val="left"/>
              <w:rPr>
                <w:rFonts w:ascii="宋体" w:hAnsi="宋体" w:cs="宋体" w:eastAsia="宋体" w:hint="default"/>
                <w:sz w:val="21"/>
                <w:szCs w:val="21"/>
              </w:rPr>
            </w:pPr>
            <w:r>
              <w:rPr>
                <w:rFonts w:ascii="宋体" w:hAnsi="宋体" w:cs="宋体" w:eastAsia="宋体" w:hint="default"/>
                <w:spacing w:val="-6"/>
                <w:sz w:val="21"/>
                <w:szCs w:val="21"/>
              </w:rPr>
              <w:t>上市交易之日起三十六个月内，不转</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让或者委托他人管理本公司直接持</w:t>
            </w:r>
            <w:r>
              <w:rPr>
                <w:rFonts w:ascii="宋体" w:hAnsi="宋体" w:cs="宋体" w:eastAsia="宋体" w:hint="default"/>
                <w:w w:val="100"/>
                <w:sz w:val="21"/>
                <w:szCs w:val="21"/>
              </w:rPr>
              <w:t> </w:t>
            </w:r>
            <w:r>
              <w:rPr>
                <w:rFonts w:ascii="宋体" w:hAnsi="宋体" w:cs="宋体" w:eastAsia="宋体" w:hint="default"/>
                <w:sz w:val="21"/>
                <w:szCs w:val="21"/>
              </w:rPr>
              <w:t>有的顶点软件公开发行股票前已发</w:t>
            </w:r>
            <w:r>
              <w:rPr>
                <w:rFonts w:ascii="宋体" w:hAnsi="宋体" w:cs="宋体" w:eastAsia="宋体" w:hint="default"/>
                <w:w w:val="100"/>
                <w:sz w:val="21"/>
                <w:szCs w:val="21"/>
              </w:rPr>
              <w:t> </w:t>
            </w:r>
            <w:r>
              <w:rPr>
                <w:rFonts w:ascii="宋体" w:hAnsi="宋体" w:cs="宋体" w:eastAsia="宋体" w:hint="default"/>
                <w:spacing w:val="-6"/>
                <w:sz w:val="21"/>
                <w:szCs w:val="21"/>
              </w:rPr>
              <w:t>行的股份，也不由顶点软件回购本公</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司直接持有的顶点软件公开发行股</w:t>
            </w:r>
            <w:r>
              <w:rPr>
                <w:rFonts w:ascii="宋体" w:hAnsi="宋体" w:cs="宋体" w:eastAsia="宋体" w:hint="default"/>
                <w:w w:val="100"/>
                <w:sz w:val="21"/>
                <w:szCs w:val="21"/>
              </w:rPr>
              <w:t> </w:t>
            </w:r>
            <w:r>
              <w:rPr>
                <w:rFonts w:ascii="宋体" w:hAnsi="宋体" w:cs="宋体" w:eastAsia="宋体" w:hint="default"/>
                <w:sz w:val="21"/>
                <w:szCs w:val="21"/>
              </w:rPr>
              <w:t>票前已发行的股份。</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自上市之</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z w:val="21"/>
                <w:szCs w:val="21"/>
              </w:rPr>
              <w:t>日起</w:t>
            </w:r>
            <w:r>
              <w:rPr>
                <w:rFonts w:ascii="宋体" w:hAnsi="宋体" w:cs="宋体" w:eastAsia="宋体" w:hint="default"/>
                <w:spacing w:val="-53"/>
                <w:sz w:val="21"/>
                <w:szCs w:val="21"/>
              </w:rPr>
              <w:t> </w:t>
            </w:r>
            <w:r>
              <w:rPr>
                <w:rFonts w:ascii="宋体" w:hAnsi="宋体" w:cs="宋体" w:eastAsia="宋体" w:hint="default"/>
                <w:sz w:val="21"/>
                <w:szCs w:val="21"/>
              </w:rPr>
              <w:t>36</w:t>
            </w:r>
            <w:r>
              <w:rPr>
                <w:rFonts w:ascii="宋体" w:hAnsi="宋体" w:cs="宋体" w:eastAsia="宋体" w:hint="default"/>
                <w:spacing w:val="-53"/>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月内</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不适</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用</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用</w:t>
            </w:r>
          </w:p>
        </w:tc>
      </w:tr>
      <w:tr>
        <w:trPr>
          <w:trHeight w:val="4369" w:hRule="exact"/>
        </w:trPr>
        <w:tc>
          <w:tcPr>
            <w:tcW w:w="958" w:type="dxa"/>
            <w:vMerge/>
            <w:tcBorders>
              <w:left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赵伟、雷世</w:t>
            </w:r>
          </w:p>
          <w:p>
            <w:pPr>
              <w:pStyle w:val="TableParagraph"/>
              <w:spacing w:line="237" w:lineRule="auto"/>
              <w:ind w:left="103" w:right="69"/>
              <w:jc w:val="left"/>
              <w:rPr>
                <w:rFonts w:ascii="宋体" w:hAnsi="宋体" w:cs="宋体" w:eastAsia="宋体" w:hint="default"/>
                <w:sz w:val="21"/>
                <w:szCs w:val="21"/>
              </w:rPr>
            </w:pPr>
            <w:r>
              <w:rPr>
                <w:rFonts w:ascii="宋体" w:hAnsi="宋体" w:cs="宋体" w:eastAsia="宋体" w:hint="default"/>
                <w:sz w:val="21"/>
                <w:szCs w:val="21"/>
              </w:rPr>
              <w:t>潘、戴小</w:t>
            </w:r>
            <w:r>
              <w:rPr>
                <w:rFonts w:ascii="宋体" w:hAnsi="宋体" w:cs="宋体" w:eastAsia="宋体" w:hint="default"/>
                <w:w w:val="100"/>
                <w:sz w:val="21"/>
                <w:szCs w:val="21"/>
              </w:rPr>
              <w:t> </w:t>
            </w:r>
            <w:r>
              <w:rPr>
                <w:rFonts w:ascii="宋体" w:hAnsi="宋体" w:cs="宋体" w:eastAsia="宋体" w:hint="default"/>
                <w:sz w:val="21"/>
                <w:szCs w:val="21"/>
              </w:rPr>
              <w:t>戈、欧永、</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7"/>
                <w:sz w:val="21"/>
                <w:szCs w:val="21"/>
              </w:rPr>
              <w:t>林秀红、郑</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元通、赵</w:t>
            </w:r>
            <w:r>
              <w:rPr>
                <w:rFonts w:ascii="宋体" w:hAnsi="宋体" w:cs="宋体" w:eastAsia="宋体" w:hint="default"/>
                <w:w w:val="100"/>
                <w:sz w:val="21"/>
                <w:szCs w:val="21"/>
              </w:rPr>
              <w:t> </w:t>
            </w:r>
            <w:r>
              <w:rPr>
                <w:rFonts w:ascii="宋体" w:hAnsi="宋体" w:cs="宋体" w:eastAsia="宋体" w:hint="default"/>
                <w:sz w:val="21"/>
                <w:szCs w:val="21"/>
              </w:rPr>
              <w:t>莹、余养</w:t>
            </w:r>
            <w:r>
              <w:rPr>
                <w:rFonts w:ascii="宋体" w:hAnsi="宋体" w:cs="宋体" w:eastAsia="宋体" w:hint="default"/>
                <w:w w:val="100"/>
                <w:sz w:val="21"/>
                <w:szCs w:val="21"/>
              </w:rPr>
              <w:t> </w:t>
            </w:r>
            <w:r>
              <w:rPr>
                <w:rFonts w:ascii="宋体" w:hAnsi="宋体" w:cs="宋体" w:eastAsia="宋体" w:hint="default"/>
                <w:sz w:val="21"/>
                <w:szCs w:val="21"/>
              </w:rPr>
              <w:t>成、董南</w:t>
            </w:r>
            <w:r>
              <w:rPr>
                <w:rFonts w:ascii="宋体" w:hAnsi="宋体" w:cs="宋体" w:eastAsia="宋体" w:hint="default"/>
                <w:w w:val="100"/>
                <w:sz w:val="21"/>
                <w:szCs w:val="21"/>
              </w:rPr>
              <w:t> </w:t>
            </w:r>
            <w:r>
              <w:rPr>
                <w:rFonts w:ascii="宋体" w:hAnsi="宋体" w:cs="宋体" w:eastAsia="宋体" w:hint="default"/>
                <w:sz w:val="21"/>
                <w:szCs w:val="21"/>
              </w:rPr>
              <w:t>勇、张玉、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7"/>
                <w:sz w:val="21"/>
                <w:szCs w:val="21"/>
              </w:rPr>
              <w:t>刘法先、徐</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7"/>
                <w:sz w:val="21"/>
                <w:szCs w:val="21"/>
              </w:rPr>
              <w:t>传秋、邓志</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强、王敏</w:t>
            </w:r>
            <w:r>
              <w:rPr>
                <w:rFonts w:ascii="宋体" w:hAnsi="宋体" w:cs="宋体" w:eastAsia="宋体" w:hint="default"/>
                <w:w w:val="100"/>
                <w:sz w:val="21"/>
                <w:szCs w:val="21"/>
              </w:rPr>
              <w:t> </w:t>
            </w:r>
            <w:r>
              <w:rPr>
                <w:rFonts w:ascii="宋体" w:hAnsi="宋体" w:cs="宋体" w:eastAsia="宋体" w:hint="default"/>
                <w:sz w:val="21"/>
                <w:szCs w:val="21"/>
              </w:rPr>
              <w:t>航、张雄</w:t>
            </w:r>
            <w:r>
              <w:rPr>
                <w:rFonts w:ascii="宋体" w:hAnsi="宋体" w:cs="宋体" w:eastAsia="宋体" w:hint="default"/>
                <w:w w:val="100"/>
                <w:sz w:val="21"/>
                <w:szCs w:val="21"/>
              </w:rPr>
              <w:t> </w:t>
            </w:r>
            <w:r>
              <w:rPr>
                <w:rFonts w:ascii="宋体" w:hAnsi="宋体" w:cs="宋体" w:eastAsia="宋体" w:hint="default"/>
                <w:sz w:val="21"/>
                <w:szCs w:val="21"/>
              </w:rPr>
              <w:t>金、鄢继</w:t>
            </w:r>
            <w:r>
              <w:rPr>
                <w:rFonts w:ascii="宋体" w:hAnsi="宋体" w:cs="宋体" w:eastAsia="宋体" w:hint="default"/>
                <w:w w:val="100"/>
                <w:sz w:val="21"/>
                <w:szCs w:val="21"/>
              </w:rPr>
              <w:t> </w:t>
            </w:r>
            <w:r>
              <w:rPr>
                <w:rFonts w:ascii="宋体" w:hAnsi="宋体" w:cs="宋体" w:eastAsia="宋体" w:hint="default"/>
                <w:sz w:val="21"/>
                <w:szCs w:val="21"/>
              </w:rPr>
              <w:t>华、谢淑</w:t>
            </w:r>
            <w:r>
              <w:rPr>
                <w:rFonts w:ascii="宋体" w:hAnsi="宋体" w:cs="宋体" w:eastAsia="宋体" w:hint="default"/>
                <w:w w:val="100"/>
                <w:sz w:val="21"/>
                <w:szCs w:val="21"/>
              </w:rPr>
              <w:t> </w:t>
            </w:r>
            <w:r>
              <w:rPr>
                <w:rFonts w:ascii="宋体" w:hAnsi="宋体" w:cs="宋体" w:eastAsia="宋体" w:hint="default"/>
                <w:sz w:val="21"/>
                <w:szCs w:val="21"/>
              </w:rPr>
              <w:t>仁、陈瑞</w:t>
            </w:r>
            <w:r>
              <w:rPr>
                <w:rFonts w:ascii="宋体" w:hAnsi="宋体" w:cs="宋体" w:eastAsia="宋体" w:hint="default"/>
                <w:w w:val="100"/>
                <w:sz w:val="21"/>
                <w:szCs w:val="21"/>
              </w:rPr>
              <w:t> </w:t>
            </w:r>
            <w:r>
              <w:rPr>
                <w:rFonts w:ascii="宋体" w:hAnsi="宋体" w:cs="宋体" w:eastAsia="宋体" w:hint="default"/>
                <w:spacing w:val="-7"/>
                <w:sz w:val="21"/>
                <w:szCs w:val="21"/>
              </w:rPr>
              <w:t>德、陈建国</w:t>
            </w:r>
          </w:p>
        </w:tc>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自公司股票在上海证券交易所上市</w:t>
            </w:r>
          </w:p>
          <w:p>
            <w:pPr>
              <w:pStyle w:val="TableParagraph"/>
              <w:spacing w:line="237" w:lineRule="auto"/>
              <w:ind w:left="103" w:right="99"/>
              <w:jc w:val="left"/>
              <w:rPr>
                <w:rFonts w:ascii="宋体" w:hAnsi="宋体" w:cs="宋体" w:eastAsia="宋体" w:hint="default"/>
                <w:sz w:val="21"/>
                <w:szCs w:val="21"/>
              </w:rPr>
            </w:pPr>
            <w:r>
              <w:rPr>
                <w:rFonts w:ascii="宋体" w:hAnsi="宋体" w:cs="宋体" w:eastAsia="宋体" w:hint="default"/>
                <w:spacing w:val="-6"/>
                <w:sz w:val="21"/>
                <w:szCs w:val="21"/>
              </w:rPr>
              <w:t>交易之日起十二个月内，不转让或委</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托他人管理其在顶点软件本次发行</w:t>
            </w:r>
            <w:r>
              <w:rPr>
                <w:rFonts w:ascii="宋体" w:hAnsi="宋体" w:cs="宋体" w:eastAsia="宋体" w:hint="default"/>
                <w:w w:val="100"/>
                <w:sz w:val="21"/>
                <w:szCs w:val="21"/>
              </w:rPr>
              <w:t> </w:t>
            </w:r>
            <w:r>
              <w:rPr>
                <w:rFonts w:ascii="宋体" w:hAnsi="宋体" w:cs="宋体" w:eastAsia="宋体" w:hint="default"/>
                <w:spacing w:val="-6"/>
                <w:sz w:val="21"/>
                <w:szCs w:val="21"/>
              </w:rPr>
              <w:t>前持有的顶点软件的股份，也不由顶</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点软件回购该股份。</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自上市之</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日起</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月内</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不适</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用</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用</w:t>
            </w:r>
          </w:p>
        </w:tc>
      </w:tr>
      <w:tr>
        <w:trPr>
          <w:trHeight w:val="1916" w:hRule="exact"/>
        </w:trPr>
        <w:tc>
          <w:tcPr>
            <w:tcW w:w="958" w:type="dxa"/>
            <w:vMerge/>
            <w:tcBorders>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黄义青、赵</w:t>
            </w:r>
          </w:p>
          <w:p>
            <w:pPr>
              <w:pStyle w:val="TableParagraph"/>
              <w:spacing w:line="240" w:lineRule="auto"/>
              <w:ind w:left="103" w:right="69"/>
              <w:jc w:val="left"/>
              <w:rPr>
                <w:rFonts w:ascii="宋体" w:hAnsi="宋体" w:cs="宋体" w:eastAsia="宋体" w:hint="default"/>
                <w:sz w:val="21"/>
                <w:szCs w:val="21"/>
              </w:rPr>
            </w:pPr>
            <w:r>
              <w:rPr>
                <w:rFonts w:ascii="宋体" w:hAnsi="宋体" w:cs="宋体" w:eastAsia="宋体" w:hint="default"/>
                <w:sz w:val="21"/>
                <w:szCs w:val="21"/>
              </w:rPr>
              <w:t>伟、欧永、</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雷世潘</w:t>
            </w:r>
          </w:p>
        </w:tc>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自公司股票上市之日起三十六个月</w:t>
            </w:r>
          </w:p>
          <w:p>
            <w:pPr>
              <w:pStyle w:val="TableParagraph"/>
              <w:spacing w:line="237" w:lineRule="auto"/>
              <w:ind w:left="103" w:right="99"/>
              <w:jc w:val="left"/>
              <w:rPr>
                <w:rFonts w:ascii="宋体" w:hAnsi="宋体" w:cs="宋体" w:eastAsia="宋体" w:hint="default"/>
                <w:sz w:val="21"/>
                <w:szCs w:val="21"/>
              </w:rPr>
            </w:pPr>
            <w:r>
              <w:rPr>
                <w:rFonts w:ascii="宋体" w:hAnsi="宋体" w:cs="宋体" w:eastAsia="宋体" w:hint="default"/>
                <w:spacing w:val="-6"/>
                <w:sz w:val="21"/>
                <w:szCs w:val="21"/>
              </w:rPr>
              <w:t>内，不转让或者委托他人管理其所持</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有的爱派克股权；在前述限售期满</w:t>
            </w:r>
            <w:r>
              <w:rPr>
                <w:rFonts w:ascii="宋体" w:hAnsi="宋体" w:cs="宋体" w:eastAsia="宋体" w:hint="default"/>
                <w:w w:val="100"/>
                <w:sz w:val="21"/>
                <w:szCs w:val="21"/>
              </w:rPr>
              <w:t> </w:t>
            </w:r>
            <w:r>
              <w:rPr>
                <w:rFonts w:ascii="宋体" w:hAnsi="宋体" w:cs="宋体" w:eastAsia="宋体" w:hint="default"/>
                <w:spacing w:val="-6"/>
                <w:sz w:val="21"/>
                <w:szCs w:val="21"/>
              </w:rPr>
              <w:t>后，其通过爱派克间接持有的公司股</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份在任职期间每年转让的比例不超</w:t>
            </w:r>
            <w:r>
              <w:rPr>
                <w:rFonts w:ascii="宋体" w:hAnsi="宋体" w:cs="宋体" w:eastAsia="宋体" w:hint="default"/>
                <w:w w:val="100"/>
                <w:sz w:val="21"/>
                <w:szCs w:val="21"/>
              </w:rPr>
              <w:t> </w:t>
            </w:r>
            <w:r>
              <w:rPr>
                <w:rFonts w:ascii="宋体" w:hAnsi="宋体" w:cs="宋体" w:eastAsia="宋体" w:hint="default"/>
                <w:spacing w:val="-6"/>
                <w:sz w:val="21"/>
                <w:szCs w:val="21"/>
              </w:rPr>
              <w:t>过所持股份总数的百分之二十五；在</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6"/>
                <w:sz w:val="21"/>
                <w:szCs w:val="21"/>
              </w:rPr>
              <w:t>离职后半年内，不转让通过爱派克间</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自上市之</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日起</w:t>
            </w:r>
            <w:r>
              <w:rPr>
                <w:rFonts w:ascii="宋体" w:hAnsi="宋体" w:cs="宋体" w:eastAsia="宋体" w:hint="default"/>
                <w:spacing w:val="-53"/>
                <w:sz w:val="21"/>
                <w:szCs w:val="21"/>
              </w:rPr>
              <w:t> </w:t>
            </w:r>
            <w:r>
              <w:rPr>
                <w:rFonts w:ascii="宋体" w:hAnsi="宋体" w:cs="宋体" w:eastAsia="宋体" w:hint="default"/>
                <w:sz w:val="21"/>
                <w:szCs w:val="21"/>
              </w:rPr>
              <w:t>36</w:t>
            </w:r>
            <w:r>
              <w:rPr>
                <w:rFonts w:ascii="宋体" w:hAnsi="宋体" w:cs="宋体" w:eastAsia="宋体" w:hint="default"/>
                <w:spacing w:val="-53"/>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月内</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不适</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用</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用</w:t>
            </w:r>
          </w:p>
        </w:tc>
      </w:tr>
    </w:tbl>
    <w:p>
      <w:pPr>
        <w:spacing w:after="0" w:line="273" w:lineRule="exact"/>
        <w:jc w:val="left"/>
        <w:rPr>
          <w:rFonts w:ascii="宋体" w:hAnsi="宋体" w:cs="宋体" w:eastAsia="宋体" w:hint="default"/>
          <w:sz w:val="21"/>
          <w:szCs w:val="21"/>
        </w:rPr>
        <w:sectPr>
          <w:pgSz w:w="11910" w:h="16840"/>
          <w:pgMar w:header="855" w:footer="1195" w:top="1280" w:bottom="1380" w:left="540" w:right="340"/>
        </w:sectPr>
      </w:pPr>
    </w:p>
    <w:p>
      <w:pPr>
        <w:spacing w:line="240" w:lineRule="auto" w:before="3"/>
        <w:rPr>
          <w:rFonts w:ascii="Times New Roman" w:hAnsi="Times New Roman" w:cs="Times New Roman" w:eastAsia="Times New Roman" w:hint="default"/>
          <w:sz w:val="20"/>
          <w:szCs w:val="20"/>
        </w:rPr>
      </w:pPr>
    </w:p>
    <w:tbl>
      <w:tblPr>
        <w:tblW w:w="0" w:type="auto"/>
        <w:jc w:val="left"/>
        <w:tblInd w:w="117" w:type="dxa"/>
        <w:tblLayout w:type="fixed"/>
        <w:tblCellMar>
          <w:top w:w="0" w:type="dxa"/>
          <w:left w:w="0" w:type="dxa"/>
          <w:bottom w:w="0" w:type="dxa"/>
          <w:right w:w="0" w:type="dxa"/>
        </w:tblCellMar>
        <w:tblLook w:val="01E0"/>
      </w:tblPr>
      <w:tblGrid>
        <w:gridCol w:w="958"/>
        <w:gridCol w:w="670"/>
        <w:gridCol w:w="1238"/>
        <w:gridCol w:w="3507"/>
        <w:gridCol w:w="1162"/>
        <w:gridCol w:w="812"/>
        <w:gridCol w:w="811"/>
        <w:gridCol w:w="811"/>
        <w:gridCol w:w="809"/>
      </w:tblGrid>
      <w:tr>
        <w:trPr>
          <w:trHeight w:val="284" w:hRule="exact"/>
        </w:trPr>
        <w:tc>
          <w:tcPr>
            <w:tcW w:w="958" w:type="dxa"/>
            <w:vMerge w:val="restart"/>
            <w:tcBorders>
              <w:top w:val="single" w:sz="4" w:space="0" w:color="000000"/>
              <w:left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接持有的公司股份。</w:t>
            </w:r>
          </w:p>
        </w:tc>
        <w:tc>
          <w:tcPr>
            <w:tcW w:w="1162"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r>
      <w:tr>
        <w:trPr>
          <w:trHeight w:val="1373" w:hRule="exact"/>
        </w:trPr>
        <w:tc>
          <w:tcPr>
            <w:tcW w:w="958" w:type="dxa"/>
            <w:vMerge/>
            <w:tcBorders>
              <w:left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林永正</w:t>
            </w:r>
          </w:p>
        </w:tc>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自公司股票在上海证券交易所上市</w:t>
            </w:r>
          </w:p>
          <w:p>
            <w:pPr>
              <w:pStyle w:val="TableParagraph"/>
              <w:spacing w:line="237" w:lineRule="auto" w:before="2"/>
              <w:ind w:left="103" w:right="99"/>
              <w:jc w:val="left"/>
              <w:rPr>
                <w:rFonts w:ascii="宋体" w:hAnsi="宋体" w:cs="宋体" w:eastAsia="宋体" w:hint="default"/>
                <w:sz w:val="21"/>
                <w:szCs w:val="21"/>
              </w:rPr>
            </w:pPr>
            <w:r>
              <w:rPr>
                <w:rFonts w:ascii="宋体" w:hAnsi="宋体" w:cs="宋体" w:eastAsia="宋体" w:hint="default"/>
                <w:spacing w:val="-6"/>
                <w:sz w:val="21"/>
                <w:szCs w:val="21"/>
              </w:rPr>
              <w:t>交易之日起三十六个月内，不转让或</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者委托他人管理其通过爱派克间接</w:t>
            </w:r>
            <w:r>
              <w:rPr>
                <w:rFonts w:ascii="宋体" w:hAnsi="宋体" w:cs="宋体" w:eastAsia="宋体" w:hint="default"/>
                <w:w w:val="100"/>
                <w:sz w:val="21"/>
                <w:szCs w:val="21"/>
              </w:rPr>
              <w:t> </w:t>
            </w:r>
            <w:r>
              <w:rPr>
                <w:rFonts w:ascii="宋体" w:hAnsi="宋体" w:cs="宋体" w:eastAsia="宋体" w:hint="default"/>
                <w:spacing w:val="-6"/>
                <w:sz w:val="21"/>
                <w:szCs w:val="21"/>
              </w:rPr>
              <w:t>持有的公司股份，并且不转让或委托</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他人管理其所持有的爱派克股权。</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自上市之</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z w:val="21"/>
                <w:szCs w:val="21"/>
              </w:rPr>
              <w:t>日起</w:t>
            </w:r>
            <w:r>
              <w:rPr>
                <w:rFonts w:ascii="宋体" w:hAnsi="宋体" w:cs="宋体" w:eastAsia="宋体" w:hint="default"/>
                <w:spacing w:val="-53"/>
                <w:sz w:val="21"/>
                <w:szCs w:val="21"/>
              </w:rPr>
              <w:t> </w:t>
            </w:r>
            <w:r>
              <w:rPr>
                <w:rFonts w:ascii="宋体" w:hAnsi="宋体" w:cs="宋体" w:eastAsia="宋体" w:hint="default"/>
                <w:sz w:val="21"/>
                <w:szCs w:val="21"/>
              </w:rPr>
              <w:t>36</w:t>
            </w:r>
            <w:r>
              <w:rPr>
                <w:rFonts w:ascii="宋体" w:hAnsi="宋体" w:cs="宋体" w:eastAsia="宋体" w:hint="default"/>
                <w:spacing w:val="-53"/>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月内</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不适</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用</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用</w:t>
            </w:r>
          </w:p>
        </w:tc>
      </w:tr>
      <w:tr>
        <w:trPr>
          <w:trHeight w:val="3550" w:hRule="exact"/>
        </w:trPr>
        <w:tc>
          <w:tcPr>
            <w:tcW w:w="958" w:type="dxa"/>
            <w:vMerge/>
            <w:tcBorders>
              <w:left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严孟宇先</w:t>
            </w:r>
          </w:p>
          <w:p>
            <w:pPr>
              <w:pStyle w:val="TableParagraph"/>
              <w:spacing w:line="237" w:lineRule="auto"/>
              <w:ind w:left="103" w:right="69"/>
              <w:jc w:val="left"/>
              <w:rPr>
                <w:rFonts w:ascii="宋体" w:hAnsi="宋体" w:cs="宋体" w:eastAsia="宋体" w:hint="default"/>
                <w:sz w:val="21"/>
                <w:szCs w:val="21"/>
              </w:rPr>
            </w:pPr>
            <w:r>
              <w:rPr>
                <w:rFonts w:ascii="宋体" w:hAnsi="宋体" w:cs="宋体" w:eastAsia="宋体" w:hint="default"/>
                <w:spacing w:val="-7"/>
                <w:sz w:val="21"/>
                <w:szCs w:val="21"/>
              </w:rPr>
              <w:t>生、法人股</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东爱派克</w:t>
            </w:r>
            <w:r>
              <w:rPr>
                <w:rFonts w:ascii="宋体" w:hAnsi="宋体" w:cs="宋体" w:eastAsia="宋体" w:hint="default"/>
                <w:w w:val="100"/>
                <w:sz w:val="21"/>
                <w:szCs w:val="21"/>
              </w:rPr>
              <w:t> </w:t>
            </w:r>
            <w:r>
              <w:rPr>
                <w:rFonts w:ascii="宋体" w:hAnsi="宋体" w:cs="宋体" w:eastAsia="宋体" w:hint="default"/>
                <w:sz w:val="21"/>
                <w:szCs w:val="21"/>
              </w:rPr>
              <w:t>及持有公</w:t>
            </w:r>
            <w:r>
              <w:rPr>
                <w:rFonts w:ascii="宋体" w:hAnsi="宋体" w:cs="宋体" w:eastAsia="宋体" w:hint="default"/>
                <w:w w:val="100"/>
                <w:sz w:val="21"/>
                <w:szCs w:val="21"/>
              </w:rPr>
              <w:t> </w:t>
            </w:r>
            <w:r>
              <w:rPr>
                <w:rFonts w:ascii="宋体" w:hAnsi="宋体" w:cs="宋体" w:eastAsia="宋体" w:hint="default"/>
                <w:sz w:val="21"/>
                <w:szCs w:val="21"/>
              </w:rPr>
              <w:t>司股份的</w:t>
            </w:r>
            <w:r>
              <w:rPr>
                <w:rFonts w:ascii="宋体" w:hAnsi="宋体" w:cs="宋体" w:eastAsia="宋体" w:hint="default"/>
                <w:w w:val="100"/>
                <w:sz w:val="21"/>
                <w:szCs w:val="21"/>
              </w:rPr>
              <w:t> </w:t>
            </w:r>
            <w:r>
              <w:rPr>
                <w:rFonts w:ascii="宋体" w:hAnsi="宋体" w:cs="宋体" w:eastAsia="宋体" w:hint="default"/>
                <w:sz w:val="21"/>
                <w:szCs w:val="21"/>
              </w:rPr>
              <w:t>公司董事、</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高级管理</w:t>
            </w:r>
            <w:r>
              <w:rPr>
                <w:rFonts w:ascii="宋体" w:hAnsi="宋体" w:cs="宋体" w:eastAsia="宋体" w:hint="default"/>
                <w:w w:val="100"/>
                <w:sz w:val="21"/>
                <w:szCs w:val="21"/>
              </w:rPr>
              <w:t> </w:t>
            </w:r>
            <w:r>
              <w:rPr>
                <w:rFonts w:ascii="宋体" w:hAnsi="宋体" w:cs="宋体" w:eastAsia="宋体" w:hint="default"/>
                <w:sz w:val="21"/>
                <w:szCs w:val="21"/>
              </w:rPr>
              <w:t>人员</w:t>
            </w:r>
          </w:p>
        </w:tc>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所持股票在锁定期满后两年内减持</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pacing w:val="-6"/>
                <w:sz w:val="21"/>
                <w:szCs w:val="21"/>
              </w:rPr>
              <w:t>的，其减持价格不低于发行价；公司</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上市之日起</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个月内如公司股票连</w:t>
            </w:r>
          </w:p>
          <w:p>
            <w:pPr>
              <w:pStyle w:val="TableParagraph"/>
              <w:spacing w:line="271" w:lineRule="exact"/>
              <w:ind w:left="103" w:right="0"/>
              <w:jc w:val="left"/>
              <w:rPr>
                <w:rFonts w:ascii="宋体" w:hAnsi="宋体" w:cs="宋体" w:eastAsia="宋体" w:hint="default"/>
                <w:sz w:val="21"/>
                <w:szCs w:val="21"/>
              </w:rPr>
            </w:pPr>
            <w:r>
              <w:rPr>
                <w:rFonts w:ascii="宋体" w:hAnsi="宋体" w:cs="宋体" w:eastAsia="宋体" w:hint="default"/>
                <w:sz w:val="21"/>
                <w:szCs w:val="21"/>
              </w:rPr>
              <w:t>续</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5"/>
                <w:sz w:val="21"/>
                <w:szCs w:val="21"/>
              </w:rPr>
              <w:t> </w:t>
            </w:r>
            <w:r>
              <w:rPr>
                <w:rFonts w:ascii="宋体" w:hAnsi="宋体" w:cs="宋体" w:eastAsia="宋体" w:hint="default"/>
                <w:sz w:val="21"/>
                <w:szCs w:val="21"/>
              </w:rPr>
              <w:t>个交易日的收盘价均低于发行</w:t>
            </w:r>
          </w:p>
          <w:p>
            <w:pPr>
              <w:pStyle w:val="TableParagraph"/>
              <w:spacing w:line="237" w:lineRule="auto" w:before="2"/>
              <w:ind w:left="103" w:right="98"/>
              <w:jc w:val="left"/>
              <w:rPr>
                <w:rFonts w:ascii="宋体" w:hAnsi="宋体" w:cs="宋体" w:eastAsia="宋体" w:hint="default"/>
                <w:sz w:val="21"/>
                <w:szCs w:val="21"/>
              </w:rPr>
            </w:pPr>
            <w:r>
              <w:rPr>
                <w:rFonts w:ascii="宋体" w:hAnsi="宋体" w:cs="宋体" w:eastAsia="宋体" w:hint="default"/>
                <w:spacing w:val="-12"/>
                <w:sz w:val="21"/>
                <w:szCs w:val="21"/>
              </w:rPr>
              <w:t>价，或者上市后</w:t>
            </w:r>
            <w:r>
              <w:rPr>
                <w:rFonts w:ascii="宋体" w:hAnsi="宋体" w:cs="宋体" w:eastAsia="宋体" w:hint="default"/>
                <w:spacing w:val="-46"/>
                <w:sz w:val="21"/>
                <w:szCs w:val="21"/>
              </w:rPr>
              <w:t> </w:t>
            </w:r>
            <w:r>
              <w:rPr>
                <w:rFonts w:ascii="宋体" w:hAnsi="宋体" w:cs="宋体" w:eastAsia="宋体" w:hint="default"/>
                <w:sz w:val="21"/>
                <w:szCs w:val="21"/>
              </w:rPr>
              <w:t>6</w:t>
            </w:r>
            <w:r>
              <w:rPr>
                <w:rFonts w:ascii="宋体" w:hAnsi="宋体" w:cs="宋体" w:eastAsia="宋体" w:hint="default"/>
                <w:spacing w:val="-49"/>
                <w:sz w:val="21"/>
                <w:szCs w:val="21"/>
              </w:rPr>
              <w:t> </w:t>
            </w:r>
            <w:r>
              <w:rPr>
                <w:rFonts w:ascii="宋体" w:hAnsi="宋体" w:cs="宋体" w:eastAsia="宋体" w:hint="default"/>
                <w:sz w:val="21"/>
                <w:szCs w:val="21"/>
              </w:rPr>
              <w:t>个月期末收盘价低</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6"/>
                <w:sz w:val="21"/>
                <w:szCs w:val="21"/>
              </w:rPr>
              <w:t>于发行价，其持有公司股票的锁定期</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限在原有锁定期限基础上自动延长</w:t>
            </w:r>
            <w:r>
              <w:rPr>
                <w:rFonts w:ascii="宋体" w:hAnsi="宋体" w:cs="宋体" w:eastAsia="宋体" w:hint="default"/>
                <w:spacing w:val="-71"/>
                <w:sz w:val="21"/>
                <w:szCs w:val="21"/>
              </w:rPr>
              <w:t> </w:t>
            </w:r>
            <w:r>
              <w:rPr>
                <w:rFonts w:ascii="宋体" w:hAnsi="宋体" w:cs="宋体" w:eastAsia="宋体" w:hint="default"/>
                <w:sz w:val="21"/>
                <w:szCs w:val="21"/>
              </w:rPr>
              <w:t>6</w:t>
            </w:r>
            <w:r>
              <w:rPr>
                <w:rFonts w:ascii="宋体" w:hAnsi="宋体" w:cs="宋体" w:eastAsia="宋体" w:hint="default"/>
                <w:w w:val="100"/>
                <w:sz w:val="21"/>
                <w:szCs w:val="21"/>
              </w:rPr>
              <w:t> </w:t>
            </w:r>
            <w:r>
              <w:rPr>
                <w:rFonts w:ascii="宋体" w:hAnsi="宋体" w:cs="宋体" w:eastAsia="宋体" w:hint="default"/>
                <w:sz w:val="21"/>
                <w:szCs w:val="21"/>
              </w:rPr>
              <w:t>个月。自公司股票上市至其减持期</w:t>
            </w:r>
            <w:r>
              <w:rPr>
                <w:rFonts w:ascii="宋体" w:hAnsi="宋体" w:cs="宋体" w:eastAsia="宋体" w:hint="default"/>
                <w:w w:val="100"/>
                <w:sz w:val="21"/>
                <w:szCs w:val="21"/>
              </w:rPr>
              <w:t> </w:t>
            </w:r>
            <w:r>
              <w:rPr>
                <w:rFonts w:ascii="宋体" w:hAnsi="宋体" w:cs="宋体" w:eastAsia="宋体" w:hint="default"/>
                <w:spacing w:val="-6"/>
                <w:sz w:val="21"/>
                <w:szCs w:val="21"/>
              </w:rPr>
              <w:t>间，公司如有派息、送股、资本公积</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6"/>
                <w:sz w:val="21"/>
                <w:szCs w:val="21"/>
              </w:rPr>
              <w:t>金转增股本、配股、增发等除权除息</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6"/>
                <w:sz w:val="21"/>
                <w:szCs w:val="21"/>
              </w:rPr>
              <w:t>事项，上述减持价格及收盘价等将相</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6"/>
                <w:sz w:val="21"/>
                <w:szCs w:val="21"/>
              </w:rPr>
              <w:t>应进行调整。上述承诺不因其职务变</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更、离职等原因而失效。</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锁定期满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后</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不适</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用</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用</w:t>
            </w:r>
          </w:p>
        </w:tc>
      </w:tr>
      <w:tr>
        <w:trPr>
          <w:trHeight w:val="4368" w:hRule="exact"/>
        </w:trPr>
        <w:tc>
          <w:tcPr>
            <w:tcW w:w="958" w:type="dxa"/>
            <w:vMerge/>
            <w:tcBorders>
              <w:left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分红</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上市公司</w:t>
            </w:r>
          </w:p>
        </w:tc>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公司采取现金、股票或二者相结合的</w:t>
            </w:r>
          </w:p>
          <w:p>
            <w:pPr>
              <w:pStyle w:val="TableParagraph"/>
              <w:spacing w:line="237" w:lineRule="auto" w:before="2"/>
              <w:ind w:left="103" w:right="98"/>
              <w:jc w:val="left"/>
              <w:rPr>
                <w:rFonts w:ascii="宋体" w:hAnsi="宋体" w:cs="宋体" w:eastAsia="宋体" w:hint="default"/>
                <w:sz w:val="21"/>
                <w:szCs w:val="21"/>
              </w:rPr>
            </w:pPr>
            <w:r>
              <w:rPr>
                <w:rFonts w:ascii="宋体" w:hAnsi="宋体" w:cs="宋体" w:eastAsia="宋体" w:hint="default"/>
                <w:spacing w:val="-6"/>
                <w:sz w:val="21"/>
                <w:szCs w:val="21"/>
              </w:rPr>
              <w:t>方式分配股利，并优先以现金方式分</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6"/>
                <w:sz w:val="21"/>
                <w:szCs w:val="21"/>
              </w:rPr>
              <w:t>配利润。公司主要采取现金分红的利</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润分配政策，即公司当年度实现盈</w:t>
            </w:r>
            <w:r>
              <w:rPr>
                <w:rFonts w:ascii="宋体" w:hAnsi="宋体" w:cs="宋体" w:eastAsia="宋体" w:hint="default"/>
                <w:w w:val="100"/>
                <w:sz w:val="21"/>
                <w:szCs w:val="21"/>
              </w:rPr>
              <w:t> </w:t>
            </w:r>
            <w:r>
              <w:rPr>
                <w:rFonts w:ascii="宋体" w:hAnsi="宋体" w:cs="宋体" w:eastAsia="宋体" w:hint="default"/>
                <w:spacing w:val="-6"/>
                <w:sz w:val="21"/>
                <w:szCs w:val="21"/>
              </w:rPr>
              <w:t>利，在依法弥补亏损、提取法定公积</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6"/>
                <w:sz w:val="21"/>
                <w:szCs w:val="21"/>
              </w:rPr>
              <w:t>金后有可分配利润的，则公司应当进</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行现金分红。</w:t>
            </w:r>
            <w:r>
              <w:rPr>
                <w:rFonts w:ascii="宋体" w:hAnsi="宋体" w:cs="宋体" w:eastAsia="宋体" w:hint="default"/>
                <w:w w:val="100"/>
                <w:sz w:val="21"/>
                <w:szCs w:val="21"/>
              </w:rPr>
              <w:t> </w:t>
            </w:r>
            <w:r>
              <w:rPr>
                <w:rFonts w:ascii="宋体" w:hAnsi="宋体" w:cs="宋体" w:eastAsia="宋体" w:hint="default"/>
                <w:sz w:val="21"/>
                <w:szCs w:val="21"/>
              </w:rPr>
              <w:t>公司利润分配不得超过累计可分配</w:t>
            </w:r>
            <w:r>
              <w:rPr>
                <w:rFonts w:ascii="宋体" w:hAnsi="宋体" w:cs="宋体" w:eastAsia="宋体" w:hint="default"/>
                <w:w w:val="100"/>
                <w:sz w:val="21"/>
                <w:szCs w:val="21"/>
              </w:rPr>
              <w:t> </w:t>
            </w:r>
            <w:r>
              <w:rPr>
                <w:rFonts w:ascii="宋体" w:hAnsi="宋体" w:cs="宋体" w:eastAsia="宋体" w:hint="default"/>
                <w:sz w:val="21"/>
                <w:szCs w:val="21"/>
              </w:rPr>
              <w:t>利润的范围。</w:t>
            </w:r>
            <w:r>
              <w:rPr>
                <w:rFonts w:ascii="宋体" w:hAnsi="宋体" w:cs="宋体" w:eastAsia="宋体" w:hint="default"/>
                <w:w w:val="100"/>
                <w:sz w:val="21"/>
                <w:szCs w:val="21"/>
              </w:rPr>
              <w:t> </w:t>
            </w:r>
            <w:r>
              <w:rPr>
                <w:rFonts w:ascii="宋体" w:hAnsi="宋体" w:cs="宋体" w:eastAsia="宋体" w:hint="default"/>
                <w:sz w:val="21"/>
                <w:szCs w:val="21"/>
              </w:rPr>
              <w:t>公司如无重大投资计划或重大现金</w:t>
            </w:r>
            <w:r>
              <w:rPr>
                <w:rFonts w:ascii="宋体" w:hAnsi="宋体" w:cs="宋体" w:eastAsia="宋体" w:hint="default"/>
                <w:w w:val="100"/>
                <w:sz w:val="21"/>
                <w:szCs w:val="21"/>
              </w:rPr>
              <w:t> </w:t>
            </w:r>
            <w:r>
              <w:rPr>
                <w:rFonts w:ascii="宋体" w:hAnsi="宋体" w:cs="宋体" w:eastAsia="宋体" w:hint="default"/>
                <w:spacing w:val="-6"/>
                <w:sz w:val="21"/>
                <w:szCs w:val="21"/>
              </w:rPr>
              <w:t>支出发生，单一年度以现金方式分配</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的利润不少于当年度实现的可分配</w:t>
            </w:r>
            <w:r>
              <w:rPr>
                <w:rFonts w:ascii="宋体" w:hAnsi="宋体" w:cs="宋体" w:eastAsia="宋体" w:hint="default"/>
                <w:w w:val="100"/>
                <w:sz w:val="21"/>
                <w:szCs w:val="21"/>
              </w:rPr>
              <w:t> </w:t>
            </w:r>
            <w:r>
              <w:rPr>
                <w:rFonts w:ascii="宋体" w:hAnsi="宋体" w:cs="宋体" w:eastAsia="宋体" w:hint="default"/>
                <w:sz w:val="21"/>
                <w:szCs w:val="21"/>
              </w:rPr>
              <w:t>利润的</w:t>
            </w:r>
            <w:r>
              <w:rPr>
                <w:rFonts w:ascii="宋体" w:hAnsi="宋体" w:cs="宋体" w:eastAsia="宋体" w:hint="default"/>
                <w:spacing w:val="-35"/>
                <w:sz w:val="21"/>
                <w:szCs w:val="21"/>
              </w:rPr>
              <w:t> </w:t>
            </w:r>
            <w:r>
              <w:rPr>
                <w:rFonts w:ascii="宋体" w:hAnsi="宋体" w:cs="宋体" w:eastAsia="宋体" w:hint="default"/>
                <w:spacing w:val="-3"/>
                <w:sz w:val="21"/>
                <w:szCs w:val="21"/>
              </w:rPr>
              <w:t>10%</w:t>
            </w:r>
            <w:r>
              <w:rPr>
                <w:rFonts w:ascii="宋体" w:hAnsi="宋体" w:cs="宋体" w:eastAsia="宋体" w:hint="default"/>
                <w:spacing w:val="-3"/>
                <w:sz w:val="21"/>
                <w:szCs w:val="21"/>
              </w:rPr>
              <w:t>。重大投资计划或者重大</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6"/>
                <w:sz w:val="21"/>
                <w:szCs w:val="21"/>
              </w:rPr>
              <w:t>现金支出是指达到《公司章程》第四</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十条规定的标准需经公司股东大会</w:t>
            </w:r>
            <w:r>
              <w:rPr>
                <w:rFonts w:ascii="宋体" w:hAnsi="宋体" w:cs="宋体" w:eastAsia="宋体" w:hint="default"/>
                <w:w w:val="100"/>
                <w:sz w:val="21"/>
                <w:szCs w:val="21"/>
              </w:rPr>
              <w:t> </w:t>
            </w:r>
            <w:r>
              <w:rPr>
                <w:rFonts w:ascii="宋体" w:hAnsi="宋体" w:cs="宋体" w:eastAsia="宋体" w:hint="default"/>
                <w:sz w:val="21"/>
                <w:szCs w:val="21"/>
              </w:rPr>
              <w:t>审议通过的事项。</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长期有效</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不适</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用</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用</w:t>
            </w:r>
          </w:p>
        </w:tc>
      </w:tr>
      <w:tr>
        <w:trPr>
          <w:trHeight w:val="4095" w:hRule="exact"/>
        </w:trPr>
        <w:tc>
          <w:tcPr>
            <w:tcW w:w="958" w:type="dxa"/>
            <w:vMerge/>
            <w:tcBorders>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解决</w:t>
            </w:r>
          </w:p>
          <w:p>
            <w:pPr>
              <w:pStyle w:val="TableParagraph"/>
              <w:spacing w:line="240" w:lineRule="auto"/>
              <w:ind w:left="103" w:right="132"/>
              <w:jc w:val="left"/>
              <w:rPr>
                <w:rFonts w:ascii="宋体" w:hAnsi="宋体" w:cs="宋体" w:eastAsia="宋体" w:hint="default"/>
                <w:sz w:val="21"/>
                <w:szCs w:val="21"/>
              </w:rPr>
            </w:pPr>
            <w:r>
              <w:rPr>
                <w:rFonts w:ascii="宋体" w:hAnsi="宋体" w:cs="宋体" w:eastAsia="宋体" w:hint="default"/>
                <w:sz w:val="21"/>
                <w:szCs w:val="21"/>
              </w:rPr>
              <w:t>同业</w:t>
            </w:r>
            <w:r>
              <w:rPr>
                <w:rFonts w:ascii="宋体" w:hAnsi="宋体" w:cs="宋体" w:eastAsia="宋体" w:hint="default"/>
                <w:spacing w:val="-103"/>
                <w:sz w:val="21"/>
                <w:szCs w:val="21"/>
              </w:rPr>
              <w:t> </w:t>
            </w:r>
            <w:r>
              <w:rPr>
                <w:rFonts w:ascii="宋体" w:hAnsi="宋体" w:cs="宋体" w:eastAsia="宋体" w:hint="default"/>
                <w:sz w:val="21"/>
                <w:szCs w:val="21"/>
              </w:rPr>
              <w:t>竞争</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公司控股</w:t>
            </w:r>
          </w:p>
          <w:p>
            <w:pPr>
              <w:pStyle w:val="TableParagraph"/>
              <w:spacing w:line="237" w:lineRule="auto" w:before="1"/>
              <w:ind w:left="103" w:right="98"/>
              <w:jc w:val="left"/>
              <w:rPr>
                <w:rFonts w:ascii="宋体" w:hAnsi="宋体" w:cs="宋体" w:eastAsia="宋体" w:hint="default"/>
                <w:sz w:val="21"/>
                <w:szCs w:val="21"/>
              </w:rPr>
            </w:pPr>
            <w:r>
              <w:rPr>
                <w:rFonts w:ascii="宋体" w:hAnsi="宋体" w:cs="宋体" w:eastAsia="宋体" w:hint="default"/>
                <w:spacing w:val="-7"/>
                <w:sz w:val="21"/>
                <w:szCs w:val="21"/>
              </w:rPr>
              <w:t>股东、实际</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控制人严</w:t>
            </w:r>
            <w:r>
              <w:rPr>
                <w:rFonts w:ascii="宋体" w:hAnsi="宋体" w:cs="宋体" w:eastAsia="宋体" w:hint="default"/>
                <w:w w:val="100"/>
                <w:sz w:val="21"/>
                <w:szCs w:val="21"/>
              </w:rPr>
              <w:t> </w:t>
            </w:r>
            <w:r>
              <w:rPr>
                <w:rFonts w:ascii="宋体" w:hAnsi="宋体" w:cs="宋体" w:eastAsia="宋体" w:hint="default"/>
                <w:sz w:val="21"/>
                <w:szCs w:val="21"/>
              </w:rPr>
              <w:t>孟宇</w:t>
            </w:r>
          </w:p>
        </w:tc>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本人承诺：目前没有从事、将来也不</w:t>
            </w:r>
          </w:p>
          <w:p>
            <w:pPr>
              <w:pStyle w:val="TableParagraph"/>
              <w:spacing w:line="237" w:lineRule="auto" w:before="1"/>
              <w:ind w:left="103" w:right="99"/>
              <w:jc w:val="left"/>
              <w:rPr>
                <w:rFonts w:ascii="宋体" w:hAnsi="宋体" w:cs="宋体" w:eastAsia="宋体" w:hint="default"/>
                <w:sz w:val="21"/>
                <w:szCs w:val="21"/>
              </w:rPr>
            </w:pPr>
            <w:r>
              <w:rPr>
                <w:rFonts w:ascii="宋体" w:hAnsi="宋体" w:cs="宋体" w:eastAsia="宋体" w:hint="default"/>
                <w:sz w:val="21"/>
                <w:szCs w:val="21"/>
              </w:rPr>
              <w:t>会从事任何直接或间接与发行人及</w:t>
            </w:r>
            <w:r>
              <w:rPr>
                <w:rFonts w:ascii="宋体" w:hAnsi="宋体" w:cs="宋体" w:eastAsia="宋体" w:hint="default"/>
                <w:w w:val="100"/>
                <w:sz w:val="21"/>
                <w:szCs w:val="21"/>
              </w:rPr>
              <w:t> </w:t>
            </w:r>
            <w:r>
              <w:rPr>
                <w:rFonts w:ascii="宋体" w:hAnsi="宋体" w:cs="宋体" w:eastAsia="宋体" w:hint="default"/>
                <w:spacing w:val="-6"/>
                <w:sz w:val="21"/>
                <w:szCs w:val="21"/>
              </w:rPr>
              <w:t>其子公司的业务构成竞争的业务，亦</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不会以任何其他形式从事与发行人</w:t>
            </w:r>
            <w:r>
              <w:rPr>
                <w:rFonts w:ascii="宋体" w:hAnsi="宋体" w:cs="宋体" w:eastAsia="宋体" w:hint="default"/>
                <w:w w:val="100"/>
                <w:sz w:val="21"/>
                <w:szCs w:val="21"/>
              </w:rPr>
              <w:t> </w:t>
            </w:r>
            <w:r>
              <w:rPr>
                <w:rFonts w:ascii="宋体" w:hAnsi="宋体" w:cs="宋体" w:eastAsia="宋体" w:hint="default"/>
                <w:sz w:val="21"/>
                <w:szCs w:val="21"/>
              </w:rPr>
              <w:t>及其子公司有竞争或构成竞争的业</w:t>
            </w:r>
            <w:r>
              <w:rPr>
                <w:rFonts w:ascii="宋体" w:hAnsi="宋体" w:cs="宋体" w:eastAsia="宋体" w:hint="default"/>
                <w:w w:val="100"/>
                <w:sz w:val="21"/>
                <w:szCs w:val="21"/>
              </w:rPr>
              <w:t> </w:t>
            </w:r>
            <w:r>
              <w:rPr>
                <w:rFonts w:ascii="宋体" w:hAnsi="宋体" w:cs="宋体" w:eastAsia="宋体" w:hint="default"/>
                <w:spacing w:val="-6"/>
                <w:sz w:val="21"/>
                <w:szCs w:val="21"/>
              </w:rPr>
              <w:t>务；若将来出现其控股、参股企业所</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从事的业务与发行人及其子公司有</w:t>
            </w:r>
            <w:r>
              <w:rPr>
                <w:rFonts w:ascii="宋体" w:hAnsi="宋体" w:cs="宋体" w:eastAsia="宋体" w:hint="default"/>
                <w:w w:val="100"/>
                <w:sz w:val="21"/>
                <w:szCs w:val="21"/>
              </w:rPr>
              <w:t> </w:t>
            </w:r>
            <w:r>
              <w:rPr>
                <w:rFonts w:ascii="宋体" w:hAnsi="宋体" w:cs="宋体" w:eastAsia="宋体" w:hint="default"/>
                <w:spacing w:val="-6"/>
                <w:sz w:val="21"/>
                <w:szCs w:val="21"/>
              </w:rPr>
              <w:t>竞争或构成竞争的情况，将在发行人</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提出要求时出让其在该等企业中的</w:t>
            </w:r>
            <w:r>
              <w:rPr>
                <w:rFonts w:ascii="宋体" w:hAnsi="宋体" w:cs="宋体" w:eastAsia="宋体" w:hint="default"/>
                <w:w w:val="100"/>
                <w:sz w:val="21"/>
                <w:szCs w:val="21"/>
              </w:rPr>
              <w:t> </w:t>
            </w:r>
            <w:r>
              <w:rPr>
                <w:rFonts w:ascii="宋体" w:hAnsi="宋体" w:cs="宋体" w:eastAsia="宋体" w:hint="default"/>
                <w:spacing w:val="-6"/>
                <w:sz w:val="21"/>
                <w:szCs w:val="21"/>
              </w:rPr>
              <w:t>全部出资或股权，在同等条件下给予</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发行人及其子公司对该等出资或股</w:t>
            </w:r>
            <w:r>
              <w:rPr>
                <w:rFonts w:ascii="宋体" w:hAnsi="宋体" w:cs="宋体" w:eastAsia="宋体" w:hint="default"/>
                <w:w w:val="100"/>
                <w:sz w:val="21"/>
                <w:szCs w:val="21"/>
              </w:rPr>
              <w:t> </w:t>
            </w:r>
            <w:r>
              <w:rPr>
                <w:rFonts w:ascii="宋体" w:hAnsi="宋体" w:cs="宋体" w:eastAsia="宋体" w:hint="default"/>
                <w:sz w:val="21"/>
                <w:szCs w:val="21"/>
              </w:rPr>
              <w:t>权的优先购买权。</w:t>
            </w:r>
            <w:r>
              <w:rPr>
                <w:rFonts w:ascii="宋体" w:hAnsi="宋体" w:cs="宋体" w:eastAsia="宋体" w:hint="default"/>
                <w:w w:val="100"/>
                <w:sz w:val="21"/>
                <w:szCs w:val="21"/>
              </w:rPr>
              <w:t> </w:t>
            </w:r>
            <w:r>
              <w:rPr>
                <w:rFonts w:ascii="宋体" w:hAnsi="宋体" w:cs="宋体" w:eastAsia="宋体" w:hint="default"/>
                <w:spacing w:val="-6"/>
                <w:sz w:val="21"/>
                <w:szCs w:val="21"/>
              </w:rPr>
              <w:t>在本人及本人控制的公司（如有）与</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6"/>
                <w:sz w:val="21"/>
                <w:szCs w:val="21"/>
              </w:rPr>
              <w:t>发行人存在关联关系期间，如本人违</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6"/>
                <w:sz w:val="21"/>
                <w:szCs w:val="21"/>
              </w:rPr>
              <w:t>反上述承诺，本人将在公司股东大会</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长期有效</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不适</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用</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用</w:t>
            </w:r>
          </w:p>
        </w:tc>
      </w:tr>
    </w:tbl>
    <w:p>
      <w:pPr>
        <w:spacing w:after="0" w:line="273" w:lineRule="exact"/>
        <w:jc w:val="left"/>
        <w:rPr>
          <w:rFonts w:ascii="宋体" w:hAnsi="宋体" w:cs="宋体" w:eastAsia="宋体" w:hint="default"/>
          <w:sz w:val="21"/>
          <w:szCs w:val="21"/>
        </w:rPr>
        <w:sectPr>
          <w:pgSz w:w="11910" w:h="16840"/>
          <w:pgMar w:header="855" w:footer="1195" w:top="1280" w:bottom="1380" w:left="540" w:right="340"/>
        </w:sectPr>
      </w:pPr>
    </w:p>
    <w:p>
      <w:pPr>
        <w:spacing w:line="240" w:lineRule="auto" w:before="3"/>
        <w:rPr>
          <w:rFonts w:ascii="Times New Roman" w:hAnsi="Times New Roman" w:cs="Times New Roman" w:eastAsia="Times New Roman" w:hint="default"/>
          <w:sz w:val="20"/>
          <w:szCs w:val="20"/>
        </w:rPr>
      </w:pPr>
    </w:p>
    <w:tbl>
      <w:tblPr>
        <w:tblW w:w="0" w:type="auto"/>
        <w:jc w:val="left"/>
        <w:tblInd w:w="117" w:type="dxa"/>
        <w:tblLayout w:type="fixed"/>
        <w:tblCellMar>
          <w:top w:w="0" w:type="dxa"/>
          <w:left w:w="0" w:type="dxa"/>
          <w:bottom w:w="0" w:type="dxa"/>
          <w:right w:w="0" w:type="dxa"/>
        </w:tblCellMar>
        <w:tblLook w:val="01E0"/>
      </w:tblPr>
      <w:tblGrid>
        <w:gridCol w:w="958"/>
        <w:gridCol w:w="670"/>
        <w:gridCol w:w="1238"/>
        <w:gridCol w:w="3507"/>
        <w:gridCol w:w="1162"/>
        <w:gridCol w:w="812"/>
        <w:gridCol w:w="811"/>
        <w:gridCol w:w="811"/>
        <w:gridCol w:w="809"/>
      </w:tblGrid>
      <w:tr>
        <w:trPr>
          <w:trHeight w:val="3008" w:hRule="exact"/>
        </w:trPr>
        <w:tc>
          <w:tcPr>
            <w:tcW w:w="958" w:type="dxa"/>
            <w:vMerge w:val="restart"/>
            <w:tcBorders>
              <w:top w:val="single" w:sz="4" w:space="0" w:color="000000"/>
              <w:left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及中国证监会指定报刊上公开说明</w:t>
            </w:r>
          </w:p>
          <w:p>
            <w:pPr>
              <w:pStyle w:val="TableParagraph"/>
              <w:spacing w:line="237" w:lineRule="auto"/>
              <w:ind w:left="103" w:right="99"/>
              <w:jc w:val="left"/>
              <w:rPr>
                <w:rFonts w:ascii="宋体" w:hAnsi="宋体" w:cs="宋体" w:eastAsia="宋体" w:hint="default"/>
                <w:sz w:val="21"/>
                <w:szCs w:val="21"/>
              </w:rPr>
            </w:pPr>
            <w:r>
              <w:rPr>
                <w:rFonts w:ascii="宋体" w:hAnsi="宋体" w:cs="宋体" w:eastAsia="宋体" w:hint="default"/>
                <w:sz w:val="21"/>
                <w:szCs w:val="21"/>
              </w:rPr>
              <w:t>未履行上述承诺的原因并向公司股</w:t>
            </w:r>
            <w:r>
              <w:rPr>
                <w:rFonts w:ascii="宋体" w:hAnsi="宋体" w:cs="宋体" w:eastAsia="宋体" w:hint="default"/>
                <w:w w:val="100"/>
                <w:sz w:val="21"/>
                <w:szCs w:val="21"/>
              </w:rPr>
              <w:t> </w:t>
            </w:r>
            <w:r>
              <w:rPr>
                <w:rFonts w:ascii="宋体" w:hAnsi="宋体" w:cs="宋体" w:eastAsia="宋体" w:hint="default"/>
                <w:spacing w:val="-6"/>
                <w:sz w:val="21"/>
                <w:szCs w:val="21"/>
              </w:rPr>
              <w:t>东和社会公众投资者道歉，并以违反</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上述承诺发生之日起当年度及以后</w:t>
            </w:r>
            <w:r>
              <w:rPr>
                <w:rFonts w:ascii="宋体" w:hAnsi="宋体" w:cs="宋体" w:eastAsia="宋体" w:hint="default"/>
                <w:w w:val="100"/>
                <w:sz w:val="21"/>
                <w:szCs w:val="21"/>
              </w:rPr>
              <w:t> </w:t>
            </w:r>
            <w:r>
              <w:rPr>
                <w:rFonts w:ascii="宋体" w:hAnsi="宋体" w:cs="宋体" w:eastAsia="宋体" w:hint="default"/>
                <w:sz w:val="21"/>
                <w:szCs w:val="21"/>
              </w:rPr>
              <w:t>年度公司利润分配方案中本人享有</w:t>
            </w:r>
            <w:r>
              <w:rPr>
                <w:rFonts w:ascii="宋体" w:hAnsi="宋体" w:cs="宋体" w:eastAsia="宋体" w:hint="default"/>
                <w:w w:val="100"/>
                <w:sz w:val="21"/>
                <w:szCs w:val="21"/>
              </w:rPr>
              <w:t> </w:t>
            </w:r>
            <w:r>
              <w:rPr>
                <w:rFonts w:ascii="宋体" w:hAnsi="宋体" w:cs="宋体" w:eastAsia="宋体" w:hint="default"/>
                <w:sz w:val="21"/>
                <w:szCs w:val="21"/>
              </w:rPr>
              <w:t>的现金分红暂不分配直至本人履行</w:t>
            </w:r>
            <w:r>
              <w:rPr>
                <w:rFonts w:ascii="宋体" w:hAnsi="宋体" w:cs="宋体" w:eastAsia="宋体" w:hint="default"/>
                <w:w w:val="100"/>
                <w:sz w:val="21"/>
                <w:szCs w:val="21"/>
              </w:rPr>
              <w:t> </w:t>
            </w:r>
            <w:r>
              <w:rPr>
                <w:rFonts w:ascii="宋体" w:hAnsi="宋体" w:cs="宋体" w:eastAsia="宋体" w:hint="default"/>
                <w:spacing w:val="-6"/>
                <w:sz w:val="21"/>
                <w:szCs w:val="21"/>
              </w:rPr>
              <w:t>完本承诺为止，同时本人持有的公司</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股份将不得转让；如本人未履行承</w:t>
            </w:r>
            <w:r>
              <w:rPr>
                <w:rFonts w:ascii="宋体" w:hAnsi="宋体" w:cs="宋体" w:eastAsia="宋体" w:hint="default"/>
                <w:w w:val="100"/>
                <w:sz w:val="21"/>
                <w:szCs w:val="21"/>
              </w:rPr>
              <w:t> </w:t>
            </w:r>
            <w:r>
              <w:rPr>
                <w:rFonts w:ascii="宋体" w:hAnsi="宋体" w:cs="宋体" w:eastAsia="宋体" w:hint="default"/>
                <w:spacing w:val="-6"/>
                <w:sz w:val="21"/>
                <w:szCs w:val="21"/>
              </w:rPr>
              <w:t>诺，本人愿依法赔偿投资者的相应损</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失，并承担相应的法律责任。</w:t>
            </w:r>
            <w:r>
              <w:rPr>
                <w:rFonts w:ascii="宋体" w:hAnsi="宋体" w:cs="宋体" w:eastAsia="宋体" w:hint="default"/>
                <w:w w:val="100"/>
                <w:sz w:val="21"/>
                <w:szCs w:val="21"/>
              </w:rPr>
              <w:t> </w:t>
            </w:r>
            <w:r>
              <w:rPr>
                <w:rFonts w:ascii="宋体" w:hAnsi="宋体" w:cs="宋体" w:eastAsia="宋体" w:hint="default"/>
                <w:sz w:val="21"/>
                <w:szCs w:val="21"/>
              </w:rPr>
              <w:t>上述承诺不可撤销。</w:t>
            </w:r>
          </w:p>
        </w:tc>
        <w:tc>
          <w:tcPr>
            <w:tcW w:w="1162"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r>
      <w:tr>
        <w:trPr>
          <w:trHeight w:val="6546" w:hRule="exact"/>
        </w:trPr>
        <w:tc>
          <w:tcPr>
            <w:tcW w:w="958" w:type="dxa"/>
            <w:vMerge/>
            <w:tcBorders>
              <w:left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解决</w:t>
            </w:r>
          </w:p>
          <w:p>
            <w:pPr>
              <w:pStyle w:val="TableParagraph"/>
              <w:spacing w:line="240" w:lineRule="auto"/>
              <w:ind w:left="103" w:right="132"/>
              <w:jc w:val="left"/>
              <w:rPr>
                <w:rFonts w:ascii="宋体" w:hAnsi="宋体" w:cs="宋体" w:eastAsia="宋体" w:hint="default"/>
                <w:sz w:val="21"/>
                <w:szCs w:val="21"/>
              </w:rPr>
            </w:pPr>
            <w:r>
              <w:rPr>
                <w:rFonts w:ascii="宋体" w:hAnsi="宋体" w:cs="宋体" w:eastAsia="宋体" w:hint="default"/>
                <w:sz w:val="21"/>
                <w:szCs w:val="21"/>
              </w:rPr>
              <w:t>关联</w:t>
            </w:r>
            <w:r>
              <w:rPr>
                <w:rFonts w:ascii="宋体" w:hAnsi="宋体" w:cs="宋体" w:eastAsia="宋体" w:hint="default"/>
                <w:spacing w:val="-103"/>
                <w:sz w:val="21"/>
                <w:szCs w:val="21"/>
              </w:rPr>
              <w:t> </w:t>
            </w:r>
            <w:r>
              <w:rPr>
                <w:rFonts w:ascii="宋体" w:hAnsi="宋体" w:cs="宋体" w:eastAsia="宋体" w:hint="default"/>
                <w:sz w:val="21"/>
                <w:szCs w:val="21"/>
              </w:rPr>
              <w:t>交易</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公司控股</w:t>
            </w:r>
          </w:p>
          <w:p>
            <w:pPr>
              <w:pStyle w:val="TableParagraph"/>
              <w:spacing w:line="237" w:lineRule="auto" w:before="1"/>
              <w:ind w:left="103" w:right="98"/>
              <w:jc w:val="left"/>
              <w:rPr>
                <w:rFonts w:ascii="宋体" w:hAnsi="宋体" w:cs="宋体" w:eastAsia="宋体" w:hint="default"/>
                <w:sz w:val="21"/>
                <w:szCs w:val="21"/>
              </w:rPr>
            </w:pPr>
            <w:r>
              <w:rPr>
                <w:rFonts w:ascii="宋体" w:hAnsi="宋体" w:cs="宋体" w:eastAsia="宋体" w:hint="default"/>
                <w:spacing w:val="-7"/>
                <w:sz w:val="21"/>
                <w:szCs w:val="21"/>
              </w:rPr>
              <w:t>股东、实际</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控制人严</w:t>
            </w:r>
            <w:r>
              <w:rPr>
                <w:rFonts w:ascii="宋体" w:hAnsi="宋体" w:cs="宋体" w:eastAsia="宋体" w:hint="default"/>
                <w:w w:val="100"/>
                <w:sz w:val="21"/>
                <w:szCs w:val="21"/>
              </w:rPr>
              <w:t> </w:t>
            </w:r>
            <w:r>
              <w:rPr>
                <w:rFonts w:ascii="宋体" w:hAnsi="宋体" w:cs="宋体" w:eastAsia="宋体" w:hint="default"/>
                <w:sz w:val="21"/>
                <w:szCs w:val="21"/>
              </w:rPr>
              <w:t>孟宇</w:t>
            </w:r>
          </w:p>
        </w:tc>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本人将根据公平、公正、等价、有偿</w:t>
            </w:r>
          </w:p>
          <w:p>
            <w:pPr>
              <w:pStyle w:val="TableParagraph"/>
              <w:spacing w:line="237" w:lineRule="auto" w:before="1"/>
              <w:ind w:left="103" w:right="29"/>
              <w:jc w:val="left"/>
              <w:rPr>
                <w:rFonts w:ascii="宋体" w:hAnsi="宋体" w:cs="宋体" w:eastAsia="宋体" w:hint="default"/>
                <w:sz w:val="21"/>
                <w:szCs w:val="21"/>
              </w:rPr>
            </w:pPr>
            <w:r>
              <w:rPr>
                <w:rFonts w:ascii="宋体" w:hAnsi="宋体" w:cs="宋体" w:eastAsia="宋体" w:hint="default"/>
                <w:spacing w:val="-2"/>
                <w:sz w:val="21"/>
                <w:szCs w:val="21"/>
              </w:rPr>
              <w:t>的市场原则，按照一般的商业条款，</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减少本人及</w:t>
            </w:r>
            <w:r>
              <w:rPr>
                <w:rFonts w:ascii="宋体" w:hAnsi="宋体" w:cs="宋体" w:eastAsia="宋体" w:hint="default"/>
                <w:sz w:val="21"/>
                <w:szCs w:val="21"/>
              </w:rPr>
              <w:t>/</w:t>
            </w:r>
            <w:r>
              <w:rPr>
                <w:rFonts w:ascii="宋体" w:hAnsi="宋体" w:cs="宋体" w:eastAsia="宋体" w:hint="default"/>
                <w:sz w:val="21"/>
                <w:szCs w:val="21"/>
              </w:rPr>
              <w:t>或本人控制的其他企业</w:t>
            </w:r>
            <w:r>
              <w:rPr>
                <w:rFonts w:ascii="宋体" w:hAnsi="宋体" w:cs="宋体" w:eastAsia="宋体" w:hint="default"/>
                <w:w w:val="100"/>
                <w:sz w:val="21"/>
                <w:szCs w:val="21"/>
              </w:rPr>
              <w:t> </w:t>
            </w:r>
            <w:r>
              <w:rPr>
                <w:rFonts w:ascii="宋体" w:hAnsi="宋体" w:cs="宋体" w:eastAsia="宋体" w:hint="default"/>
                <w:spacing w:val="-6"/>
                <w:sz w:val="21"/>
                <w:szCs w:val="21"/>
              </w:rPr>
              <w:t>与发行人的交易，严格遵守与尊重发</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6"/>
                <w:sz w:val="21"/>
                <w:szCs w:val="21"/>
              </w:rPr>
              <w:t>行人的关联交易决策程序，与发行人</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6"/>
                <w:sz w:val="21"/>
                <w:szCs w:val="21"/>
              </w:rPr>
              <w:t>以公允价格进行公平交易，不谋求本</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人及</w:t>
            </w:r>
            <w:r>
              <w:rPr>
                <w:rFonts w:ascii="宋体" w:hAnsi="宋体" w:cs="宋体" w:eastAsia="宋体" w:hint="default"/>
                <w:sz w:val="21"/>
                <w:szCs w:val="21"/>
              </w:rPr>
              <w:t>/</w:t>
            </w:r>
            <w:r>
              <w:rPr>
                <w:rFonts w:ascii="宋体" w:hAnsi="宋体" w:cs="宋体" w:eastAsia="宋体" w:hint="default"/>
                <w:sz w:val="21"/>
                <w:szCs w:val="21"/>
              </w:rPr>
              <w:t>或本人控制的其他企业的非法</w:t>
            </w:r>
            <w:r>
              <w:rPr>
                <w:rFonts w:ascii="宋体" w:hAnsi="宋体" w:cs="宋体" w:eastAsia="宋体" w:hint="default"/>
                <w:w w:val="100"/>
                <w:sz w:val="21"/>
                <w:szCs w:val="21"/>
              </w:rPr>
              <w:t> </w:t>
            </w:r>
            <w:r>
              <w:rPr>
                <w:rFonts w:ascii="宋体" w:hAnsi="宋体" w:cs="宋体" w:eastAsia="宋体" w:hint="default"/>
                <w:spacing w:val="-6"/>
                <w:sz w:val="21"/>
                <w:szCs w:val="21"/>
              </w:rPr>
              <w:t>利益。如存在利用控股地位在关联交</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易中损害发行人及小股东的权益或</w:t>
            </w:r>
            <w:r>
              <w:rPr>
                <w:rFonts w:ascii="宋体" w:hAnsi="宋体" w:cs="宋体" w:eastAsia="宋体" w:hint="default"/>
                <w:w w:val="100"/>
                <w:sz w:val="21"/>
                <w:szCs w:val="21"/>
              </w:rPr>
              <w:t> </w:t>
            </w:r>
            <w:r>
              <w:rPr>
                <w:rFonts w:ascii="宋体" w:hAnsi="宋体" w:cs="宋体" w:eastAsia="宋体" w:hint="default"/>
                <w:sz w:val="21"/>
                <w:szCs w:val="21"/>
              </w:rPr>
              <w:t>通过关联交易操纵发行人利润的情</w:t>
            </w:r>
            <w:r>
              <w:rPr>
                <w:rFonts w:ascii="宋体" w:hAnsi="宋体" w:cs="宋体" w:eastAsia="宋体" w:hint="default"/>
                <w:w w:val="100"/>
                <w:sz w:val="21"/>
                <w:szCs w:val="21"/>
              </w:rPr>
              <w:t> </w:t>
            </w:r>
            <w:r>
              <w:rPr>
                <w:rFonts w:ascii="宋体" w:hAnsi="宋体" w:cs="宋体" w:eastAsia="宋体" w:hint="default"/>
                <w:spacing w:val="-6"/>
                <w:sz w:val="21"/>
                <w:szCs w:val="21"/>
              </w:rPr>
              <w:t>形，本人将承担相应的法律责任。在</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6"/>
                <w:sz w:val="21"/>
                <w:szCs w:val="21"/>
              </w:rPr>
              <w:t>本人及本人控制的公司（如有）与发</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6"/>
                <w:sz w:val="21"/>
                <w:szCs w:val="21"/>
              </w:rPr>
              <w:t>行人存在关联关系期间，如本人违反</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6"/>
                <w:sz w:val="21"/>
                <w:szCs w:val="21"/>
              </w:rPr>
              <w:t>上述承诺，本人将在公司股东大会及</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中国证监会指定报刊上公开说明未</w:t>
            </w:r>
            <w:r>
              <w:rPr>
                <w:rFonts w:ascii="宋体" w:hAnsi="宋体" w:cs="宋体" w:eastAsia="宋体" w:hint="default"/>
                <w:w w:val="100"/>
                <w:sz w:val="21"/>
                <w:szCs w:val="21"/>
              </w:rPr>
              <w:t> </w:t>
            </w:r>
            <w:r>
              <w:rPr>
                <w:rFonts w:ascii="宋体" w:hAnsi="宋体" w:cs="宋体" w:eastAsia="宋体" w:hint="default"/>
                <w:sz w:val="21"/>
                <w:szCs w:val="21"/>
              </w:rPr>
              <w:t>履行上述承诺的原因并向公司股东</w:t>
            </w:r>
            <w:r>
              <w:rPr>
                <w:rFonts w:ascii="宋体" w:hAnsi="宋体" w:cs="宋体" w:eastAsia="宋体" w:hint="default"/>
                <w:w w:val="100"/>
                <w:sz w:val="21"/>
                <w:szCs w:val="21"/>
              </w:rPr>
              <w:t> </w:t>
            </w:r>
            <w:r>
              <w:rPr>
                <w:rFonts w:ascii="宋体" w:hAnsi="宋体" w:cs="宋体" w:eastAsia="宋体" w:hint="default"/>
                <w:spacing w:val="-6"/>
                <w:sz w:val="21"/>
                <w:szCs w:val="21"/>
              </w:rPr>
              <w:t>和社会公众投资者道歉，并以违反上</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述承诺发生之日起当年度及以后年</w:t>
            </w:r>
            <w:r>
              <w:rPr>
                <w:rFonts w:ascii="宋体" w:hAnsi="宋体" w:cs="宋体" w:eastAsia="宋体" w:hint="default"/>
                <w:w w:val="100"/>
                <w:sz w:val="21"/>
                <w:szCs w:val="21"/>
              </w:rPr>
              <w:t> </w:t>
            </w:r>
            <w:r>
              <w:rPr>
                <w:rFonts w:ascii="宋体" w:hAnsi="宋体" w:cs="宋体" w:eastAsia="宋体" w:hint="default"/>
                <w:sz w:val="21"/>
                <w:szCs w:val="21"/>
              </w:rPr>
              <w:t>度公司利润分配方案中本人享有的</w:t>
            </w:r>
            <w:r>
              <w:rPr>
                <w:rFonts w:ascii="宋体" w:hAnsi="宋体" w:cs="宋体" w:eastAsia="宋体" w:hint="default"/>
                <w:w w:val="100"/>
                <w:sz w:val="21"/>
                <w:szCs w:val="21"/>
              </w:rPr>
              <w:t> </w:t>
            </w:r>
            <w:r>
              <w:rPr>
                <w:rFonts w:ascii="宋体" w:hAnsi="宋体" w:cs="宋体" w:eastAsia="宋体" w:hint="default"/>
                <w:sz w:val="21"/>
                <w:szCs w:val="21"/>
              </w:rPr>
              <w:t>现金分红暂不分配直至本人履行完</w:t>
            </w:r>
            <w:r>
              <w:rPr>
                <w:rFonts w:ascii="宋体" w:hAnsi="宋体" w:cs="宋体" w:eastAsia="宋体" w:hint="default"/>
                <w:w w:val="100"/>
                <w:sz w:val="21"/>
                <w:szCs w:val="21"/>
              </w:rPr>
              <w:t> </w:t>
            </w:r>
            <w:r>
              <w:rPr>
                <w:rFonts w:ascii="宋体" w:hAnsi="宋体" w:cs="宋体" w:eastAsia="宋体" w:hint="default"/>
                <w:spacing w:val="-6"/>
                <w:sz w:val="21"/>
                <w:szCs w:val="21"/>
              </w:rPr>
              <w:t>本承诺为止，同时本人持有的公司股</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2"/>
                <w:sz w:val="21"/>
                <w:szCs w:val="21"/>
              </w:rPr>
              <w:t>份将不得转让；如本人未履行承诺，</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本人愿依法赔偿投资者的相应损失，</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并承担相应的法律责任。</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长期有效</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不适</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用</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用</w:t>
            </w:r>
          </w:p>
        </w:tc>
      </w:tr>
      <w:tr>
        <w:trPr>
          <w:trHeight w:val="4098" w:hRule="exact"/>
        </w:trPr>
        <w:tc>
          <w:tcPr>
            <w:tcW w:w="958" w:type="dxa"/>
            <w:vMerge/>
            <w:tcBorders>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公司控股</w:t>
            </w:r>
          </w:p>
          <w:p>
            <w:pPr>
              <w:pStyle w:val="TableParagraph"/>
              <w:spacing w:line="237" w:lineRule="auto" w:before="1"/>
              <w:ind w:left="103" w:right="98"/>
              <w:jc w:val="left"/>
              <w:rPr>
                <w:rFonts w:ascii="宋体" w:hAnsi="宋体" w:cs="宋体" w:eastAsia="宋体" w:hint="default"/>
                <w:sz w:val="21"/>
                <w:szCs w:val="21"/>
              </w:rPr>
            </w:pPr>
            <w:r>
              <w:rPr>
                <w:rFonts w:ascii="宋体" w:hAnsi="宋体" w:cs="宋体" w:eastAsia="宋体" w:hint="default"/>
                <w:spacing w:val="-7"/>
                <w:sz w:val="21"/>
                <w:szCs w:val="21"/>
              </w:rPr>
              <w:t>股东、实际</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控制人严</w:t>
            </w:r>
            <w:r>
              <w:rPr>
                <w:rFonts w:ascii="宋体" w:hAnsi="宋体" w:cs="宋体" w:eastAsia="宋体" w:hint="default"/>
                <w:w w:val="100"/>
                <w:sz w:val="21"/>
                <w:szCs w:val="21"/>
              </w:rPr>
              <w:t> </w:t>
            </w:r>
            <w:r>
              <w:rPr>
                <w:rFonts w:ascii="宋体" w:hAnsi="宋体" w:cs="宋体" w:eastAsia="宋体" w:hint="default"/>
                <w:sz w:val="21"/>
                <w:szCs w:val="21"/>
              </w:rPr>
              <w:t>孟宇</w:t>
            </w:r>
          </w:p>
        </w:tc>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本人及本人实际控制的企业（除顶点</w:t>
            </w:r>
          </w:p>
          <w:p>
            <w:pPr>
              <w:pStyle w:val="TableParagraph"/>
              <w:spacing w:line="237" w:lineRule="auto" w:before="1"/>
              <w:ind w:left="103" w:right="99"/>
              <w:jc w:val="left"/>
              <w:rPr>
                <w:rFonts w:ascii="宋体" w:hAnsi="宋体" w:cs="宋体" w:eastAsia="宋体" w:hint="default"/>
                <w:sz w:val="21"/>
                <w:szCs w:val="21"/>
              </w:rPr>
            </w:pPr>
            <w:r>
              <w:rPr>
                <w:rFonts w:ascii="宋体" w:hAnsi="宋体" w:cs="宋体" w:eastAsia="宋体" w:hint="default"/>
                <w:spacing w:val="-6"/>
                <w:sz w:val="21"/>
                <w:szCs w:val="21"/>
              </w:rPr>
              <w:t>软件及其子公司外），今后不会以任</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6"/>
                <w:sz w:val="21"/>
                <w:szCs w:val="21"/>
              </w:rPr>
              <w:t>何理由、任何形式占用顶点软件及其</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12"/>
                <w:w w:val="100"/>
                <w:sz w:val="21"/>
                <w:szCs w:val="21"/>
              </w:rPr>
              <w:t>子公司资金。（</w:t>
            </w:r>
            <w:r>
              <w:rPr>
                <w:rFonts w:ascii="宋体" w:hAnsi="宋体" w:cs="宋体" w:eastAsia="宋体" w:hint="default"/>
                <w:spacing w:val="-12"/>
                <w:w w:val="100"/>
                <w:sz w:val="21"/>
                <w:szCs w:val="21"/>
              </w:rPr>
              <w:t>2</w:t>
            </w:r>
            <w:r>
              <w:rPr>
                <w:rFonts w:ascii="宋体" w:hAnsi="宋体" w:cs="宋体" w:eastAsia="宋体" w:hint="default"/>
                <w:spacing w:val="-12"/>
                <w:w w:val="100"/>
                <w:sz w:val="21"/>
                <w:szCs w:val="21"/>
              </w:rPr>
              <w:t>）本人严格遵守《公</w:t>
            </w:r>
            <w:r>
              <w:rPr>
                <w:rFonts w:ascii="宋体" w:hAnsi="宋体" w:cs="宋体" w:eastAsia="宋体" w:hint="default"/>
                <w:spacing w:val="-99"/>
                <w:w w:val="100"/>
                <w:sz w:val="21"/>
                <w:szCs w:val="21"/>
              </w:rPr>
              <w:t> </w:t>
            </w:r>
            <w:r>
              <w:rPr>
                <w:rFonts w:ascii="宋体" w:hAnsi="宋体" w:cs="宋体" w:eastAsia="宋体" w:hint="default"/>
                <w:spacing w:val="-99"/>
                <w:w w:val="100"/>
                <w:sz w:val="21"/>
                <w:szCs w:val="21"/>
              </w:rPr>
            </w:r>
            <w:r>
              <w:rPr>
                <w:rFonts w:ascii="宋体" w:hAnsi="宋体" w:cs="宋体" w:eastAsia="宋体" w:hint="default"/>
                <w:spacing w:val="-6"/>
                <w:sz w:val="21"/>
                <w:szCs w:val="21"/>
              </w:rPr>
              <w:t>司法》及中国证监会关于上市公司法</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6"/>
                <w:sz w:val="21"/>
                <w:szCs w:val="21"/>
              </w:rPr>
              <w:t>人治理的有关规定，维护顶点软件的</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6"/>
                <w:sz w:val="21"/>
                <w:szCs w:val="21"/>
              </w:rPr>
              <w:t>独立性，绝不损害顶点软件及其他中</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小股东利益。（</w:t>
            </w:r>
            <w:r>
              <w:rPr>
                <w:rFonts w:ascii="宋体" w:hAnsi="宋体" w:cs="宋体" w:eastAsia="宋体" w:hint="default"/>
                <w:sz w:val="21"/>
                <w:szCs w:val="21"/>
              </w:rPr>
              <w:t>3</w:t>
            </w:r>
            <w:r>
              <w:rPr>
                <w:rFonts w:ascii="宋体" w:hAnsi="宋体" w:cs="宋体" w:eastAsia="宋体" w:hint="default"/>
                <w:sz w:val="21"/>
                <w:szCs w:val="21"/>
              </w:rPr>
              <w:t>）本承诺具有法律</w:t>
            </w:r>
            <w:r>
              <w:rPr>
                <w:rFonts w:ascii="宋体" w:hAnsi="宋体" w:cs="宋体" w:eastAsia="宋体" w:hint="default"/>
                <w:w w:val="100"/>
                <w:sz w:val="21"/>
                <w:szCs w:val="21"/>
              </w:rPr>
              <w:t> </w:t>
            </w:r>
            <w:r>
              <w:rPr>
                <w:rFonts w:ascii="宋体" w:hAnsi="宋体" w:cs="宋体" w:eastAsia="宋体" w:hint="default"/>
                <w:spacing w:val="-6"/>
                <w:sz w:val="21"/>
                <w:szCs w:val="21"/>
              </w:rPr>
              <w:t>效力，如有违反，本人除按照有关法</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6"/>
                <w:sz w:val="21"/>
                <w:szCs w:val="21"/>
              </w:rPr>
              <w:t>律规定承担相应的法律责任外，还将</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按照发生资金占用当年顶点软件的</w:t>
            </w:r>
            <w:r>
              <w:rPr>
                <w:rFonts w:ascii="宋体" w:hAnsi="宋体" w:cs="宋体" w:eastAsia="宋体" w:hint="default"/>
                <w:w w:val="100"/>
                <w:sz w:val="21"/>
                <w:szCs w:val="21"/>
              </w:rPr>
              <w:t> </w:t>
            </w:r>
            <w:r>
              <w:rPr>
                <w:rFonts w:ascii="宋体" w:hAnsi="宋体" w:cs="宋体" w:eastAsia="宋体" w:hint="default"/>
                <w:sz w:val="21"/>
                <w:szCs w:val="21"/>
              </w:rPr>
              <w:t>净资产收益率和同期银行贷款利率</w:t>
            </w:r>
            <w:r>
              <w:rPr>
                <w:rFonts w:ascii="宋体" w:hAnsi="宋体" w:cs="宋体" w:eastAsia="宋体" w:hint="default"/>
                <w:w w:val="100"/>
                <w:sz w:val="21"/>
                <w:szCs w:val="21"/>
              </w:rPr>
              <w:t> </w:t>
            </w:r>
            <w:r>
              <w:rPr>
                <w:rFonts w:ascii="宋体" w:hAnsi="宋体" w:cs="宋体" w:eastAsia="宋体" w:hint="default"/>
                <w:spacing w:val="-6"/>
                <w:sz w:val="21"/>
                <w:szCs w:val="21"/>
              </w:rPr>
              <w:t>孰高原则，向顶点软件承担民事赔偿</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责任。</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长期有效</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不适</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用</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用</w:t>
            </w:r>
          </w:p>
        </w:tc>
      </w:tr>
    </w:tbl>
    <w:p>
      <w:pPr>
        <w:spacing w:after="0" w:line="273" w:lineRule="exact"/>
        <w:jc w:val="left"/>
        <w:rPr>
          <w:rFonts w:ascii="宋体" w:hAnsi="宋体" w:cs="宋体" w:eastAsia="宋体" w:hint="default"/>
          <w:sz w:val="21"/>
          <w:szCs w:val="21"/>
        </w:rPr>
        <w:sectPr>
          <w:pgSz w:w="11910" w:h="16840"/>
          <w:pgMar w:header="855" w:footer="1195" w:top="1280" w:bottom="1380" w:left="540" w:right="340"/>
        </w:sectPr>
      </w:pPr>
    </w:p>
    <w:p>
      <w:pPr>
        <w:spacing w:line="240" w:lineRule="auto" w:before="3"/>
        <w:rPr>
          <w:rFonts w:ascii="Times New Roman" w:hAnsi="Times New Roman" w:cs="Times New Roman" w:eastAsia="Times New Roman" w:hint="default"/>
          <w:sz w:val="20"/>
          <w:szCs w:val="20"/>
        </w:rPr>
      </w:pPr>
    </w:p>
    <w:tbl>
      <w:tblPr>
        <w:tblW w:w="0" w:type="auto"/>
        <w:jc w:val="left"/>
        <w:tblInd w:w="117" w:type="dxa"/>
        <w:tblLayout w:type="fixed"/>
        <w:tblCellMar>
          <w:top w:w="0" w:type="dxa"/>
          <w:left w:w="0" w:type="dxa"/>
          <w:bottom w:w="0" w:type="dxa"/>
          <w:right w:w="0" w:type="dxa"/>
        </w:tblCellMar>
        <w:tblLook w:val="01E0"/>
      </w:tblPr>
      <w:tblGrid>
        <w:gridCol w:w="958"/>
        <w:gridCol w:w="670"/>
        <w:gridCol w:w="1238"/>
        <w:gridCol w:w="3507"/>
        <w:gridCol w:w="1162"/>
        <w:gridCol w:w="812"/>
        <w:gridCol w:w="811"/>
        <w:gridCol w:w="811"/>
        <w:gridCol w:w="809"/>
      </w:tblGrid>
      <w:tr>
        <w:trPr>
          <w:trHeight w:val="4914" w:hRule="exact"/>
        </w:trPr>
        <w:tc>
          <w:tcPr>
            <w:tcW w:w="958" w:type="dxa"/>
            <w:vMerge w:val="restart"/>
            <w:tcBorders>
              <w:top w:val="single" w:sz="4" w:space="0" w:color="000000"/>
              <w:left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9"/>
              <w:jc w:val="center"/>
              <w:rPr>
                <w:rFonts w:ascii="宋体" w:hAnsi="宋体" w:cs="宋体" w:eastAsia="宋体" w:hint="default"/>
                <w:sz w:val="21"/>
                <w:szCs w:val="21"/>
              </w:rPr>
            </w:pPr>
            <w:r>
              <w:rPr>
                <w:rFonts w:ascii="宋体" w:hAnsi="宋体" w:cs="宋体" w:eastAsia="宋体" w:hint="default"/>
                <w:sz w:val="21"/>
                <w:szCs w:val="21"/>
              </w:rPr>
              <w:t>其他</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严孟宇、爱</w:t>
            </w:r>
          </w:p>
          <w:p>
            <w:pPr>
              <w:pStyle w:val="TableParagraph"/>
              <w:spacing w:line="237" w:lineRule="auto"/>
              <w:ind w:left="103" w:right="69"/>
              <w:jc w:val="left"/>
              <w:rPr>
                <w:rFonts w:ascii="宋体" w:hAnsi="宋体" w:cs="宋体" w:eastAsia="宋体" w:hint="default"/>
                <w:sz w:val="21"/>
                <w:szCs w:val="21"/>
              </w:rPr>
            </w:pPr>
            <w:r>
              <w:rPr>
                <w:rFonts w:ascii="宋体" w:hAnsi="宋体" w:cs="宋体" w:eastAsia="宋体" w:hint="default"/>
                <w:sz w:val="21"/>
                <w:szCs w:val="21"/>
              </w:rPr>
              <w:t>派克、</w:t>
            </w:r>
            <w:r>
              <w:rPr>
                <w:rFonts w:ascii="宋体" w:hAnsi="宋体" w:cs="宋体" w:eastAsia="宋体" w:hint="default"/>
                <w:spacing w:val="-102"/>
                <w:sz w:val="21"/>
                <w:szCs w:val="21"/>
              </w:rPr>
              <w:t> </w:t>
            </w:r>
            <w:r>
              <w:rPr>
                <w:rFonts w:ascii="宋体" w:hAnsi="宋体" w:cs="宋体" w:eastAsia="宋体" w:hint="default"/>
                <w:spacing w:val="-7"/>
                <w:sz w:val="21"/>
                <w:szCs w:val="21"/>
              </w:rPr>
              <w:t>赵伟、雷世</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潘、戴小</w:t>
            </w:r>
            <w:r>
              <w:rPr>
                <w:rFonts w:ascii="宋体" w:hAnsi="宋体" w:cs="宋体" w:eastAsia="宋体" w:hint="default"/>
                <w:w w:val="100"/>
                <w:sz w:val="21"/>
                <w:szCs w:val="21"/>
              </w:rPr>
              <w:t> </w:t>
            </w:r>
            <w:r>
              <w:rPr>
                <w:rFonts w:ascii="宋体" w:hAnsi="宋体" w:cs="宋体" w:eastAsia="宋体" w:hint="default"/>
                <w:sz w:val="21"/>
                <w:szCs w:val="21"/>
              </w:rPr>
              <w:t>戈、欧永、</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7"/>
                <w:sz w:val="21"/>
                <w:szCs w:val="21"/>
              </w:rPr>
              <w:t>林秀红、郑</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元通、赵</w:t>
            </w:r>
            <w:r>
              <w:rPr>
                <w:rFonts w:ascii="宋体" w:hAnsi="宋体" w:cs="宋体" w:eastAsia="宋体" w:hint="default"/>
                <w:w w:val="100"/>
                <w:sz w:val="21"/>
                <w:szCs w:val="21"/>
              </w:rPr>
              <w:t> </w:t>
            </w:r>
            <w:r>
              <w:rPr>
                <w:rFonts w:ascii="宋体" w:hAnsi="宋体" w:cs="宋体" w:eastAsia="宋体" w:hint="default"/>
                <w:sz w:val="21"/>
                <w:szCs w:val="21"/>
              </w:rPr>
              <w:t>莹、余养</w:t>
            </w:r>
            <w:r>
              <w:rPr>
                <w:rFonts w:ascii="宋体" w:hAnsi="宋体" w:cs="宋体" w:eastAsia="宋体" w:hint="default"/>
                <w:w w:val="100"/>
                <w:sz w:val="21"/>
                <w:szCs w:val="21"/>
              </w:rPr>
              <w:t> </w:t>
            </w:r>
            <w:r>
              <w:rPr>
                <w:rFonts w:ascii="宋体" w:hAnsi="宋体" w:cs="宋体" w:eastAsia="宋体" w:hint="default"/>
                <w:sz w:val="21"/>
                <w:szCs w:val="21"/>
              </w:rPr>
              <w:t>成、董南</w:t>
            </w:r>
            <w:r>
              <w:rPr>
                <w:rFonts w:ascii="宋体" w:hAnsi="宋体" w:cs="宋体" w:eastAsia="宋体" w:hint="default"/>
                <w:w w:val="100"/>
                <w:sz w:val="21"/>
                <w:szCs w:val="21"/>
              </w:rPr>
              <w:t> </w:t>
            </w:r>
            <w:r>
              <w:rPr>
                <w:rFonts w:ascii="宋体" w:hAnsi="宋体" w:cs="宋体" w:eastAsia="宋体" w:hint="default"/>
                <w:sz w:val="21"/>
                <w:szCs w:val="21"/>
              </w:rPr>
              <w:t>勇、张玉、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7"/>
                <w:sz w:val="21"/>
                <w:szCs w:val="21"/>
              </w:rPr>
              <w:t>刘法先、徐</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7"/>
                <w:sz w:val="21"/>
                <w:szCs w:val="21"/>
              </w:rPr>
              <w:t>传秋、邓志</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强、王敏</w:t>
            </w:r>
            <w:r>
              <w:rPr>
                <w:rFonts w:ascii="宋体" w:hAnsi="宋体" w:cs="宋体" w:eastAsia="宋体" w:hint="default"/>
                <w:w w:val="100"/>
                <w:sz w:val="21"/>
                <w:szCs w:val="21"/>
              </w:rPr>
              <w:t> </w:t>
            </w:r>
            <w:r>
              <w:rPr>
                <w:rFonts w:ascii="宋体" w:hAnsi="宋体" w:cs="宋体" w:eastAsia="宋体" w:hint="default"/>
                <w:sz w:val="21"/>
                <w:szCs w:val="21"/>
              </w:rPr>
              <w:t>航、张雄</w:t>
            </w:r>
            <w:r>
              <w:rPr>
                <w:rFonts w:ascii="宋体" w:hAnsi="宋体" w:cs="宋体" w:eastAsia="宋体" w:hint="default"/>
                <w:w w:val="100"/>
                <w:sz w:val="21"/>
                <w:szCs w:val="21"/>
              </w:rPr>
              <w:t> </w:t>
            </w:r>
            <w:r>
              <w:rPr>
                <w:rFonts w:ascii="宋体" w:hAnsi="宋体" w:cs="宋体" w:eastAsia="宋体" w:hint="default"/>
                <w:sz w:val="21"/>
                <w:szCs w:val="21"/>
              </w:rPr>
              <w:t>金、鄢继</w:t>
            </w:r>
            <w:r>
              <w:rPr>
                <w:rFonts w:ascii="宋体" w:hAnsi="宋体" w:cs="宋体" w:eastAsia="宋体" w:hint="default"/>
                <w:w w:val="100"/>
                <w:sz w:val="21"/>
                <w:szCs w:val="21"/>
              </w:rPr>
              <w:t> </w:t>
            </w:r>
            <w:r>
              <w:rPr>
                <w:rFonts w:ascii="宋体" w:hAnsi="宋体" w:cs="宋体" w:eastAsia="宋体" w:hint="default"/>
                <w:sz w:val="21"/>
                <w:szCs w:val="21"/>
              </w:rPr>
              <w:t>华、谢淑</w:t>
            </w:r>
            <w:r>
              <w:rPr>
                <w:rFonts w:ascii="宋体" w:hAnsi="宋体" w:cs="宋体" w:eastAsia="宋体" w:hint="default"/>
                <w:w w:val="100"/>
                <w:sz w:val="21"/>
                <w:szCs w:val="21"/>
              </w:rPr>
              <w:t> </w:t>
            </w:r>
            <w:r>
              <w:rPr>
                <w:rFonts w:ascii="宋体" w:hAnsi="宋体" w:cs="宋体" w:eastAsia="宋体" w:hint="default"/>
                <w:sz w:val="21"/>
                <w:szCs w:val="21"/>
              </w:rPr>
              <w:t>仁、陈瑞</w:t>
            </w:r>
            <w:r>
              <w:rPr>
                <w:rFonts w:ascii="宋体" w:hAnsi="宋体" w:cs="宋体" w:eastAsia="宋体" w:hint="default"/>
                <w:w w:val="100"/>
                <w:sz w:val="21"/>
                <w:szCs w:val="21"/>
              </w:rPr>
              <w:t> </w:t>
            </w:r>
            <w:r>
              <w:rPr>
                <w:rFonts w:ascii="宋体" w:hAnsi="宋体" w:cs="宋体" w:eastAsia="宋体" w:hint="default"/>
                <w:spacing w:val="-7"/>
                <w:sz w:val="21"/>
                <w:szCs w:val="21"/>
              </w:rPr>
              <w:t>德、陈建国</w:t>
            </w:r>
          </w:p>
        </w:tc>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由于严孟宇、董南勇、赵伟、赵莹、</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pacing w:val="-6"/>
                <w:sz w:val="21"/>
                <w:szCs w:val="21"/>
              </w:rPr>
              <w:t>雷世潘、张玉、刘法先、林秀红、徐</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传秋、陈建国、陈建十一人</w:t>
            </w:r>
            <w:r>
              <w:rPr>
                <w:rFonts w:ascii="宋体" w:hAnsi="宋体" w:cs="宋体" w:eastAsia="宋体" w:hint="default"/>
                <w:spacing w:val="-52"/>
                <w:sz w:val="21"/>
                <w:szCs w:val="21"/>
              </w:rPr>
              <w:t> </w:t>
            </w:r>
            <w:r>
              <w:rPr>
                <w:rFonts w:ascii="宋体" w:hAnsi="宋体" w:cs="宋体" w:eastAsia="宋体" w:hint="default"/>
                <w:sz w:val="21"/>
                <w:szCs w:val="21"/>
              </w:rPr>
              <w:t>2000</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69" w:lineRule="exact"/>
              <w:ind w:left="103" w:right="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月的不规范增资行为而导致本人</w:t>
            </w:r>
          </w:p>
          <w:p>
            <w:pPr>
              <w:pStyle w:val="TableParagraph"/>
              <w:spacing w:line="237" w:lineRule="auto"/>
              <w:ind w:left="103" w:right="99"/>
              <w:jc w:val="left"/>
              <w:rPr>
                <w:rFonts w:ascii="宋体" w:hAnsi="宋体" w:cs="宋体" w:eastAsia="宋体" w:hint="default"/>
                <w:sz w:val="21"/>
                <w:szCs w:val="21"/>
              </w:rPr>
            </w:pPr>
            <w:r>
              <w:rPr>
                <w:rFonts w:ascii="宋体" w:hAnsi="宋体" w:cs="宋体" w:eastAsia="宋体" w:hint="default"/>
                <w:spacing w:val="-6"/>
                <w:sz w:val="21"/>
                <w:szCs w:val="21"/>
              </w:rPr>
              <w:t>（公司）的任何经济利益的流出或损</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6"/>
                <w:sz w:val="21"/>
                <w:szCs w:val="21"/>
              </w:rPr>
              <w:t>失，包括但不限于本人（公司）所承</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6"/>
                <w:sz w:val="21"/>
                <w:szCs w:val="21"/>
              </w:rPr>
              <w:t>担的补足出资款，本人（公司）将放</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6"/>
                <w:sz w:val="21"/>
                <w:szCs w:val="21"/>
              </w:rPr>
              <w:t>弃向上述十一人追偿的权利，并不再</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追究由上述十一人</w:t>
            </w:r>
            <w:r>
              <w:rPr>
                <w:rFonts w:ascii="宋体" w:hAnsi="宋体" w:cs="宋体" w:eastAsia="宋体" w:hint="default"/>
                <w:spacing w:val="-52"/>
                <w:sz w:val="21"/>
                <w:szCs w:val="21"/>
              </w:rPr>
              <w:t> </w:t>
            </w:r>
            <w:r>
              <w:rPr>
                <w:rFonts w:ascii="宋体" w:hAnsi="宋体" w:cs="宋体" w:eastAsia="宋体" w:hint="default"/>
                <w:sz w:val="21"/>
                <w:szCs w:val="21"/>
              </w:rPr>
              <w:t>2000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月不规</w:t>
            </w:r>
            <w:r>
              <w:rPr>
                <w:rFonts w:ascii="宋体" w:hAnsi="宋体" w:cs="宋体" w:eastAsia="宋体" w:hint="default"/>
                <w:w w:val="100"/>
                <w:sz w:val="21"/>
                <w:szCs w:val="21"/>
              </w:rPr>
              <w:t> </w:t>
            </w:r>
            <w:r>
              <w:rPr>
                <w:rFonts w:ascii="宋体" w:hAnsi="宋体" w:cs="宋体" w:eastAsia="宋体" w:hint="default"/>
                <w:sz w:val="21"/>
                <w:szCs w:val="21"/>
              </w:rPr>
              <w:t>范增资所可能导致的任何其他民事</w:t>
            </w:r>
            <w:r>
              <w:rPr>
                <w:rFonts w:ascii="宋体" w:hAnsi="宋体" w:cs="宋体" w:eastAsia="宋体" w:hint="default"/>
                <w:w w:val="100"/>
                <w:sz w:val="21"/>
                <w:szCs w:val="21"/>
              </w:rPr>
              <w:t> </w:t>
            </w:r>
            <w:r>
              <w:rPr>
                <w:rFonts w:ascii="宋体" w:hAnsi="宋体" w:cs="宋体" w:eastAsia="宋体" w:hint="default"/>
                <w:sz w:val="21"/>
                <w:szCs w:val="21"/>
              </w:rPr>
              <w:t>责任</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长期有效</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不适</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用</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用</w:t>
            </w:r>
          </w:p>
        </w:tc>
      </w:tr>
      <w:tr>
        <w:trPr>
          <w:trHeight w:val="2189" w:hRule="exact"/>
        </w:trPr>
        <w:tc>
          <w:tcPr>
            <w:tcW w:w="958" w:type="dxa"/>
            <w:vMerge/>
            <w:tcBorders>
              <w:left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center"/>
              <w:rPr>
                <w:rFonts w:ascii="宋体" w:hAnsi="宋体" w:cs="宋体" w:eastAsia="宋体" w:hint="default"/>
                <w:sz w:val="21"/>
                <w:szCs w:val="21"/>
              </w:rPr>
            </w:pPr>
            <w:r>
              <w:rPr>
                <w:rFonts w:ascii="宋体" w:hAnsi="宋体" w:cs="宋体" w:eastAsia="宋体" w:hint="default"/>
                <w:sz w:val="21"/>
                <w:szCs w:val="21"/>
              </w:rPr>
              <w:t>其他</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严孟宇、董</w:t>
            </w:r>
          </w:p>
          <w:p>
            <w:pPr>
              <w:pStyle w:val="TableParagraph"/>
              <w:spacing w:line="237" w:lineRule="auto" w:before="2"/>
              <w:ind w:left="103" w:right="69"/>
              <w:jc w:val="left"/>
              <w:rPr>
                <w:rFonts w:ascii="宋体" w:hAnsi="宋体" w:cs="宋体" w:eastAsia="宋体" w:hint="default"/>
                <w:sz w:val="21"/>
                <w:szCs w:val="21"/>
              </w:rPr>
            </w:pPr>
            <w:r>
              <w:rPr>
                <w:rFonts w:ascii="宋体" w:hAnsi="宋体" w:cs="宋体" w:eastAsia="宋体" w:hint="default"/>
                <w:sz w:val="21"/>
                <w:szCs w:val="21"/>
              </w:rPr>
              <w:t>南勇、赵</w:t>
            </w:r>
            <w:r>
              <w:rPr>
                <w:rFonts w:ascii="宋体" w:hAnsi="宋体" w:cs="宋体" w:eastAsia="宋体" w:hint="default"/>
                <w:w w:val="100"/>
                <w:sz w:val="21"/>
                <w:szCs w:val="21"/>
              </w:rPr>
              <w:t> </w:t>
            </w:r>
            <w:r>
              <w:rPr>
                <w:rFonts w:ascii="宋体" w:hAnsi="宋体" w:cs="宋体" w:eastAsia="宋体" w:hint="default"/>
                <w:sz w:val="21"/>
                <w:szCs w:val="21"/>
              </w:rPr>
              <w:t>伟、赵莹、</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7"/>
                <w:sz w:val="21"/>
                <w:szCs w:val="21"/>
              </w:rPr>
              <w:t>雷世潘、张</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玉、刘法</w:t>
            </w:r>
            <w:r>
              <w:rPr>
                <w:rFonts w:ascii="宋体" w:hAnsi="宋体" w:cs="宋体" w:eastAsia="宋体" w:hint="default"/>
                <w:w w:val="100"/>
                <w:sz w:val="21"/>
                <w:szCs w:val="21"/>
              </w:rPr>
              <w:t> </w:t>
            </w:r>
            <w:r>
              <w:rPr>
                <w:rFonts w:ascii="宋体" w:hAnsi="宋体" w:cs="宋体" w:eastAsia="宋体" w:hint="default"/>
                <w:sz w:val="21"/>
                <w:szCs w:val="21"/>
              </w:rPr>
              <w:t>先、林秀</w:t>
            </w:r>
            <w:r>
              <w:rPr>
                <w:rFonts w:ascii="宋体" w:hAnsi="宋体" w:cs="宋体" w:eastAsia="宋体" w:hint="default"/>
                <w:w w:val="100"/>
                <w:sz w:val="21"/>
                <w:szCs w:val="21"/>
              </w:rPr>
              <w:t> </w:t>
            </w:r>
            <w:r>
              <w:rPr>
                <w:rFonts w:ascii="宋体" w:hAnsi="宋体" w:cs="宋体" w:eastAsia="宋体" w:hint="default"/>
                <w:spacing w:val="-7"/>
                <w:sz w:val="21"/>
                <w:szCs w:val="21"/>
              </w:rPr>
              <w:t>红、徐传秋</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和陈建国</w:t>
            </w:r>
          </w:p>
        </w:tc>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如因</w:t>
            </w:r>
            <w:r>
              <w:rPr>
                <w:rFonts w:ascii="宋体" w:hAnsi="宋体" w:cs="宋体" w:eastAsia="宋体" w:hint="default"/>
                <w:spacing w:val="-52"/>
                <w:sz w:val="21"/>
                <w:szCs w:val="21"/>
              </w:rPr>
              <w:t> </w:t>
            </w:r>
            <w:r>
              <w:rPr>
                <w:rFonts w:ascii="宋体" w:hAnsi="宋体" w:cs="宋体" w:eastAsia="宋体" w:hint="default"/>
                <w:sz w:val="21"/>
                <w:szCs w:val="21"/>
              </w:rPr>
              <w:t>2000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5"/>
                <w:sz w:val="21"/>
                <w:szCs w:val="21"/>
              </w:rPr>
              <w:t> </w:t>
            </w:r>
            <w:r>
              <w:rPr>
                <w:rFonts w:ascii="宋体" w:hAnsi="宋体" w:cs="宋体" w:eastAsia="宋体" w:hint="default"/>
                <w:sz w:val="21"/>
                <w:szCs w:val="21"/>
              </w:rPr>
              <w:t>月的增资事宜给福建</w:t>
            </w:r>
          </w:p>
          <w:p>
            <w:pPr>
              <w:pStyle w:val="TableParagraph"/>
              <w:spacing w:line="237" w:lineRule="auto" w:before="2"/>
              <w:ind w:left="103" w:right="99"/>
              <w:jc w:val="left"/>
              <w:rPr>
                <w:rFonts w:ascii="宋体" w:hAnsi="宋体" w:cs="宋体" w:eastAsia="宋体" w:hint="default"/>
                <w:sz w:val="21"/>
                <w:szCs w:val="21"/>
              </w:rPr>
            </w:pPr>
            <w:r>
              <w:rPr>
                <w:rFonts w:ascii="宋体" w:hAnsi="宋体" w:cs="宋体" w:eastAsia="宋体" w:hint="default"/>
                <w:sz w:val="21"/>
                <w:szCs w:val="21"/>
              </w:rPr>
              <w:t>顶点软件股份有限公司造成任何经</w:t>
            </w:r>
            <w:r>
              <w:rPr>
                <w:rFonts w:ascii="宋体" w:hAnsi="宋体" w:cs="宋体" w:eastAsia="宋体" w:hint="default"/>
                <w:w w:val="100"/>
                <w:sz w:val="21"/>
                <w:szCs w:val="21"/>
              </w:rPr>
              <w:t> </w:t>
            </w:r>
            <w:r>
              <w:rPr>
                <w:rFonts w:ascii="宋体" w:hAnsi="宋体" w:cs="宋体" w:eastAsia="宋体" w:hint="default"/>
                <w:spacing w:val="-6"/>
                <w:sz w:val="21"/>
                <w:szCs w:val="21"/>
              </w:rPr>
              <w:t>济利益损失，包括但不限于由此产生</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6"/>
                <w:sz w:val="21"/>
                <w:szCs w:val="21"/>
              </w:rPr>
              <w:t>的罚金、赔偿等，将由我等十名自然</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6"/>
                <w:sz w:val="21"/>
                <w:szCs w:val="21"/>
              </w:rPr>
              <w:t>人全额承担，各自承担的金额按增资</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6"/>
                <w:sz w:val="21"/>
                <w:szCs w:val="21"/>
              </w:rPr>
              <w:t>时的持股比例计算，陈建应承担的部</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6"/>
                <w:sz w:val="21"/>
                <w:szCs w:val="21"/>
              </w:rPr>
              <w:t>分由严孟宇先生承担，同时，承诺人</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彼此之间承担连带责任</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长期有效</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不适</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用</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用</w:t>
            </w:r>
          </w:p>
        </w:tc>
      </w:tr>
      <w:tr>
        <w:trPr>
          <w:trHeight w:val="828" w:hRule="exact"/>
        </w:trPr>
        <w:tc>
          <w:tcPr>
            <w:tcW w:w="958" w:type="dxa"/>
            <w:vMerge/>
            <w:tcBorders>
              <w:left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金石投资</w:t>
            </w:r>
          </w:p>
        </w:tc>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本公司对顶点软件系财务性投资，本</w:t>
            </w:r>
          </w:p>
          <w:p>
            <w:pPr>
              <w:pStyle w:val="TableParagraph"/>
              <w:spacing w:line="272" w:lineRule="exact" w:before="27"/>
              <w:ind w:left="103" w:right="238"/>
              <w:jc w:val="left"/>
              <w:rPr>
                <w:rFonts w:ascii="宋体" w:hAnsi="宋体" w:cs="宋体" w:eastAsia="宋体" w:hint="default"/>
                <w:sz w:val="21"/>
                <w:szCs w:val="21"/>
              </w:rPr>
            </w:pPr>
            <w:r>
              <w:rPr>
                <w:rFonts w:ascii="宋体" w:hAnsi="宋体" w:cs="宋体" w:eastAsia="宋体" w:hint="default"/>
                <w:spacing w:val="-2"/>
                <w:sz w:val="21"/>
                <w:szCs w:val="21"/>
              </w:rPr>
              <w:t>公司作为财务投资者将不会谋求顶</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点软件的控制权</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长期有效</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不适</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用</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用</w:t>
            </w:r>
          </w:p>
        </w:tc>
      </w:tr>
      <w:tr>
        <w:trPr>
          <w:trHeight w:val="2189" w:hRule="exact"/>
        </w:trPr>
        <w:tc>
          <w:tcPr>
            <w:tcW w:w="958" w:type="dxa"/>
            <w:vMerge/>
            <w:tcBorders>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上市公司</w:t>
            </w:r>
          </w:p>
        </w:tc>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自公司股票正式挂牌上市之日起三</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年内，若公司股票连续</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5"/>
                <w:sz w:val="21"/>
                <w:szCs w:val="21"/>
              </w:rPr>
              <w:t> </w:t>
            </w:r>
            <w:r>
              <w:rPr>
                <w:rFonts w:ascii="宋体" w:hAnsi="宋体" w:cs="宋体" w:eastAsia="宋体" w:hint="default"/>
                <w:sz w:val="21"/>
                <w:szCs w:val="21"/>
              </w:rPr>
              <w:t>个交易日</w:t>
            </w:r>
          </w:p>
          <w:p>
            <w:pPr>
              <w:pStyle w:val="TableParagraph"/>
              <w:spacing w:line="237" w:lineRule="auto" w:before="2"/>
              <w:ind w:left="103" w:right="29"/>
              <w:jc w:val="left"/>
              <w:rPr>
                <w:rFonts w:ascii="宋体" w:hAnsi="宋体" w:cs="宋体" w:eastAsia="宋体" w:hint="default"/>
                <w:sz w:val="21"/>
                <w:szCs w:val="21"/>
              </w:rPr>
            </w:pPr>
            <w:r>
              <w:rPr>
                <w:rFonts w:ascii="宋体" w:hAnsi="宋体" w:cs="宋体" w:eastAsia="宋体" w:hint="default"/>
                <w:sz w:val="21"/>
                <w:szCs w:val="21"/>
              </w:rPr>
              <w:t>（本公司股票全天停牌的交易日除</w:t>
            </w:r>
            <w:r>
              <w:rPr>
                <w:rFonts w:ascii="宋体" w:hAnsi="宋体" w:cs="宋体" w:eastAsia="宋体" w:hint="default"/>
                <w:w w:val="100"/>
                <w:sz w:val="21"/>
                <w:szCs w:val="21"/>
              </w:rPr>
              <w:t> </w:t>
            </w:r>
            <w:r>
              <w:rPr>
                <w:rFonts w:ascii="宋体" w:hAnsi="宋体" w:cs="宋体" w:eastAsia="宋体" w:hint="default"/>
                <w:spacing w:val="-6"/>
                <w:sz w:val="21"/>
                <w:szCs w:val="21"/>
              </w:rPr>
              <w:t>外，下同）的收盘价均低于本公司最</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6"/>
                <w:sz w:val="21"/>
                <w:szCs w:val="21"/>
              </w:rPr>
              <w:t>近一期经审计的每股净资产时，为维</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2"/>
                <w:sz w:val="21"/>
                <w:szCs w:val="21"/>
              </w:rPr>
              <w:t>护广大股东利益，增强投资者信心，</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6"/>
                <w:sz w:val="21"/>
                <w:szCs w:val="21"/>
              </w:rPr>
              <w:t>维护公司股价稳定，本公司将启动股</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价稳定措施。</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上市之日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起三年</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不适</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用</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用</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3"/>
        <w:tabs>
          <w:tab w:pos="1824" w:val="left" w:leader="none"/>
        </w:tabs>
        <w:spacing w:line="266" w:lineRule="auto" w:before="152"/>
        <w:ind w:left="1258" w:right="1610"/>
        <w:jc w:val="left"/>
        <w:rPr>
          <w:b w:val="0"/>
          <w:bCs w:val="0"/>
        </w:rPr>
      </w:pPr>
      <w:r>
        <w:rPr>
          <w:rFonts w:ascii="Calibri" w:hAnsi="Calibri" w:cs="Calibri" w:eastAsia="Calibri" w:hint="default"/>
        </w:rPr>
        <w:t>(</w:t>
      </w:r>
      <w:r>
        <w:rPr/>
        <w:t>二</w:t>
      </w:r>
      <w:r>
        <w:rPr>
          <w:rFonts w:ascii="Calibri" w:hAnsi="Calibri" w:cs="Calibri" w:eastAsia="Calibri" w:hint="default"/>
        </w:rPr>
        <w:t>)</w:t>
        <w:tab/>
      </w:r>
      <w:r>
        <w:rPr>
          <w:spacing w:val="-1"/>
        </w:rPr>
        <w:t>公司资产或项目存在盈利预测，且报告期仍处在盈利预测期间，公司就资产或项目</w:t>
      </w:r>
      <w:r>
        <w:rPr>
          <w:spacing w:val="-75"/>
        </w:rPr>
        <w:t> </w:t>
      </w:r>
      <w:r>
        <w:rPr>
          <w:spacing w:val="-75"/>
        </w:rPr>
      </w:r>
      <w:r>
        <w:rPr/>
        <w:t>是否达到原盈利预测及其原因作出说明</w:t>
      </w:r>
      <w:r>
        <w:rPr>
          <w:b w:val="0"/>
          <w:bCs w:val="0"/>
        </w:rPr>
      </w:r>
    </w:p>
    <w:p>
      <w:pPr>
        <w:pStyle w:val="BodyText"/>
        <w:spacing w:line="248" w:lineRule="exact"/>
        <w:ind w:left="1258" w:right="935"/>
        <w:jc w:val="left"/>
      </w:pPr>
      <w:r>
        <w:rPr/>
        <w:t>□已达到 □未达到 √不适用</w:t>
      </w:r>
    </w:p>
    <w:p>
      <w:pPr>
        <w:spacing w:line="240" w:lineRule="auto" w:before="3"/>
        <w:rPr>
          <w:rFonts w:ascii="宋体" w:hAnsi="宋体" w:cs="宋体" w:eastAsia="宋体" w:hint="default"/>
          <w:sz w:val="25"/>
          <w:szCs w:val="25"/>
        </w:rPr>
      </w:pPr>
    </w:p>
    <w:p>
      <w:pPr>
        <w:pStyle w:val="Heading3"/>
        <w:spacing w:line="240" w:lineRule="auto"/>
        <w:ind w:left="1258" w:right="935"/>
        <w:jc w:val="left"/>
        <w:rPr>
          <w:b w:val="0"/>
          <w:bCs w:val="0"/>
        </w:rPr>
      </w:pPr>
      <w:r>
        <w:rPr/>
        <w:t>三、报告期内资金被占用情况及清欠进展情况</w:t>
      </w:r>
      <w:r>
        <w:rPr>
          <w:b w:val="0"/>
          <w:bCs w:val="0"/>
        </w:rPr>
      </w:r>
    </w:p>
    <w:p>
      <w:pPr>
        <w:spacing w:line="290" w:lineRule="auto" w:before="58"/>
        <w:ind w:left="1258" w:right="296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四、公司对会计师事务所“非标准意见审计报告”的说明</w:t>
      </w:r>
      <w:r>
        <w:rPr>
          <w:rFonts w:ascii="宋体" w:hAnsi="宋体" w:cs="宋体" w:eastAsia="宋体" w:hint="default"/>
          <w:spacing w:val="-1"/>
          <w:sz w:val="21"/>
          <w:szCs w:val="21"/>
        </w:rPr>
      </w:r>
    </w:p>
    <w:p>
      <w:pPr>
        <w:pStyle w:val="BodyText"/>
        <w:spacing w:line="240" w:lineRule="auto" w:before="15"/>
        <w:ind w:left="1258" w:right="935"/>
        <w:jc w:val="left"/>
      </w:pPr>
      <w:r>
        <w:rPr/>
        <w:t>□适用</w:t>
      </w:r>
      <w:r>
        <w:rPr>
          <w:spacing w:val="-1"/>
        </w:rPr>
        <w:t> </w:t>
      </w:r>
      <w:r>
        <w:rPr/>
        <w:t>√不适用</w:t>
      </w:r>
    </w:p>
    <w:p>
      <w:pPr>
        <w:spacing w:after="0" w:line="240" w:lineRule="auto"/>
        <w:jc w:val="left"/>
        <w:sectPr>
          <w:pgSz w:w="11910" w:h="16840"/>
          <w:pgMar w:header="855" w:footer="1195" w:top="1280" w:bottom="1380" w:left="540" w:right="340"/>
        </w:sectPr>
      </w:pPr>
    </w:p>
    <w:p>
      <w:pPr>
        <w:spacing w:line="240" w:lineRule="auto" w:before="6"/>
        <w:rPr>
          <w:rFonts w:ascii="宋体" w:hAnsi="宋体" w:cs="宋体" w:eastAsia="宋体" w:hint="default"/>
          <w:sz w:val="12"/>
          <w:szCs w:val="12"/>
        </w:rPr>
      </w:pPr>
    </w:p>
    <w:p>
      <w:pPr>
        <w:pStyle w:val="Heading3"/>
        <w:spacing w:line="240" w:lineRule="auto" w:before="36"/>
        <w:ind w:right="0"/>
        <w:jc w:val="left"/>
        <w:rPr>
          <w:b w:val="0"/>
          <w:bCs w:val="0"/>
        </w:rPr>
      </w:pPr>
      <w:r>
        <w:rPr/>
        <w:t>五、公司对会计政策、会计估计变更或重大会计差错更正原因和影响的分析说明</w:t>
      </w:r>
      <w:r>
        <w:rPr>
          <w:b w:val="0"/>
          <w:bCs w:val="0"/>
        </w:rPr>
      </w:r>
    </w:p>
    <w:p>
      <w:pPr>
        <w:pStyle w:val="Heading3"/>
        <w:tabs>
          <w:tab w:pos="1057" w:val="left" w:leader="none"/>
        </w:tabs>
        <w:spacing w:line="240" w:lineRule="auto" w:before="58"/>
        <w:ind w:right="0"/>
        <w:jc w:val="left"/>
        <w:rPr>
          <w:b w:val="0"/>
          <w:bCs w:val="0"/>
        </w:rPr>
      </w:pPr>
      <w:r>
        <w:rPr/>
        <w:t>（一）</w:t>
        <w:tab/>
        <w:t>公司对会计政策、会计估计变更原因及影响的分析说明</w:t>
      </w:r>
      <w:r>
        <w:rPr>
          <w:b w:val="0"/>
          <w:bCs w:val="0"/>
        </w:rPr>
      </w:r>
    </w:p>
    <w:p>
      <w:pPr>
        <w:pStyle w:val="BodyText"/>
        <w:tabs>
          <w:tab w:pos="1163" w:val="left" w:leader="none"/>
        </w:tabs>
        <w:spacing w:line="240" w:lineRule="auto" w:before="56"/>
        <w:ind w:right="0"/>
        <w:jc w:val="left"/>
      </w:pPr>
      <w:r>
        <w:rPr/>
        <w:t>√适用</w:t>
        <w:tab/>
        <w:t>□不适用</w:t>
      </w:r>
    </w:p>
    <w:p>
      <w:pPr>
        <w:spacing w:line="240" w:lineRule="auto" w:before="7"/>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4125"/>
        <w:gridCol w:w="1306"/>
        <w:gridCol w:w="1855"/>
        <w:gridCol w:w="1913"/>
      </w:tblGrid>
      <w:tr>
        <w:trPr>
          <w:trHeight w:val="554" w:hRule="exact"/>
        </w:trPr>
        <w:tc>
          <w:tcPr>
            <w:tcW w:w="4125" w:type="dxa"/>
            <w:tcBorders>
              <w:top w:val="single" w:sz="4" w:space="0" w:color="000000"/>
              <w:left w:val="nil" w:sz="6" w:space="0" w:color="auto"/>
              <w:bottom w:val="single" w:sz="4" w:space="0" w:color="000000"/>
              <w:right w:val="nil" w:sz="6" w:space="0" w:color="auto"/>
            </w:tcBorders>
          </w:tcPr>
          <w:p>
            <w:pPr>
              <w:pStyle w:val="TableParagraph"/>
              <w:spacing w:line="240" w:lineRule="auto" w:before="102"/>
              <w:ind w:left="107" w:right="0"/>
              <w:jc w:val="left"/>
              <w:rPr>
                <w:rFonts w:ascii="宋体" w:hAnsi="宋体" w:cs="宋体" w:eastAsia="宋体" w:hint="default"/>
                <w:sz w:val="21"/>
                <w:szCs w:val="21"/>
              </w:rPr>
            </w:pPr>
            <w:r>
              <w:rPr>
                <w:rFonts w:ascii="宋体" w:hAnsi="宋体" w:cs="宋体" w:eastAsia="宋体" w:hint="default"/>
                <w:sz w:val="21"/>
                <w:szCs w:val="21"/>
              </w:rPr>
              <w:t>会计政策变更的内容和原因</w:t>
            </w:r>
          </w:p>
        </w:tc>
        <w:tc>
          <w:tcPr>
            <w:tcW w:w="1306" w:type="dxa"/>
            <w:tcBorders>
              <w:top w:val="single" w:sz="4" w:space="0" w:color="000000"/>
              <w:left w:val="nil" w:sz="6" w:space="0" w:color="auto"/>
              <w:bottom w:val="single" w:sz="4" w:space="0" w:color="000000"/>
              <w:right w:val="nil" w:sz="6" w:space="0" w:color="auto"/>
            </w:tcBorders>
          </w:tcPr>
          <w:p>
            <w:pPr>
              <w:pStyle w:val="TableParagraph"/>
              <w:spacing w:line="240" w:lineRule="auto" w:before="102"/>
              <w:ind w:left="53" w:right="0"/>
              <w:jc w:val="left"/>
              <w:rPr>
                <w:rFonts w:ascii="宋体" w:hAnsi="宋体" w:cs="宋体" w:eastAsia="宋体" w:hint="default"/>
                <w:sz w:val="21"/>
                <w:szCs w:val="21"/>
              </w:rPr>
            </w:pPr>
            <w:r>
              <w:rPr>
                <w:rFonts w:ascii="宋体" w:hAnsi="宋体" w:cs="宋体" w:eastAsia="宋体" w:hint="default"/>
                <w:sz w:val="21"/>
                <w:szCs w:val="21"/>
              </w:rPr>
              <w:t>审批程序</w:t>
            </w:r>
          </w:p>
        </w:tc>
        <w:tc>
          <w:tcPr>
            <w:tcW w:w="1855" w:type="dxa"/>
            <w:tcBorders>
              <w:top w:val="single" w:sz="4" w:space="0" w:color="000000"/>
              <w:left w:val="nil" w:sz="6" w:space="0" w:color="auto"/>
              <w:bottom w:val="single" w:sz="4" w:space="0" w:color="000000"/>
              <w:right w:val="nil" w:sz="6" w:space="0" w:color="auto"/>
            </w:tcBorders>
          </w:tcPr>
          <w:p>
            <w:pPr>
              <w:pStyle w:val="TableParagraph"/>
              <w:spacing w:line="239" w:lineRule="exact"/>
              <w:ind w:left="198" w:right="0"/>
              <w:jc w:val="left"/>
              <w:rPr>
                <w:rFonts w:ascii="宋体" w:hAnsi="宋体" w:cs="宋体" w:eastAsia="宋体" w:hint="default"/>
                <w:sz w:val="21"/>
                <w:szCs w:val="21"/>
              </w:rPr>
            </w:pPr>
            <w:r>
              <w:rPr>
                <w:rFonts w:ascii="宋体" w:hAnsi="宋体" w:cs="宋体" w:eastAsia="宋体" w:hint="default"/>
                <w:sz w:val="21"/>
                <w:szCs w:val="21"/>
              </w:rPr>
              <w:t>受影响的报表项</w:t>
            </w:r>
          </w:p>
          <w:p>
            <w:pPr>
              <w:pStyle w:val="TableParagraph"/>
              <w:spacing w:line="273" w:lineRule="exact"/>
              <w:ind w:left="198" w:right="0"/>
              <w:jc w:val="left"/>
              <w:rPr>
                <w:rFonts w:ascii="宋体" w:hAnsi="宋体" w:cs="宋体" w:eastAsia="宋体" w:hint="default"/>
                <w:sz w:val="21"/>
                <w:szCs w:val="21"/>
              </w:rPr>
            </w:pPr>
            <w:r>
              <w:rPr>
                <w:rFonts w:ascii="宋体" w:hAnsi="宋体" w:cs="宋体" w:eastAsia="宋体" w:hint="default"/>
                <w:w w:val="100"/>
                <w:sz w:val="21"/>
                <w:szCs w:val="21"/>
              </w:rPr>
              <w:t>目</w:t>
            </w:r>
          </w:p>
        </w:tc>
        <w:tc>
          <w:tcPr>
            <w:tcW w:w="1913" w:type="dxa"/>
            <w:tcBorders>
              <w:top w:val="single" w:sz="4" w:space="0" w:color="000000"/>
              <w:left w:val="nil" w:sz="6" w:space="0" w:color="auto"/>
              <w:bottom w:val="single" w:sz="4" w:space="0" w:color="000000"/>
              <w:right w:val="nil" w:sz="6" w:space="0" w:color="auto"/>
            </w:tcBorders>
          </w:tcPr>
          <w:p>
            <w:pPr>
              <w:pStyle w:val="TableParagraph"/>
              <w:spacing w:line="240" w:lineRule="auto" w:before="102"/>
              <w:ind w:left="182" w:right="0"/>
              <w:jc w:val="left"/>
              <w:rPr>
                <w:rFonts w:ascii="宋体" w:hAnsi="宋体" w:cs="宋体" w:eastAsia="宋体" w:hint="default"/>
                <w:sz w:val="21"/>
                <w:szCs w:val="21"/>
              </w:rPr>
            </w:pPr>
            <w:r>
              <w:rPr>
                <w:rFonts w:ascii="宋体" w:hAnsi="宋体" w:cs="宋体" w:eastAsia="宋体" w:hint="default"/>
                <w:sz w:val="21"/>
                <w:szCs w:val="21"/>
              </w:rPr>
              <w:t>影响金额</w:t>
            </w:r>
          </w:p>
        </w:tc>
      </w:tr>
      <w:tr>
        <w:trPr>
          <w:trHeight w:val="3005" w:hRule="exact"/>
        </w:trPr>
        <w:tc>
          <w:tcPr>
            <w:tcW w:w="4125" w:type="dxa"/>
            <w:tcBorders>
              <w:top w:val="single" w:sz="4" w:space="0" w:color="000000"/>
              <w:left w:val="nil" w:sz="6" w:space="0" w:color="auto"/>
              <w:bottom w:val="single" w:sz="4" w:space="0" w:color="000000"/>
              <w:right w:val="nil" w:sz="6" w:space="0" w:color="auto"/>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w w:val="100"/>
                <w:sz w:val="21"/>
                <w:szCs w:val="21"/>
              </w:rPr>
              <w:t>根</w:t>
            </w:r>
            <w:r>
              <w:rPr>
                <w:rFonts w:ascii="宋体" w:hAnsi="宋体" w:cs="宋体" w:eastAsia="宋体" w:hint="default"/>
                <w:spacing w:val="-106"/>
                <w:w w:val="100"/>
                <w:sz w:val="21"/>
                <w:szCs w:val="21"/>
              </w:rPr>
              <w:t>据</w:t>
            </w:r>
            <w:r>
              <w:rPr>
                <w:rFonts w:ascii="宋体" w:hAnsi="宋体" w:cs="宋体" w:eastAsia="宋体" w:hint="default"/>
                <w:spacing w:val="-3"/>
                <w:w w:val="100"/>
                <w:sz w:val="21"/>
                <w:szCs w:val="21"/>
              </w:rPr>
              <w:t>《</w:t>
            </w:r>
            <w:r>
              <w:rPr>
                <w:rFonts w:ascii="宋体" w:hAnsi="宋体" w:cs="宋体" w:eastAsia="宋体" w:hint="default"/>
                <w:w w:val="100"/>
                <w:sz w:val="21"/>
                <w:szCs w:val="21"/>
              </w:rPr>
              <w:t>企</w:t>
            </w:r>
            <w:r>
              <w:rPr>
                <w:rFonts w:ascii="宋体" w:hAnsi="宋体" w:cs="宋体" w:eastAsia="宋体" w:hint="default"/>
                <w:spacing w:val="-3"/>
                <w:w w:val="100"/>
                <w:sz w:val="21"/>
                <w:szCs w:val="21"/>
              </w:rPr>
              <w:t>业</w:t>
            </w:r>
            <w:r>
              <w:rPr>
                <w:rFonts w:ascii="宋体" w:hAnsi="宋体" w:cs="宋体" w:eastAsia="宋体" w:hint="default"/>
                <w:w w:val="100"/>
                <w:sz w:val="21"/>
                <w:szCs w:val="21"/>
              </w:rPr>
              <w:t>会</w:t>
            </w:r>
            <w:r>
              <w:rPr>
                <w:rFonts w:ascii="宋体" w:hAnsi="宋体" w:cs="宋体" w:eastAsia="宋体" w:hint="default"/>
                <w:spacing w:val="-3"/>
                <w:w w:val="100"/>
                <w:sz w:val="21"/>
                <w:szCs w:val="21"/>
              </w:rPr>
              <w:t>计</w:t>
            </w:r>
            <w:r>
              <w:rPr>
                <w:rFonts w:ascii="宋体" w:hAnsi="宋体" w:cs="宋体" w:eastAsia="宋体" w:hint="default"/>
                <w:w w:val="100"/>
                <w:sz w:val="21"/>
                <w:szCs w:val="21"/>
              </w:rPr>
              <w:t>准</w:t>
            </w:r>
            <w:r>
              <w:rPr>
                <w:rFonts w:ascii="宋体" w:hAnsi="宋体" w:cs="宋体" w:eastAsia="宋体" w:hint="default"/>
                <w:spacing w:val="-3"/>
                <w:w w:val="100"/>
                <w:sz w:val="21"/>
                <w:szCs w:val="21"/>
              </w:rPr>
              <w:t>则</w:t>
            </w:r>
            <w:r>
              <w:rPr>
                <w:rFonts w:ascii="宋体" w:hAnsi="宋体" w:cs="宋体" w:eastAsia="宋体" w:hint="default"/>
                <w:w w:val="100"/>
                <w:sz w:val="21"/>
                <w:szCs w:val="21"/>
              </w:rPr>
              <w:t>第</w:t>
            </w:r>
            <w:r>
              <w:rPr>
                <w:rFonts w:ascii="宋体" w:hAnsi="宋体" w:cs="宋体" w:eastAsia="宋体" w:hint="default"/>
                <w:spacing w:val="-67"/>
                <w:sz w:val="21"/>
                <w:szCs w:val="21"/>
              </w:rPr>
              <w:t> </w:t>
            </w:r>
            <w:r>
              <w:rPr>
                <w:rFonts w:ascii="宋体" w:hAnsi="宋体" w:cs="宋体" w:eastAsia="宋体" w:hint="default"/>
                <w:spacing w:val="-3"/>
                <w:w w:val="100"/>
                <w:sz w:val="21"/>
                <w:szCs w:val="21"/>
              </w:rPr>
              <w:t>1</w:t>
            </w:r>
            <w:r>
              <w:rPr>
                <w:rFonts w:ascii="宋体" w:hAnsi="宋体" w:cs="宋体" w:eastAsia="宋体" w:hint="default"/>
                <w:w w:val="100"/>
                <w:sz w:val="21"/>
                <w:szCs w:val="21"/>
              </w:rPr>
              <w:t>6</w:t>
            </w:r>
            <w:r>
              <w:rPr>
                <w:rFonts w:ascii="宋体" w:hAnsi="宋体" w:cs="宋体" w:eastAsia="宋体" w:hint="default"/>
                <w:spacing w:val="-69"/>
                <w:sz w:val="21"/>
                <w:szCs w:val="21"/>
              </w:rPr>
              <w:t> </w:t>
            </w:r>
            <w:r>
              <w:rPr>
                <w:rFonts w:ascii="宋体" w:hAnsi="宋体" w:cs="宋体" w:eastAsia="宋体" w:hint="default"/>
                <w:w w:val="100"/>
                <w:sz w:val="21"/>
                <w:szCs w:val="21"/>
              </w:rPr>
              <w:t>号—</w:t>
            </w:r>
            <w:r>
              <w:rPr>
                <w:rFonts w:ascii="宋体" w:hAnsi="宋体" w:cs="宋体" w:eastAsia="宋体" w:hint="default"/>
                <w:spacing w:val="-3"/>
                <w:w w:val="100"/>
                <w:sz w:val="21"/>
                <w:szCs w:val="21"/>
              </w:rPr>
              <w:t>—</w:t>
            </w:r>
            <w:r>
              <w:rPr>
                <w:rFonts w:ascii="宋体" w:hAnsi="宋体" w:cs="宋体" w:eastAsia="宋体" w:hint="default"/>
                <w:w w:val="100"/>
                <w:sz w:val="21"/>
                <w:szCs w:val="21"/>
              </w:rPr>
              <w:t>政</w:t>
            </w:r>
            <w:r>
              <w:rPr>
                <w:rFonts w:ascii="宋体" w:hAnsi="宋体" w:cs="宋体" w:eastAsia="宋体" w:hint="default"/>
                <w:spacing w:val="-3"/>
                <w:w w:val="100"/>
                <w:sz w:val="21"/>
                <w:szCs w:val="21"/>
              </w:rPr>
              <w:t>府</w:t>
            </w:r>
            <w:r>
              <w:rPr>
                <w:rFonts w:ascii="宋体" w:hAnsi="宋体" w:cs="宋体" w:eastAsia="宋体" w:hint="default"/>
                <w:w w:val="100"/>
                <w:sz w:val="21"/>
                <w:szCs w:val="21"/>
              </w:rPr>
              <w:t>补</w:t>
            </w:r>
            <w:r>
              <w:rPr>
                <w:rFonts w:ascii="宋体" w:hAnsi="宋体" w:cs="宋体" w:eastAsia="宋体" w:hint="default"/>
                <w:spacing w:val="-3"/>
                <w:w w:val="100"/>
                <w:sz w:val="21"/>
                <w:szCs w:val="21"/>
              </w:rPr>
              <w:t>助</w:t>
            </w:r>
            <w:r>
              <w:rPr>
                <w:rFonts w:ascii="宋体" w:hAnsi="宋体" w:cs="宋体" w:eastAsia="宋体" w:hint="default"/>
                <w:w w:val="100"/>
                <w:sz w:val="21"/>
                <w:szCs w:val="21"/>
              </w:rPr>
              <w:t>》</w:t>
            </w:r>
          </w:p>
          <w:p>
            <w:pPr>
              <w:pStyle w:val="TableParagraph"/>
              <w:spacing w:line="237" w:lineRule="auto" w:before="2"/>
              <w:ind w:left="107" w:right="179"/>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2017</w:t>
            </w:r>
            <w:r>
              <w:rPr>
                <w:rFonts w:ascii="宋体" w:hAnsi="宋体" w:cs="宋体" w:eastAsia="宋体" w:hint="default"/>
                <w:sz w:val="21"/>
                <w:szCs w:val="21"/>
              </w:rPr>
              <w:t>），政府补助的会计处理方法从总</w:t>
            </w:r>
            <w:r>
              <w:rPr>
                <w:rFonts w:ascii="宋体" w:hAnsi="宋体" w:cs="宋体" w:eastAsia="宋体" w:hint="default"/>
                <w:w w:val="100"/>
                <w:sz w:val="21"/>
                <w:szCs w:val="21"/>
              </w:rPr>
              <w:t> </w:t>
            </w:r>
            <w:r>
              <w:rPr>
                <w:rFonts w:ascii="宋体" w:hAnsi="宋体" w:cs="宋体" w:eastAsia="宋体" w:hint="default"/>
                <w:sz w:val="21"/>
                <w:szCs w:val="21"/>
              </w:rPr>
              <w:t>额法改为允许采用净额法，将与资产相关</w:t>
            </w:r>
            <w:r>
              <w:rPr>
                <w:rFonts w:ascii="宋体" w:hAnsi="宋体" w:cs="宋体" w:eastAsia="宋体" w:hint="default"/>
                <w:w w:val="100"/>
                <w:sz w:val="21"/>
                <w:szCs w:val="21"/>
              </w:rPr>
              <w:t> </w:t>
            </w:r>
            <w:r>
              <w:rPr>
                <w:rFonts w:ascii="宋体" w:hAnsi="宋体" w:cs="宋体" w:eastAsia="宋体" w:hint="default"/>
                <w:sz w:val="21"/>
                <w:szCs w:val="21"/>
              </w:rPr>
              <w:t>的政府补助相关递延收益的摊销方式从在</w:t>
            </w:r>
            <w:r>
              <w:rPr>
                <w:rFonts w:ascii="宋体" w:hAnsi="宋体" w:cs="宋体" w:eastAsia="宋体" w:hint="default"/>
                <w:w w:val="100"/>
                <w:sz w:val="21"/>
                <w:szCs w:val="21"/>
              </w:rPr>
              <w:t> </w:t>
            </w:r>
            <w:r>
              <w:rPr>
                <w:rFonts w:ascii="宋体" w:hAnsi="宋体" w:cs="宋体" w:eastAsia="宋体" w:hint="default"/>
                <w:sz w:val="21"/>
                <w:szCs w:val="21"/>
              </w:rPr>
              <w:t>相关资产使用寿命内平均分配改为按照合</w:t>
            </w:r>
            <w:r>
              <w:rPr>
                <w:rFonts w:ascii="宋体" w:hAnsi="宋体" w:cs="宋体" w:eastAsia="宋体" w:hint="default"/>
                <w:w w:val="100"/>
                <w:sz w:val="21"/>
                <w:szCs w:val="21"/>
              </w:rPr>
              <w:t> </w:t>
            </w:r>
            <w:r>
              <w:rPr>
                <w:rFonts w:ascii="宋体" w:hAnsi="宋体" w:cs="宋体" w:eastAsia="宋体" w:hint="default"/>
                <w:sz w:val="21"/>
                <w:szCs w:val="21"/>
              </w:rPr>
              <w:t>理、系统的方法分配，并修改了政府补助</w:t>
            </w:r>
            <w:r>
              <w:rPr>
                <w:rFonts w:ascii="宋体" w:hAnsi="宋体" w:cs="宋体" w:eastAsia="宋体" w:hint="default"/>
                <w:w w:val="100"/>
                <w:sz w:val="21"/>
                <w:szCs w:val="21"/>
              </w:rPr>
              <w:t> </w:t>
            </w:r>
            <w:r>
              <w:rPr>
                <w:rFonts w:ascii="宋体" w:hAnsi="宋体" w:cs="宋体" w:eastAsia="宋体" w:hint="default"/>
                <w:sz w:val="21"/>
                <w:szCs w:val="21"/>
              </w:rPr>
              <w:t>的列报项目。</w:t>
            </w: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日尚未摊销完</w:t>
            </w:r>
          </w:p>
          <w:p>
            <w:pPr>
              <w:pStyle w:val="TableParagraph"/>
              <w:spacing w:line="237" w:lineRule="auto"/>
              <w:ind w:left="107" w:right="155"/>
              <w:jc w:val="left"/>
              <w:rPr>
                <w:rFonts w:ascii="宋体" w:hAnsi="宋体" w:cs="宋体" w:eastAsia="宋体" w:hint="default"/>
                <w:sz w:val="21"/>
                <w:szCs w:val="21"/>
              </w:rPr>
            </w:pPr>
            <w:r>
              <w:rPr>
                <w:rFonts w:ascii="宋体" w:hAnsi="宋体" w:cs="宋体" w:eastAsia="宋体" w:hint="default"/>
                <w:sz w:val="21"/>
                <w:szCs w:val="21"/>
              </w:rPr>
              <w:t>毕的政府补助和</w:t>
            </w:r>
            <w:r>
              <w:rPr>
                <w:rFonts w:ascii="宋体" w:hAnsi="宋体" w:cs="宋体" w:eastAsia="宋体" w:hint="default"/>
                <w:spacing w:val="-69"/>
                <w:sz w:val="21"/>
                <w:szCs w:val="21"/>
              </w:rPr>
              <w:t> </w:t>
            </w:r>
            <w:r>
              <w:rPr>
                <w:rFonts w:ascii="宋体" w:hAnsi="宋体" w:cs="宋体" w:eastAsia="宋体" w:hint="default"/>
                <w:sz w:val="21"/>
                <w:szCs w:val="21"/>
              </w:rPr>
              <w:t>2017</w:t>
            </w:r>
            <w:r>
              <w:rPr>
                <w:rFonts w:ascii="宋体" w:hAnsi="宋体" w:cs="宋体" w:eastAsia="宋体" w:hint="default"/>
                <w:spacing w:val="-69"/>
                <w:sz w:val="21"/>
                <w:szCs w:val="21"/>
              </w:rPr>
              <w:t> </w:t>
            </w:r>
            <w:r>
              <w:rPr>
                <w:rFonts w:ascii="宋体" w:hAnsi="宋体" w:cs="宋体" w:eastAsia="宋体" w:hint="default"/>
                <w:sz w:val="21"/>
                <w:szCs w:val="21"/>
              </w:rPr>
              <w:t>年取得的政府补助适</w:t>
            </w:r>
            <w:r>
              <w:rPr>
                <w:rFonts w:ascii="宋体" w:hAnsi="宋体" w:cs="宋体" w:eastAsia="宋体" w:hint="default"/>
                <w:w w:val="100"/>
                <w:sz w:val="21"/>
                <w:szCs w:val="21"/>
              </w:rPr>
              <w:t> </w:t>
            </w:r>
            <w:r>
              <w:rPr>
                <w:rFonts w:ascii="宋体" w:hAnsi="宋体" w:cs="宋体" w:eastAsia="宋体" w:hint="default"/>
                <w:sz w:val="21"/>
                <w:szCs w:val="21"/>
              </w:rPr>
              <w:t>用修订后的准则。对新的披露要求不需提</w:t>
            </w:r>
            <w:r>
              <w:rPr>
                <w:rFonts w:ascii="宋体" w:hAnsi="宋体" w:cs="宋体" w:eastAsia="宋体" w:hint="default"/>
                <w:w w:val="100"/>
                <w:sz w:val="21"/>
                <w:szCs w:val="21"/>
              </w:rPr>
              <w:t> </w:t>
            </w:r>
            <w:r>
              <w:rPr>
                <w:rFonts w:ascii="宋体" w:hAnsi="宋体" w:cs="宋体" w:eastAsia="宋体" w:hint="default"/>
                <w:sz w:val="21"/>
                <w:szCs w:val="21"/>
              </w:rPr>
              <w:t>供比较信息，不对比较报表中其他收益的</w:t>
            </w:r>
            <w:r>
              <w:rPr>
                <w:rFonts w:ascii="宋体" w:hAnsi="宋体" w:cs="宋体" w:eastAsia="宋体" w:hint="default"/>
                <w:w w:val="100"/>
                <w:sz w:val="21"/>
                <w:szCs w:val="21"/>
              </w:rPr>
              <w:t> </w:t>
            </w:r>
            <w:r>
              <w:rPr>
                <w:rFonts w:ascii="宋体" w:hAnsi="宋体" w:cs="宋体" w:eastAsia="宋体" w:hint="default"/>
                <w:sz w:val="21"/>
                <w:szCs w:val="21"/>
              </w:rPr>
              <w:t>列报进行相应调整。</w:t>
            </w:r>
          </w:p>
        </w:tc>
        <w:tc>
          <w:tcPr>
            <w:tcW w:w="1306"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37" w:lineRule="auto"/>
              <w:ind w:left="53" w:right="196"/>
              <w:jc w:val="both"/>
              <w:rPr>
                <w:rFonts w:ascii="宋体" w:hAnsi="宋体" w:cs="宋体" w:eastAsia="宋体" w:hint="default"/>
                <w:sz w:val="21"/>
                <w:szCs w:val="21"/>
              </w:rPr>
            </w:pPr>
            <w:r>
              <w:rPr>
                <w:rFonts w:ascii="宋体" w:hAnsi="宋体" w:cs="宋体" w:eastAsia="宋体" w:hint="default"/>
                <w:spacing w:val="-1"/>
                <w:sz w:val="21"/>
                <w:szCs w:val="21"/>
              </w:rPr>
              <w:t>第七届董事</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1"/>
                <w:sz w:val="21"/>
                <w:szCs w:val="21"/>
              </w:rPr>
              <w:t>会第三次会</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议</w:t>
            </w:r>
          </w:p>
        </w:tc>
        <w:tc>
          <w:tcPr>
            <w:tcW w:w="1855"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73"/>
              <w:ind w:left="198" w:right="180"/>
              <w:jc w:val="left"/>
              <w:rPr>
                <w:rFonts w:ascii="宋体" w:hAnsi="宋体" w:cs="宋体" w:eastAsia="宋体" w:hint="default"/>
                <w:sz w:val="21"/>
                <w:szCs w:val="21"/>
              </w:rPr>
            </w:pPr>
            <w:r>
              <w:rPr>
                <w:rFonts w:ascii="宋体" w:hAnsi="宋体" w:cs="宋体" w:eastAsia="宋体" w:hint="default"/>
                <w:spacing w:val="-1"/>
                <w:sz w:val="21"/>
                <w:szCs w:val="21"/>
              </w:rPr>
              <w:t>其他收益营业外</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收入</w:t>
            </w:r>
          </w:p>
        </w:tc>
        <w:tc>
          <w:tcPr>
            <w:tcW w:w="1913"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82" w:right="0"/>
              <w:jc w:val="left"/>
              <w:rPr>
                <w:rFonts w:ascii="宋体" w:hAnsi="宋体" w:cs="宋体" w:eastAsia="宋体" w:hint="default"/>
                <w:sz w:val="21"/>
                <w:szCs w:val="21"/>
              </w:rPr>
            </w:pPr>
            <w:r>
              <w:rPr>
                <w:rFonts w:ascii="宋体" w:hAnsi="宋体" w:cs="宋体" w:eastAsia="宋体" w:hint="default"/>
                <w:sz w:val="21"/>
                <w:szCs w:val="21"/>
              </w:rPr>
              <w:t>见说明</w:t>
            </w:r>
            <w:r>
              <w:rPr>
                <w:rFonts w:ascii="宋体" w:hAnsi="宋体" w:cs="宋体" w:eastAsia="宋体" w:hint="default"/>
                <w:spacing w:val="-52"/>
                <w:sz w:val="21"/>
                <w:szCs w:val="21"/>
              </w:rPr>
              <w:t> </w:t>
            </w:r>
            <w:r>
              <w:rPr>
                <w:rFonts w:ascii="宋体" w:hAnsi="宋体" w:cs="宋体" w:eastAsia="宋体" w:hint="default"/>
                <w:sz w:val="21"/>
                <w:szCs w:val="21"/>
              </w:rPr>
              <w:t>A</w:t>
            </w:r>
          </w:p>
        </w:tc>
      </w:tr>
      <w:tr>
        <w:trPr>
          <w:trHeight w:val="5459" w:hRule="exact"/>
        </w:trPr>
        <w:tc>
          <w:tcPr>
            <w:tcW w:w="4125" w:type="dxa"/>
            <w:tcBorders>
              <w:top w:val="single" w:sz="4" w:space="0" w:color="000000"/>
              <w:left w:val="nil" w:sz="6" w:space="0" w:color="auto"/>
              <w:bottom w:val="single" w:sz="4" w:space="0" w:color="000000"/>
              <w:right w:val="nil" w:sz="6" w:space="0" w:color="auto"/>
            </w:tcBorders>
          </w:tcPr>
          <w:p>
            <w:pPr>
              <w:pStyle w:val="TableParagraph"/>
              <w:spacing w:line="241" w:lineRule="exact"/>
              <w:ind w:left="107" w:right="0"/>
              <w:jc w:val="both"/>
              <w:rPr>
                <w:rFonts w:ascii="宋体" w:hAnsi="宋体" w:cs="宋体" w:eastAsia="宋体" w:hint="default"/>
                <w:sz w:val="21"/>
                <w:szCs w:val="21"/>
              </w:rPr>
            </w:pPr>
            <w:r>
              <w:rPr>
                <w:rFonts w:ascii="宋体" w:hAnsi="宋体" w:cs="宋体" w:eastAsia="宋体" w:hint="default"/>
                <w:sz w:val="21"/>
                <w:szCs w:val="21"/>
              </w:rPr>
              <w:t>根据《关于修订印发一般企业财务报表格</w:t>
            </w:r>
          </w:p>
          <w:p>
            <w:pPr>
              <w:pStyle w:val="TableParagraph"/>
              <w:spacing w:line="237" w:lineRule="auto"/>
              <w:ind w:left="107" w:right="179"/>
              <w:jc w:val="both"/>
              <w:rPr>
                <w:rFonts w:ascii="宋体" w:hAnsi="宋体" w:cs="宋体" w:eastAsia="宋体" w:hint="default"/>
                <w:sz w:val="21"/>
                <w:szCs w:val="21"/>
              </w:rPr>
            </w:pPr>
            <w:r>
              <w:rPr>
                <w:rFonts w:ascii="宋体" w:hAnsi="宋体" w:cs="宋体" w:eastAsia="宋体" w:hint="default"/>
                <w:sz w:val="21"/>
                <w:szCs w:val="21"/>
              </w:rPr>
              <w:t>式的通知》（财会</w:t>
            </w:r>
            <w:r>
              <w:rPr>
                <w:rFonts w:ascii="宋体" w:hAnsi="宋体" w:cs="宋体" w:eastAsia="宋体" w:hint="default"/>
                <w:sz w:val="21"/>
                <w:szCs w:val="21"/>
              </w:rPr>
              <w:t>[2017]30</w:t>
            </w:r>
            <w:r>
              <w:rPr>
                <w:rFonts w:ascii="宋体" w:hAnsi="宋体" w:cs="宋体" w:eastAsia="宋体" w:hint="default"/>
                <w:spacing w:val="-55"/>
                <w:sz w:val="21"/>
                <w:szCs w:val="21"/>
              </w:rPr>
              <w:t> </w:t>
            </w:r>
            <w:r>
              <w:rPr>
                <w:rFonts w:ascii="宋体" w:hAnsi="宋体" w:cs="宋体" w:eastAsia="宋体" w:hint="default"/>
                <w:sz w:val="21"/>
                <w:szCs w:val="21"/>
              </w:rPr>
              <w:t>号），在利润</w:t>
            </w:r>
            <w:r>
              <w:rPr>
                <w:rFonts w:ascii="宋体" w:hAnsi="宋体" w:cs="宋体" w:eastAsia="宋体" w:hint="default"/>
                <w:w w:val="100"/>
                <w:sz w:val="21"/>
                <w:szCs w:val="21"/>
              </w:rPr>
              <w:t> </w:t>
            </w:r>
            <w:r>
              <w:rPr>
                <w:rFonts w:ascii="宋体" w:hAnsi="宋体" w:cs="宋体" w:eastAsia="宋体" w:hint="default"/>
                <w:sz w:val="21"/>
                <w:szCs w:val="21"/>
              </w:rPr>
              <w:t>表中新增“资产处置收益”行项目，反映</w:t>
            </w:r>
            <w:r>
              <w:rPr>
                <w:rFonts w:ascii="宋体" w:hAnsi="宋体" w:cs="宋体" w:eastAsia="宋体" w:hint="default"/>
                <w:w w:val="100"/>
                <w:sz w:val="21"/>
                <w:szCs w:val="21"/>
              </w:rPr>
              <w:t> </w:t>
            </w:r>
            <w:r>
              <w:rPr>
                <w:rFonts w:ascii="宋体" w:hAnsi="宋体" w:cs="宋体" w:eastAsia="宋体" w:hint="default"/>
                <w:sz w:val="21"/>
                <w:szCs w:val="21"/>
              </w:rPr>
              <w:t>企业出售划分为持有待售的非流动资产</w:t>
            </w:r>
          </w:p>
          <w:p>
            <w:pPr>
              <w:pStyle w:val="TableParagraph"/>
              <w:spacing w:line="237" w:lineRule="auto"/>
              <w:ind w:left="107" w:right="229"/>
              <w:jc w:val="both"/>
              <w:rPr>
                <w:rFonts w:ascii="宋体" w:hAnsi="宋体" w:cs="宋体" w:eastAsia="宋体" w:hint="default"/>
                <w:sz w:val="21"/>
                <w:szCs w:val="21"/>
              </w:rPr>
            </w:pPr>
            <w:r>
              <w:rPr>
                <w:rFonts w:ascii="宋体" w:hAnsi="宋体" w:cs="宋体" w:eastAsia="宋体" w:hint="default"/>
                <w:spacing w:val="-2"/>
                <w:sz w:val="21"/>
                <w:szCs w:val="21"/>
              </w:rPr>
              <w:t>（金融工具、长期股权投资和投资性房地</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产除外）或处置组时确认的处置利得或损</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失，处置未划分为持有待售的固定资产、</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在建工程、生产性生物资产及无形资产而</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产生的处置利得或损失，以及债务重组中</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因处置非流动资产产生的利得或损失和非</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货币性资产交换产生的利得或损失。相应</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的删除“营业外收入”和“营业外支出”</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2"/>
                <w:sz w:val="21"/>
                <w:szCs w:val="21"/>
              </w:rPr>
              <w:t>项下的“其中：非流动资产处置利得”和</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“其中：非流动资产处置损失”项目，反</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2"/>
                <w:sz w:val="21"/>
                <w:szCs w:val="21"/>
              </w:rPr>
              <w:t>映企业发生的营业利润以外的收益，主要</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2"/>
                <w:sz w:val="21"/>
                <w:szCs w:val="21"/>
              </w:rPr>
              <w:t>包括债务重组利得或损失、与企业日常活</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动无关的政府补助、公益性捐赠支出、非</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常损失、盘盈利得或损失、捐赠利得、非</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流动资产毁损报废损失等。对比较报表的</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列报进行了相应调整。</w:t>
            </w:r>
          </w:p>
        </w:tc>
        <w:tc>
          <w:tcPr>
            <w:tcW w:w="1306"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37" w:lineRule="auto"/>
              <w:ind w:left="53" w:right="196"/>
              <w:jc w:val="both"/>
              <w:rPr>
                <w:rFonts w:ascii="宋体" w:hAnsi="宋体" w:cs="宋体" w:eastAsia="宋体" w:hint="default"/>
                <w:sz w:val="21"/>
                <w:szCs w:val="21"/>
              </w:rPr>
            </w:pPr>
            <w:r>
              <w:rPr>
                <w:rFonts w:ascii="宋体" w:hAnsi="宋体" w:cs="宋体" w:eastAsia="宋体" w:hint="default"/>
                <w:spacing w:val="-1"/>
                <w:sz w:val="21"/>
                <w:szCs w:val="21"/>
              </w:rPr>
              <w:t>第七届董事</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1"/>
                <w:sz w:val="21"/>
                <w:szCs w:val="21"/>
              </w:rPr>
              <w:t>会第十一次</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会议</w:t>
            </w:r>
          </w:p>
        </w:tc>
        <w:tc>
          <w:tcPr>
            <w:tcW w:w="1855"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37" w:lineRule="auto"/>
              <w:ind w:left="198" w:right="180"/>
              <w:jc w:val="both"/>
              <w:rPr>
                <w:rFonts w:ascii="宋体" w:hAnsi="宋体" w:cs="宋体" w:eastAsia="宋体" w:hint="default"/>
                <w:sz w:val="21"/>
                <w:szCs w:val="21"/>
              </w:rPr>
            </w:pPr>
            <w:r>
              <w:rPr>
                <w:rFonts w:ascii="宋体" w:hAnsi="宋体" w:cs="宋体" w:eastAsia="宋体" w:hint="default"/>
                <w:spacing w:val="-1"/>
                <w:sz w:val="21"/>
                <w:szCs w:val="21"/>
              </w:rPr>
              <w:t>资产处置损益营</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1"/>
                <w:sz w:val="21"/>
                <w:szCs w:val="21"/>
              </w:rPr>
              <w:t>业外收入营业外</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支出</w:t>
            </w:r>
          </w:p>
        </w:tc>
        <w:tc>
          <w:tcPr>
            <w:tcW w:w="1913"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82" w:right="0"/>
              <w:jc w:val="left"/>
              <w:rPr>
                <w:rFonts w:ascii="宋体" w:hAnsi="宋体" w:cs="宋体" w:eastAsia="宋体" w:hint="default"/>
                <w:sz w:val="21"/>
                <w:szCs w:val="21"/>
              </w:rPr>
            </w:pPr>
            <w:r>
              <w:rPr>
                <w:rFonts w:ascii="宋体" w:hAnsi="宋体" w:cs="宋体" w:eastAsia="宋体" w:hint="default"/>
                <w:sz w:val="21"/>
                <w:szCs w:val="21"/>
              </w:rPr>
              <w:t>见说明</w:t>
            </w:r>
            <w:r>
              <w:rPr>
                <w:rFonts w:ascii="宋体" w:hAnsi="宋体" w:cs="宋体" w:eastAsia="宋体" w:hint="default"/>
                <w:spacing w:val="-52"/>
                <w:sz w:val="21"/>
                <w:szCs w:val="21"/>
              </w:rPr>
              <w:t> </w:t>
            </w:r>
            <w:r>
              <w:rPr>
                <w:rFonts w:ascii="宋体" w:hAnsi="宋体" w:cs="宋体" w:eastAsia="宋体" w:hint="default"/>
                <w:sz w:val="21"/>
                <w:szCs w:val="21"/>
              </w:rPr>
              <w:t>B</w:t>
            </w:r>
          </w:p>
        </w:tc>
      </w:tr>
      <w:tr>
        <w:trPr>
          <w:trHeight w:val="3279" w:hRule="exact"/>
        </w:trPr>
        <w:tc>
          <w:tcPr>
            <w:tcW w:w="4125" w:type="dxa"/>
            <w:tcBorders>
              <w:top w:val="single" w:sz="4" w:space="0" w:color="000000"/>
              <w:left w:val="nil" w:sz="6" w:space="0" w:color="auto"/>
              <w:bottom w:val="single" w:sz="4" w:space="0" w:color="000000"/>
              <w:right w:val="nil" w:sz="6" w:space="0" w:color="auto"/>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《企业会计准则第</w:t>
            </w:r>
            <w:r>
              <w:rPr>
                <w:rFonts w:ascii="宋体" w:hAnsi="宋体" w:cs="宋体" w:eastAsia="宋体" w:hint="default"/>
                <w:spacing w:val="-68"/>
                <w:sz w:val="21"/>
                <w:szCs w:val="21"/>
              </w:rPr>
              <w:t> </w:t>
            </w:r>
            <w:r>
              <w:rPr>
                <w:rFonts w:ascii="宋体" w:hAnsi="宋体" w:cs="宋体" w:eastAsia="宋体" w:hint="default"/>
                <w:sz w:val="21"/>
                <w:szCs w:val="21"/>
              </w:rPr>
              <w:t>42</w:t>
            </w:r>
            <w:r>
              <w:rPr>
                <w:rFonts w:ascii="宋体" w:hAnsi="宋体" w:cs="宋体" w:eastAsia="宋体" w:hint="default"/>
                <w:spacing w:val="-68"/>
                <w:sz w:val="21"/>
                <w:szCs w:val="21"/>
              </w:rPr>
              <w:t> </w:t>
            </w:r>
            <w:r>
              <w:rPr>
                <w:rFonts w:ascii="宋体" w:hAnsi="宋体" w:cs="宋体" w:eastAsia="宋体" w:hint="default"/>
                <w:sz w:val="21"/>
                <w:szCs w:val="21"/>
              </w:rPr>
              <w:t>号——持有待售的非</w:t>
            </w:r>
          </w:p>
          <w:p>
            <w:pPr>
              <w:pStyle w:val="TableParagraph"/>
              <w:spacing w:line="272" w:lineRule="exact"/>
              <w:ind w:left="107" w:right="0"/>
              <w:jc w:val="left"/>
              <w:rPr>
                <w:rFonts w:ascii="宋体" w:hAnsi="宋体" w:cs="宋体" w:eastAsia="宋体" w:hint="default"/>
                <w:sz w:val="21"/>
                <w:szCs w:val="21"/>
              </w:rPr>
            </w:pPr>
            <w:r>
              <w:rPr>
                <w:rFonts w:ascii="宋体" w:hAnsi="宋体" w:cs="宋体" w:eastAsia="宋体" w:hint="default"/>
                <w:sz w:val="21"/>
                <w:szCs w:val="21"/>
              </w:rPr>
              <w:t>流动资产、处置组和终止经营》对于</w:t>
            </w:r>
            <w:r>
              <w:rPr>
                <w:rFonts w:ascii="宋体" w:hAnsi="宋体" w:cs="宋体" w:eastAsia="宋体" w:hint="default"/>
                <w:spacing w:val="-56"/>
                <w:sz w:val="21"/>
                <w:szCs w:val="21"/>
              </w:rPr>
              <w:t> </w:t>
            </w:r>
            <w:r>
              <w:rPr>
                <w:rFonts w:ascii="宋体" w:hAnsi="宋体" w:cs="宋体" w:eastAsia="宋体" w:hint="default"/>
                <w:sz w:val="21"/>
                <w:szCs w:val="21"/>
              </w:rPr>
              <w:t>2017</w:t>
            </w:r>
          </w:p>
          <w:p>
            <w:pPr>
              <w:pStyle w:val="TableParagraph"/>
              <w:spacing w:line="237" w:lineRule="auto"/>
              <w:ind w:left="107" w:right="155"/>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5</w:t>
            </w:r>
            <w:r>
              <w:rPr>
                <w:rFonts w:ascii="宋体" w:hAnsi="宋体" w:cs="宋体" w:eastAsia="宋体" w:hint="default"/>
                <w:spacing w:val="-62"/>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宋体" w:hAnsi="宋体" w:cs="宋体" w:eastAsia="宋体" w:hint="default"/>
                <w:sz w:val="21"/>
                <w:szCs w:val="21"/>
              </w:rPr>
              <w:t>28</w:t>
            </w:r>
            <w:r>
              <w:rPr>
                <w:rFonts w:ascii="宋体" w:hAnsi="宋体" w:cs="宋体" w:eastAsia="宋体" w:hint="default"/>
                <w:spacing w:val="-62"/>
                <w:sz w:val="21"/>
                <w:szCs w:val="21"/>
              </w:rPr>
              <w:t> </w:t>
            </w:r>
            <w:r>
              <w:rPr>
                <w:rFonts w:ascii="宋体" w:hAnsi="宋体" w:cs="宋体" w:eastAsia="宋体" w:hint="default"/>
                <w:sz w:val="21"/>
                <w:szCs w:val="21"/>
              </w:rPr>
              <w:t>日之后持有待售的非流动资产或</w:t>
            </w:r>
            <w:r>
              <w:rPr>
                <w:rFonts w:ascii="宋体" w:hAnsi="宋体" w:cs="宋体" w:eastAsia="宋体" w:hint="default"/>
                <w:w w:val="100"/>
                <w:sz w:val="21"/>
                <w:szCs w:val="21"/>
              </w:rPr>
              <w:t> </w:t>
            </w:r>
            <w:r>
              <w:rPr>
                <w:rFonts w:ascii="宋体" w:hAnsi="宋体" w:cs="宋体" w:eastAsia="宋体" w:hint="default"/>
                <w:sz w:val="21"/>
                <w:szCs w:val="21"/>
              </w:rPr>
              <w:t>处置组的分类、计量和列报，以及终止经</w:t>
            </w:r>
            <w:r>
              <w:rPr>
                <w:rFonts w:ascii="宋体" w:hAnsi="宋体" w:cs="宋体" w:eastAsia="宋体" w:hint="default"/>
                <w:w w:val="100"/>
                <w:sz w:val="21"/>
                <w:szCs w:val="21"/>
              </w:rPr>
              <w:t> </w:t>
            </w:r>
            <w:r>
              <w:rPr>
                <w:rFonts w:ascii="宋体" w:hAnsi="宋体" w:cs="宋体" w:eastAsia="宋体" w:hint="default"/>
                <w:sz w:val="21"/>
                <w:szCs w:val="21"/>
              </w:rPr>
              <w:t>营的列报等进行了规定，并采用未来适用</w:t>
            </w:r>
            <w:r>
              <w:rPr>
                <w:rFonts w:ascii="宋体" w:hAnsi="宋体" w:cs="宋体" w:eastAsia="宋体" w:hint="default"/>
                <w:w w:val="100"/>
                <w:sz w:val="21"/>
                <w:szCs w:val="21"/>
              </w:rPr>
              <w:t> </w:t>
            </w:r>
            <w:r>
              <w:rPr>
                <w:rFonts w:ascii="宋体" w:hAnsi="宋体" w:cs="宋体" w:eastAsia="宋体" w:hint="default"/>
                <w:sz w:val="21"/>
                <w:szCs w:val="21"/>
              </w:rPr>
              <w:t>法进行处理；修改了财务报表的列报，在</w:t>
            </w:r>
            <w:r>
              <w:rPr>
                <w:rFonts w:ascii="宋体" w:hAnsi="宋体" w:cs="宋体" w:eastAsia="宋体" w:hint="default"/>
                <w:w w:val="100"/>
                <w:sz w:val="21"/>
                <w:szCs w:val="21"/>
              </w:rPr>
              <w:t> </w:t>
            </w:r>
            <w:r>
              <w:rPr>
                <w:rFonts w:ascii="宋体" w:hAnsi="宋体" w:cs="宋体" w:eastAsia="宋体" w:hint="default"/>
                <w:sz w:val="21"/>
                <w:szCs w:val="21"/>
              </w:rPr>
              <w:t>合并利润表和利润表中分别列示持续经营</w:t>
            </w:r>
            <w:r>
              <w:rPr>
                <w:rFonts w:ascii="宋体" w:hAnsi="宋体" w:cs="宋体" w:eastAsia="宋体" w:hint="default"/>
                <w:w w:val="100"/>
                <w:sz w:val="21"/>
                <w:szCs w:val="21"/>
              </w:rPr>
              <w:t> </w:t>
            </w:r>
            <w:r>
              <w:rPr>
                <w:rFonts w:ascii="宋体" w:hAnsi="宋体" w:cs="宋体" w:eastAsia="宋体" w:hint="default"/>
                <w:sz w:val="21"/>
                <w:szCs w:val="21"/>
              </w:rPr>
              <w:t>损益和终止经营损益等。对比较报表的列</w:t>
            </w:r>
            <w:r>
              <w:rPr>
                <w:rFonts w:ascii="宋体" w:hAnsi="宋体" w:cs="宋体" w:eastAsia="宋体" w:hint="default"/>
                <w:w w:val="100"/>
                <w:sz w:val="21"/>
                <w:szCs w:val="21"/>
              </w:rPr>
              <w:t> </w:t>
            </w:r>
            <w:r>
              <w:rPr>
                <w:rFonts w:ascii="宋体" w:hAnsi="宋体" w:cs="宋体" w:eastAsia="宋体" w:hint="default"/>
                <w:sz w:val="21"/>
                <w:szCs w:val="21"/>
              </w:rPr>
              <w:t>报进行了相应调整：对于当期列报的终止</w:t>
            </w:r>
            <w:r>
              <w:rPr>
                <w:rFonts w:ascii="宋体" w:hAnsi="宋体" w:cs="宋体" w:eastAsia="宋体" w:hint="default"/>
                <w:w w:val="100"/>
                <w:sz w:val="21"/>
                <w:szCs w:val="21"/>
              </w:rPr>
              <w:t> </w:t>
            </w:r>
            <w:r>
              <w:rPr>
                <w:rFonts w:ascii="宋体" w:hAnsi="宋体" w:cs="宋体" w:eastAsia="宋体" w:hint="default"/>
                <w:sz w:val="21"/>
                <w:szCs w:val="21"/>
              </w:rPr>
              <w:t>经营，原来作为持续经营损益列报的信息</w:t>
            </w:r>
            <w:r>
              <w:rPr>
                <w:rFonts w:ascii="宋体" w:hAnsi="宋体" w:cs="宋体" w:eastAsia="宋体" w:hint="default"/>
                <w:w w:val="100"/>
                <w:sz w:val="21"/>
                <w:szCs w:val="21"/>
              </w:rPr>
              <w:t> </w:t>
            </w:r>
            <w:r>
              <w:rPr>
                <w:rFonts w:ascii="宋体" w:hAnsi="宋体" w:cs="宋体" w:eastAsia="宋体" w:hint="default"/>
                <w:sz w:val="21"/>
                <w:szCs w:val="21"/>
              </w:rPr>
              <w:t>重新在比较报表中作为终止经营损益列</w:t>
            </w:r>
            <w:r>
              <w:rPr>
                <w:rFonts w:ascii="宋体" w:hAnsi="宋体" w:cs="宋体" w:eastAsia="宋体" w:hint="default"/>
                <w:w w:val="100"/>
                <w:sz w:val="21"/>
                <w:szCs w:val="21"/>
              </w:rPr>
              <w:t> </w:t>
            </w:r>
            <w:r>
              <w:rPr>
                <w:rFonts w:ascii="宋体" w:hAnsi="宋体" w:cs="宋体" w:eastAsia="宋体" w:hint="default"/>
                <w:sz w:val="21"/>
                <w:szCs w:val="21"/>
              </w:rPr>
              <w:t>报。</w:t>
            </w:r>
          </w:p>
        </w:tc>
        <w:tc>
          <w:tcPr>
            <w:tcW w:w="1306"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37" w:lineRule="auto" w:before="148"/>
              <w:ind w:left="53" w:right="196"/>
              <w:jc w:val="both"/>
              <w:rPr>
                <w:rFonts w:ascii="宋体" w:hAnsi="宋体" w:cs="宋体" w:eastAsia="宋体" w:hint="default"/>
                <w:sz w:val="21"/>
                <w:szCs w:val="21"/>
              </w:rPr>
            </w:pPr>
            <w:r>
              <w:rPr>
                <w:rFonts w:ascii="宋体" w:hAnsi="宋体" w:cs="宋体" w:eastAsia="宋体" w:hint="default"/>
                <w:spacing w:val="-1"/>
                <w:sz w:val="21"/>
                <w:szCs w:val="21"/>
              </w:rPr>
              <w:t>第七届董事</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1"/>
                <w:sz w:val="21"/>
                <w:szCs w:val="21"/>
              </w:rPr>
              <w:t>会第十一次</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会议</w:t>
            </w:r>
          </w:p>
        </w:tc>
        <w:tc>
          <w:tcPr>
            <w:tcW w:w="1855"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5"/>
              <w:ind w:left="198" w:right="0"/>
              <w:jc w:val="left"/>
              <w:rPr>
                <w:rFonts w:ascii="宋体" w:hAnsi="宋体" w:cs="宋体" w:eastAsia="宋体" w:hint="default"/>
                <w:sz w:val="21"/>
                <w:szCs w:val="21"/>
              </w:rPr>
            </w:pPr>
            <w:r>
              <w:rPr>
                <w:rFonts w:ascii="宋体" w:hAnsi="宋体" w:cs="宋体" w:eastAsia="宋体" w:hint="default"/>
                <w:sz w:val="21"/>
                <w:szCs w:val="21"/>
              </w:rPr>
              <w:t>持续经营净利润</w:t>
            </w:r>
          </w:p>
        </w:tc>
        <w:tc>
          <w:tcPr>
            <w:tcW w:w="1913"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5"/>
              <w:ind w:left="182" w:right="0"/>
              <w:jc w:val="left"/>
              <w:rPr>
                <w:rFonts w:ascii="宋体" w:hAnsi="宋体" w:cs="宋体" w:eastAsia="宋体" w:hint="default"/>
                <w:sz w:val="21"/>
                <w:szCs w:val="21"/>
              </w:rPr>
            </w:pPr>
            <w:r>
              <w:rPr>
                <w:rFonts w:ascii="宋体" w:hAnsi="宋体" w:cs="宋体" w:eastAsia="宋体" w:hint="default"/>
                <w:sz w:val="21"/>
                <w:szCs w:val="21"/>
              </w:rPr>
              <w:t>见说明</w:t>
            </w:r>
            <w:r>
              <w:rPr>
                <w:rFonts w:ascii="宋体" w:hAnsi="宋体" w:cs="宋体" w:eastAsia="宋体" w:hint="default"/>
                <w:spacing w:val="-52"/>
                <w:sz w:val="21"/>
                <w:szCs w:val="21"/>
              </w:rPr>
              <w:t> </w:t>
            </w:r>
            <w:r>
              <w:rPr>
                <w:rFonts w:ascii="宋体" w:hAnsi="宋体" w:cs="宋体" w:eastAsia="宋体" w:hint="default"/>
                <w:sz w:val="21"/>
                <w:szCs w:val="21"/>
              </w:rPr>
              <w:t>C</w:t>
            </w:r>
          </w:p>
        </w:tc>
      </w:tr>
    </w:tbl>
    <w:p>
      <w:pPr>
        <w:pStyle w:val="BodyText"/>
        <w:spacing w:line="241" w:lineRule="exact"/>
        <w:ind w:right="0"/>
        <w:jc w:val="left"/>
      </w:pPr>
      <w:r>
        <w:rPr/>
        <w:t>说明：</w:t>
      </w:r>
    </w:p>
    <w:p>
      <w:pPr>
        <w:spacing w:after="0" w:line="241" w:lineRule="exact"/>
        <w:jc w:val="left"/>
        <w:sectPr>
          <w:pgSz w:w="11910" w:h="16840"/>
          <w:pgMar w:header="855" w:footer="1195" w:top="1280" w:bottom="1380" w:left="1580" w:right="900"/>
        </w:sectPr>
      </w:pPr>
    </w:p>
    <w:p>
      <w:pPr>
        <w:spacing w:line="240" w:lineRule="auto" w:before="6"/>
        <w:rPr>
          <w:rFonts w:ascii="宋体" w:hAnsi="宋体" w:cs="宋体" w:eastAsia="宋体" w:hint="default"/>
          <w:sz w:val="12"/>
          <w:szCs w:val="12"/>
        </w:rPr>
      </w:pPr>
    </w:p>
    <w:p>
      <w:pPr>
        <w:pStyle w:val="BodyText"/>
        <w:spacing w:line="274" w:lineRule="exact" w:before="36"/>
        <w:ind w:right="0"/>
        <w:jc w:val="left"/>
      </w:pPr>
      <w:r>
        <w:rPr>
          <w:rFonts w:ascii="宋体" w:hAnsi="宋体" w:cs="宋体" w:eastAsia="宋体" w:hint="default"/>
          <w:spacing w:val="-4"/>
        </w:rPr>
        <w:t>A.</w:t>
      </w:r>
      <w:r>
        <w:rPr>
          <w:spacing w:val="-4"/>
        </w:rPr>
        <w:t>根据《企业会计准则第</w:t>
      </w:r>
      <w:r>
        <w:rPr>
          <w:spacing w:val="-38"/>
        </w:rPr>
        <w:t> </w:t>
      </w:r>
      <w:r>
        <w:rPr>
          <w:rFonts w:ascii="宋体" w:hAnsi="宋体" w:cs="宋体" w:eastAsia="宋体" w:hint="default"/>
        </w:rPr>
        <w:t>16</w:t>
      </w:r>
      <w:r>
        <w:rPr>
          <w:rFonts w:ascii="宋体" w:hAnsi="宋体" w:cs="宋体" w:eastAsia="宋体" w:hint="default"/>
          <w:spacing w:val="-39"/>
        </w:rPr>
        <w:t> </w:t>
      </w:r>
      <w:r>
        <w:rPr>
          <w:spacing w:val="-6"/>
        </w:rPr>
        <w:t>号——政府补助》（</w:t>
      </w:r>
      <w:r>
        <w:rPr>
          <w:rFonts w:ascii="宋体" w:hAnsi="宋体" w:cs="宋体" w:eastAsia="宋体" w:hint="default"/>
          <w:spacing w:val="-6"/>
        </w:rPr>
        <w:t>2017</w:t>
      </w:r>
      <w:r>
        <w:rPr>
          <w:spacing w:val="-6"/>
        </w:rPr>
        <w:t>）</w:t>
      </w:r>
      <w:r>
        <w:rPr>
          <w:rFonts w:ascii="宋体" w:hAnsi="宋体" w:cs="宋体" w:eastAsia="宋体" w:hint="default"/>
          <w:spacing w:val="-6"/>
        </w:rPr>
        <w:t>,</w:t>
      </w:r>
      <w:r>
        <w:rPr>
          <w:spacing w:val="-6"/>
        </w:rPr>
        <w:t>本公司</w:t>
      </w:r>
      <w:r>
        <w:rPr>
          <w:spacing w:val="-39"/>
        </w:rPr>
        <w:t> </w:t>
      </w:r>
      <w:r>
        <w:rPr>
          <w:rFonts w:ascii="宋体" w:hAnsi="宋体" w:cs="宋体" w:eastAsia="宋体" w:hint="default"/>
        </w:rPr>
        <w:t>2017</w:t>
      </w:r>
      <w:r>
        <w:rPr>
          <w:rFonts w:ascii="宋体" w:hAnsi="宋体" w:cs="宋体" w:eastAsia="宋体" w:hint="default"/>
          <w:spacing w:val="-42"/>
        </w:rPr>
        <w:t> </w:t>
      </w:r>
      <w:r>
        <w:rPr/>
        <w:t>年度收到的增值税退税及其</w:t>
      </w:r>
    </w:p>
    <w:p>
      <w:pPr>
        <w:pStyle w:val="BodyText"/>
        <w:spacing w:line="272" w:lineRule="exact"/>
        <w:ind w:right="0"/>
        <w:jc w:val="left"/>
        <w:rPr>
          <w:rFonts w:ascii="宋体" w:hAnsi="宋体" w:cs="宋体" w:eastAsia="宋体" w:hint="default"/>
        </w:rPr>
      </w:pPr>
      <w:r>
        <w:rPr/>
        <w:t>他与日常经营活动有关的政府补助</w:t>
      </w:r>
      <w:r>
        <w:rPr>
          <w:spacing w:val="-53"/>
        </w:rPr>
        <w:t> </w:t>
      </w:r>
      <w:r>
        <w:rPr>
          <w:rFonts w:ascii="宋体" w:hAnsi="宋体" w:cs="宋体" w:eastAsia="宋体" w:hint="default"/>
        </w:rPr>
        <w:t>15,800,979.82</w:t>
      </w:r>
      <w:r>
        <w:rPr>
          <w:rFonts w:ascii="宋体" w:hAnsi="宋体" w:cs="宋体" w:eastAsia="宋体" w:hint="default"/>
          <w:spacing w:val="-55"/>
        </w:rPr>
        <w:t> </w:t>
      </w:r>
      <w:r>
        <w:rPr/>
        <w:t>元（其中</w:t>
      </w:r>
      <w:r>
        <w:rPr>
          <w:spacing w:val="-53"/>
        </w:rPr>
        <w:t> </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1</w:t>
      </w:r>
      <w:r>
        <w:rPr>
          <w:rFonts w:ascii="宋体" w:hAnsi="宋体" w:cs="宋体" w:eastAsia="宋体" w:hint="default"/>
          <w:spacing w:val="-55"/>
        </w:rPr>
        <w:t> </w:t>
      </w:r>
      <w:r>
        <w:rPr/>
        <w:t>日至</w:t>
      </w:r>
      <w:r>
        <w:rPr>
          <w:spacing w:val="-52"/>
        </w:rPr>
        <w:t> </w:t>
      </w:r>
      <w:r>
        <w:rPr>
          <w:rFonts w:ascii="宋体" w:hAnsi="宋体" w:cs="宋体" w:eastAsia="宋体" w:hint="default"/>
        </w:rPr>
        <w:t>2017</w:t>
      </w:r>
      <w:r>
        <w:rPr>
          <w:rFonts w:ascii="宋体" w:hAnsi="宋体" w:cs="宋体" w:eastAsia="宋体" w:hint="default"/>
          <w:spacing w:val="-53"/>
        </w:rPr>
        <w:t> </w:t>
      </w:r>
      <w:r>
        <w:rPr/>
        <w:t>年</w:t>
      </w:r>
      <w:r>
        <w:rPr>
          <w:spacing w:val="-55"/>
        </w:rPr>
        <w:t> </w:t>
      </w:r>
      <w:r>
        <w:rPr>
          <w:rFonts w:ascii="宋体" w:hAnsi="宋体" w:cs="宋体" w:eastAsia="宋体" w:hint="default"/>
        </w:rPr>
        <w:t>6</w:t>
      </w:r>
      <w:r>
        <w:rPr>
          <w:rFonts w:ascii="宋体" w:hAnsi="宋体" w:cs="宋体" w:eastAsia="宋体" w:hint="default"/>
          <w:spacing w:val="-53"/>
        </w:rPr>
        <w:t> </w:t>
      </w:r>
      <w:r>
        <w:rPr/>
        <w:t>月</w:t>
      </w:r>
      <w:r>
        <w:rPr>
          <w:spacing w:val="-55"/>
        </w:rPr>
        <w:t> </w:t>
      </w:r>
      <w:r>
        <w:rPr>
          <w:rFonts w:ascii="宋体" w:hAnsi="宋体" w:cs="宋体" w:eastAsia="宋体" w:hint="default"/>
        </w:rPr>
        <w:t>12</w:t>
      </w:r>
    </w:p>
    <w:p>
      <w:pPr>
        <w:pStyle w:val="BodyText"/>
        <w:spacing w:line="237" w:lineRule="auto"/>
        <w:ind w:right="0"/>
        <w:jc w:val="left"/>
      </w:pPr>
      <w:r>
        <w:rPr/>
        <w:t>日发生额为</w:t>
      </w:r>
      <w:r>
        <w:rPr>
          <w:spacing w:val="-50"/>
        </w:rPr>
        <w:t> </w:t>
      </w:r>
      <w:r>
        <w:rPr>
          <w:rFonts w:ascii="宋体" w:hAnsi="宋体" w:cs="宋体" w:eastAsia="宋体" w:hint="default"/>
        </w:rPr>
        <w:t>5,894,806.02</w:t>
      </w:r>
      <w:r>
        <w:rPr>
          <w:rFonts w:ascii="宋体" w:hAnsi="宋体" w:cs="宋体" w:eastAsia="宋体" w:hint="default"/>
          <w:spacing w:val="-52"/>
        </w:rPr>
        <w:t> </w:t>
      </w:r>
      <w:r>
        <w:rPr>
          <w:spacing w:val="-4"/>
        </w:rPr>
        <w:t>元涉及会计政策变更影响，</w:t>
      </w:r>
      <w:r>
        <w:rPr>
          <w:rFonts w:ascii="宋体" w:hAnsi="宋体" w:cs="宋体" w:eastAsia="宋体" w:hint="default"/>
          <w:spacing w:val="-4"/>
        </w:rPr>
        <w:t>2017</w:t>
      </w:r>
      <w:r>
        <w:rPr>
          <w:rFonts w:ascii="宋体" w:hAnsi="宋体" w:cs="宋体" w:eastAsia="宋体" w:hint="default"/>
          <w:spacing w:val="-52"/>
        </w:rPr>
        <w:t> </w:t>
      </w:r>
      <w:r>
        <w:rPr/>
        <w:t>年</w:t>
      </w:r>
      <w:r>
        <w:rPr>
          <w:spacing w:val="-50"/>
        </w:rPr>
        <w:t> </w:t>
      </w:r>
      <w:r>
        <w:rPr>
          <w:rFonts w:ascii="宋体" w:hAnsi="宋体" w:cs="宋体" w:eastAsia="宋体" w:hint="default"/>
        </w:rPr>
        <w:t>6</w:t>
      </w:r>
      <w:r>
        <w:rPr>
          <w:rFonts w:ascii="宋体" w:hAnsi="宋体" w:cs="宋体" w:eastAsia="宋体" w:hint="default"/>
          <w:spacing w:val="-52"/>
        </w:rPr>
        <w:t> </w:t>
      </w:r>
      <w:r>
        <w:rPr/>
        <w:t>月</w:t>
      </w:r>
      <w:r>
        <w:rPr>
          <w:spacing w:val="-50"/>
        </w:rPr>
        <w:t> </w:t>
      </w:r>
      <w:r>
        <w:rPr>
          <w:rFonts w:ascii="宋体" w:hAnsi="宋体" w:cs="宋体" w:eastAsia="宋体" w:hint="default"/>
        </w:rPr>
        <w:t>12</w:t>
      </w:r>
      <w:r>
        <w:rPr>
          <w:rFonts w:ascii="宋体" w:hAnsi="宋体" w:cs="宋体" w:eastAsia="宋体" w:hint="default"/>
          <w:spacing w:val="-52"/>
        </w:rPr>
        <w:t> </w:t>
      </w:r>
      <w:r>
        <w:rPr/>
        <w:t>日报告之后发生的相关政府</w:t>
      </w:r>
      <w:r>
        <w:rPr>
          <w:w w:val="100"/>
        </w:rPr>
        <w:t> </w:t>
      </w:r>
      <w:r>
        <w:rPr/>
        <w:t>补贴直接在其他收益中列示）在其他收益中列示，不在营业外收入中列示；</w:t>
      </w:r>
      <w:r>
        <w:rPr>
          <w:w w:val="100"/>
        </w:rPr>
        <w:t> </w:t>
      </w:r>
      <w:r>
        <w:rPr>
          <w:rFonts w:ascii="宋体" w:hAnsi="宋体" w:cs="宋体" w:eastAsia="宋体" w:hint="default"/>
        </w:rPr>
        <w:t>B.</w:t>
      </w:r>
      <w:r>
        <w:rPr/>
        <w:t>根据《关于修订印发一般企业财务报表格式的通知》（财会</w:t>
      </w:r>
      <w:r>
        <w:rPr>
          <w:rFonts w:ascii="宋体" w:hAnsi="宋体" w:cs="宋体" w:eastAsia="宋体" w:hint="default"/>
        </w:rPr>
        <w:t>[2017]30</w:t>
      </w:r>
      <w:r>
        <w:rPr>
          <w:rFonts w:ascii="宋体" w:hAnsi="宋体" w:cs="宋体" w:eastAsia="宋体" w:hint="default"/>
          <w:spacing w:val="-55"/>
        </w:rPr>
        <w:t> </w:t>
      </w:r>
      <w:r>
        <w:rPr/>
        <w:t>号），本公司</w:t>
      </w:r>
      <w:r>
        <w:rPr>
          <w:spacing w:val="-54"/>
        </w:rPr>
        <w:t> </w:t>
      </w:r>
      <w:r>
        <w:rPr>
          <w:rFonts w:ascii="宋体" w:hAnsi="宋体" w:cs="宋体" w:eastAsia="宋体" w:hint="default"/>
        </w:rPr>
        <w:t>2016</w:t>
      </w:r>
      <w:r>
        <w:rPr>
          <w:rFonts w:ascii="宋体" w:hAnsi="宋体" w:cs="宋体" w:eastAsia="宋体" w:hint="default"/>
          <w:spacing w:val="-57"/>
        </w:rPr>
        <w:t> </w:t>
      </w:r>
      <w:r>
        <w:rPr/>
        <w:t>年度</w:t>
      </w:r>
      <w:r>
        <w:rPr>
          <w:w w:val="100"/>
        </w:rPr>
        <w:t> </w:t>
      </w:r>
      <w:r>
        <w:rPr>
          <w:spacing w:val="-2"/>
          <w:w w:val="100"/>
        </w:rPr>
        <w:t>处置未划分为持有待售的固定资产而产生的处置利得</w:t>
      </w:r>
      <w:r>
        <w:rPr>
          <w:spacing w:val="-45"/>
          <w:w w:val="100"/>
        </w:rPr>
        <w:t> </w:t>
      </w:r>
      <w:r>
        <w:rPr>
          <w:rFonts w:ascii="宋体" w:hAnsi="宋体" w:cs="宋体" w:eastAsia="宋体" w:hint="default"/>
          <w:spacing w:val="-1"/>
          <w:w w:val="100"/>
        </w:rPr>
        <w:t>7,610.98</w:t>
      </w:r>
      <w:r>
        <w:rPr>
          <w:rFonts w:ascii="宋体" w:hAnsi="宋体" w:cs="宋体" w:eastAsia="宋体" w:hint="default"/>
          <w:spacing w:val="-45"/>
          <w:w w:val="100"/>
        </w:rPr>
        <w:t> </w:t>
      </w:r>
      <w:r>
        <w:rPr>
          <w:spacing w:val="-8"/>
          <w:w w:val="100"/>
        </w:rPr>
        <w:t>元将在资产处置收益中列示，不在</w:t>
      </w:r>
      <w:r>
        <w:rPr>
          <w:spacing w:val="-102"/>
          <w:w w:val="100"/>
        </w:rPr>
        <w:t> </w:t>
      </w:r>
      <w:r>
        <w:rPr>
          <w:spacing w:val="-102"/>
          <w:w w:val="100"/>
        </w:rPr>
      </w:r>
      <w:r>
        <w:rPr/>
        <w:t>营业外收入中列示。</w:t>
      </w:r>
      <w:r>
        <w:rPr>
          <w:rFonts w:ascii="宋体" w:hAnsi="宋体" w:cs="宋体" w:eastAsia="宋体" w:hint="default"/>
        </w:rPr>
        <w:t>2017</w:t>
      </w:r>
      <w:r>
        <w:rPr>
          <w:rFonts w:ascii="宋体" w:hAnsi="宋体" w:cs="宋体" w:eastAsia="宋体" w:hint="default"/>
          <w:spacing w:val="-57"/>
        </w:rPr>
        <w:t> </w:t>
      </w:r>
      <w:r>
        <w:rPr/>
        <w:t>年度不涉及上述处置利得及损失。</w:t>
      </w:r>
    </w:p>
    <w:p>
      <w:pPr>
        <w:pStyle w:val="BodyText"/>
        <w:spacing w:line="237" w:lineRule="auto" w:before="1"/>
        <w:ind w:right="0"/>
        <w:jc w:val="left"/>
      </w:pPr>
      <w:r>
        <w:rPr>
          <w:rFonts w:ascii="宋体" w:hAnsi="宋体" w:cs="宋体" w:eastAsia="宋体" w:hint="default"/>
          <w:spacing w:val="-4"/>
        </w:rPr>
        <w:t>C.</w:t>
      </w:r>
      <w:r>
        <w:rPr>
          <w:spacing w:val="-4"/>
        </w:rPr>
        <w:t>根据《企业会计准则第</w:t>
      </w:r>
      <w:r>
        <w:rPr>
          <w:spacing w:val="-26"/>
        </w:rPr>
        <w:t> </w:t>
      </w:r>
      <w:r>
        <w:rPr>
          <w:rFonts w:ascii="宋体" w:hAnsi="宋体" w:cs="宋体" w:eastAsia="宋体" w:hint="default"/>
        </w:rPr>
        <w:t>42</w:t>
      </w:r>
      <w:r>
        <w:rPr>
          <w:rFonts w:ascii="宋体" w:hAnsi="宋体" w:cs="宋体" w:eastAsia="宋体" w:hint="default"/>
          <w:spacing w:val="-27"/>
        </w:rPr>
        <w:t> </w:t>
      </w:r>
      <w:r>
        <w:rPr>
          <w:spacing w:val="-4"/>
        </w:rPr>
        <w:t>号——持有待售的非流动资产、处置组和终止经营》要求，公司在合</w:t>
      </w:r>
      <w:r>
        <w:rPr>
          <w:spacing w:val="-94"/>
        </w:rPr>
        <w:t> </w:t>
      </w:r>
      <w:r>
        <w:rPr>
          <w:spacing w:val="-94"/>
        </w:rPr>
      </w:r>
      <w:r>
        <w:rPr>
          <w:spacing w:val="-2"/>
        </w:rPr>
        <w:t>并利润表和利润表中分别列示持续经营损益和终止经营损益等，对比较报表的列报进行了相应调</w:t>
      </w:r>
      <w:r>
        <w:rPr>
          <w:spacing w:val="-25"/>
        </w:rPr>
        <w:t> </w:t>
      </w:r>
      <w:r>
        <w:rPr>
          <w:spacing w:val="-25"/>
        </w:rPr>
      </w:r>
      <w:r>
        <w:rPr/>
        <w:t>整。公司</w:t>
      </w:r>
      <w:r>
        <w:rPr>
          <w:spacing w:val="-54"/>
        </w:rPr>
        <w:t> </w:t>
      </w:r>
      <w:r>
        <w:rPr>
          <w:rFonts w:ascii="宋体" w:hAnsi="宋体" w:cs="宋体" w:eastAsia="宋体" w:hint="default"/>
        </w:rPr>
        <w:t>2017</w:t>
      </w:r>
      <w:r>
        <w:rPr>
          <w:rFonts w:ascii="宋体" w:hAnsi="宋体" w:cs="宋体" w:eastAsia="宋体" w:hint="default"/>
          <w:spacing w:val="-56"/>
        </w:rPr>
        <w:t> </w:t>
      </w:r>
      <w:r>
        <w:rPr/>
        <w:t>年度及</w:t>
      </w:r>
      <w:r>
        <w:rPr>
          <w:spacing w:val="-53"/>
        </w:rPr>
        <w:t> </w:t>
      </w:r>
      <w:r>
        <w:rPr>
          <w:rFonts w:ascii="宋体" w:hAnsi="宋体" w:cs="宋体" w:eastAsia="宋体" w:hint="default"/>
        </w:rPr>
        <w:t>2016</w:t>
      </w:r>
      <w:r>
        <w:rPr>
          <w:rFonts w:ascii="宋体" w:hAnsi="宋体" w:cs="宋体" w:eastAsia="宋体" w:hint="default"/>
          <w:spacing w:val="-54"/>
        </w:rPr>
        <w:t> </w:t>
      </w:r>
      <w:r>
        <w:rPr/>
        <w:t>年度均不存在终止经营损益，所有损益均为持续经营损益。</w:t>
      </w:r>
      <w:r>
        <w:rPr>
          <w:w w:val="100"/>
        </w:rPr>
        <w:t> </w:t>
      </w:r>
      <w:r>
        <w:rPr>
          <w:rFonts w:ascii="宋体" w:hAnsi="宋体" w:cs="宋体" w:eastAsia="宋体" w:hint="default"/>
          <w:spacing w:val="-2"/>
        </w:rPr>
        <w:t>D.</w:t>
      </w:r>
      <w:r>
        <w:rPr>
          <w:spacing w:val="-2"/>
        </w:rPr>
        <w:t>上述会计政策变更导致的影响均为利润表列示项目之间的重分类，不影响期末（当期）及比较</w:t>
      </w:r>
      <w:r>
        <w:rPr>
          <w:spacing w:val="-24"/>
        </w:rPr>
        <w:t> </w:t>
      </w:r>
      <w:r>
        <w:rPr>
          <w:spacing w:val="-24"/>
        </w:rPr>
      </w:r>
      <w:r>
        <w:rPr/>
        <w:t>报表的净利润、其他综合收益、资本公积、净资产、留存收益等。</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Heading3"/>
        <w:tabs>
          <w:tab w:pos="1057" w:val="left" w:leader="none"/>
        </w:tabs>
        <w:spacing w:line="240" w:lineRule="auto"/>
        <w:ind w:right="2757"/>
        <w:jc w:val="left"/>
        <w:rPr>
          <w:b w:val="0"/>
          <w:bCs w:val="0"/>
        </w:rPr>
      </w:pPr>
      <w:r>
        <w:rPr/>
        <w:t>（二）</w:t>
        <w:tab/>
        <w:t>公司对重大会计差错更正原因及影响的分析说明</w:t>
      </w:r>
      <w:r>
        <w:rPr>
          <w:b w:val="0"/>
          <w:bCs w:val="0"/>
        </w:rPr>
      </w:r>
    </w:p>
    <w:p>
      <w:pPr>
        <w:pStyle w:val="BodyText"/>
        <w:tabs>
          <w:tab w:pos="1060" w:val="left" w:leader="none"/>
        </w:tabs>
        <w:spacing w:line="240" w:lineRule="auto" w:before="58"/>
        <w:ind w:right="2757"/>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3"/>
        <w:tabs>
          <w:tab w:pos="1057" w:val="left" w:leader="none"/>
        </w:tabs>
        <w:spacing w:line="240" w:lineRule="auto"/>
        <w:ind w:right="2757"/>
        <w:jc w:val="left"/>
        <w:rPr>
          <w:b w:val="0"/>
          <w:bCs w:val="0"/>
        </w:rPr>
      </w:pPr>
      <w:r>
        <w:rPr/>
        <w:t>（三）</w:t>
        <w:tab/>
        <w:t>与前任会计师事务所进行的沟通情况</w:t>
      </w:r>
      <w:r>
        <w:rPr>
          <w:b w:val="0"/>
          <w:bCs w:val="0"/>
        </w:rPr>
      </w:r>
    </w:p>
    <w:p>
      <w:pPr>
        <w:pStyle w:val="BodyText"/>
        <w:tabs>
          <w:tab w:pos="1060" w:val="left" w:leader="none"/>
        </w:tabs>
        <w:spacing w:line="240" w:lineRule="auto" w:before="56"/>
        <w:ind w:right="2757"/>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3"/>
        <w:tabs>
          <w:tab w:pos="1057" w:val="left" w:leader="none"/>
        </w:tabs>
        <w:spacing w:line="240" w:lineRule="auto"/>
        <w:ind w:right="2757"/>
        <w:jc w:val="left"/>
        <w:rPr>
          <w:b w:val="0"/>
          <w:bCs w:val="0"/>
        </w:rPr>
      </w:pPr>
      <w:r>
        <w:rPr/>
        <w:t>（四）</w:t>
        <w:tab/>
        <w:t>其他说明</w:t>
      </w:r>
      <w:r>
        <w:rPr>
          <w:b w:val="0"/>
          <w:bCs w:val="0"/>
        </w:rPr>
      </w:r>
    </w:p>
    <w:p>
      <w:pPr>
        <w:pStyle w:val="BodyText"/>
        <w:tabs>
          <w:tab w:pos="1060" w:val="left" w:leader="none"/>
        </w:tabs>
        <w:spacing w:line="240" w:lineRule="auto" w:before="56"/>
        <w:ind w:right="2757"/>
        <w:jc w:val="left"/>
      </w:pPr>
      <w:r>
        <w:rPr>
          <w:spacing w:val="-1"/>
        </w:rPr>
        <w:t>□适用</w:t>
        <w:tab/>
      </w:r>
      <w:r>
        <w:rPr>
          <w:spacing w:val="-2"/>
        </w:rPr>
        <w:t>√不适用</w:t>
      </w:r>
    </w:p>
    <w:p>
      <w:pPr>
        <w:spacing w:line="240" w:lineRule="auto" w:before="6"/>
        <w:rPr>
          <w:rFonts w:ascii="宋体" w:hAnsi="宋体" w:cs="宋体" w:eastAsia="宋体" w:hint="default"/>
          <w:sz w:val="22"/>
          <w:szCs w:val="22"/>
        </w:rPr>
      </w:pPr>
    </w:p>
    <w:p>
      <w:pPr>
        <w:pStyle w:val="Heading3"/>
        <w:spacing w:line="240" w:lineRule="auto" w:before="36"/>
        <w:ind w:right="2757"/>
        <w:jc w:val="left"/>
        <w:rPr>
          <w:b w:val="0"/>
          <w:bCs w:val="0"/>
        </w:rPr>
      </w:pPr>
      <w:r>
        <w:rPr/>
        <w:t>六、聘任、解聘会计师事务所情况</w:t>
      </w:r>
      <w:r>
        <w:rPr>
          <w:b w:val="0"/>
          <w:bCs w:val="0"/>
        </w:rPr>
      </w:r>
    </w:p>
    <w:p>
      <w:pPr>
        <w:pStyle w:val="BodyText"/>
        <w:tabs>
          <w:tab w:pos="1262" w:val="left" w:leader="none"/>
        </w:tabs>
        <w:spacing w:line="240" w:lineRule="auto" w:before="58"/>
        <w:ind w:left="0" w:right="232"/>
        <w:jc w:val="right"/>
      </w:pPr>
      <w:r>
        <w:rPr>
          <w:spacing w:val="-1"/>
        </w:rPr>
        <w:t>单位：万元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现聘任</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致同会计师事务所（特殊普通合伙）</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50</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4</w:t>
            </w:r>
          </w:p>
        </w:tc>
      </w:tr>
    </w:tbl>
    <w:p>
      <w:pPr>
        <w:spacing w:line="240" w:lineRule="auto" w:before="12"/>
        <w:rPr>
          <w:rFonts w:ascii="宋体" w:hAnsi="宋体" w:cs="宋体" w:eastAsia="宋体" w:hint="default"/>
          <w:sz w:val="20"/>
          <w:szCs w:val="20"/>
        </w:rPr>
      </w:pPr>
    </w:p>
    <w:tbl>
      <w:tblPr>
        <w:tblW w:w="0" w:type="auto"/>
        <w:jc w:val="left"/>
        <w:tblInd w:w="105" w:type="dxa"/>
        <w:tblLayout w:type="fixed"/>
        <w:tblCellMar>
          <w:top w:w="0" w:type="dxa"/>
          <w:left w:w="0" w:type="dxa"/>
          <w:bottom w:w="0" w:type="dxa"/>
          <w:right w:w="0" w:type="dxa"/>
        </w:tblCellMar>
        <w:tblLook w:val="01E0"/>
      </w:tblPr>
      <w:tblGrid>
        <w:gridCol w:w="3017"/>
        <w:gridCol w:w="3015"/>
        <w:gridCol w:w="3017"/>
      </w:tblGrid>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报酬</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保荐人</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东方花旗证券有限公司</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2,968.70</w:t>
            </w:r>
          </w:p>
        </w:tc>
      </w:tr>
    </w:tbl>
    <w:p>
      <w:pPr>
        <w:pStyle w:val="BodyText"/>
        <w:spacing w:line="239" w:lineRule="exact"/>
        <w:ind w:right="0"/>
        <w:jc w:val="left"/>
      </w:pPr>
      <w:r>
        <w:rPr/>
        <w:t>注：上述保荐人为公司首次公开发行股票并上市的保荐机构及主承销商。</w:t>
      </w:r>
    </w:p>
    <w:p>
      <w:pPr>
        <w:pStyle w:val="BodyText"/>
        <w:spacing w:line="273" w:lineRule="exact"/>
        <w:ind w:right="2757"/>
        <w:jc w:val="left"/>
      </w:pPr>
      <w:r>
        <w:rPr/>
        <w:t>聘任、解聘会计师事务所的情况说明</w:t>
      </w:r>
    </w:p>
    <w:p>
      <w:pPr>
        <w:pStyle w:val="BodyText"/>
        <w:spacing w:line="273" w:lineRule="exact"/>
        <w:ind w:right="2757"/>
        <w:jc w:val="left"/>
      </w:pPr>
      <w:r>
        <w:rPr/>
        <w:t>√适用</w:t>
      </w:r>
      <w:r>
        <w:rPr>
          <w:spacing w:val="-1"/>
        </w:rPr>
        <w:t> </w:t>
      </w:r>
      <w:r>
        <w:rPr/>
        <w:t>□不适用</w:t>
      </w:r>
    </w:p>
    <w:p>
      <w:pPr>
        <w:pStyle w:val="BodyText"/>
        <w:spacing w:line="272" w:lineRule="exact"/>
        <w:ind w:right="0"/>
        <w:jc w:val="left"/>
      </w:pPr>
      <w:r>
        <w:rPr/>
        <w:t>报告期内，经公司第六届董事会第十八次会议审议通过，并经 </w:t>
      </w:r>
      <w:r>
        <w:rPr>
          <w:rFonts w:ascii="宋体" w:hAnsi="宋体" w:cs="宋体" w:eastAsia="宋体" w:hint="default"/>
        </w:rPr>
        <w:t>2016</w:t>
      </w:r>
      <w:r>
        <w:rPr>
          <w:rFonts w:ascii="宋体" w:hAnsi="宋体" w:cs="宋体" w:eastAsia="宋体" w:hint="default"/>
          <w:spacing w:val="-4"/>
        </w:rPr>
        <w:t> </w:t>
      </w:r>
      <w:r>
        <w:rPr/>
        <w:t>年度的股东大会审议批准，</w:t>
      </w:r>
    </w:p>
    <w:p>
      <w:pPr>
        <w:pStyle w:val="BodyText"/>
        <w:spacing w:line="274" w:lineRule="exact"/>
        <w:ind w:right="0"/>
        <w:jc w:val="left"/>
      </w:pPr>
      <w:r>
        <w:rPr/>
        <w:t>公司聘请致同会计师事务所（特殊普通合伙）为本公司</w:t>
      </w:r>
      <w:r>
        <w:rPr>
          <w:spacing w:val="-54"/>
        </w:rPr>
        <w:t> </w:t>
      </w:r>
      <w:r>
        <w:rPr>
          <w:rFonts w:ascii="宋体" w:hAnsi="宋体" w:cs="宋体" w:eastAsia="宋体" w:hint="default"/>
        </w:rPr>
        <w:t>2017</w:t>
      </w:r>
      <w:r>
        <w:rPr>
          <w:rFonts w:ascii="宋体" w:hAnsi="宋体" w:cs="宋体" w:eastAsia="宋体" w:hint="default"/>
          <w:spacing w:val="-57"/>
        </w:rPr>
        <w:t> </w:t>
      </w:r>
      <w:r>
        <w:rPr/>
        <w:t>年度审计机构。</w:t>
      </w:r>
    </w:p>
    <w:p>
      <w:pPr>
        <w:spacing w:line="240" w:lineRule="auto" w:before="8"/>
        <w:rPr>
          <w:rFonts w:ascii="宋体" w:hAnsi="宋体" w:cs="宋体" w:eastAsia="宋体" w:hint="default"/>
          <w:sz w:val="20"/>
          <w:szCs w:val="20"/>
        </w:rPr>
      </w:pPr>
    </w:p>
    <w:p>
      <w:pPr>
        <w:pStyle w:val="BodyText"/>
        <w:spacing w:line="273" w:lineRule="exact"/>
        <w:ind w:right="2757"/>
        <w:jc w:val="left"/>
      </w:pPr>
      <w:r>
        <w:rPr/>
        <w:t>审计期间改聘会计师事务所的情况说明</w:t>
      </w:r>
    </w:p>
    <w:p>
      <w:pPr>
        <w:pStyle w:val="BodyText"/>
        <w:tabs>
          <w:tab w:pos="1060" w:val="left" w:leader="none"/>
        </w:tabs>
        <w:spacing w:line="273" w:lineRule="exact"/>
        <w:ind w:right="2757"/>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3"/>
        <w:tabs>
          <w:tab w:pos="1057" w:val="left" w:leader="none"/>
        </w:tabs>
        <w:spacing w:line="290" w:lineRule="auto"/>
        <w:ind w:right="6323"/>
        <w:jc w:val="left"/>
        <w:rPr>
          <w:b w:val="0"/>
          <w:bCs w:val="0"/>
        </w:rPr>
      </w:pPr>
      <w:r>
        <w:rPr/>
        <w:t>七、面临暂停上市风险的情况</w:t>
      </w:r>
      <w:r>
        <w:rPr>
          <w:w w:val="100"/>
        </w:rPr>
        <w:t> </w:t>
      </w:r>
      <w:r>
        <w:rPr>
          <w:rFonts w:ascii="宋体" w:hAnsi="宋体" w:cs="宋体" w:eastAsia="宋体" w:hint="default"/>
          <w:spacing w:val="-1"/>
        </w:rPr>
        <w:t>(</w:t>
      </w:r>
      <w:r>
        <w:rPr>
          <w:spacing w:val="-1"/>
        </w:rPr>
        <w:t>一</w:t>
      </w:r>
      <w:r>
        <w:rPr>
          <w:rFonts w:ascii="宋体" w:hAnsi="宋体" w:cs="宋体" w:eastAsia="宋体" w:hint="default"/>
          <w:spacing w:val="-1"/>
        </w:rPr>
        <w:t>)</w:t>
        <w:tab/>
      </w:r>
      <w:r>
        <w:rPr/>
        <w:t>导致暂停上市的原因</w:t>
      </w:r>
      <w:r>
        <w:rPr>
          <w:b w:val="0"/>
          <w:bCs w:val="0"/>
        </w:rPr>
      </w:r>
    </w:p>
    <w:p>
      <w:pPr>
        <w:pStyle w:val="BodyText"/>
        <w:tabs>
          <w:tab w:pos="1060" w:val="left" w:leader="none"/>
        </w:tabs>
        <w:spacing w:line="240" w:lineRule="auto" w:before="12"/>
        <w:ind w:right="2757"/>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3"/>
        <w:tabs>
          <w:tab w:pos="1057" w:val="left" w:leader="none"/>
        </w:tabs>
        <w:spacing w:line="240" w:lineRule="auto"/>
        <w:ind w:right="2757"/>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spacing w:val="-1"/>
        </w:rPr>
        <w:t>公司拟采取的应对措施</w:t>
      </w:r>
      <w:r>
        <w:rPr>
          <w:b w:val="0"/>
          <w:bCs w:val="0"/>
          <w:spacing w:val="-1"/>
        </w:rPr>
      </w:r>
    </w:p>
    <w:p>
      <w:pPr>
        <w:spacing w:after="0" w:line="240" w:lineRule="auto"/>
        <w:jc w:val="left"/>
        <w:sectPr>
          <w:footerReference w:type="default" r:id="rId15"/>
          <w:pgSz w:w="11910" w:h="16840"/>
          <w:pgMar w:footer="1795" w:header="855" w:top="1280" w:bottom="1980" w:left="1580" w:right="1040"/>
        </w:sect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7"/>
          <w:szCs w:val="17"/>
        </w:rPr>
      </w:pPr>
    </w:p>
    <w:p>
      <w:pPr>
        <w:pStyle w:val="Heading3"/>
        <w:spacing w:line="240" w:lineRule="auto" w:before="36"/>
        <w:ind w:right="0"/>
        <w:jc w:val="left"/>
        <w:rPr>
          <w:b w:val="0"/>
          <w:bCs w:val="0"/>
        </w:rPr>
      </w:pPr>
      <w:r>
        <w:rPr/>
        <w:t>八、面临终止上市的情况和原因</w:t>
      </w:r>
      <w:r>
        <w:rPr>
          <w:b w:val="0"/>
          <w:bCs w:val="0"/>
        </w:rPr>
      </w:r>
    </w:p>
    <w:p>
      <w:pPr>
        <w:pStyle w:val="BodyText"/>
        <w:tabs>
          <w:tab w:pos="1060" w:val="left" w:leader="none"/>
        </w:tabs>
        <w:spacing w:line="240" w:lineRule="auto" w:before="56"/>
        <w:ind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r>
        <w:rPr/>
        <w:t>九、破产重整相关事项</w:t>
      </w:r>
      <w:r>
        <w:rPr>
          <w:b w:val="0"/>
          <w:bCs w:val="0"/>
        </w:rPr>
      </w:r>
    </w:p>
    <w:p>
      <w:pPr>
        <w:pStyle w:val="BodyText"/>
        <w:spacing w:line="240" w:lineRule="auto" w:before="58"/>
        <w:ind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r>
        <w:rPr/>
        <w:t>十、重大诉讼、仲裁事项</w:t>
      </w:r>
      <w:r>
        <w:rPr>
          <w:b w:val="0"/>
          <w:bCs w:val="0"/>
        </w:rPr>
      </w:r>
    </w:p>
    <w:p>
      <w:pPr>
        <w:pStyle w:val="BodyText"/>
        <w:spacing w:line="240" w:lineRule="auto" w:before="56"/>
        <w:ind w:right="0"/>
        <w:jc w:val="left"/>
      </w:pPr>
      <w:r>
        <w:rPr/>
        <w:t>□本年度公司有重大诉讼、仲裁事项</w:t>
      </w:r>
      <w:r>
        <w:rPr>
          <w:spacing w:val="-7"/>
        </w:rPr>
        <w:t> </w:t>
      </w:r>
      <w:r>
        <w:rPr/>
        <w:t>√本年度公司无重大诉讼、仲裁事项</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8"/>
          <w:szCs w:val="28"/>
        </w:rPr>
      </w:pPr>
    </w:p>
    <w:p>
      <w:pPr>
        <w:pStyle w:val="Heading3"/>
        <w:spacing w:line="272" w:lineRule="exact"/>
        <w:ind w:left="638" w:right="0" w:hanging="420"/>
        <w:jc w:val="left"/>
        <w:rPr>
          <w:b w:val="0"/>
          <w:bCs w:val="0"/>
        </w:rPr>
      </w:pPr>
      <w:r>
        <w:rPr>
          <w:spacing w:val="-1"/>
        </w:rPr>
        <w:t>十一、上市公司及其董事、监事、高级管理人员、控股股东、实际控制人、收购人处罚及整改情</w:t>
      </w:r>
      <w:r>
        <w:rPr>
          <w:spacing w:val="-82"/>
        </w:rPr>
        <w:t> </w:t>
      </w:r>
      <w:r>
        <w:rPr>
          <w:spacing w:val="-82"/>
        </w:rPr>
      </w:r>
      <w:r>
        <w:rPr/>
        <w:t>况</w:t>
      </w:r>
      <w:r>
        <w:rPr>
          <w:b w:val="0"/>
          <w:bCs w:val="0"/>
        </w:rPr>
      </w:r>
    </w:p>
    <w:p>
      <w:pPr>
        <w:pStyle w:val="BodyText"/>
        <w:spacing w:line="240" w:lineRule="auto" w:before="34"/>
        <w:ind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r>
        <w:rPr/>
        <w:t>十二、报告期内公司及其控股股东、实际控制人诚信状况的说明</w:t>
      </w:r>
      <w:r>
        <w:rPr>
          <w:b w:val="0"/>
          <w:bCs w:val="0"/>
        </w:rPr>
      </w:r>
    </w:p>
    <w:p>
      <w:pPr>
        <w:pStyle w:val="BodyText"/>
        <w:tabs>
          <w:tab w:pos="1060" w:val="left" w:leader="none"/>
        </w:tabs>
        <w:spacing w:line="240" w:lineRule="auto" w:before="56"/>
        <w:ind w:right="0"/>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3"/>
        <w:spacing w:line="290" w:lineRule="auto"/>
        <w:ind w:right="1452"/>
        <w:jc w:val="left"/>
        <w:rPr>
          <w:b w:val="0"/>
          <w:bCs w:val="0"/>
        </w:rPr>
      </w:pPr>
      <w:r>
        <w:rPr>
          <w:spacing w:val="-1"/>
        </w:rPr>
        <w:t>十三、公司股权激励计划、员工持股计划或其他员工激励措施的情况及其影响</w:t>
      </w:r>
      <w:r>
        <w:rPr>
          <w:spacing w:val="-72"/>
        </w:rPr>
        <w:t> </w:t>
      </w:r>
      <w:r>
        <w:rPr>
          <w:spacing w:val="-72"/>
        </w:rPr>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34"/>
        </w:rPr>
        <w:t> </w:t>
      </w:r>
      <w:r>
        <w:rPr/>
        <w:t>相关激励事项已在临时公告披露且后续实施无进展或变化的</w:t>
      </w:r>
      <w:r>
        <w:rPr>
          <w:b w:val="0"/>
          <w:bCs w:val="0"/>
        </w:rPr>
      </w:r>
    </w:p>
    <w:p>
      <w:pPr>
        <w:pStyle w:val="BodyText"/>
        <w:spacing w:line="240" w:lineRule="auto" w:before="12"/>
        <w:ind w:right="0"/>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5353"/>
        <w:gridCol w:w="3617"/>
      </w:tblGrid>
      <w:tr>
        <w:trPr>
          <w:trHeight w:val="283"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36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1370"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5"/>
                <w:sz w:val="21"/>
                <w:szCs w:val="21"/>
              </w:rPr>
              <w:t> </w:t>
            </w:r>
            <w:r>
              <w:rPr>
                <w:rFonts w:ascii="宋体" w:hAnsi="宋体" w:cs="宋体" w:eastAsia="宋体" w:hint="default"/>
                <w:sz w:val="21"/>
                <w:szCs w:val="21"/>
              </w:rPr>
              <w:t>日，公司召开第七届董事会第一次会议，</w:t>
            </w:r>
          </w:p>
          <w:p>
            <w:pPr>
              <w:pStyle w:val="TableParagraph"/>
              <w:spacing w:line="237" w:lineRule="auto"/>
              <w:ind w:left="103" w:right="98"/>
              <w:jc w:val="left"/>
              <w:rPr>
                <w:rFonts w:ascii="宋体" w:hAnsi="宋体" w:cs="宋体" w:eastAsia="宋体" w:hint="default"/>
                <w:sz w:val="21"/>
                <w:szCs w:val="21"/>
              </w:rPr>
            </w:pPr>
            <w:r>
              <w:rPr>
                <w:rFonts w:ascii="宋体" w:hAnsi="宋体" w:cs="宋体" w:eastAsia="宋体" w:hint="default"/>
                <w:sz w:val="21"/>
                <w:szCs w:val="21"/>
              </w:rPr>
              <w:t>审议通过了《关于公司限制性股票激励计划（草案）及</w:t>
            </w:r>
            <w:r>
              <w:rPr>
                <w:rFonts w:ascii="宋体" w:hAnsi="宋体" w:cs="宋体" w:eastAsia="宋体" w:hint="default"/>
                <w:w w:val="100"/>
                <w:sz w:val="21"/>
                <w:szCs w:val="21"/>
              </w:rPr>
              <w:t> </w:t>
            </w:r>
            <w:r>
              <w:rPr>
                <w:rFonts w:ascii="宋体" w:hAnsi="宋体" w:cs="宋体" w:eastAsia="宋体" w:hint="default"/>
                <w:spacing w:val="-2"/>
                <w:sz w:val="21"/>
                <w:szCs w:val="21"/>
              </w:rPr>
              <w:t>其摘要的议案》、《关于公司</w:t>
            </w:r>
            <w:r>
              <w:rPr>
                <w:rFonts w:ascii="宋体" w:hAnsi="宋体" w:cs="宋体" w:eastAsia="宋体" w:hint="default"/>
                <w:spacing w:val="-2"/>
                <w:sz w:val="21"/>
                <w:szCs w:val="21"/>
              </w:rPr>
              <w:t>&lt;</w:t>
            </w:r>
            <w:r>
              <w:rPr>
                <w:rFonts w:ascii="宋体" w:hAnsi="宋体" w:cs="宋体" w:eastAsia="宋体" w:hint="default"/>
                <w:spacing w:val="-2"/>
                <w:sz w:val="21"/>
                <w:szCs w:val="21"/>
              </w:rPr>
              <w:t>限制性股票激励计划实施</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2"/>
                <w:sz w:val="21"/>
                <w:szCs w:val="21"/>
              </w:rPr>
              <w:t>考核管理办法</w:t>
            </w:r>
            <w:r>
              <w:rPr>
                <w:rFonts w:ascii="宋体" w:hAnsi="宋体" w:cs="宋体" w:eastAsia="宋体" w:hint="default"/>
                <w:spacing w:val="-2"/>
                <w:sz w:val="21"/>
                <w:szCs w:val="21"/>
              </w:rPr>
              <w:t>&gt;</w:t>
            </w:r>
            <w:r>
              <w:rPr>
                <w:rFonts w:ascii="宋体" w:hAnsi="宋体" w:cs="宋体" w:eastAsia="宋体" w:hint="default"/>
                <w:spacing w:val="-2"/>
                <w:sz w:val="21"/>
                <w:szCs w:val="21"/>
              </w:rPr>
              <w:t>的议案》、《关于提请股东大会授权董事</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会办理股权激励相关事宜的议案》。</w:t>
            </w:r>
          </w:p>
        </w:tc>
        <w:tc>
          <w:tcPr>
            <w:tcW w:w="36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相关公告刊登在</w:t>
            </w:r>
            <w:r>
              <w:rPr>
                <w:rFonts w:ascii="宋体" w:hAnsi="宋体" w:cs="宋体" w:eastAsia="宋体" w:hint="default"/>
                <w:spacing w:val="-53"/>
                <w:sz w:val="21"/>
                <w:szCs w:val="21"/>
              </w:rPr>
              <w:t> </w:t>
            </w: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7</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11</w:t>
            </w:r>
            <w:r>
              <w:rPr>
                <w:rFonts w:ascii="宋体" w:hAnsi="宋体" w:cs="宋体" w:eastAsia="宋体" w:hint="default"/>
                <w:spacing w:val="-55"/>
                <w:sz w:val="21"/>
                <w:szCs w:val="21"/>
              </w:rPr>
              <w:t> </w:t>
            </w:r>
            <w:r>
              <w:rPr>
                <w:rFonts w:ascii="宋体" w:hAnsi="宋体" w:cs="宋体" w:eastAsia="宋体" w:hint="default"/>
                <w:sz w:val="21"/>
                <w:szCs w:val="21"/>
              </w:rPr>
              <w:t>日上</w:t>
            </w: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交所网站</w:t>
            </w:r>
            <w:r>
              <w:rPr>
                <w:rFonts w:ascii="宋体" w:hAnsi="宋体" w:cs="宋体" w:eastAsia="宋体" w:hint="default"/>
                <w:spacing w:val="21"/>
                <w:sz w:val="21"/>
                <w:szCs w:val="21"/>
              </w:rPr>
              <w:t> </w:t>
            </w:r>
            <w:r>
              <w:rPr>
                <w:rFonts w:ascii="宋体" w:hAnsi="宋体" w:cs="宋体" w:eastAsia="宋体" w:hint="default"/>
                <w:spacing w:val="21"/>
                <w:sz w:val="21"/>
                <w:szCs w:val="21"/>
              </w:rPr>
            </w:r>
            <w:hyperlink r:id="rId10">
              <w:r>
                <w:rPr>
                  <w:rFonts w:ascii="宋体" w:hAnsi="宋体" w:cs="宋体" w:eastAsia="宋体" w:hint="default"/>
                  <w:spacing w:val="-5"/>
                  <w:sz w:val="21"/>
                  <w:szCs w:val="21"/>
                  <w:u w:val="single" w:color="000000"/>
                </w:rPr>
                <w:t>www.sse.com.cn</w:t>
              </w:r>
              <w:r>
                <w:rPr>
                  <w:rFonts w:ascii="宋体" w:hAnsi="宋体" w:cs="宋体" w:eastAsia="宋体" w:hint="default"/>
                  <w:spacing w:val="-5"/>
                  <w:sz w:val="21"/>
                  <w:szCs w:val="21"/>
                </w:rPr>
              </w:r>
            </w:hyperlink>
            <w:r>
              <w:rPr>
                <w:rFonts w:ascii="宋体" w:hAnsi="宋体" w:cs="宋体" w:eastAsia="宋体" w:hint="default"/>
                <w:spacing w:val="-5"/>
                <w:sz w:val="21"/>
                <w:szCs w:val="21"/>
              </w:rPr>
              <w:t>）及中国证</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券报、上海证券报、证券时报、证券</w:t>
            </w:r>
            <w:r>
              <w:rPr>
                <w:rFonts w:ascii="宋体" w:hAnsi="宋体" w:cs="宋体" w:eastAsia="宋体" w:hint="default"/>
                <w:w w:val="100"/>
                <w:sz w:val="21"/>
                <w:szCs w:val="21"/>
              </w:rPr>
              <w:t> </w:t>
            </w:r>
            <w:r>
              <w:rPr>
                <w:rFonts w:ascii="宋体" w:hAnsi="宋体" w:cs="宋体" w:eastAsia="宋体" w:hint="default"/>
                <w:sz w:val="21"/>
                <w:szCs w:val="21"/>
              </w:rPr>
              <w:t>日报上。</w:t>
            </w:r>
          </w:p>
        </w:tc>
      </w:tr>
      <w:tr>
        <w:trPr>
          <w:trHeight w:val="1099"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26</w:t>
            </w:r>
            <w:r>
              <w:rPr>
                <w:rFonts w:ascii="宋体" w:hAnsi="宋体" w:cs="宋体" w:eastAsia="宋体" w:hint="default"/>
                <w:spacing w:val="-55"/>
                <w:sz w:val="21"/>
                <w:szCs w:val="21"/>
              </w:rPr>
              <w:t> </w:t>
            </w:r>
            <w:r>
              <w:rPr>
                <w:rFonts w:ascii="宋体" w:hAnsi="宋体" w:cs="宋体" w:eastAsia="宋体" w:hint="default"/>
                <w:sz w:val="21"/>
                <w:szCs w:val="21"/>
              </w:rPr>
              <w:t>日，公司召开</w:t>
            </w:r>
            <w:r>
              <w:rPr>
                <w:rFonts w:ascii="宋体" w:hAnsi="宋体" w:cs="宋体" w:eastAsia="宋体" w:hint="default"/>
                <w:spacing w:val="-52"/>
                <w:sz w:val="21"/>
                <w:szCs w:val="21"/>
              </w:rPr>
              <w:t> </w:t>
            </w: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年第三次临时股东大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会，审议通过了上述议案。</w:t>
            </w:r>
          </w:p>
        </w:tc>
        <w:tc>
          <w:tcPr>
            <w:tcW w:w="36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相关公告刊登在</w:t>
            </w:r>
            <w:r>
              <w:rPr>
                <w:rFonts w:ascii="宋体" w:hAnsi="宋体" w:cs="宋体" w:eastAsia="宋体" w:hint="default"/>
                <w:spacing w:val="-53"/>
                <w:sz w:val="21"/>
                <w:szCs w:val="21"/>
              </w:rPr>
              <w:t> </w:t>
            </w: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7</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27</w:t>
            </w:r>
            <w:r>
              <w:rPr>
                <w:rFonts w:ascii="宋体" w:hAnsi="宋体" w:cs="宋体" w:eastAsia="宋体" w:hint="default"/>
                <w:spacing w:val="-55"/>
                <w:sz w:val="21"/>
                <w:szCs w:val="21"/>
              </w:rPr>
              <w:t> </w:t>
            </w:r>
            <w:r>
              <w:rPr>
                <w:rFonts w:ascii="宋体" w:hAnsi="宋体" w:cs="宋体" w:eastAsia="宋体" w:hint="default"/>
                <w:sz w:val="21"/>
                <w:szCs w:val="21"/>
              </w:rPr>
              <w:t>日上</w:t>
            </w:r>
          </w:p>
          <w:p>
            <w:pPr>
              <w:pStyle w:val="TableParagraph"/>
              <w:spacing w:line="237" w:lineRule="auto" w:before="2"/>
              <w:ind w:left="103" w:right="101"/>
              <w:jc w:val="both"/>
              <w:rPr>
                <w:rFonts w:ascii="宋体" w:hAnsi="宋体" w:cs="宋体" w:eastAsia="宋体" w:hint="default"/>
                <w:sz w:val="21"/>
                <w:szCs w:val="21"/>
              </w:rPr>
            </w:pPr>
            <w:r>
              <w:rPr>
                <w:rFonts w:ascii="宋体" w:hAnsi="宋体" w:cs="宋体" w:eastAsia="宋体" w:hint="default"/>
                <w:sz w:val="21"/>
                <w:szCs w:val="21"/>
              </w:rPr>
              <w:t>交所网站</w:t>
            </w:r>
            <w:r>
              <w:rPr>
                <w:rFonts w:ascii="宋体" w:hAnsi="宋体" w:cs="宋体" w:eastAsia="宋体" w:hint="default"/>
                <w:spacing w:val="21"/>
                <w:sz w:val="21"/>
                <w:szCs w:val="21"/>
              </w:rPr>
              <w:t> </w:t>
            </w:r>
            <w:r>
              <w:rPr>
                <w:rFonts w:ascii="宋体" w:hAnsi="宋体" w:cs="宋体" w:eastAsia="宋体" w:hint="default"/>
                <w:spacing w:val="21"/>
                <w:sz w:val="21"/>
                <w:szCs w:val="21"/>
              </w:rPr>
            </w:r>
            <w:hyperlink r:id="rId10">
              <w:r>
                <w:rPr>
                  <w:rFonts w:ascii="宋体" w:hAnsi="宋体" w:cs="宋体" w:eastAsia="宋体" w:hint="default"/>
                  <w:spacing w:val="-5"/>
                  <w:sz w:val="21"/>
                  <w:szCs w:val="21"/>
                  <w:u w:val="single" w:color="000000"/>
                </w:rPr>
                <w:t>www.sse.com.cn</w:t>
              </w:r>
              <w:r>
                <w:rPr>
                  <w:rFonts w:ascii="宋体" w:hAnsi="宋体" w:cs="宋体" w:eastAsia="宋体" w:hint="default"/>
                  <w:spacing w:val="-5"/>
                  <w:sz w:val="21"/>
                  <w:szCs w:val="21"/>
                </w:rPr>
              </w:r>
            </w:hyperlink>
            <w:r>
              <w:rPr>
                <w:rFonts w:ascii="宋体" w:hAnsi="宋体" w:cs="宋体" w:eastAsia="宋体" w:hint="default"/>
                <w:spacing w:val="-5"/>
                <w:sz w:val="21"/>
                <w:szCs w:val="21"/>
              </w:rPr>
              <w:t>）及中国证</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券报、上海证券报、证券时报、证券</w:t>
            </w:r>
            <w:r>
              <w:rPr>
                <w:rFonts w:ascii="宋体" w:hAnsi="宋体" w:cs="宋体" w:eastAsia="宋体" w:hint="default"/>
                <w:w w:val="100"/>
                <w:sz w:val="21"/>
                <w:szCs w:val="21"/>
              </w:rPr>
              <w:t> </w:t>
            </w:r>
            <w:r>
              <w:rPr>
                <w:rFonts w:ascii="宋体" w:hAnsi="宋体" w:cs="宋体" w:eastAsia="宋体" w:hint="default"/>
                <w:sz w:val="21"/>
                <w:szCs w:val="21"/>
              </w:rPr>
              <w:t>日报上。</w:t>
            </w:r>
          </w:p>
        </w:tc>
      </w:tr>
      <w:tr>
        <w:trPr>
          <w:trHeight w:val="1100"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27</w:t>
            </w:r>
            <w:r>
              <w:rPr>
                <w:rFonts w:ascii="宋体" w:hAnsi="宋体" w:cs="宋体" w:eastAsia="宋体" w:hint="default"/>
                <w:spacing w:val="-55"/>
                <w:sz w:val="21"/>
                <w:szCs w:val="21"/>
              </w:rPr>
              <w:t> </w:t>
            </w:r>
            <w:r>
              <w:rPr>
                <w:rFonts w:ascii="宋体" w:hAnsi="宋体" w:cs="宋体" w:eastAsia="宋体" w:hint="default"/>
                <w:sz w:val="21"/>
                <w:szCs w:val="21"/>
              </w:rPr>
              <w:t>日，公司召开</w:t>
            </w:r>
            <w:r>
              <w:rPr>
                <w:rFonts w:ascii="宋体" w:hAnsi="宋体" w:cs="宋体" w:eastAsia="宋体" w:hint="default"/>
                <w:spacing w:val="-52"/>
                <w:sz w:val="21"/>
                <w:szCs w:val="21"/>
              </w:rPr>
              <w:t> </w:t>
            </w: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年第七届董事会第二</w:t>
            </w:r>
          </w:p>
          <w:p>
            <w:pPr>
              <w:pStyle w:val="TableParagraph"/>
              <w:spacing w:line="237" w:lineRule="auto" w:before="2"/>
              <w:ind w:left="103" w:right="192"/>
              <w:jc w:val="both"/>
              <w:rPr>
                <w:rFonts w:ascii="宋体" w:hAnsi="宋体" w:cs="宋体" w:eastAsia="宋体" w:hint="default"/>
                <w:sz w:val="21"/>
                <w:szCs w:val="21"/>
              </w:rPr>
            </w:pPr>
            <w:r>
              <w:rPr>
                <w:rFonts w:ascii="宋体" w:hAnsi="宋体" w:cs="宋体" w:eastAsia="宋体" w:hint="default"/>
                <w:spacing w:val="-2"/>
                <w:sz w:val="21"/>
                <w:szCs w:val="21"/>
              </w:rPr>
              <w:t>次会议审议通过了《关于调整公司限制性股票激励计划</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pacing w:val="-2"/>
                <w:sz w:val="21"/>
                <w:szCs w:val="21"/>
              </w:rPr>
              <w:t>激励对象和授予数量的议案》、《关于向激励对象授予</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限制性股票的议案》。</w:t>
            </w:r>
          </w:p>
        </w:tc>
        <w:tc>
          <w:tcPr>
            <w:tcW w:w="36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相关公告刊登在</w:t>
            </w:r>
            <w:r>
              <w:rPr>
                <w:rFonts w:ascii="宋体" w:hAnsi="宋体" w:cs="宋体" w:eastAsia="宋体" w:hint="default"/>
                <w:spacing w:val="-53"/>
                <w:sz w:val="21"/>
                <w:szCs w:val="21"/>
              </w:rPr>
              <w:t> </w:t>
            </w: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7</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28</w:t>
            </w:r>
            <w:r>
              <w:rPr>
                <w:rFonts w:ascii="宋体" w:hAnsi="宋体" w:cs="宋体" w:eastAsia="宋体" w:hint="default"/>
                <w:spacing w:val="-55"/>
                <w:sz w:val="21"/>
                <w:szCs w:val="21"/>
              </w:rPr>
              <w:t> </w:t>
            </w:r>
            <w:r>
              <w:rPr>
                <w:rFonts w:ascii="宋体" w:hAnsi="宋体" w:cs="宋体" w:eastAsia="宋体" w:hint="default"/>
                <w:sz w:val="21"/>
                <w:szCs w:val="21"/>
              </w:rPr>
              <w:t>日</w:t>
            </w:r>
          </w:p>
          <w:p>
            <w:pPr>
              <w:pStyle w:val="TableParagraph"/>
              <w:spacing w:line="237" w:lineRule="auto" w:before="2"/>
              <w:ind w:left="103" w:right="103"/>
              <w:jc w:val="both"/>
              <w:rPr>
                <w:rFonts w:ascii="宋体" w:hAnsi="宋体" w:cs="宋体" w:eastAsia="宋体" w:hint="default"/>
                <w:sz w:val="21"/>
                <w:szCs w:val="21"/>
              </w:rPr>
            </w:pPr>
            <w:r>
              <w:rPr>
                <w:rFonts w:ascii="宋体" w:hAnsi="宋体" w:cs="宋体" w:eastAsia="宋体" w:hint="default"/>
                <w:sz w:val="21"/>
                <w:szCs w:val="21"/>
              </w:rPr>
              <w:t>上交所网站</w:t>
            </w:r>
            <w:r>
              <w:rPr>
                <w:rFonts w:ascii="宋体" w:hAnsi="宋体" w:cs="宋体" w:eastAsia="宋体" w:hint="default"/>
                <w:spacing w:val="15"/>
                <w:sz w:val="21"/>
                <w:szCs w:val="21"/>
              </w:rPr>
              <w:t> </w:t>
            </w:r>
            <w:r>
              <w:rPr>
                <w:rFonts w:ascii="宋体" w:hAnsi="宋体" w:cs="宋体" w:eastAsia="宋体" w:hint="default"/>
                <w:spacing w:val="15"/>
                <w:sz w:val="21"/>
                <w:szCs w:val="21"/>
              </w:rPr>
            </w:r>
            <w:hyperlink r:id="rId10">
              <w:r>
                <w:rPr>
                  <w:rFonts w:ascii="宋体" w:hAnsi="宋体" w:cs="宋体" w:eastAsia="宋体" w:hint="default"/>
                  <w:spacing w:val="-5"/>
                  <w:sz w:val="21"/>
                  <w:szCs w:val="21"/>
                  <w:u w:val="single" w:color="000000"/>
                </w:rPr>
                <w:t>www.sse.com.cn</w:t>
              </w:r>
              <w:r>
                <w:rPr>
                  <w:rFonts w:ascii="宋体" w:hAnsi="宋体" w:cs="宋体" w:eastAsia="宋体" w:hint="default"/>
                  <w:spacing w:val="-5"/>
                  <w:sz w:val="21"/>
                  <w:szCs w:val="21"/>
                </w:rPr>
              </w:r>
            </w:hyperlink>
            <w:r>
              <w:rPr>
                <w:rFonts w:ascii="宋体" w:hAnsi="宋体" w:cs="宋体" w:eastAsia="宋体" w:hint="default"/>
                <w:spacing w:val="-5"/>
                <w:sz w:val="21"/>
                <w:szCs w:val="21"/>
              </w:rPr>
              <w:t>）及中国</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证券报、上海证券报、证券时报、证</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券日报上。</w:t>
            </w:r>
          </w:p>
        </w:tc>
      </w:tr>
      <w:tr>
        <w:trPr>
          <w:trHeight w:val="1099"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日，公司完成了对</w:t>
            </w:r>
            <w:r>
              <w:rPr>
                <w:rFonts w:ascii="宋体" w:hAnsi="宋体" w:cs="宋体" w:eastAsia="宋体" w:hint="default"/>
                <w:spacing w:val="-51"/>
                <w:sz w:val="21"/>
                <w:szCs w:val="21"/>
              </w:rPr>
              <w:t> </w:t>
            </w:r>
            <w:r>
              <w:rPr>
                <w:rFonts w:ascii="宋体" w:hAnsi="宋体" w:cs="宋体" w:eastAsia="宋体" w:hint="default"/>
                <w:sz w:val="21"/>
                <w:szCs w:val="21"/>
              </w:rPr>
              <w:t>134</w:t>
            </w:r>
            <w:r>
              <w:rPr>
                <w:rFonts w:ascii="宋体" w:hAnsi="宋体" w:cs="宋体" w:eastAsia="宋体" w:hint="default"/>
                <w:spacing w:val="-55"/>
                <w:sz w:val="21"/>
                <w:szCs w:val="21"/>
              </w:rPr>
              <w:t> </w:t>
            </w:r>
            <w:r>
              <w:rPr>
                <w:rFonts w:ascii="宋体" w:hAnsi="宋体" w:cs="宋体" w:eastAsia="宋体" w:hint="default"/>
                <w:sz w:val="21"/>
                <w:szCs w:val="21"/>
              </w:rPr>
              <w:t>名员工</w:t>
            </w:r>
            <w:r>
              <w:rPr>
                <w:rFonts w:ascii="宋体" w:hAnsi="宋体" w:cs="宋体" w:eastAsia="宋体" w:hint="default"/>
                <w:spacing w:val="-53"/>
                <w:sz w:val="21"/>
                <w:szCs w:val="21"/>
              </w:rPr>
              <w:t> </w:t>
            </w:r>
            <w:r>
              <w:rPr>
                <w:rFonts w:ascii="宋体" w:hAnsi="宋体" w:cs="宋体" w:eastAsia="宋体" w:hint="default"/>
                <w:sz w:val="21"/>
                <w:szCs w:val="21"/>
              </w:rPr>
              <w:t>167.7</w:t>
            </w:r>
            <w:r>
              <w:rPr>
                <w:rFonts w:ascii="宋体" w:hAnsi="宋体" w:cs="宋体" w:eastAsia="宋体" w:hint="default"/>
                <w:spacing w:val="-55"/>
                <w:sz w:val="21"/>
                <w:szCs w:val="21"/>
              </w:rPr>
              <w:t> </w:t>
            </w:r>
            <w:r>
              <w:rPr>
                <w:rFonts w:ascii="宋体" w:hAnsi="宋体" w:cs="宋体" w:eastAsia="宋体" w:hint="default"/>
                <w:sz w:val="21"/>
                <w:szCs w:val="21"/>
              </w:rPr>
              <w:t>万限</w:t>
            </w:r>
          </w:p>
          <w:p>
            <w:pPr>
              <w:pStyle w:val="TableParagraph"/>
              <w:spacing w:line="272" w:lineRule="exact" w:before="27"/>
              <w:ind w:left="103" w:right="192"/>
              <w:jc w:val="left"/>
              <w:rPr>
                <w:rFonts w:ascii="宋体" w:hAnsi="宋体" w:cs="宋体" w:eastAsia="宋体" w:hint="default"/>
                <w:sz w:val="21"/>
                <w:szCs w:val="21"/>
              </w:rPr>
            </w:pPr>
            <w:r>
              <w:rPr>
                <w:rFonts w:ascii="宋体" w:hAnsi="宋体" w:cs="宋体" w:eastAsia="宋体" w:hint="default"/>
                <w:spacing w:val="-2"/>
                <w:sz w:val="21"/>
                <w:szCs w:val="21"/>
              </w:rPr>
              <w:t>制性股票的授予登记工作，目前，公司正在按照《股权</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激励管理办法》相关规定积极推进该计划。</w:t>
            </w:r>
          </w:p>
        </w:tc>
        <w:tc>
          <w:tcPr>
            <w:tcW w:w="36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相关公告刊登在</w:t>
            </w:r>
            <w:r>
              <w:rPr>
                <w:rFonts w:ascii="宋体" w:hAnsi="宋体" w:cs="宋体" w:eastAsia="宋体" w:hint="default"/>
                <w:spacing w:val="-64"/>
                <w:sz w:val="21"/>
                <w:szCs w:val="21"/>
              </w:rPr>
              <w:t> </w:t>
            </w:r>
            <w:r>
              <w:rPr>
                <w:rFonts w:ascii="宋体" w:hAnsi="宋体" w:cs="宋体" w:eastAsia="宋体" w:hint="default"/>
                <w:sz w:val="21"/>
                <w:szCs w:val="21"/>
              </w:rPr>
              <w:t>2017</w:t>
            </w:r>
            <w:r>
              <w:rPr>
                <w:rFonts w:ascii="宋体" w:hAnsi="宋体" w:cs="宋体" w:eastAsia="宋体" w:hint="default"/>
                <w:spacing w:val="-63"/>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9</w:t>
            </w:r>
            <w:r>
              <w:rPr>
                <w:rFonts w:ascii="宋体" w:hAnsi="宋体" w:cs="宋体" w:eastAsia="宋体" w:hint="default"/>
                <w:spacing w:val="-66"/>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宋体" w:hAnsi="宋体" w:cs="宋体" w:eastAsia="宋体" w:hint="default"/>
                <w:sz w:val="21"/>
                <w:szCs w:val="21"/>
              </w:rPr>
              <w:t>7</w:t>
            </w:r>
            <w:r>
              <w:rPr>
                <w:rFonts w:ascii="宋体" w:hAnsi="宋体" w:cs="宋体" w:eastAsia="宋体" w:hint="default"/>
                <w:spacing w:val="-64"/>
                <w:sz w:val="21"/>
                <w:szCs w:val="21"/>
              </w:rPr>
              <w:t> </w:t>
            </w:r>
            <w:r>
              <w:rPr>
                <w:rFonts w:ascii="宋体" w:hAnsi="宋体" w:cs="宋体" w:eastAsia="宋体" w:hint="default"/>
                <w:sz w:val="21"/>
                <w:szCs w:val="21"/>
              </w:rPr>
              <w:t>日上交</w:t>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z w:val="21"/>
                <w:szCs w:val="21"/>
              </w:rPr>
              <w:t>所网站</w:t>
            </w:r>
            <w:r>
              <w:rPr>
                <w:rFonts w:ascii="宋体" w:hAnsi="宋体" w:cs="宋体" w:eastAsia="宋体" w:hint="default"/>
                <w:spacing w:val="29"/>
                <w:sz w:val="21"/>
                <w:szCs w:val="21"/>
              </w:rPr>
              <w:t> </w:t>
            </w:r>
            <w:r>
              <w:rPr>
                <w:rFonts w:ascii="宋体" w:hAnsi="宋体" w:cs="宋体" w:eastAsia="宋体" w:hint="default"/>
                <w:spacing w:val="29"/>
                <w:sz w:val="21"/>
                <w:szCs w:val="21"/>
              </w:rPr>
            </w:r>
            <w:hyperlink r:id="rId10">
              <w:r>
                <w:rPr>
                  <w:rFonts w:ascii="宋体" w:hAnsi="宋体" w:cs="宋体" w:eastAsia="宋体" w:hint="default"/>
                  <w:spacing w:val="-5"/>
                  <w:sz w:val="21"/>
                  <w:szCs w:val="21"/>
                  <w:u w:val="single" w:color="000000"/>
                </w:rPr>
                <w:t>www.sse.com.cn</w:t>
              </w:r>
              <w:r>
                <w:rPr>
                  <w:rFonts w:ascii="宋体" w:hAnsi="宋体" w:cs="宋体" w:eastAsia="宋体" w:hint="default"/>
                  <w:spacing w:val="-5"/>
                  <w:sz w:val="21"/>
                  <w:szCs w:val="21"/>
                </w:rPr>
              </w:r>
            </w:hyperlink>
            <w:r>
              <w:rPr>
                <w:rFonts w:ascii="宋体" w:hAnsi="宋体" w:cs="宋体" w:eastAsia="宋体" w:hint="default"/>
                <w:spacing w:val="-5"/>
                <w:sz w:val="21"/>
                <w:szCs w:val="21"/>
              </w:rPr>
              <w:t>）及中国证券</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报、上海证券报、证券时报、证券日</w:t>
            </w:r>
            <w:r>
              <w:rPr>
                <w:rFonts w:ascii="宋体" w:hAnsi="宋体" w:cs="宋体" w:eastAsia="宋体" w:hint="default"/>
                <w:w w:val="100"/>
                <w:sz w:val="21"/>
                <w:szCs w:val="21"/>
              </w:rPr>
              <w:t> </w:t>
            </w:r>
            <w:r>
              <w:rPr>
                <w:rFonts w:ascii="宋体" w:hAnsi="宋体" w:cs="宋体" w:eastAsia="宋体" w:hint="default"/>
                <w:sz w:val="21"/>
                <w:szCs w:val="21"/>
              </w:rPr>
              <w:t>报上。</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spacing w:line="290" w:lineRule="auto" w:before="36"/>
        <w:ind w:left="218" w:right="460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pacing w:val="37"/>
          <w:sz w:val="21"/>
          <w:szCs w:val="21"/>
        </w:rPr>
        <w:t> </w:t>
      </w:r>
      <w:r>
        <w:rPr>
          <w:rFonts w:ascii="宋体" w:hAnsi="宋体" w:cs="宋体" w:eastAsia="宋体" w:hint="default"/>
          <w:b/>
          <w:bCs/>
          <w:sz w:val="21"/>
          <w:szCs w:val="21"/>
        </w:rPr>
        <w:t>临时公告未披露或有后续进展的激励情况</w:t>
      </w:r>
      <w:r>
        <w:rPr>
          <w:rFonts w:ascii="宋体" w:hAnsi="宋体" w:cs="宋体" w:eastAsia="宋体" w:hint="default"/>
          <w:b/>
          <w:bCs/>
          <w:w w:val="100"/>
          <w:sz w:val="21"/>
          <w:szCs w:val="21"/>
        </w:rPr>
        <w:t> </w:t>
      </w:r>
      <w:r>
        <w:rPr>
          <w:rFonts w:ascii="宋体" w:hAnsi="宋体" w:cs="宋体" w:eastAsia="宋体" w:hint="default"/>
          <w:sz w:val="21"/>
          <w:szCs w:val="21"/>
        </w:rPr>
        <w:t>股权激励情况</w:t>
      </w:r>
    </w:p>
    <w:p>
      <w:pPr>
        <w:pStyle w:val="BodyText"/>
        <w:spacing w:line="230" w:lineRule="exact"/>
        <w:ind w:right="0"/>
        <w:jc w:val="left"/>
      </w:pPr>
      <w:r>
        <w:rPr/>
        <w:t>□适用</w:t>
      </w:r>
      <w:r>
        <w:rPr>
          <w:spacing w:val="-1"/>
        </w:rPr>
        <w:t> </w:t>
      </w:r>
      <w:r>
        <w:rPr/>
        <w:t>√不适用</w:t>
      </w:r>
    </w:p>
    <w:p>
      <w:pPr>
        <w:spacing w:after="0" w:line="230" w:lineRule="exact"/>
        <w:jc w:val="left"/>
        <w:sectPr>
          <w:footerReference w:type="default" r:id="rId16"/>
          <w:pgSz w:w="11910" w:h="16840"/>
          <w:pgMar w:footer="1195" w:header="855" w:top="1280" w:bottom="1380" w:left="1580" w:right="1120"/>
          <w:pgNumType w:start="31"/>
        </w:sectPr>
      </w:pPr>
    </w:p>
    <w:p>
      <w:pPr>
        <w:spacing w:line="240" w:lineRule="auto" w:before="6"/>
        <w:rPr>
          <w:rFonts w:ascii="宋体" w:hAnsi="宋体" w:cs="宋体" w:eastAsia="宋体" w:hint="default"/>
          <w:sz w:val="12"/>
          <w:szCs w:val="12"/>
        </w:rPr>
      </w:pPr>
    </w:p>
    <w:p>
      <w:pPr>
        <w:pStyle w:val="BodyText"/>
        <w:spacing w:line="274" w:lineRule="exact" w:before="36"/>
        <w:ind w:right="2757"/>
        <w:jc w:val="left"/>
      </w:pPr>
      <w:r>
        <w:rPr/>
        <w:t>其他说明</w:t>
      </w:r>
    </w:p>
    <w:p>
      <w:pPr>
        <w:pStyle w:val="BodyText"/>
        <w:tabs>
          <w:tab w:pos="1060" w:val="left" w:leader="none"/>
        </w:tabs>
        <w:spacing w:line="274" w:lineRule="exact"/>
        <w:ind w:right="2757"/>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spacing w:line="274" w:lineRule="exact"/>
        <w:ind w:right="2757"/>
        <w:jc w:val="left"/>
      </w:pPr>
      <w:r>
        <w:rPr/>
        <w:t>员工持股计划情况</w:t>
      </w:r>
    </w:p>
    <w:p>
      <w:pPr>
        <w:pStyle w:val="BodyText"/>
        <w:tabs>
          <w:tab w:pos="1060" w:val="left" w:leader="none"/>
        </w:tabs>
        <w:spacing w:line="274" w:lineRule="exact"/>
        <w:ind w:right="2757"/>
        <w:jc w:val="left"/>
      </w:pPr>
      <w:r>
        <w:rPr>
          <w:spacing w:val="-1"/>
        </w:rPr>
        <w:t>□适用</w:t>
        <w:tab/>
      </w:r>
      <w:r>
        <w:rPr>
          <w:spacing w:val="-2"/>
        </w:rPr>
        <w:t>√不适用</w:t>
      </w:r>
    </w:p>
    <w:p>
      <w:pPr>
        <w:spacing w:line="240" w:lineRule="auto" w:before="8"/>
        <w:rPr>
          <w:rFonts w:ascii="宋体" w:hAnsi="宋体" w:cs="宋体" w:eastAsia="宋体" w:hint="default"/>
          <w:sz w:val="20"/>
          <w:szCs w:val="20"/>
        </w:rPr>
      </w:pPr>
    </w:p>
    <w:p>
      <w:pPr>
        <w:pStyle w:val="BodyText"/>
        <w:spacing w:line="273" w:lineRule="exact"/>
        <w:ind w:right="2757"/>
        <w:jc w:val="left"/>
      </w:pPr>
      <w:r>
        <w:rPr/>
        <w:t>其他激励措施</w:t>
      </w:r>
    </w:p>
    <w:p>
      <w:pPr>
        <w:pStyle w:val="BodyText"/>
        <w:spacing w:line="273" w:lineRule="exact"/>
        <w:ind w:right="2757"/>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3"/>
        <w:spacing w:line="240" w:lineRule="auto"/>
        <w:ind w:right="2757"/>
        <w:jc w:val="left"/>
        <w:rPr>
          <w:b w:val="0"/>
          <w:bCs w:val="0"/>
        </w:rPr>
      </w:pPr>
      <w:r>
        <w:rPr/>
        <w:t>十四、重大关联交易</w:t>
      </w:r>
      <w:r>
        <w:rPr>
          <w:b w:val="0"/>
          <w:bCs w:val="0"/>
        </w:rPr>
      </w:r>
    </w:p>
    <w:p>
      <w:pPr>
        <w:pStyle w:val="Heading3"/>
        <w:spacing w:line="240" w:lineRule="auto" w:before="58"/>
        <w:ind w:right="2757"/>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与日常经营相关的关联交易</w:t>
      </w:r>
      <w:r>
        <w:rPr>
          <w:b w:val="0"/>
          <w:bCs w:val="0"/>
        </w:rPr>
      </w:r>
    </w:p>
    <w:p>
      <w:pPr>
        <w:pStyle w:val="Heading3"/>
        <w:spacing w:line="240" w:lineRule="auto" w:before="30"/>
        <w:ind w:right="2757"/>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58"/>
        <w:ind w:right="2757"/>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826"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报告期内，公司与中信证券销售商品、提供劳务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关联交易事项。</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详见公司于</w:t>
            </w:r>
            <w:r>
              <w:rPr>
                <w:rFonts w:ascii="宋体" w:hAnsi="宋体" w:cs="宋体" w:eastAsia="宋体" w:hint="default"/>
                <w:spacing w:val="-47"/>
                <w:sz w:val="21"/>
                <w:szCs w:val="21"/>
              </w:rPr>
              <w:t> </w:t>
            </w:r>
            <w:r>
              <w:rPr>
                <w:rFonts w:ascii="宋体" w:hAnsi="宋体" w:cs="宋体" w:eastAsia="宋体" w:hint="default"/>
                <w:sz w:val="21"/>
                <w:szCs w:val="21"/>
              </w:rPr>
              <w:t>2017</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10</w:t>
            </w:r>
            <w:r>
              <w:rPr>
                <w:rFonts w:ascii="宋体" w:hAnsi="宋体" w:cs="宋体" w:eastAsia="宋体" w:hint="default"/>
                <w:spacing w:val="-47"/>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宋体" w:hAnsi="宋体" w:cs="宋体" w:eastAsia="宋体" w:hint="default"/>
                <w:sz w:val="21"/>
                <w:szCs w:val="21"/>
              </w:rPr>
              <w:t>30</w:t>
            </w:r>
            <w:r>
              <w:rPr>
                <w:rFonts w:ascii="宋体" w:hAnsi="宋体" w:cs="宋体" w:eastAsia="宋体" w:hint="default"/>
                <w:spacing w:val="-46"/>
                <w:sz w:val="21"/>
                <w:szCs w:val="21"/>
              </w:rPr>
              <w:t> </w:t>
            </w:r>
            <w:r>
              <w:rPr>
                <w:rFonts w:ascii="宋体" w:hAnsi="宋体" w:cs="宋体" w:eastAsia="宋体" w:hint="default"/>
                <w:sz w:val="21"/>
                <w:szCs w:val="21"/>
              </w:rPr>
              <w:t>日、</w:t>
            </w:r>
            <w:r>
              <w:rPr>
                <w:rFonts w:ascii="宋体" w:hAnsi="宋体" w:cs="宋体" w:eastAsia="宋体" w:hint="default"/>
                <w:sz w:val="21"/>
                <w:szCs w:val="21"/>
              </w:rPr>
              <w:t>2017</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12</w:t>
            </w:r>
            <w:r>
              <w:rPr>
                <w:rFonts w:ascii="宋体" w:hAnsi="宋体" w:cs="宋体" w:eastAsia="宋体" w:hint="default"/>
                <w:spacing w:val="-47"/>
                <w:sz w:val="21"/>
                <w:szCs w:val="21"/>
              </w:rPr>
              <w:t> </w:t>
            </w:r>
            <w:r>
              <w:rPr>
                <w:rFonts w:ascii="宋体" w:hAnsi="宋体" w:cs="宋体" w:eastAsia="宋体" w:hint="default"/>
                <w:sz w:val="21"/>
                <w:szCs w:val="21"/>
              </w:rPr>
              <w:t>月</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29</w:t>
            </w:r>
            <w:r>
              <w:rPr>
                <w:rFonts w:ascii="宋体" w:hAnsi="宋体" w:cs="宋体" w:eastAsia="宋体" w:hint="default"/>
                <w:spacing w:val="-50"/>
                <w:sz w:val="21"/>
                <w:szCs w:val="21"/>
              </w:rPr>
              <w:t> </w:t>
            </w:r>
            <w:r>
              <w:rPr>
                <w:rFonts w:ascii="宋体" w:hAnsi="宋体" w:cs="宋体" w:eastAsia="宋体" w:hint="default"/>
                <w:spacing w:val="-6"/>
                <w:sz w:val="21"/>
                <w:szCs w:val="21"/>
              </w:rPr>
              <w:t>日、</w:t>
            </w:r>
            <w:r>
              <w:rPr>
                <w:rFonts w:ascii="宋体" w:hAnsi="宋体" w:cs="宋体" w:eastAsia="宋体" w:hint="default"/>
                <w:spacing w:val="-6"/>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26</w:t>
            </w:r>
            <w:r>
              <w:rPr>
                <w:rFonts w:ascii="宋体" w:hAnsi="宋体" w:cs="宋体" w:eastAsia="宋体" w:hint="default"/>
                <w:spacing w:val="-53"/>
                <w:sz w:val="21"/>
                <w:szCs w:val="21"/>
              </w:rPr>
              <w:t> </w:t>
            </w:r>
            <w:r>
              <w:rPr>
                <w:rFonts w:ascii="宋体" w:hAnsi="宋体" w:cs="宋体" w:eastAsia="宋体" w:hint="default"/>
                <w:spacing w:val="-5"/>
                <w:sz w:val="21"/>
                <w:szCs w:val="21"/>
              </w:rPr>
              <w:t>日、</w:t>
            </w:r>
            <w:r>
              <w:rPr>
                <w:rFonts w:ascii="宋体" w:hAnsi="宋体" w:cs="宋体" w:eastAsia="宋体" w:hint="default"/>
                <w:spacing w:val="-5"/>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27</w:t>
            </w:r>
            <w:r>
              <w:rPr>
                <w:rFonts w:ascii="宋体" w:hAnsi="宋体" w:cs="宋体" w:eastAsia="宋体" w:hint="default"/>
                <w:spacing w:val="-53"/>
                <w:sz w:val="21"/>
                <w:szCs w:val="21"/>
              </w:rPr>
              <w:t> </w:t>
            </w:r>
            <w:r>
              <w:rPr>
                <w:rFonts w:ascii="宋体" w:hAnsi="宋体" w:cs="宋体" w:eastAsia="宋体" w:hint="default"/>
                <w:sz w:val="21"/>
                <w:szCs w:val="21"/>
              </w:rPr>
              <w:t>日披</w:t>
            </w:r>
            <w:r>
              <w:rPr>
                <w:rFonts w:ascii="宋体" w:hAnsi="宋体" w:cs="宋体" w:eastAsia="宋体" w:hint="default"/>
                <w:w w:val="100"/>
                <w:sz w:val="21"/>
                <w:szCs w:val="21"/>
              </w:rPr>
              <w:t> </w:t>
            </w:r>
            <w:r>
              <w:rPr>
                <w:rFonts w:ascii="宋体" w:hAnsi="宋体" w:cs="宋体" w:eastAsia="宋体" w:hint="default"/>
                <w:sz w:val="21"/>
                <w:szCs w:val="21"/>
              </w:rPr>
              <w:t>露的相关公告。</w:t>
            </w:r>
          </w:p>
        </w:tc>
      </w:tr>
    </w:tbl>
    <w:p>
      <w:pPr>
        <w:spacing w:line="240" w:lineRule="auto" w:before="2"/>
        <w:rPr>
          <w:rFonts w:ascii="宋体" w:hAnsi="宋体" w:cs="宋体" w:eastAsia="宋体" w:hint="default"/>
          <w:sz w:val="20"/>
          <w:szCs w:val="20"/>
        </w:rPr>
      </w:pPr>
    </w:p>
    <w:p>
      <w:pPr>
        <w:pStyle w:val="Heading3"/>
        <w:spacing w:line="240" w:lineRule="auto" w:before="36"/>
        <w:ind w:right="2757"/>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tabs>
          <w:tab w:pos="1060" w:val="left" w:leader="none"/>
        </w:tabs>
        <w:spacing w:line="240" w:lineRule="auto" w:before="56"/>
        <w:ind w:right="2757"/>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3"/>
        <w:spacing w:line="240" w:lineRule="auto"/>
        <w:ind w:right="2757"/>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spacing w:line="290" w:lineRule="auto" w:before="58"/>
        <w:ind w:left="218" w:right="5042"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z w:val="21"/>
          <w:szCs w:val="21"/>
        </w:rPr>
        <w:t>资产或股权收购、出售发生的关联交易</w:t>
      </w:r>
      <w:r>
        <w:rPr>
          <w:rFonts w:ascii="宋体" w:hAnsi="宋体" w:cs="宋体" w:eastAsia="宋体" w:hint="default"/>
          <w:sz w:val="21"/>
          <w:szCs w:val="21"/>
        </w:rPr>
      </w:r>
    </w:p>
    <w:p>
      <w:pPr>
        <w:pStyle w:val="Heading3"/>
        <w:spacing w:line="240" w:lineRule="auto" w:before="14"/>
        <w:ind w:right="2757"/>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56"/>
        <w:ind w:right="2757"/>
        <w:jc w:val="left"/>
      </w:pPr>
      <w:r>
        <w:rPr/>
        <w:t>□适用</w:t>
      </w:r>
      <w:r>
        <w:rPr>
          <w:spacing w:val="-1"/>
        </w:rPr>
        <w:t> </w:t>
      </w:r>
      <w:r>
        <w:rPr/>
        <w:t>√不适用</w:t>
      </w:r>
    </w:p>
    <w:p>
      <w:pPr>
        <w:pStyle w:val="Heading3"/>
        <w:spacing w:line="240" w:lineRule="auto" w:before="58"/>
        <w:ind w:right="2757"/>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tabs>
          <w:tab w:pos="1060" w:val="left" w:leader="none"/>
        </w:tabs>
        <w:spacing w:line="240" w:lineRule="auto" w:before="56"/>
        <w:ind w:right="2757"/>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3"/>
        <w:spacing w:line="240" w:lineRule="auto"/>
        <w:ind w:right="2757"/>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58"/>
        <w:ind w:right="2757"/>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3"/>
        <w:spacing w:line="240" w:lineRule="auto"/>
        <w:ind w:right="2757"/>
        <w:jc w:val="left"/>
        <w:rPr>
          <w:b w:val="0"/>
          <w:bCs w:val="0"/>
        </w:rPr>
      </w:pPr>
      <w:r>
        <w:rPr>
          <w:rFonts w:ascii="宋体" w:hAnsi="宋体" w:cs="宋体" w:eastAsia="宋体" w:hint="default"/>
        </w:rPr>
        <w:t>4</w:t>
      </w:r>
      <w:r>
        <w:rPr/>
        <w:t>、</w:t>
      </w:r>
      <w:r>
        <w:rPr>
          <w:spacing w:val="-7"/>
        </w:rPr>
        <w:t> </w:t>
      </w:r>
      <w:r>
        <w:rPr/>
        <w:t>涉及业绩约定的，应当披露报告期内的业绩实现情况</w:t>
      </w:r>
      <w:r>
        <w:rPr>
          <w:b w:val="0"/>
          <w:bCs w:val="0"/>
        </w:rPr>
      </w:r>
    </w:p>
    <w:p>
      <w:pPr>
        <w:pStyle w:val="BodyText"/>
        <w:tabs>
          <w:tab w:pos="1060" w:val="left" w:leader="none"/>
        </w:tabs>
        <w:spacing w:line="240" w:lineRule="auto" w:before="58"/>
        <w:ind w:right="2757"/>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3"/>
        <w:spacing w:line="240" w:lineRule="auto"/>
        <w:ind w:right="2757"/>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共同对外投资的重大关联交易</w:t>
      </w:r>
      <w:r>
        <w:rPr>
          <w:b w:val="0"/>
          <w:bCs w:val="0"/>
        </w:rPr>
      </w:r>
    </w:p>
    <w:p>
      <w:pPr>
        <w:pStyle w:val="Heading3"/>
        <w:spacing w:line="240" w:lineRule="auto" w:before="29"/>
        <w:ind w:right="2757"/>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58"/>
        <w:ind w:right="2757"/>
        <w:jc w:val="left"/>
      </w:pPr>
      <w:r>
        <w:rPr/>
        <w:t>□适用</w:t>
      </w:r>
      <w:r>
        <w:rPr>
          <w:spacing w:val="-1"/>
        </w:rPr>
        <w:t> </w:t>
      </w:r>
      <w:r>
        <w:rPr/>
        <w:t>√不适用</w:t>
      </w:r>
    </w:p>
    <w:p>
      <w:pPr>
        <w:pStyle w:val="Heading3"/>
        <w:spacing w:line="240" w:lineRule="auto" w:before="56"/>
        <w:ind w:right="2757"/>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tabs>
          <w:tab w:pos="1060" w:val="left" w:leader="none"/>
        </w:tabs>
        <w:spacing w:line="240" w:lineRule="auto" w:before="56"/>
        <w:ind w:right="2757"/>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3"/>
        <w:spacing w:line="240" w:lineRule="auto"/>
        <w:ind w:right="2757"/>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58"/>
        <w:ind w:right="2757"/>
        <w:jc w:val="left"/>
      </w:pPr>
      <w:r>
        <w:rPr/>
        <w:t>□适用</w:t>
      </w:r>
      <w:r>
        <w:rPr>
          <w:spacing w:val="-1"/>
        </w:rPr>
        <w:t> </w:t>
      </w:r>
      <w:r>
        <w:rPr/>
        <w:t>√不适用</w:t>
      </w:r>
    </w:p>
    <w:p>
      <w:pPr>
        <w:spacing w:after="0" w:line="240" w:lineRule="auto"/>
        <w:jc w:val="left"/>
        <w:sectPr>
          <w:pgSz w:w="11910" w:h="16840"/>
          <w:pgMar w:header="855" w:footer="1195" w:top="128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p>
      <w:pPr>
        <w:pStyle w:val="Heading3"/>
        <w:spacing w:line="240" w:lineRule="auto" w:before="36"/>
        <w:ind w:right="2757"/>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2"/>
        </w:rPr>
        <w:t> </w:t>
      </w:r>
      <w:r>
        <w:rPr/>
        <w:t>关联债权债务往来</w:t>
      </w:r>
      <w:r>
        <w:rPr>
          <w:b w:val="0"/>
          <w:bCs w:val="0"/>
        </w:rPr>
      </w:r>
    </w:p>
    <w:p>
      <w:pPr>
        <w:pStyle w:val="Heading3"/>
        <w:spacing w:line="240" w:lineRule="auto" w:before="32"/>
        <w:ind w:right="2757"/>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56"/>
        <w:ind w:right="2757"/>
        <w:jc w:val="left"/>
      </w:pPr>
      <w:r>
        <w:rPr/>
        <w:t>□适用</w:t>
      </w:r>
      <w:r>
        <w:rPr>
          <w:spacing w:val="-1"/>
        </w:rPr>
        <w:t> </w:t>
      </w:r>
      <w:r>
        <w:rPr/>
        <w:t>√不适用</w:t>
      </w:r>
    </w:p>
    <w:p>
      <w:pPr>
        <w:pStyle w:val="Heading3"/>
        <w:spacing w:line="240" w:lineRule="auto" w:before="58"/>
        <w:ind w:right="2757"/>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tabs>
          <w:tab w:pos="1060" w:val="left" w:leader="none"/>
        </w:tabs>
        <w:spacing w:line="240" w:lineRule="auto" w:before="56"/>
        <w:ind w:right="2757"/>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3"/>
        <w:spacing w:line="240" w:lineRule="auto"/>
        <w:ind w:right="2757"/>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58"/>
        <w:ind w:right="2757"/>
        <w:jc w:val="left"/>
      </w:pPr>
      <w:r>
        <w:rPr/>
        <w:t>□适用</w:t>
      </w:r>
      <w:r>
        <w:rPr>
          <w:spacing w:val="-1"/>
        </w:rPr>
        <w:t> </w:t>
      </w:r>
      <w:r>
        <w:rPr/>
        <w:t>√不适用</w:t>
      </w:r>
    </w:p>
    <w:p>
      <w:pPr>
        <w:pStyle w:val="Heading3"/>
        <w:spacing w:line="240" w:lineRule="auto" w:before="57"/>
        <w:ind w:right="2757"/>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30"/>
        </w:rPr>
        <w:t> </w:t>
      </w:r>
      <w:r>
        <w:rPr/>
        <w:t>其他</w:t>
      </w:r>
      <w:r>
        <w:rPr>
          <w:b w:val="0"/>
          <w:bCs w:val="0"/>
        </w:rPr>
      </w:r>
    </w:p>
    <w:p>
      <w:pPr>
        <w:pStyle w:val="BodyText"/>
        <w:tabs>
          <w:tab w:pos="1060" w:val="left" w:leader="none"/>
        </w:tabs>
        <w:spacing w:line="240" w:lineRule="auto" w:before="32"/>
        <w:ind w:right="2757"/>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3"/>
        <w:tabs>
          <w:tab w:pos="1057" w:val="left" w:leader="none"/>
        </w:tabs>
        <w:spacing w:line="290" w:lineRule="auto"/>
        <w:ind w:right="6116"/>
        <w:jc w:val="left"/>
        <w:rPr>
          <w:b w:val="0"/>
          <w:bCs w:val="0"/>
        </w:rPr>
      </w:pPr>
      <w:r>
        <w:rPr/>
        <w:t>十五、重大合同及其履行情况</w:t>
      </w:r>
      <w:r>
        <w:rPr>
          <w:w w:val="100"/>
        </w:rPr>
        <w:t> </w:t>
      </w:r>
      <w:r>
        <w:rPr>
          <w:rFonts w:ascii="宋体" w:hAnsi="宋体" w:cs="宋体" w:eastAsia="宋体" w:hint="default"/>
          <w:spacing w:val="-1"/>
        </w:rPr>
        <w:t>(</w:t>
      </w:r>
      <w:r>
        <w:rPr>
          <w:spacing w:val="-1"/>
        </w:rPr>
        <w:t>一</w:t>
      </w:r>
      <w:r>
        <w:rPr>
          <w:rFonts w:ascii="宋体" w:hAnsi="宋体" w:cs="宋体" w:eastAsia="宋体" w:hint="default"/>
          <w:spacing w:val="-1"/>
        </w:rPr>
        <w:t>)</w:t>
        <w:tab/>
      </w:r>
      <w:r>
        <w:rPr>
          <w:spacing w:val="-1"/>
        </w:rPr>
        <w:t>托管、承包、租赁事项</w:t>
      </w:r>
      <w:r>
        <w:rPr>
          <w:spacing w:val="-96"/>
        </w:rPr>
        <w:t> </w:t>
      </w:r>
      <w:r>
        <w:rPr>
          <w:spacing w:val="-96"/>
        </w:rPr>
      </w:r>
      <w:r>
        <w:rPr>
          <w:rFonts w:ascii="宋体" w:hAnsi="宋体" w:cs="宋体" w:eastAsia="宋体" w:hint="default"/>
        </w:rPr>
        <w:t>1</w:t>
      </w:r>
      <w:r>
        <w:rPr/>
        <w:t>、</w:t>
      </w:r>
      <w:r>
        <w:rPr>
          <w:spacing w:val="-2"/>
        </w:rPr>
        <w:t> </w:t>
      </w:r>
      <w:r>
        <w:rPr/>
        <w:t>托管情况</w:t>
      </w:r>
      <w:r>
        <w:rPr>
          <w:b w:val="0"/>
          <w:bCs w:val="0"/>
        </w:rPr>
      </w:r>
    </w:p>
    <w:p>
      <w:pPr>
        <w:pStyle w:val="BodyText"/>
        <w:spacing w:line="240" w:lineRule="auto" w:before="12"/>
        <w:ind w:right="2757"/>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3"/>
        <w:spacing w:line="240" w:lineRule="auto"/>
        <w:ind w:right="2757"/>
        <w:jc w:val="left"/>
        <w:rPr>
          <w:b w:val="0"/>
          <w:bCs w:val="0"/>
        </w:rPr>
      </w:pPr>
      <w:r>
        <w:rPr>
          <w:rFonts w:ascii="宋体" w:hAnsi="宋体" w:cs="宋体" w:eastAsia="宋体" w:hint="default"/>
        </w:rPr>
        <w:t>2</w:t>
      </w:r>
      <w:r>
        <w:rPr/>
        <w:t>、</w:t>
      </w:r>
      <w:r>
        <w:rPr>
          <w:spacing w:val="-2"/>
        </w:rPr>
        <w:t> </w:t>
      </w:r>
      <w:r>
        <w:rPr/>
        <w:t>承包情况</w:t>
      </w:r>
      <w:r>
        <w:rPr>
          <w:b w:val="0"/>
          <w:bCs w:val="0"/>
        </w:rPr>
      </w:r>
    </w:p>
    <w:p>
      <w:pPr>
        <w:pStyle w:val="BodyText"/>
        <w:spacing w:line="240" w:lineRule="auto" w:before="56"/>
        <w:ind w:right="2757"/>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3"/>
        <w:spacing w:line="240" w:lineRule="auto"/>
        <w:ind w:right="2757"/>
        <w:jc w:val="left"/>
        <w:rPr>
          <w:b w:val="0"/>
          <w:bCs w:val="0"/>
        </w:rPr>
      </w:pPr>
      <w:r>
        <w:rPr>
          <w:rFonts w:ascii="宋体" w:hAnsi="宋体" w:cs="宋体" w:eastAsia="宋体" w:hint="default"/>
        </w:rPr>
        <w:t>3</w:t>
      </w:r>
      <w:r>
        <w:rPr/>
        <w:t>、</w:t>
      </w:r>
      <w:r>
        <w:rPr>
          <w:spacing w:val="-2"/>
        </w:rPr>
        <w:t> </w:t>
      </w:r>
      <w:r>
        <w:rPr/>
        <w:t>租赁情况</w:t>
      </w:r>
      <w:r>
        <w:rPr>
          <w:b w:val="0"/>
          <w:bCs w:val="0"/>
        </w:rPr>
      </w:r>
    </w:p>
    <w:p>
      <w:pPr>
        <w:pStyle w:val="BodyText"/>
        <w:spacing w:line="240" w:lineRule="auto" w:before="56"/>
        <w:ind w:right="2757"/>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3"/>
        <w:tabs>
          <w:tab w:pos="1057" w:val="left" w:leader="none"/>
        </w:tabs>
        <w:spacing w:line="240" w:lineRule="auto"/>
        <w:ind w:right="2757"/>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担保情况</w:t>
      </w:r>
      <w:r>
        <w:rPr>
          <w:b w:val="0"/>
          <w:bCs w:val="0"/>
        </w:rPr>
      </w:r>
    </w:p>
    <w:p>
      <w:pPr>
        <w:pStyle w:val="BodyText"/>
        <w:spacing w:line="240" w:lineRule="auto" w:before="56"/>
        <w:ind w:right="2757"/>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17"/>
          <w:pgSz w:w="11910" w:h="16840"/>
          <w:pgMar w:footer="1195" w:header="855" w:top="1280" w:bottom="1380" w:left="1580" w:right="1040"/>
          <w:pgNumType w:start="33"/>
        </w:sectPr>
      </w:pPr>
    </w:p>
    <w:p>
      <w:pPr>
        <w:pStyle w:val="Heading3"/>
        <w:tabs>
          <w:tab w:pos="1057" w:val="left" w:leader="none"/>
        </w:tabs>
        <w:spacing w:line="290" w:lineRule="auto" w:before="36"/>
        <w:ind w:right="0"/>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spacing w:val="-1"/>
        </w:rPr>
        <w:t>委托他人进行现金资产管理的情况</w:t>
      </w:r>
      <w:r>
        <w:rPr>
          <w:spacing w:val="-92"/>
        </w:rPr>
        <w:t> </w:t>
      </w:r>
      <w:r>
        <w:rPr>
          <w:spacing w:val="-92"/>
        </w:rPr>
      </w:r>
      <w:r>
        <w:rPr>
          <w:rFonts w:ascii="宋体" w:hAnsi="宋体" w:cs="宋体" w:eastAsia="宋体" w:hint="default"/>
        </w:rPr>
        <w:t>1</w:t>
      </w:r>
      <w:r>
        <w:rPr/>
        <w:t>、</w:t>
      </w:r>
      <w:r>
        <w:rPr>
          <w:spacing w:val="1"/>
        </w:rPr>
        <w:t> </w:t>
      </w:r>
      <w:r>
        <w:rPr/>
        <w:t>委托理财情况</w:t>
      </w:r>
      <w:r>
        <w:rPr>
          <w:b w:val="0"/>
          <w:bCs w:val="0"/>
        </w:rPr>
      </w:r>
    </w:p>
    <w:p>
      <w:pPr>
        <w:pStyle w:val="Heading3"/>
        <w:spacing w:line="274" w:lineRule="exact" w:before="13"/>
        <w:ind w:right="0"/>
        <w:jc w:val="left"/>
        <w:rPr>
          <w:b w:val="0"/>
          <w:bCs w:val="0"/>
        </w:rPr>
      </w:pPr>
      <w:r>
        <w:rPr>
          <w:rFonts w:ascii="宋体" w:hAnsi="宋体" w:cs="宋体" w:eastAsia="宋体" w:hint="default"/>
        </w:rPr>
        <w:t>(1).</w:t>
      </w:r>
      <w:r>
        <w:rPr/>
        <w:t>委托理财总体情况</w:t>
      </w:r>
      <w:r>
        <w:rPr>
          <w:b w:val="0"/>
          <w:bCs w:val="0"/>
        </w:rPr>
      </w:r>
    </w:p>
    <w:p>
      <w:pPr>
        <w:pStyle w:val="BodyText"/>
        <w:tabs>
          <w:tab w:pos="1060" w:val="left" w:leader="none"/>
        </w:tabs>
        <w:spacing w:line="274" w:lineRule="exact"/>
        <w:ind w:right="0"/>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tabs>
          <w:tab w:pos="1480" w:val="left" w:leader="none"/>
        </w:tabs>
        <w:spacing w:line="240" w:lineRule="auto"/>
        <w:ind w:right="0"/>
        <w:jc w:val="left"/>
      </w:pPr>
      <w:r>
        <w:rPr>
          <w:spacing w:val="-1"/>
        </w:rPr>
        <w:t>单位：万元</w:t>
        <w:tab/>
      </w:r>
      <w:r>
        <w:rPr>
          <w:spacing w:val="-2"/>
        </w:rPr>
        <w:t>币种：人民币</w:t>
      </w:r>
    </w:p>
    <w:p>
      <w:pPr>
        <w:spacing w:after="0" w:line="240" w:lineRule="auto"/>
        <w:jc w:val="left"/>
        <w:sectPr>
          <w:type w:val="continuous"/>
          <w:pgSz w:w="11910" w:h="16840"/>
          <w:pgMar w:top="1000" w:bottom="280" w:left="1580" w:right="1040"/>
          <w:cols w:num="2" w:equalWidth="0">
            <w:col w:w="4222" w:space="2089"/>
            <w:col w:w="297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668"/>
        <w:gridCol w:w="1702"/>
        <w:gridCol w:w="1702"/>
        <w:gridCol w:w="1702"/>
        <w:gridCol w:w="2276"/>
      </w:tblGrid>
      <w:tr>
        <w:trPr>
          <w:trHeight w:val="281"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5" w:right="0"/>
              <w:jc w:val="left"/>
              <w:rPr>
                <w:rFonts w:ascii="宋体" w:hAnsi="宋体" w:cs="宋体" w:eastAsia="宋体" w:hint="default"/>
                <w:sz w:val="21"/>
                <w:szCs w:val="21"/>
              </w:rPr>
            </w:pPr>
            <w:r>
              <w:rPr>
                <w:rFonts w:ascii="宋体" w:hAnsi="宋体" w:cs="宋体" w:eastAsia="宋体" w:hint="default"/>
                <w:sz w:val="21"/>
                <w:szCs w:val="21"/>
              </w:rPr>
              <w:t>类型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资金来源</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0" w:right="0"/>
              <w:jc w:val="left"/>
              <w:rPr>
                <w:rFonts w:ascii="宋体" w:hAnsi="宋体" w:cs="宋体" w:eastAsia="宋体" w:hint="default"/>
                <w:sz w:val="21"/>
                <w:szCs w:val="21"/>
              </w:rPr>
            </w:pPr>
            <w:r>
              <w:rPr>
                <w:rFonts w:ascii="宋体" w:hAnsi="宋体" w:cs="宋体" w:eastAsia="宋体" w:hint="default"/>
                <w:sz w:val="21"/>
                <w:szCs w:val="21"/>
              </w:rPr>
              <w:t>发生额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9" w:right="0"/>
              <w:jc w:val="left"/>
              <w:rPr>
                <w:rFonts w:ascii="宋体" w:hAnsi="宋体" w:cs="宋体" w:eastAsia="宋体" w:hint="default"/>
                <w:sz w:val="21"/>
                <w:szCs w:val="21"/>
              </w:rPr>
            </w:pPr>
            <w:r>
              <w:rPr>
                <w:rFonts w:ascii="宋体" w:hAnsi="宋体" w:cs="宋体" w:eastAsia="宋体" w:hint="default"/>
                <w:sz w:val="21"/>
                <w:szCs w:val="21"/>
              </w:rPr>
              <w:t>未到期余额</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5" w:right="0"/>
              <w:jc w:val="left"/>
              <w:rPr>
                <w:rFonts w:ascii="宋体" w:hAnsi="宋体" w:cs="宋体" w:eastAsia="宋体" w:hint="default"/>
                <w:sz w:val="21"/>
                <w:szCs w:val="21"/>
              </w:rPr>
            </w:pPr>
            <w:r>
              <w:rPr>
                <w:rFonts w:ascii="宋体" w:hAnsi="宋体" w:cs="宋体" w:eastAsia="宋体" w:hint="default"/>
                <w:sz w:val="21"/>
                <w:szCs w:val="21"/>
              </w:rPr>
              <w:t>逾期未收回金额</w:t>
            </w:r>
          </w:p>
        </w:tc>
      </w:tr>
      <w:tr>
        <w:trPr>
          <w:trHeight w:val="28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银行理财产品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募集资金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25,000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20,000</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r>
        <w:trPr>
          <w:trHeight w:val="28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银行理财产品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自有资金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r>
        <w:trPr>
          <w:trHeight w:val="281"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券商理财产品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自有资金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34,000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39,000</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r>
        <w:trPr>
          <w:trHeight w:val="28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65,000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60,000</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3"/>
        <w:spacing w:line="273" w:lineRule="exact" w:before="36"/>
        <w:ind w:right="2757"/>
        <w:jc w:val="left"/>
        <w:rPr>
          <w:b w:val="0"/>
          <w:bCs w:val="0"/>
        </w:rPr>
      </w:pPr>
      <w:r>
        <w:rPr/>
        <w:t>其他情况</w:t>
      </w:r>
      <w:r>
        <w:rPr>
          <w:b w:val="0"/>
          <w:bCs w:val="0"/>
        </w:rPr>
      </w:r>
    </w:p>
    <w:p>
      <w:pPr>
        <w:tabs>
          <w:tab w:pos="1060" w:val="left" w:leader="none"/>
        </w:tabs>
        <w:spacing w:line="475" w:lineRule="auto" w:before="0"/>
        <w:ind w:left="218" w:right="6952"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单项委托理财情况</w:t>
      </w:r>
      <w:r>
        <w:rPr>
          <w:rFonts w:ascii="宋体" w:hAnsi="宋体" w:cs="宋体" w:eastAsia="宋体" w:hint="default"/>
          <w:sz w:val="21"/>
          <w:szCs w:val="21"/>
        </w:rPr>
      </w:r>
    </w:p>
    <w:p>
      <w:pPr>
        <w:spacing w:after="0" w:line="475" w:lineRule="auto"/>
        <w:jc w:val="left"/>
        <w:rPr>
          <w:rFonts w:ascii="宋体" w:hAnsi="宋体" w:cs="宋体" w:eastAsia="宋体" w:hint="default"/>
          <w:sz w:val="21"/>
          <w:szCs w:val="21"/>
        </w:rPr>
        <w:sectPr>
          <w:type w:val="continuous"/>
          <w:pgSz w:w="11910" w:h="16840"/>
          <w:pgMar w:top="1000" w:bottom="280" w:left="1580" w:right="1040"/>
        </w:sectPr>
      </w:pPr>
    </w:p>
    <w:p>
      <w:pPr>
        <w:spacing w:line="240" w:lineRule="auto" w:before="6"/>
        <w:rPr>
          <w:rFonts w:ascii="宋体" w:hAnsi="宋体" w:cs="宋体" w:eastAsia="宋体" w:hint="default"/>
          <w:b/>
          <w:bCs/>
          <w:sz w:val="12"/>
          <w:szCs w:val="12"/>
        </w:rPr>
      </w:pPr>
    </w:p>
    <w:p>
      <w:pPr>
        <w:pStyle w:val="BodyText"/>
        <w:tabs>
          <w:tab w:pos="2203" w:val="left" w:leader="none"/>
        </w:tabs>
        <w:spacing w:line="274" w:lineRule="exact" w:before="36"/>
        <w:ind w:left="1258" w:right="0"/>
        <w:jc w:val="left"/>
      </w:pPr>
      <w:r>
        <w:rPr/>
        <w:t>√适用</w:t>
        <w:tab/>
        <w:t>□不适用</w:t>
      </w:r>
    </w:p>
    <w:p>
      <w:pPr>
        <w:pStyle w:val="BodyText"/>
        <w:tabs>
          <w:tab w:pos="1262" w:val="left" w:leader="none"/>
        </w:tabs>
        <w:spacing w:line="274" w:lineRule="exact"/>
        <w:ind w:left="0" w:right="972"/>
        <w:jc w:val="right"/>
      </w:pPr>
      <w:r>
        <w:rPr>
          <w:spacing w:val="-1"/>
        </w:rPr>
        <w:t>单位：万元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850"/>
        <w:gridCol w:w="569"/>
        <w:gridCol w:w="847"/>
        <w:gridCol w:w="1277"/>
        <w:gridCol w:w="1277"/>
        <w:gridCol w:w="427"/>
        <w:gridCol w:w="1068"/>
        <w:gridCol w:w="425"/>
        <w:gridCol w:w="797"/>
        <w:gridCol w:w="795"/>
        <w:gridCol w:w="689"/>
        <w:gridCol w:w="427"/>
        <w:gridCol w:w="427"/>
        <w:gridCol w:w="427"/>
        <w:gridCol w:w="531"/>
      </w:tblGrid>
      <w:tr>
        <w:trPr>
          <w:trHeight w:val="3008"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受托人</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37" w:lineRule="auto"/>
              <w:ind w:left="172" w:right="173"/>
              <w:jc w:val="both"/>
              <w:rPr>
                <w:rFonts w:ascii="宋体" w:hAnsi="宋体" w:cs="宋体" w:eastAsia="宋体" w:hint="default"/>
                <w:sz w:val="21"/>
                <w:szCs w:val="21"/>
              </w:rPr>
            </w:pPr>
            <w:r>
              <w:rPr>
                <w:rFonts w:ascii="宋体" w:hAnsi="宋体" w:cs="宋体" w:eastAsia="宋体" w:hint="default"/>
                <w:sz w:val="21"/>
                <w:szCs w:val="21"/>
              </w:rPr>
              <w:t>委</w:t>
            </w:r>
            <w:r>
              <w:rPr>
                <w:rFonts w:ascii="宋体" w:hAnsi="宋体" w:cs="宋体" w:eastAsia="宋体" w:hint="default"/>
                <w:w w:val="100"/>
                <w:sz w:val="21"/>
                <w:szCs w:val="21"/>
              </w:rPr>
              <w:t> </w:t>
            </w:r>
            <w:r>
              <w:rPr>
                <w:rFonts w:ascii="宋体" w:hAnsi="宋体" w:cs="宋体" w:eastAsia="宋体" w:hint="default"/>
                <w:sz w:val="21"/>
                <w:szCs w:val="21"/>
              </w:rPr>
              <w:t>托</w:t>
            </w:r>
            <w:r>
              <w:rPr>
                <w:rFonts w:ascii="宋体" w:hAnsi="宋体" w:cs="宋体" w:eastAsia="宋体" w:hint="default"/>
                <w:w w:val="100"/>
                <w:sz w:val="21"/>
                <w:szCs w:val="21"/>
              </w:rPr>
              <w:t> </w:t>
            </w:r>
            <w:r>
              <w:rPr>
                <w:rFonts w:ascii="宋体" w:hAnsi="宋体" w:cs="宋体" w:eastAsia="宋体" w:hint="default"/>
                <w:sz w:val="21"/>
                <w:szCs w:val="21"/>
              </w:rPr>
              <w:t>理</w:t>
            </w:r>
            <w:r>
              <w:rPr>
                <w:rFonts w:ascii="宋体" w:hAnsi="宋体" w:cs="宋体" w:eastAsia="宋体" w:hint="default"/>
                <w:w w:val="100"/>
                <w:sz w:val="21"/>
                <w:szCs w:val="21"/>
              </w:rPr>
              <w:t> </w:t>
            </w:r>
            <w:r>
              <w:rPr>
                <w:rFonts w:ascii="宋体" w:hAnsi="宋体" w:cs="宋体" w:eastAsia="宋体" w:hint="default"/>
                <w:sz w:val="21"/>
                <w:szCs w:val="21"/>
              </w:rPr>
              <w:t>财</w:t>
            </w:r>
            <w:r>
              <w:rPr>
                <w:rFonts w:ascii="宋体" w:hAnsi="宋体" w:cs="宋体" w:eastAsia="宋体" w:hint="default"/>
                <w:w w:val="100"/>
                <w:sz w:val="21"/>
                <w:szCs w:val="21"/>
              </w:rPr>
              <w:t> </w:t>
            </w:r>
            <w:r>
              <w:rPr>
                <w:rFonts w:ascii="宋体" w:hAnsi="宋体" w:cs="宋体" w:eastAsia="宋体" w:hint="default"/>
                <w:sz w:val="21"/>
                <w:szCs w:val="21"/>
              </w:rPr>
              <w:t>类</w:t>
            </w:r>
            <w:r>
              <w:rPr>
                <w:rFonts w:ascii="宋体" w:hAnsi="宋体" w:cs="宋体" w:eastAsia="宋体" w:hint="default"/>
                <w:w w:val="100"/>
                <w:sz w:val="21"/>
                <w:szCs w:val="21"/>
              </w:rPr>
              <w:t> </w:t>
            </w:r>
            <w:r>
              <w:rPr>
                <w:rFonts w:ascii="宋体" w:hAnsi="宋体" w:cs="宋体" w:eastAsia="宋体" w:hint="default"/>
                <w:sz w:val="21"/>
                <w:szCs w:val="21"/>
              </w:rPr>
              <w:t>型</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5"/>
              <w:ind w:left="103" w:right="98"/>
              <w:jc w:val="left"/>
              <w:rPr>
                <w:rFonts w:ascii="宋体" w:hAnsi="宋体" w:cs="宋体" w:eastAsia="宋体" w:hint="default"/>
                <w:sz w:val="21"/>
                <w:szCs w:val="21"/>
              </w:rPr>
            </w:pPr>
            <w:r>
              <w:rPr>
                <w:rFonts w:ascii="宋体" w:hAnsi="宋体" w:cs="宋体" w:eastAsia="宋体" w:hint="default"/>
                <w:sz w:val="21"/>
                <w:szCs w:val="21"/>
              </w:rPr>
              <w:t>委托理</w:t>
            </w:r>
            <w:r>
              <w:rPr>
                <w:rFonts w:ascii="宋体" w:hAnsi="宋体" w:cs="宋体" w:eastAsia="宋体" w:hint="default"/>
                <w:spacing w:val="-102"/>
                <w:sz w:val="21"/>
                <w:szCs w:val="21"/>
              </w:rPr>
              <w:t> </w:t>
            </w:r>
            <w:r>
              <w:rPr>
                <w:rFonts w:ascii="宋体" w:hAnsi="宋体" w:cs="宋体" w:eastAsia="宋体" w:hint="default"/>
                <w:sz w:val="21"/>
                <w:szCs w:val="21"/>
              </w:rPr>
              <w:t>财金额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5"/>
              <w:ind w:left="316" w:right="104" w:hanging="209"/>
              <w:jc w:val="left"/>
              <w:rPr>
                <w:rFonts w:ascii="宋体" w:hAnsi="宋体" w:cs="宋体" w:eastAsia="宋体" w:hint="default"/>
                <w:sz w:val="21"/>
                <w:szCs w:val="21"/>
              </w:rPr>
            </w:pPr>
            <w:r>
              <w:rPr>
                <w:rFonts w:ascii="宋体" w:hAnsi="宋体" w:cs="宋体" w:eastAsia="宋体" w:hint="default"/>
                <w:sz w:val="21"/>
                <w:szCs w:val="21"/>
              </w:rPr>
              <w:t>委托理财起</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始日期</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5"/>
              <w:ind w:left="316" w:right="103" w:hanging="209"/>
              <w:jc w:val="left"/>
              <w:rPr>
                <w:rFonts w:ascii="宋体" w:hAnsi="宋体" w:cs="宋体" w:eastAsia="宋体" w:hint="default"/>
                <w:sz w:val="21"/>
                <w:szCs w:val="21"/>
              </w:rPr>
            </w:pPr>
            <w:r>
              <w:rPr>
                <w:rFonts w:ascii="宋体" w:hAnsi="宋体" w:cs="宋体" w:eastAsia="宋体" w:hint="default"/>
                <w:sz w:val="21"/>
                <w:szCs w:val="21"/>
              </w:rPr>
              <w:t>委托理财终</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止日期</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来</w:t>
            </w:r>
            <w:r>
              <w:rPr>
                <w:rFonts w:ascii="宋体" w:hAnsi="宋体" w:cs="宋体" w:eastAsia="宋体" w:hint="default"/>
                <w:w w:val="100"/>
                <w:sz w:val="21"/>
                <w:szCs w:val="21"/>
              </w:rPr>
              <w:t> </w:t>
            </w:r>
            <w:r>
              <w:rPr>
                <w:rFonts w:ascii="宋体" w:hAnsi="宋体" w:cs="宋体" w:eastAsia="宋体" w:hint="default"/>
                <w:sz w:val="21"/>
                <w:szCs w:val="21"/>
              </w:rPr>
              <w:t>源</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5"/>
              <w:ind w:left="319" w:right="315"/>
              <w:jc w:val="left"/>
              <w:rPr>
                <w:rFonts w:ascii="宋体" w:hAnsi="宋体" w:cs="宋体" w:eastAsia="宋体" w:hint="default"/>
                <w:sz w:val="21"/>
                <w:szCs w:val="21"/>
              </w:rPr>
            </w:pPr>
            <w:r>
              <w:rPr>
                <w:rFonts w:ascii="宋体" w:hAnsi="宋体" w:cs="宋体" w:eastAsia="宋体" w:hint="default"/>
                <w:sz w:val="21"/>
                <w:szCs w:val="21"/>
              </w:rPr>
              <w:t>资金</w:t>
            </w:r>
            <w:r>
              <w:rPr>
                <w:rFonts w:ascii="宋体" w:hAnsi="宋体" w:cs="宋体" w:eastAsia="宋体" w:hint="default"/>
                <w:spacing w:val="-103"/>
                <w:sz w:val="21"/>
                <w:szCs w:val="21"/>
              </w:rPr>
              <w:t> </w:t>
            </w:r>
            <w:r>
              <w:rPr>
                <w:rFonts w:ascii="宋体" w:hAnsi="宋体" w:cs="宋体" w:eastAsia="宋体" w:hint="default"/>
                <w:sz w:val="21"/>
                <w:szCs w:val="21"/>
              </w:rPr>
              <w:t>投向</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37" w:lineRule="auto"/>
              <w:ind w:left="100" w:right="101"/>
              <w:jc w:val="both"/>
              <w:rPr>
                <w:rFonts w:ascii="宋体" w:hAnsi="宋体" w:cs="宋体" w:eastAsia="宋体" w:hint="default"/>
                <w:sz w:val="21"/>
                <w:szCs w:val="21"/>
              </w:rPr>
            </w:pPr>
            <w:r>
              <w:rPr>
                <w:rFonts w:ascii="宋体" w:hAnsi="宋体" w:cs="宋体" w:eastAsia="宋体" w:hint="default"/>
                <w:sz w:val="21"/>
                <w:szCs w:val="21"/>
              </w:rPr>
              <w:t>报</w:t>
            </w:r>
            <w:r>
              <w:rPr>
                <w:rFonts w:ascii="宋体" w:hAnsi="宋体" w:cs="宋体" w:eastAsia="宋体" w:hint="default"/>
                <w:w w:val="100"/>
                <w:sz w:val="21"/>
                <w:szCs w:val="21"/>
              </w:rPr>
              <w:t> </w:t>
            </w:r>
            <w:r>
              <w:rPr>
                <w:rFonts w:ascii="宋体" w:hAnsi="宋体" w:cs="宋体" w:eastAsia="宋体" w:hint="default"/>
                <w:sz w:val="21"/>
                <w:szCs w:val="21"/>
              </w:rPr>
              <w:t>酬</w:t>
            </w:r>
            <w:r>
              <w:rPr>
                <w:rFonts w:ascii="宋体" w:hAnsi="宋体" w:cs="宋体" w:eastAsia="宋体" w:hint="default"/>
                <w:w w:val="100"/>
                <w:sz w:val="21"/>
                <w:szCs w:val="21"/>
              </w:rPr>
              <w:t> </w:t>
            </w:r>
            <w:r>
              <w:rPr>
                <w:rFonts w:ascii="宋体" w:hAnsi="宋体" w:cs="宋体" w:eastAsia="宋体" w:hint="default"/>
                <w:sz w:val="21"/>
                <w:szCs w:val="21"/>
              </w:rPr>
              <w:t>确</w:t>
            </w:r>
            <w:r>
              <w:rPr>
                <w:rFonts w:ascii="宋体" w:hAnsi="宋体" w:cs="宋体" w:eastAsia="宋体" w:hint="default"/>
                <w:w w:val="100"/>
                <w:sz w:val="21"/>
                <w:szCs w:val="21"/>
              </w:rPr>
              <w:t> </w:t>
            </w:r>
            <w:r>
              <w:rPr>
                <w:rFonts w:ascii="宋体" w:hAnsi="宋体" w:cs="宋体" w:eastAsia="宋体" w:hint="default"/>
                <w:sz w:val="21"/>
                <w:szCs w:val="21"/>
              </w:rPr>
              <w:t>定</w:t>
            </w:r>
            <w:r>
              <w:rPr>
                <w:rFonts w:ascii="宋体" w:hAnsi="宋体" w:cs="宋体" w:eastAsia="宋体" w:hint="default"/>
                <w:w w:val="100"/>
                <w:sz w:val="21"/>
                <w:szCs w:val="21"/>
              </w:rPr>
              <w:t> </w:t>
            </w:r>
            <w:r>
              <w:rPr>
                <w:rFonts w:ascii="宋体" w:hAnsi="宋体" w:cs="宋体" w:eastAsia="宋体" w:hint="default"/>
                <w:sz w:val="21"/>
                <w:szCs w:val="21"/>
              </w:rPr>
              <w:t>方</w:t>
            </w:r>
            <w:r>
              <w:rPr>
                <w:rFonts w:ascii="宋体" w:hAnsi="宋体" w:cs="宋体" w:eastAsia="宋体" w:hint="default"/>
                <w:w w:val="100"/>
                <w:sz w:val="21"/>
                <w:szCs w:val="21"/>
              </w:rPr>
              <w:t> </w:t>
            </w:r>
            <w:r>
              <w:rPr>
                <w:rFonts w:ascii="宋体" w:hAnsi="宋体" w:cs="宋体" w:eastAsia="宋体" w:hint="default"/>
                <w:sz w:val="21"/>
                <w:szCs w:val="21"/>
              </w:rPr>
              <w:t>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37" w:lineRule="auto" w:before="138"/>
              <w:ind w:left="182" w:right="180"/>
              <w:jc w:val="both"/>
              <w:rPr>
                <w:rFonts w:ascii="宋体" w:hAnsi="宋体" w:cs="宋体" w:eastAsia="宋体" w:hint="default"/>
                <w:sz w:val="21"/>
                <w:szCs w:val="21"/>
              </w:rPr>
            </w:pPr>
            <w:r>
              <w:rPr>
                <w:rFonts w:ascii="宋体" w:hAnsi="宋体" w:cs="宋体" w:eastAsia="宋体" w:hint="default"/>
                <w:sz w:val="21"/>
                <w:szCs w:val="21"/>
              </w:rPr>
              <w:t>年化</w:t>
            </w:r>
            <w:r>
              <w:rPr>
                <w:rFonts w:ascii="宋体" w:hAnsi="宋体" w:cs="宋体" w:eastAsia="宋体" w:hint="default"/>
                <w:spacing w:val="-103"/>
                <w:sz w:val="21"/>
                <w:szCs w:val="21"/>
              </w:rPr>
              <w:t> </w:t>
            </w:r>
            <w:r>
              <w:rPr>
                <w:rFonts w:ascii="宋体" w:hAnsi="宋体" w:cs="宋体" w:eastAsia="宋体" w:hint="default"/>
                <w:sz w:val="21"/>
                <w:szCs w:val="21"/>
              </w:rPr>
              <w:t>收益</w:t>
            </w:r>
            <w:r>
              <w:rPr>
                <w:rFonts w:ascii="宋体" w:hAnsi="宋体" w:cs="宋体" w:eastAsia="宋体" w:hint="default"/>
                <w:spacing w:val="-103"/>
                <w:sz w:val="21"/>
                <w:szCs w:val="21"/>
              </w:rPr>
              <w:t> </w:t>
            </w:r>
            <w:r>
              <w:rPr>
                <w:rFonts w:ascii="宋体" w:hAnsi="宋体" w:cs="宋体" w:eastAsia="宋体" w:hint="default"/>
                <w:sz w:val="21"/>
                <w:szCs w:val="21"/>
              </w:rPr>
              <w:t>率</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37" w:lineRule="auto"/>
              <w:ind w:left="180" w:right="182"/>
              <w:jc w:val="both"/>
              <w:rPr>
                <w:rFonts w:ascii="宋体" w:hAnsi="宋体" w:cs="宋体" w:eastAsia="宋体" w:hint="default"/>
                <w:sz w:val="21"/>
                <w:szCs w:val="21"/>
              </w:rPr>
            </w:pPr>
            <w:r>
              <w:rPr>
                <w:rFonts w:ascii="宋体" w:hAnsi="宋体" w:cs="宋体" w:eastAsia="宋体" w:hint="default"/>
                <w:sz w:val="21"/>
                <w:szCs w:val="21"/>
              </w:rPr>
              <w:t>预期</w:t>
            </w:r>
            <w:r>
              <w:rPr>
                <w:rFonts w:ascii="宋体" w:hAnsi="宋体" w:cs="宋体" w:eastAsia="宋体" w:hint="default"/>
                <w:spacing w:val="-103"/>
                <w:sz w:val="21"/>
                <w:szCs w:val="21"/>
              </w:rPr>
              <w:t> </w:t>
            </w:r>
            <w:r>
              <w:rPr>
                <w:rFonts w:ascii="宋体" w:hAnsi="宋体" w:cs="宋体" w:eastAsia="宋体" w:hint="default"/>
                <w:sz w:val="21"/>
                <w:szCs w:val="21"/>
              </w:rPr>
              <w:t>收益</w:t>
            </w:r>
            <w:r>
              <w:rPr>
                <w:rFonts w:ascii="宋体" w:hAnsi="宋体" w:cs="宋体" w:eastAsia="宋体" w:hint="default"/>
                <w:spacing w:val="-103"/>
                <w:sz w:val="21"/>
                <w:szCs w:val="21"/>
              </w:rPr>
              <w:t> </w:t>
            </w:r>
            <w:r>
              <w:rPr>
                <w:rFonts w:ascii="宋体" w:hAnsi="宋体" w:cs="宋体" w:eastAsia="宋体" w:hint="default"/>
                <w:sz w:val="21"/>
                <w:szCs w:val="21"/>
              </w:rPr>
              <w:t>(</w:t>
            </w:r>
            <w:r>
              <w:rPr>
                <w:rFonts w:ascii="宋体" w:hAnsi="宋体" w:cs="宋体" w:eastAsia="宋体" w:hint="default"/>
                <w:sz w:val="21"/>
                <w:szCs w:val="21"/>
              </w:rPr>
              <w:t>如</w:t>
            </w:r>
          </w:p>
          <w:p>
            <w:pPr>
              <w:pStyle w:val="TableParagraph"/>
              <w:spacing w:line="271" w:lineRule="exact"/>
              <w:ind w:left="232" w:right="0"/>
              <w:jc w:val="both"/>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z w:val="21"/>
                <w:szCs w:val="21"/>
              </w:rPr>
              <w:t>)</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37" w:lineRule="auto" w:before="138"/>
              <w:ind w:left="129" w:right="125"/>
              <w:jc w:val="both"/>
              <w:rPr>
                <w:rFonts w:ascii="宋体" w:hAnsi="宋体" w:cs="宋体" w:eastAsia="宋体" w:hint="default"/>
                <w:sz w:val="21"/>
                <w:szCs w:val="21"/>
              </w:rPr>
            </w:pPr>
            <w:r>
              <w:rPr>
                <w:rFonts w:ascii="宋体" w:hAnsi="宋体" w:cs="宋体" w:eastAsia="宋体" w:hint="default"/>
                <w:sz w:val="21"/>
                <w:szCs w:val="21"/>
              </w:rPr>
              <w:t>实际</w:t>
            </w:r>
            <w:r>
              <w:rPr>
                <w:rFonts w:ascii="宋体" w:hAnsi="宋体" w:cs="宋体" w:eastAsia="宋体" w:hint="default"/>
                <w:spacing w:val="-103"/>
                <w:sz w:val="21"/>
                <w:szCs w:val="21"/>
              </w:rPr>
              <w:t> </w:t>
            </w:r>
            <w:r>
              <w:rPr>
                <w:rFonts w:ascii="宋体" w:hAnsi="宋体" w:cs="宋体" w:eastAsia="宋体" w:hint="default"/>
                <w:sz w:val="21"/>
                <w:szCs w:val="21"/>
              </w:rPr>
              <w:t>收益</w:t>
            </w:r>
            <w:r>
              <w:rPr>
                <w:rFonts w:ascii="宋体" w:hAnsi="宋体" w:cs="宋体" w:eastAsia="宋体" w:hint="default"/>
                <w:spacing w:val="-103"/>
                <w:sz w:val="21"/>
                <w:szCs w:val="21"/>
              </w:rPr>
              <w:t> </w:t>
            </w:r>
            <w:r>
              <w:rPr>
                <w:rFonts w:ascii="宋体" w:hAnsi="宋体" w:cs="宋体" w:eastAsia="宋体" w:hint="default"/>
                <w:sz w:val="21"/>
                <w:szCs w:val="21"/>
              </w:rPr>
              <w:t>或损</w:t>
            </w:r>
            <w:r>
              <w:rPr>
                <w:rFonts w:ascii="宋体" w:hAnsi="宋体" w:cs="宋体" w:eastAsia="宋体" w:hint="default"/>
                <w:spacing w:val="-103"/>
                <w:sz w:val="21"/>
                <w:szCs w:val="21"/>
              </w:rPr>
              <w:t> </w:t>
            </w:r>
            <w:r>
              <w:rPr>
                <w:rFonts w:ascii="宋体" w:hAnsi="宋体" w:cs="宋体" w:eastAsia="宋体" w:hint="default"/>
                <w:sz w:val="21"/>
                <w:szCs w:val="21"/>
              </w:rPr>
              <w:t>失</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实</w:t>
            </w:r>
            <w:r>
              <w:rPr>
                <w:rFonts w:ascii="宋体" w:hAnsi="宋体" w:cs="宋体" w:eastAsia="宋体" w:hint="default"/>
                <w:w w:val="100"/>
                <w:sz w:val="21"/>
                <w:szCs w:val="21"/>
              </w:rPr>
              <w:t> </w:t>
            </w:r>
            <w:r>
              <w:rPr>
                <w:rFonts w:ascii="宋体" w:hAnsi="宋体" w:cs="宋体" w:eastAsia="宋体" w:hint="default"/>
                <w:sz w:val="21"/>
                <w:szCs w:val="21"/>
              </w:rPr>
              <w:t>际</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r>
              <w:rPr>
                <w:rFonts w:ascii="宋体" w:hAnsi="宋体" w:cs="宋体" w:eastAsia="宋体" w:hint="default"/>
                <w:w w:val="100"/>
                <w:sz w:val="21"/>
                <w:szCs w:val="21"/>
              </w:rPr>
              <w:t> </w:t>
            </w:r>
            <w:r>
              <w:rPr>
                <w:rFonts w:ascii="宋体" w:hAnsi="宋体" w:cs="宋体" w:eastAsia="宋体" w:hint="default"/>
                <w:sz w:val="21"/>
                <w:szCs w:val="21"/>
              </w:rPr>
              <w:t>情</w:t>
            </w:r>
            <w:r>
              <w:rPr>
                <w:rFonts w:ascii="宋体" w:hAnsi="宋体" w:cs="宋体" w:eastAsia="宋体" w:hint="default"/>
                <w:w w:val="100"/>
                <w:sz w:val="21"/>
                <w:szCs w:val="21"/>
              </w:rPr>
              <w:t> </w:t>
            </w:r>
            <w:r>
              <w:rPr>
                <w:rFonts w:ascii="宋体" w:hAnsi="宋体" w:cs="宋体" w:eastAsia="宋体" w:hint="default"/>
                <w:sz w:val="21"/>
                <w:szCs w:val="21"/>
              </w:rPr>
              <w:t>况</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w w:val="100"/>
                <w:sz w:val="21"/>
                <w:szCs w:val="21"/>
              </w:rPr>
              <w:t> </w:t>
            </w:r>
            <w:r>
              <w:rPr>
                <w:rFonts w:ascii="宋体" w:hAnsi="宋体" w:cs="宋体" w:eastAsia="宋体" w:hint="default"/>
                <w:sz w:val="21"/>
                <w:szCs w:val="21"/>
              </w:rPr>
              <w:t>否</w:t>
            </w:r>
            <w:r>
              <w:rPr>
                <w:rFonts w:ascii="宋体" w:hAnsi="宋体" w:cs="宋体" w:eastAsia="宋体" w:hint="default"/>
                <w:w w:val="100"/>
                <w:sz w:val="21"/>
                <w:szCs w:val="21"/>
              </w:rPr>
              <w:t> </w:t>
            </w:r>
            <w:r>
              <w:rPr>
                <w:rFonts w:ascii="宋体" w:hAnsi="宋体" w:cs="宋体" w:eastAsia="宋体" w:hint="default"/>
                <w:sz w:val="21"/>
                <w:szCs w:val="21"/>
              </w:rPr>
              <w:t>经</w:t>
            </w:r>
            <w:r>
              <w:rPr>
                <w:rFonts w:ascii="宋体" w:hAnsi="宋体" w:cs="宋体" w:eastAsia="宋体" w:hint="default"/>
                <w:w w:val="100"/>
                <w:sz w:val="21"/>
                <w:szCs w:val="21"/>
              </w:rPr>
              <w:t> </w:t>
            </w:r>
            <w:r>
              <w:rPr>
                <w:rFonts w:ascii="宋体" w:hAnsi="宋体" w:cs="宋体" w:eastAsia="宋体" w:hint="default"/>
                <w:sz w:val="21"/>
                <w:szCs w:val="21"/>
              </w:rPr>
              <w:t>过</w:t>
            </w:r>
            <w:r>
              <w:rPr>
                <w:rFonts w:ascii="宋体" w:hAnsi="宋体" w:cs="宋体" w:eastAsia="宋体" w:hint="default"/>
                <w:w w:val="100"/>
                <w:sz w:val="21"/>
                <w:szCs w:val="21"/>
              </w:rPr>
              <w:t> </w:t>
            </w:r>
            <w:r>
              <w:rPr>
                <w:rFonts w:ascii="宋体" w:hAnsi="宋体" w:cs="宋体" w:eastAsia="宋体" w:hint="default"/>
                <w:sz w:val="21"/>
                <w:szCs w:val="21"/>
              </w:rPr>
              <w:t>法</w:t>
            </w:r>
            <w:r>
              <w:rPr>
                <w:rFonts w:ascii="宋体" w:hAnsi="宋体" w:cs="宋体" w:eastAsia="宋体" w:hint="default"/>
                <w:w w:val="100"/>
                <w:sz w:val="21"/>
                <w:szCs w:val="21"/>
              </w:rPr>
              <w:t> </w:t>
            </w:r>
            <w:r>
              <w:rPr>
                <w:rFonts w:ascii="宋体" w:hAnsi="宋体" w:cs="宋体" w:eastAsia="宋体" w:hint="default"/>
                <w:sz w:val="21"/>
                <w:szCs w:val="21"/>
              </w:rPr>
              <w:t>定</w:t>
            </w:r>
            <w:r>
              <w:rPr>
                <w:rFonts w:ascii="宋体" w:hAnsi="宋体" w:cs="宋体" w:eastAsia="宋体" w:hint="default"/>
                <w:w w:val="100"/>
                <w:sz w:val="21"/>
                <w:szCs w:val="21"/>
              </w:rPr>
              <w:t> </w:t>
            </w:r>
            <w:r>
              <w:rPr>
                <w:rFonts w:ascii="宋体" w:hAnsi="宋体" w:cs="宋体" w:eastAsia="宋体" w:hint="default"/>
                <w:sz w:val="21"/>
                <w:szCs w:val="21"/>
              </w:rPr>
              <w:t>程</w:t>
            </w:r>
            <w:r>
              <w:rPr>
                <w:rFonts w:ascii="宋体" w:hAnsi="宋体" w:cs="宋体" w:eastAsia="宋体" w:hint="default"/>
                <w:w w:val="100"/>
                <w:sz w:val="21"/>
                <w:szCs w:val="21"/>
              </w:rPr>
              <w:t> </w:t>
            </w:r>
            <w:r>
              <w:rPr>
                <w:rFonts w:ascii="宋体" w:hAnsi="宋体" w:cs="宋体" w:eastAsia="宋体" w:hint="default"/>
                <w:sz w:val="21"/>
                <w:szCs w:val="21"/>
              </w:rPr>
              <w:t>序</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未</w:t>
            </w: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来</w:t>
            </w:r>
            <w:r>
              <w:rPr>
                <w:rFonts w:ascii="宋体" w:hAnsi="宋体" w:cs="宋体" w:eastAsia="宋体" w:hint="default"/>
                <w:w w:val="100"/>
                <w:sz w:val="21"/>
                <w:szCs w:val="21"/>
              </w:rPr>
              <w:t> </w:t>
            </w:r>
            <w:r>
              <w:rPr>
                <w:rFonts w:ascii="宋体" w:hAnsi="宋体" w:cs="宋体" w:eastAsia="宋体" w:hint="default"/>
                <w:sz w:val="21"/>
                <w:szCs w:val="21"/>
              </w:rPr>
              <w:t>是</w:t>
            </w:r>
            <w:r>
              <w:rPr>
                <w:rFonts w:ascii="宋体" w:hAnsi="宋体" w:cs="宋体" w:eastAsia="宋体" w:hint="default"/>
                <w:w w:val="100"/>
                <w:sz w:val="21"/>
                <w:szCs w:val="21"/>
              </w:rPr>
              <w:t> </w:t>
            </w:r>
            <w:r>
              <w:rPr>
                <w:rFonts w:ascii="宋体" w:hAnsi="宋体" w:cs="宋体" w:eastAsia="宋体" w:hint="default"/>
                <w:sz w:val="21"/>
                <w:szCs w:val="21"/>
              </w:rPr>
              <w:t>否</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委</w:t>
            </w:r>
            <w:r>
              <w:rPr>
                <w:rFonts w:ascii="宋体" w:hAnsi="宋体" w:cs="宋体" w:eastAsia="宋体" w:hint="default"/>
                <w:w w:val="100"/>
                <w:sz w:val="21"/>
                <w:szCs w:val="21"/>
              </w:rPr>
              <w:t> </w:t>
            </w:r>
            <w:r>
              <w:rPr>
                <w:rFonts w:ascii="宋体" w:hAnsi="宋体" w:cs="宋体" w:eastAsia="宋体" w:hint="default"/>
                <w:sz w:val="21"/>
                <w:szCs w:val="21"/>
              </w:rPr>
              <w:t>托</w:t>
            </w:r>
            <w:r>
              <w:rPr>
                <w:rFonts w:ascii="宋体" w:hAnsi="宋体" w:cs="宋体" w:eastAsia="宋体" w:hint="default"/>
                <w:w w:val="100"/>
                <w:sz w:val="21"/>
                <w:szCs w:val="21"/>
              </w:rPr>
              <w:t> </w:t>
            </w:r>
            <w:r>
              <w:rPr>
                <w:rFonts w:ascii="宋体" w:hAnsi="宋体" w:cs="宋体" w:eastAsia="宋体" w:hint="default"/>
                <w:sz w:val="21"/>
                <w:szCs w:val="21"/>
              </w:rPr>
              <w:t>理</w:t>
            </w:r>
            <w:r>
              <w:rPr>
                <w:rFonts w:ascii="宋体" w:hAnsi="宋体" w:cs="宋体" w:eastAsia="宋体" w:hint="default"/>
                <w:w w:val="100"/>
                <w:sz w:val="21"/>
                <w:szCs w:val="21"/>
              </w:rPr>
              <w:t> </w:t>
            </w:r>
            <w:r>
              <w:rPr>
                <w:rFonts w:ascii="宋体" w:hAnsi="宋体" w:cs="宋体" w:eastAsia="宋体" w:hint="default"/>
                <w:sz w:val="21"/>
                <w:szCs w:val="21"/>
              </w:rPr>
              <w:t>财</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划</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3" w:right="0"/>
              <w:jc w:val="both"/>
              <w:rPr>
                <w:rFonts w:ascii="宋体" w:hAnsi="宋体" w:cs="宋体" w:eastAsia="宋体" w:hint="default"/>
                <w:sz w:val="21"/>
                <w:szCs w:val="21"/>
              </w:rPr>
            </w:pPr>
            <w:r>
              <w:rPr>
                <w:rFonts w:ascii="宋体" w:hAnsi="宋体" w:cs="宋体" w:eastAsia="宋体" w:hint="default"/>
                <w:w w:val="100"/>
                <w:sz w:val="21"/>
                <w:szCs w:val="21"/>
              </w:rPr>
              <w:t>减</w:t>
            </w:r>
          </w:p>
          <w:p>
            <w:pPr>
              <w:pStyle w:val="TableParagraph"/>
              <w:spacing w:line="237" w:lineRule="auto"/>
              <w:ind w:left="103" w:right="99" w:firstLine="50"/>
              <w:jc w:val="both"/>
              <w:rPr>
                <w:rFonts w:ascii="宋体" w:hAnsi="宋体" w:cs="宋体" w:eastAsia="宋体" w:hint="default"/>
                <w:sz w:val="21"/>
                <w:szCs w:val="21"/>
              </w:rPr>
            </w:pPr>
            <w:r>
              <w:rPr>
                <w:rFonts w:ascii="宋体" w:hAnsi="宋体" w:cs="宋体" w:eastAsia="宋体" w:hint="default"/>
                <w:sz w:val="21"/>
                <w:szCs w:val="21"/>
              </w:rPr>
              <w:t>值</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额</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如</w:t>
            </w:r>
          </w:p>
          <w:p>
            <w:pPr>
              <w:pStyle w:val="TableParagraph"/>
              <w:spacing w:line="274" w:lineRule="exact"/>
              <w:ind w:left="103" w:right="0"/>
              <w:jc w:val="both"/>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z w:val="21"/>
                <w:szCs w:val="21"/>
              </w:rPr>
              <w:t>)</w:t>
            </w:r>
          </w:p>
        </w:tc>
      </w:tr>
      <w:tr>
        <w:trPr>
          <w:trHeight w:val="1644"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101"/>
              <w:jc w:val="both"/>
              <w:rPr>
                <w:rFonts w:ascii="宋体" w:hAnsi="宋体" w:cs="宋体" w:eastAsia="宋体" w:hint="default"/>
                <w:sz w:val="21"/>
                <w:szCs w:val="21"/>
              </w:rPr>
            </w:pPr>
            <w:r>
              <w:rPr>
                <w:rFonts w:ascii="宋体" w:hAnsi="宋体" w:cs="宋体" w:eastAsia="宋体" w:hint="default"/>
                <w:sz w:val="21"/>
                <w:szCs w:val="21"/>
              </w:rPr>
              <w:t>中信银</w:t>
            </w:r>
            <w:r>
              <w:rPr>
                <w:rFonts w:ascii="宋体" w:hAnsi="宋体" w:cs="宋体" w:eastAsia="宋体" w:hint="default"/>
                <w:spacing w:val="-102"/>
                <w:sz w:val="21"/>
                <w:szCs w:val="21"/>
              </w:rPr>
              <w:t> </w:t>
            </w:r>
            <w:r>
              <w:rPr>
                <w:rFonts w:ascii="宋体" w:hAnsi="宋体" w:cs="宋体" w:eastAsia="宋体" w:hint="default"/>
                <w:sz w:val="21"/>
                <w:szCs w:val="21"/>
              </w:rPr>
              <w:t>行股份</w:t>
            </w:r>
            <w:r>
              <w:rPr>
                <w:rFonts w:ascii="宋体" w:hAnsi="宋体" w:cs="宋体" w:eastAsia="宋体" w:hint="default"/>
                <w:spacing w:val="-102"/>
                <w:sz w:val="21"/>
                <w:szCs w:val="21"/>
              </w:rPr>
              <w:t> </w:t>
            </w:r>
            <w:r>
              <w:rPr>
                <w:rFonts w:ascii="宋体" w:hAnsi="宋体" w:cs="宋体" w:eastAsia="宋体" w:hint="default"/>
                <w:sz w:val="21"/>
                <w:szCs w:val="21"/>
              </w:rPr>
              <w:t>有限公</w:t>
            </w:r>
            <w:r>
              <w:rPr>
                <w:rFonts w:ascii="宋体" w:hAnsi="宋体" w:cs="宋体" w:eastAsia="宋体" w:hint="default"/>
                <w:spacing w:val="-102"/>
                <w:sz w:val="21"/>
                <w:szCs w:val="21"/>
              </w:rPr>
              <w:t> </w:t>
            </w:r>
            <w:r>
              <w:rPr>
                <w:rFonts w:ascii="宋体" w:hAnsi="宋体" w:cs="宋体" w:eastAsia="宋体" w:hint="default"/>
                <w:sz w:val="21"/>
                <w:szCs w:val="21"/>
              </w:rPr>
              <w:t>司福州</w:t>
            </w:r>
            <w:r>
              <w:rPr>
                <w:rFonts w:ascii="宋体" w:hAnsi="宋体" w:cs="宋体" w:eastAsia="宋体" w:hint="default"/>
                <w:spacing w:val="-102"/>
                <w:sz w:val="21"/>
                <w:szCs w:val="21"/>
              </w:rPr>
              <w:t> </w:t>
            </w:r>
            <w:r>
              <w:rPr>
                <w:rFonts w:ascii="宋体" w:hAnsi="宋体" w:cs="宋体" w:eastAsia="宋体" w:hint="default"/>
                <w:sz w:val="21"/>
                <w:szCs w:val="21"/>
              </w:rPr>
              <w:t>分行</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银</w:t>
            </w:r>
          </w:p>
          <w:p>
            <w:pPr>
              <w:pStyle w:val="TableParagraph"/>
              <w:spacing w:line="237" w:lineRule="auto"/>
              <w:ind w:left="103" w:right="242"/>
              <w:jc w:val="both"/>
              <w:rPr>
                <w:rFonts w:ascii="宋体" w:hAnsi="宋体" w:cs="宋体" w:eastAsia="宋体" w:hint="default"/>
                <w:sz w:val="21"/>
                <w:szCs w:val="21"/>
              </w:rPr>
            </w:pP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理</w:t>
            </w:r>
            <w:r>
              <w:rPr>
                <w:rFonts w:ascii="宋体" w:hAnsi="宋体" w:cs="宋体" w:eastAsia="宋体" w:hint="default"/>
                <w:w w:val="100"/>
                <w:sz w:val="21"/>
                <w:szCs w:val="21"/>
              </w:rPr>
              <w:t> </w:t>
            </w:r>
            <w:r>
              <w:rPr>
                <w:rFonts w:ascii="宋体" w:hAnsi="宋体" w:cs="宋体" w:eastAsia="宋体" w:hint="default"/>
                <w:sz w:val="21"/>
                <w:szCs w:val="21"/>
              </w:rPr>
              <w:t>财</w:t>
            </w:r>
            <w:r>
              <w:rPr>
                <w:rFonts w:ascii="宋体" w:hAnsi="宋体" w:cs="宋体" w:eastAsia="宋体" w:hint="default"/>
                <w:w w:val="100"/>
                <w:sz w:val="21"/>
                <w:szCs w:val="21"/>
              </w:rPr>
              <w:t> </w:t>
            </w:r>
            <w:r>
              <w:rPr>
                <w:rFonts w:ascii="宋体" w:hAnsi="宋体" w:cs="宋体" w:eastAsia="宋体" w:hint="default"/>
                <w:sz w:val="21"/>
                <w:szCs w:val="21"/>
              </w:rPr>
              <w:t>产</w:t>
            </w:r>
            <w:r>
              <w:rPr>
                <w:rFonts w:ascii="宋体" w:hAnsi="宋体" w:cs="宋体" w:eastAsia="宋体" w:hint="default"/>
                <w:w w:val="100"/>
                <w:sz w:val="21"/>
                <w:szCs w:val="21"/>
              </w:rPr>
              <w:t> </w:t>
            </w:r>
            <w:r>
              <w:rPr>
                <w:rFonts w:ascii="宋体" w:hAnsi="宋体" w:cs="宋体" w:eastAsia="宋体" w:hint="default"/>
                <w:sz w:val="21"/>
                <w:szCs w:val="21"/>
              </w:rPr>
              <w:t>品</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sz w:val="21"/>
              </w:rPr>
              <w:t>8,000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sz w:val="21"/>
              </w:rPr>
              <w:t>2017-06-29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sz w:val="21"/>
              </w:rPr>
              <w:t>2017-10-11</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募</w:t>
            </w:r>
            <w:r>
              <w:rPr>
                <w:rFonts w:ascii="宋体" w:hAnsi="宋体" w:cs="宋体" w:eastAsia="宋体" w:hint="default"/>
                <w:w w:val="100"/>
                <w:sz w:val="21"/>
                <w:szCs w:val="21"/>
              </w:rPr>
              <w:t> </w:t>
            </w:r>
            <w:r>
              <w:rPr>
                <w:rFonts w:ascii="宋体" w:hAnsi="宋体" w:cs="宋体" w:eastAsia="宋体" w:hint="default"/>
                <w:sz w:val="21"/>
                <w:szCs w:val="21"/>
              </w:rPr>
              <w:t>集</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z w:val="21"/>
                <w:szCs w:val="21"/>
              </w:rPr>
              <w:t>结构性利</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率掉期方</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式进行投</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资运作</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保</w:t>
            </w:r>
          </w:p>
          <w:p>
            <w:pPr>
              <w:pStyle w:val="TableParagraph"/>
              <w:spacing w:line="237" w:lineRule="auto"/>
              <w:ind w:left="100" w:right="101"/>
              <w:jc w:val="both"/>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浮</w:t>
            </w:r>
            <w:r>
              <w:rPr>
                <w:rFonts w:ascii="宋体" w:hAnsi="宋体" w:cs="宋体" w:eastAsia="宋体" w:hint="default"/>
                <w:w w:val="100"/>
                <w:sz w:val="21"/>
                <w:szCs w:val="21"/>
              </w:rPr>
              <w:t> </w:t>
            </w:r>
            <w:r>
              <w:rPr>
                <w:rFonts w:ascii="宋体" w:hAnsi="宋体" w:cs="宋体" w:eastAsia="宋体" w:hint="default"/>
                <w:sz w:val="21"/>
                <w:szCs w:val="21"/>
              </w:rPr>
              <w:t>动</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left="103" w:right="0"/>
              <w:jc w:val="left"/>
              <w:rPr>
                <w:rFonts w:ascii="宋体" w:hAnsi="宋体" w:cs="宋体" w:eastAsia="宋体" w:hint="default"/>
                <w:sz w:val="20"/>
                <w:szCs w:val="20"/>
              </w:rPr>
            </w:pPr>
            <w:r>
              <w:rPr>
                <w:rFonts w:ascii="宋体"/>
                <w:sz w:val="20"/>
              </w:rPr>
              <w:t>4.30%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6"/>
              <w:ind w:right="106"/>
              <w:jc w:val="center"/>
              <w:rPr>
                <w:rFonts w:ascii="Times New Roman" w:hAnsi="Times New Roman" w:cs="Times New Roman" w:eastAsia="Times New Roman" w:hint="default"/>
                <w:sz w:val="21"/>
                <w:szCs w:val="21"/>
              </w:rPr>
            </w:pPr>
            <w:r>
              <w:rPr>
                <w:rFonts w:ascii="Times New Roman"/>
                <w:sz w:val="21"/>
              </w:rPr>
              <w:t>98.02</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6"/>
              <w:ind w:right="98"/>
              <w:jc w:val="right"/>
              <w:rPr>
                <w:rFonts w:ascii="Times New Roman" w:hAnsi="Times New Roman" w:cs="Times New Roman" w:eastAsia="Times New Roman" w:hint="default"/>
                <w:sz w:val="21"/>
                <w:szCs w:val="21"/>
              </w:rPr>
            </w:pPr>
            <w:r>
              <w:rPr>
                <w:rFonts w:ascii="Times New Roman"/>
                <w:sz w:val="21"/>
              </w:rPr>
              <w:t>98.02</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到</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531"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101"/>
              <w:jc w:val="both"/>
              <w:rPr>
                <w:rFonts w:ascii="宋体" w:hAnsi="宋体" w:cs="宋体" w:eastAsia="宋体" w:hint="default"/>
                <w:sz w:val="21"/>
                <w:szCs w:val="21"/>
              </w:rPr>
            </w:pPr>
            <w:r>
              <w:rPr>
                <w:rFonts w:ascii="宋体" w:hAnsi="宋体" w:cs="宋体" w:eastAsia="宋体" w:hint="default"/>
                <w:sz w:val="21"/>
                <w:szCs w:val="21"/>
              </w:rPr>
              <w:t>中信银</w:t>
            </w:r>
            <w:r>
              <w:rPr>
                <w:rFonts w:ascii="宋体" w:hAnsi="宋体" w:cs="宋体" w:eastAsia="宋体" w:hint="default"/>
                <w:spacing w:val="-102"/>
                <w:sz w:val="21"/>
                <w:szCs w:val="21"/>
              </w:rPr>
              <w:t> </w:t>
            </w:r>
            <w:r>
              <w:rPr>
                <w:rFonts w:ascii="宋体" w:hAnsi="宋体" w:cs="宋体" w:eastAsia="宋体" w:hint="default"/>
                <w:sz w:val="21"/>
                <w:szCs w:val="21"/>
              </w:rPr>
              <w:t>行股份</w:t>
            </w:r>
            <w:r>
              <w:rPr>
                <w:rFonts w:ascii="宋体" w:hAnsi="宋体" w:cs="宋体" w:eastAsia="宋体" w:hint="default"/>
                <w:spacing w:val="-102"/>
                <w:sz w:val="21"/>
                <w:szCs w:val="21"/>
              </w:rPr>
              <w:t> </w:t>
            </w:r>
            <w:r>
              <w:rPr>
                <w:rFonts w:ascii="宋体" w:hAnsi="宋体" w:cs="宋体" w:eastAsia="宋体" w:hint="default"/>
                <w:sz w:val="21"/>
                <w:szCs w:val="21"/>
              </w:rPr>
              <w:t>有限公</w:t>
            </w:r>
            <w:r>
              <w:rPr>
                <w:rFonts w:ascii="宋体" w:hAnsi="宋体" w:cs="宋体" w:eastAsia="宋体" w:hint="default"/>
                <w:spacing w:val="-102"/>
                <w:sz w:val="21"/>
                <w:szCs w:val="21"/>
              </w:rPr>
              <w:t> </w:t>
            </w:r>
            <w:r>
              <w:rPr>
                <w:rFonts w:ascii="宋体" w:hAnsi="宋体" w:cs="宋体" w:eastAsia="宋体" w:hint="default"/>
                <w:sz w:val="21"/>
                <w:szCs w:val="21"/>
              </w:rPr>
              <w:t>司福州</w:t>
            </w:r>
            <w:r>
              <w:rPr>
                <w:rFonts w:ascii="宋体" w:hAnsi="宋体" w:cs="宋体" w:eastAsia="宋体" w:hint="default"/>
                <w:spacing w:val="-102"/>
                <w:sz w:val="21"/>
                <w:szCs w:val="21"/>
              </w:rPr>
              <w:t> </w:t>
            </w:r>
            <w:r>
              <w:rPr>
                <w:rFonts w:ascii="宋体" w:hAnsi="宋体" w:cs="宋体" w:eastAsia="宋体" w:hint="default"/>
                <w:sz w:val="21"/>
                <w:szCs w:val="21"/>
              </w:rPr>
              <w:t>分行</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银</w:t>
            </w:r>
          </w:p>
          <w:p>
            <w:pPr>
              <w:pStyle w:val="TableParagraph"/>
              <w:spacing w:line="237" w:lineRule="auto"/>
              <w:ind w:left="103" w:right="242"/>
              <w:jc w:val="both"/>
              <w:rPr>
                <w:rFonts w:ascii="宋体" w:hAnsi="宋体" w:cs="宋体" w:eastAsia="宋体" w:hint="default"/>
                <w:sz w:val="21"/>
                <w:szCs w:val="21"/>
              </w:rPr>
            </w:pP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理</w:t>
            </w:r>
            <w:r>
              <w:rPr>
                <w:rFonts w:ascii="宋体" w:hAnsi="宋体" w:cs="宋体" w:eastAsia="宋体" w:hint="default"/>
                <w:w w:val="100"/>
                <w:sz w:val="21"/>
                <w:szCs w:val="21"/>
              </w:rPr>
              <w:t> </w:t>
            </w:r>
            <w:r>
              <w:rPr>
                <w:rFonts w:ascii="宋体" w:hAnsi="宋体" w:cs="宋体" w:eastAsia="宋体" w:hint="default"/>
                <w:sz w:val="21"/>
                <w:szCs w:val="21"/>
              </w:rPr>
              <w:t>财</w:t>
            </w:r>
            <w:r>
              <w:rPr>
                <w:rFonts w:ascii="宋体" w:hAnsi="宋体" w:cs="宋体" w:eastAsia="宋体" w:hint="default"/>
                <w:w w:val="100"/>
                <w:sz w:val="21"/>
                <w:szCs w:val="21"/>
              </w:rPr>
              <w:t> </w:t>
            </w:r>
            <w:r>
              <w:rPr>
                <w:rFonts w:ascii="宋体" w:hAnsi="宋体" w:cs="宋体" w:eastAsia="宋体" w:hint="default"/>
                <w:sz w:val="21"/>
                <w:szCs w:val="21"/>
              </w:rPr>
              <w:t>产</w:t>
            </w:r>
            <w:r>
              <w:rPr>
                <w:rFonts w:ascii="宋体" w:hAnsi="宋体" w:cs="宋体" w:eastAsia="宋体" w:hint="default"/>
                <w:w w:val="100"/>
                <w:sz w:val="21"/>
                <w:szCs w:val="21"/>
              </w:rPr>
              <w:t> </w:t>
            </w:r>
            <w:r>
              <w:rPr>
                <w:rFonts w:ascii="宋体" w:hAnsi="宋体" w:cs="宋体" w:eastAsia="宋体" w:hint="default"/>
                <w:sz w:val="21"/>
                <w:szCs w:val="21"/>
              </w:rPr>
              <w:t>品</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sz w:val="21"/>
              </w:rPr>
              <w:t>7,000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sz w:val="21"/>
              </w:rPr>
              <w:t>2017-06-29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sz w:val="21"/>
              </w:rPr>
              <w:t>2017-10-11</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募</w:t>
            </w:r>
            <w:r>
              <w:rPr>
                <w:rFonts w:ascii="宋体" w:hAnsi="宋体" w:cs="宋体" w:eastAsia="宋体" w:hint="default"/>
                <w:w w:val="100"/>
                <w:sz w:val="21"/>
                <w:szCs w:val="21"/>
              </w:rPr>
              <w:t> </w:t>
            </w:r>
            <w:r>
              <w:rPr>
                <w:rFonts w:ascii="宋体" w:hAnsi="宋体" w:cs="宋体" w:eastAsia="宋体" w:hint="default"/>
                <w:sz w:val="21"/>
                <w:szCs w:val="21"/>
              </w:rPr>
              <w:t>集</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z w:val="21"/>
                <w:szCs w:val="21"/>
              </w:rPr>
              <w:t>结构性利</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率掉期方</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式进行投</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资运作</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保</w:t>
            </w:r>
          </w:p>
          <w:p>
            <w:pPr>
              <w:pStyle w:val="TableParagraph"/>
              <w:spacing w:line="237" w:lineRule="auto"/>
              <w:ind w:left="100" w:right="101"/>
              <w:jc w:val="both"/>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浮</w:t>
            </w:r>
            <w:r>
              <w:rPr>
                <w:rFonts w:ascii="宋体" w:hAnsi="宋体" w:cs="宋体" w:eastAsia="宋体" w:hint="default"/>
                <w:w w:val="100"/>
                <w:sz w:val="21"/>
                <w:szCs w:val="21"/>
              </w:rPr>
              <w:t> </w:t>
            </w:r>
            <w:r>
              <w:rPr>
                <w:rFonts w:ascii="宋体" w:hAnsi="宋体" w:cs="宋体" w:eastAsia="宋体" w:hint="default"/>
                <w:sz w:val="21"/>
                <w:szCs w:val="21"/>
              </w:rPr>
              <w:t>动</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left="103" w:right="0"/>
              <w:jc w:val="left"/>
              <w:rPr>
                <w:rFonts w:ascii="宋体" w:hAnsi="宋体" w:cs="宋体" w:eastAsia="宋体" w:hint="default"/>
                <w:sz w:val="20"/>
                <w:szCs w:val="20"/>
              </w:rPr>
            </w:pPr>
            <w:r>
              <w:rPr>
                <w:rFonts w:ascii="宋体"/>
                <w:sz w:val="20"/>
              </w:rPr>
              <w:t>4.30%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6"/>
              <w:ind w:right="106"/>
              <w:jc w:val="center"/>
              <w:rPr>
                <w:rFonts w:ascii="Times New Roman" w:hAnsi="Times New Roman" w:cs="Times New Roman" w:eastAsia="Times New Roman" w:hint="default"/>
                <w:sz w:val="21"/>
                <w:szCs w:val="21"/>
              </w:rPr>
            </w:pPr>
            <w:r>
              <w:rPr>
                <w:rFonts w:ascii="Times New Roman"/>
                <w:sz w:val="21"/>
              </w:rPr>
              <w:t>85.76</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6"/>
              <w:ind w:right="98"/>
              <w:jc w:val="right"/>
              <w:rPr>
                <w:rFonts w:ascii="Times New Roman" w:hAnsi="Times New Roman" w:cs="Times New Roman" w:eastAsia="Times New Roman" w:hint="default"/>
                <w:sz w:val="21"/>
                <w:szCs w:val="21"/>
              </w:rPr>
            </w:pPr>
            <w:r>
              <w:rPr>
                <w:rFonts w:ascii="Times New Roman"/>
                <w:sz w:val="21"/>
              </w:rPr>
              <w:t>85.76</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到</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531" w:type="dxa"/>
            <w:tcBorders>
              <w:top w:val="single" w:sz="4" w:space="0" w:color="000000"/>
              <w:left w:val="single" w:sz="4" w:space="0" w:color="000000"/>
              <w:bottom w:val="single" w:sz="4" w:space="0" w:color="000000"/>
              <w:right w:val="single" w:sz="4" w:space="0" w:color="000000"/>
            </w:tcBorders>
          </w:tcPr>
          <w:p>
            <w:pPr/>
          </w:p>
        </w:tc>
      </w:tr>
      <w:tr>
        <w:trPr>
          <w:trHeight w:val="2734"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招商银</w:t>
            </w:r>
            <w:r>
              <w:rPr>
                <w:rFonts w:ascii="宋体" w:hAnsi="宋体" w:cs="宋体" w:eastAsia="宋体" w:hint="default"/>
                <w:spacing w:val="-102"/>
                <w:sz w:val="21"/>
                <w:szCs w:val="21"/>
              </w:rPr>
              <w:t> </w:t>
            </w:r>
            <w:r>
              <w:rPr>
                <w:rFonts w:ascii="宋体" w:hAnsi="宋体" w:cs="宋体" w:eastAsia="宋体" w:hint="default"/>
                <w:sz w:val="21"/>
                <w:szCs w:val="21"/>
              </w:rPr>
              <w:t>行股份</w:t>
            </w:r>
            <w:r>
              <w:rPr>
                <w:rFonts w:ascii="宋体" w:hAnsi="宋体" w:cs="宋体" w:eastAsia="宋体" w:hint="default"/>
                <w:spacing w:val="-102"/>
                <w:sz w:val="21"/>
                <w:szCs w:val="21"/>
              </w:rPr>
              <w:t> </w:t>
            </w:r>
            <w:r>
              <w:rPr>
                <w:rFonts w:ascii="宋体" w:hAnsi="宋体" w:cs="宋体" w:eastAsia="宋体" w:hint="default"/>
                <w:sz w:val="21"/>
                <w:szCs w:val="21"/>
              </w:rPr>
              <w:t>有限公</w:t>
            </w:r>
            <w:r>
              <w:rPr>
                <w:rFonts w:ascii="宋体" w:hAnsi="宋体" w:cs="宋体" w:eastAsia="宋体" w:hint="default"/>
                <w:spacing w:val="-102"/>
                <w:sz w:val="21"/>
                <w:szCs w:val="21"/>
              </w:rPr>
              <w:t> </w:t>
            </w:r>
            <w:r>
              <w:rPr>
                <w:rFonts w:ascii="宋体" w:hAnsi="宋体" w:cs="宋体" w:eastAsia="宋体" w:hint="default"/>
                <w:sz w:val="21"/>
                <w:szCs w:val="21"/>
              </w:rPr>
              <w:t>司武汉</w:t>
            </w:r>
            <w:r>
              <w:rPr>
                <w:rFonts w:ascii="宋体" w:hAnsi="宋体" w:cs="宋体" w:eastAsia="宋体" w:hint="default"/>
                <w:spacing w:val="-102"/>
                <w:sz w:val="21"/>
                <w:szCs w:val="21"/>
              </w:rPr>
              <w:t> </w:t>
            </w:r>
            <w:r>
              <w:rPr>
                <w:rFonts w:ascii="宋体" w:hAnsi="宋体" w:cs="宋体" w:eastAsia="宋体" w:hint="default"/>
                <w:sz w:val="21"/>
                <w:szCs w:val="21"/>
              </w:rPr>
              <w:t>光谷科</w:t>
            </w:r>
            <w:r>
              <w:rPr>
                <w:rFonts w:ascii="宋体" w:hAnsi="宋体" w:cs="宋体" w:eastAsia="宋体" w:hint="default"/>
                <w:spacing w:val="-102"/>
                <w:sz w:val="21"/>
                <w:szCs w:val="21"/>
              </w:rPr>
              <w:t> </w:t>
            </w:r>
            <w:r>
              <w:rPr>
                <w:rFonts w:ascii="宋体" w:hAnsi="宋体" w:cs="宋体" w:eastAsia="宋体" w:hint="default"/>
                <w:sz w:val="21"/>
                <w:szCs w:val="21"/>
              </w:rPr>
              <w:t>技支行</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37" w:lineRule="auto"/>
              <w:ind w:left="103" w:right="242"/>
              <w:jc w:val="both"/>
              <w:rPr>
                <w:rFonts w:ascii="宋体" w:hAnsi="宋体" w:cs="宋体" w:eastAsia="宋体" w:hint="default"/>
                <w:sz w:val="21"/>
                <w:szCs w:val="21"/>
              </w:rPr>
            </w:pPr>
            <w:r>
              <w:rPr>
                <w:rFonts w:ascii="宋体" w:hAnsi="宋体" w:cs="宋体" w:eastAsia="宋体" w:hint="default"/>
                <w:sz w:val="21"/>
                <w:szCs w:val="21"/>
              </w:rPr>
              <w:t>银</w:t>
            </w:r>
            <w:r>
              <w:rPr>
                <w:rFonts w:ascii="宋体" w:hAnsi="宋体" w:cs="宋体" w:eastAsia="宋体" w:hint="default"/>
                <w:w w:val="100"/>
                <w:sz w:val="21"/>
                <w:szCs w:val="21"/>
              </w:rPr>
              <w:t> </w:t>
            </w: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理</w:t>
            </w:r>
            <w:r>
              <w:rPr>
                <w:rFonts w:ascii="宋体" w:hAnsi="宋体" w:cs="宋体" w:eastAsia="宋体" w:hint="default"/>
                <w:w w:val="100"/>
                <w:sz w:val="21"/>
                <w:szCs w:val="21"/>
              </w:rPr>
              <w:t> </w:t>
            </w:r>
            <w:r>
              <w:rPr>
                <w:rFonts w:ascii="宋体" w:hAnsi="宋体" w:cs="宋体" w:eastAsia="宋体" w:hint="default"/>
                <w:sz w:val="21"/>
                <w:szCs w:val="21"/>
              </w:rPr>
              <w:t>财</w:t>
            </w:r>
            <w:r>
              <w:rPr>
                <w:rFonts w:ascii="宋体" w:hAnsi="宋体" w:cs="宋体" w:eastAsia="宋体" w:hint="default"/>
                <w:w w:val="100"/>
                <w:sz w:val="21"/>
                <w:szCs w:val="21"/>
              </w:rPr>
              <w:t> </w:t>
            </w:r>
            <w:r>
              <w:rPr>
                <w:rFonts w:ascii="宋体" w:hAnsi="宋体" w:cs="宋体" w:eastAsia="宋体" w:hint="default"/>
                <w:sz w:val="21"/>
                <w:szCs w:val="21"/>
              </w:rPr>
              <w:t>产</w:t>
            </w:r>
            <w:r>
              <w:rPr>
                <w:rFonts w:ascii="宋体" w:hAnsi="宋体" w:cs="宋体" w:eastAsia="宋体" w:hint="default"/>
                <w:w w:val="100"/>
                <w:sz w:val="21"/>
                <w:szCs w:val="21"/>
              </w:rPr>
              <w:t> </w:t>
            </w:r>
            <w:r>
              <w:rPr>
                <w:rFonts w:ascii="宋体" w:hAnsi="宋体" w:cs="宋体" w:eastAsia="宋体" w:hint="default"/>
                <w:sz w:val="21"/>
                <w:szCs w:val="21"/>
              </w:rPr>
              <w:t>品</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5"/>
              <w:ind w:left="103" w:right="0"/>
              <w:jc w:val="left"/>
              <w:rPr>
                <w:rFonts w:ascii="宋体" w:hAnsi="宋体" w:cs="宋体" w:eastAsia="宋体" w:hint="default"/>
                <w:sz w:val="21"/>
                <w:szCs w:val="21"/>
              </w:rPr>
            </w:pPr>
            <w:r>
              <w:rPr>
                <w:rFonts w:ascii="宋体"/>
                <w:sz w:val="21"/>
              </w:rPr>
              <w:t>3,000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5"/>
              <w:ind w:left="103" w:right="0"/>
              <w:jc w:val="left"/>
              <w:rPr>
                <w:rFonts w:ascii="宋体" w:hAnsi="宋体" w:cs="宋体" w:eastAsia="宋体" w:hint="default"/>
                <w:sz w:val="21"/>
                <w:szCs w:val="21"/>
              </w:rPr>
            </w:pPr>
            <w:r>
              <w:rPr>
                <w:rFonts w:ascii="宋体"/>
                <w:sz w:val="21"/>
              </w:rPr>
              <w:t>2017-06-28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5"/>
              <w:ind w:left="103" w:right="0"/>
              <w:jc w:val="left"/>
              <w:rPr>
                <w:rFonts w:ascii="宋体" w:hAnsi="宋体" w:cs="宋体" w:eastAsia="宋体" w:hint="default"/>
                <w:sz w:val="21"/>
                <w:szCs w:val="21"/>
              </w:rPr>
            </w:pPr>
            <w:r>
              <w:rPr>
                <w:rFonts w:ascii="宋体"/>
                <w:sz w:val="21"/>
              </w:rPr>
              <w:t>2017-09-28</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募</w:t>
            </w:r>
            <w:r>
              <w:rPr>
                <w:rFonts w:ascii="宋体" w:hAnsi="宋体" w:cs="宋体" w:eastAsia="宋体" w:hint="default"/>
                <w:w w:val="100"/>
                <w:sz w:val="21"/>
                <w:szCs w:val="21"/>
              </w:rPr>
              <w:t> </w:t>
            </w:r>
            <w:r>
              <w:rPr>
                <w:rFonts w:ascii="宋体" w:hAnsi="宋体" w:cs="宋体" w:eastAsia="宋体" w:hint="default"/>
                <w:sz w:val="21"/>
                <w:szCs w:val="21"/>
              </w:rPr>
              <w:t>集</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为黄金价</w:t>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z w:val="21"/>
                <w:szCs w:val="21"/>
              </w:rPr>
              <w:t>格每盎司</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黄金的美</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元标价，</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黄金水平</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为伦敦金</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银市场协</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会发布的</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下午定盘</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37" w:lineRule="auto"/>
              <w:ind w:left="100" w:right="101"/>
              <w:jc w:val="both"/>
              <w:rPr>
                <w:rFonts w:ascii="宋体" w:hAnsi="宋体" w:cs="宋体" w:eastAsia="宋体" w:hint="default"/>
                <w:sz w:val="21"/>
                <w:szCs w:val="21"/>
              </w:rPr>
            </w:pPr>
            <w:r>
              <w:rPr>
                <w:rFonts w:ascii="宋体" w:hAnsi="宋体" w:cs="宋体" w:eastAsia="宋体" w:hint="default"/>
                <w:sz w:val="21"/>
                <w:szCs w:val="21"/>
              </w:rPr>
              <w:t>保</w:t>
            </w:r>
            <w:r>
              <w:rPr>
                <w:rFonts w:ascii="宋体" w:hAnsi="宋体" w:cs="宋体" w:eastAsia="宋体" w:hint="default"/>
                <w:w w:val="100"/>
                <w:sz w:val="21"/>
                <w:szCs w:val="21"/>
              </w:rPr>
              <w:t> </w:t>
            </w: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浮</w:t>
            </w:r>
            <w:r>
              <w:rPr>
                <w:rFonts w:ascii="宋体" w:hAnsi="宋体" w:cs="宋体" w:eastAsia="宋体" w:hint="default"/>
                <w:w w:val="100"/>
                <w:sz w:val="21"/>
                <w:szCs w:val="21"/>
              </w:rPr>
              <w:t> </w:t>
            </w:r>
            <w:r>
              <w:rPr>
                <w:rFonts w:ascii="宋体" w:hAnsi="宋体" w:cs="宋体" w:eastAsia="宋体" w:hint="default"/>
                <w:sz w:val="21"/>
                <w:szCs w:val="21"/>
              </w:rPr>
              <w:t>动</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2"/>
              <w:ind w:left="103" w:right="0"/>
              <w:jc w:val="left"/>
              <w:rPr>
                <w:rFonts w:ascii="宋体" w:hAnsi="宋体" w:cs="宋体" w:eastAsia="宋体" w:hint="default"/>
                <w:sz w:val="20"/>
                <w:szCs w:val="20"/>
              </w:rPr>
            </w:pPr>
            <w:r>
              <w:rPr>
                <w:rFonts w:ascii="宋体"/>
                <w:sz w:val="20"/>
              </w:rPr>
              <w:t>4.00%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6"/>
              <w:jc w:val="center"/>
              <w:rPr>
                <w:rFonts w:ascii="Times New Roman" w:hAnsi="Times New Roman" w:cs="Times New Roman" w:eastAsia="Times New Roman" w:hint="default"/>
                <w:sz w:val="21"/>
                <w:szCs w:val="21"/>
              </w:rPr>
            </w:pPr>
            <w:r>
              <w:rPr>
                <w:rFonts w:ascii="Times New Roman"/>
                <w:sz w:val="21"/>
              </w:rPr>
              <w:t>30.25</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30.25</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到</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5"/>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5"/>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531" w:type="dxa"/>
            <w:tcBorders>
              <w:top w:val="single" w:sz="4" w:space="0" w:color="000000"/>
              <w:left w:val="single" w:sz="4" w:space="0" w:color="000000"/>
              <w:bottom w:val="single" w:sz="4" w:space="0" w:color="000000"/>
              <w:right w:val="single" w:sz="4" w:space="0" w:color="000000"/>
            </w:tcBorders>
          </w:tcPr>
          <w:p>
            <w:pPr/>
          </w:p>
        </w:tc>
      </w:tr>
      <w:tr>
        <w:trPr>
          <w:trHeight w:val="1645"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101"/>
              <w:jc w:val="both"/>
              <w:rPr>
                <w:rFonts w:ascii="宋体" w:hAnsi="宋体" w:cs="宋体" w:eastAsia="宋体" w:hint="default"/>
                <w:sz w:val="21"/>
                <w:szCs w:val="21"/>
              </w:rPr>
            </w:pPr>
            <w:r>
              <w:rPr>
                <w:rFonts w:ascii="宋体" w:hAnsi="宋体" w:cs="宋体" w:eastAsia="宋体" w:hint="default"/>
                <w:sz w:val="21"/>
                <w:szCs w:val="21"/>
              </w:rPr>
              <w:t>中信银</w:t>
            </w:r>
            <w:r>
              <w:rPr>
                <w:rFonts w:ascii="宋体" w:hAnsi="宋体" w:cs="宋体" w:eastAsia="宋体" w:hint="default"/>
                <w:spacing w:val="-102"/>
                <w:sz w:val="21"/>
                <w:szCs w:val="21"/>
              </w:rPr>
              <w:t> </w:t>
            </w:r>
            <w:r>
              <w:rPr>
                <w:rFonts w:ascii="宋体" w:hAnsi="宋体" w:cs="宋体" w:eastAsia="宋体" w:hint="default"/>
                <w:sz w:val="21"/>
                <w:szCs w:val="21"/>
              </w:rPr>
              <w:t>行股份</w:t>
            </w:r>
            <w:r>
              <w:rPr>
                <w:rFonts w:ascii="宋体" w:hAnsi="宋体" w:cs="宋体" w:eastAsia="宋体" w:hint="default"/>
                <w:spacing w:val="-102"/>
                <w:sz w:val="21"/>
                <w:szCs w:val="21"/>
              </w:rPr>
              <w:t> </w:t>
            </w:r>
            <w:r>
              <w:rPr>
                <w:rFonts w:ascii="宋体" w:hAnsi="宋体" w:cs="宋体" w:eastAsia="宋体" w:hint="default"/>
                <w:sz w:val="21"/>
                <w:szCs w:val="21"/>
              </w:rPr>
              <w:t>有限公</w:t>
            </w:r>
            <w:r>
              <w:rPr>
                <w:rFonts w:ascii="宋体" w:hAnsi="宋体" w:cs="宋体" w:eastAsia="宋体" w:hint="default"/>
                <w:spacing w:val="-102"/>
                <w:sz w:val="21"/>
                <w:szCs w:val="21"/>
              </w:rPr>
              <w:t> </w:t>
            </w:r>
            <w:r>
              <w:rPr>
                <w:rFonts w:ascii="宋体" w:hAnsi="宋体" w:cs="宋体" w:eastAsia="宋体" w:hint="default"/>
                <w:sz w:val="21"/>
                <w:szCs w:val="21"/>
              </w:rPr>
              <w:t>司福州</w:t>
            </w:r>
            <w:r>
              <w:rPr>
                <w:rFonts w:ascii="宋体" w:hAnsi="宋体" w:cs="宋体" w:eastAsia="宋体" w:hint="default"/>
                <w:spacing w:val="-102"/>
                <w:sz w:val="21"/>
                <w:szCs w:val="21"/>
              </w:rPr>
              <w:t> </w:t>
            </w:r>
            <w:r>
              <w:rPr>
                <w:rFonts w:ascii="宋体" w:hAnsi="宋体" w:cs="宋体" w:eastAsia="宋体" w:hint="default"/>
                <w:sz w:val="21"/>
                <w:szCs w:val="21"/>
              </w:rPr>
              <w:t>分行</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银</w:t>
            </w:r>
          </w:p>
          <w:p>
            <w:pPr>
              <w:pStyle w:val="TableParagraph"/>
              <w:spacing w:line="237" w:lineRule="auto" w:before="1"/>
              <w:ind w:left="103" w:right="242"/>
              <w:jc w:val="both"/>
              <w:rPr>
                <w:rFonts w:ascii="宋体" w:hAnsi="宋体" w:cs="宋体" w:eastAsia="宋体" w:hint="default"/>
                <w:sz w:val="21"/>
                <w:szCs w:val="21"/>
              </w:rPr>
            </w:pP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理</w:t>
            </w:r>
            <w:r>
              <w:rPr>
                <w:rFonts w:ascii="宋体" w:hAnsi="宋体" w:cs="宋体" w:eastAsia="宋体" w:hint="default"/>
                <w:w w:val="100"/>
                <w:sz w:val="21"/>
                <w:szCs w:val="21"/>
              </w:rPr>
              <w:t> </w:t>
            </w:r>
            <w:r>
              <w:rPr>
                <w:rFonts w:ascii="宋体" w:hAnsi="宋体" w:cs="宋体" w:eastAsia="宋体" w:hint="default"/>
                <w:sz w:val="21"/>
                <w:szCs w:val="21"/>
              </w:rPr>
              <w:t>财</w:t>
            </w:r>
            <w:r>
              <w:rPr>
                <w:rFonts w:ascii="宋体" w:hAnsi="宋体" w:cs="宋体" w:eastAsia="宋体" w:hint="default"/>
                <w:w w:val="100"/>
                <w:sz w:val="21"/>
                <w:szCs w:val="21"/>
              </w:rPr>
              <w:t> </w:t>
            </w:r>
            <w:r>
              <w:rPr>
                <w:rFonts w:ascii="宋体" w:hAnsi="宋体" w:cs="宋体" w:eastAsia="宋体" w:hint="default"/>
                <w:sz w:val="21"/>
                <w:szCs w:val="21"/>
              </w:rPr>
              <w:t>产</w:t>
            </w:r>
            <w:r>
              <w:rPr>
                <w:rFonts w:ascii="宋体" w:hAnsi="宋体" w:cs="宋体" w:eastAsia="宋体" w:hint="default"/>
                <w:w w:val="100"/>
                <w:sz w:val="21"/>
                <w:szCs w:val="21"/>
              </w:rPr>
              <w:t> </w:t>
            </w:r>
            <w:r>
              <w:rPr>
                <w:rFonts w:ascii="宋体" w:hAnsi="宋体" w:cs="宋体" w:eastAsia="宋体" w:hint="default"/>
                <w:sz w:val="21"/>
                <w:szCs w:val="21"/>
              </w:rPr>
              <w:t>品</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sz w:val="21"/>
              </w:rPr>
              <w:t>4,000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sz w:val="21"/>
              </w:rPr>
              <w:t>2017-07-14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sz w:val="21"/>
              </w:rPr>
              <w:t>2017-10-25</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募</w:t>
            </w:r>
            <w:r>
              <w:rPr>
                <w:rFonts w:ascii="宋体" w:hAnsi="宋体" w:cs="宋体" w:eastAsia="宋体" w:hint="default"/>
                <w:w w:val="100"/>
                <w:sz w:val="21"/>
                <w:szCs w:val="21"/>
              </w:rPr>
              <w:t> </w:t>
            </w:r>
            <w:r>
              <w:rPr>
                <w:rFonts w:ascii="宋体" w:hAnsi="宋体" w:cs="宋体" w:eastAsia="宋体" w:hint="default"/>
                <w:sz w:val="21"/>
                <w:szCs w:val="21"/>
              </w:rPr>
              <w:t>集</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z w:val="21"/>
                <w:szCs w:val="21"/>
              </w:rPr>
              <w:t>结构性利</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率掉期方</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式进行投</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资运作</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保</w:t>
            </w:r>
          </w:p>
          <w:p>
            <w:pPr>
              <w:pStyle w:val="TableParagraph"/>
              <w:spacing w:line="237" w:lineRule="auto" w:before="1"/>
              <w:ind w:left="100" w:right="101"/>
              <w:jc w:val="both"/>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浮</w:t>
            </w:r>
            <w:r>
              <w:rPr>
                <w:rFonts w:ascii="宋体" w:hAnsi="宋体" w:cs="宋体" w:eastAsia="宋体" w:hint="default"/>
                <w:w w:val="100"/>
                <w:sz w:val="21"/>
                <w:szCs w:val="21"/>
              </w:rPr>
              <w:t> </w:t>
            </w:r>
            <w:r>
              <w:rPr>
                <w:rFonts w:ascii="宋体" w:hAnsi="宋体" w:cs="宋体" w:eastAsia="宋体" w:hint="default"/>
                <w:sz w:val="21"/>
                <w:szCs w:val="21"/>
              </w:rPr>
              <w:t>动</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left="103" w:right="0"/>
              <w:jc w:val="left"/>
              <w:rPr>
                <w:rFonts w:ascii="宋体" w:hAnsi="宋体" w:cs="宋体" w:eastAsia="宋体" w:hint="default"/>
                <w:sz w:val="20"/>
                <w:szCs w:val="20"/>
              </w:rPr>
            </w:pPr>
            <w:r>
              <w:rPr>
                <w:rFonts w:ascii="宋体"/>
                <w:sz w:val="20"/>
              </w:rPr>
              <w:t>4.00%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6"/>
              <w:ind w:right="106"/>
              <w:jc w:val="center"/>
              <w:rPr>
                <w:rFonts w:ascii="Times New Roman" w:hAnsi="Times New Roman" w:cs="Times New Roman" w:eastAsia="Times New Roman" w:hint="default"/>
                <w:sz w:val="21"/>
                <w:szCs w:val="21"/>
              </w:rPr>
            </w:pPr>
            <w:r>
              <w:rPr>
                <w:rFonts w:ascii="Times New Roman"/>
                <w:sz w:val="21"/>
              </w:rPr>
              <w:t>45.15</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6"/>
              <w:ind w:right="98"/>
              <w:jc w:val="right"/>
              <w:rPr>
                <w:rFonts w:ascii="Times New Roman" w:hAnsi="Times New Roman" w:cs="Times New Roman" w:eastAsia="Times New Roman" w:hint="default"/>
                <w:sz w:val="21"/>
                <w:szCs w:val="21"/>
              </w:rPr>
            </w:pPr>
            <w:r>
              <w:rPr>
                <w:rFonts w:ascii="Times New Roman"/>
                <w:sz w:val="21"/>
              </w:rPr>
              <w:t>45.15</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到</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531"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101"/>
              <w:jc w:val="both"/>
              <w:rPr>
                <w:rFonts w:ascii="宋体" w:hAnsi="宋体" w:cs="宋体" w:eastAsia="宋体" w:hint="default"/>
                <w:sz w:val="21"/>
                <w:szCs w:val="21"/>
              </w:rPr>
            </w:pPr>
            <w:r>
              <w:rPr>
                <w:rFonts w:ascii="宋体" w:hAnsi="宋体" w:cs="宋体" w:eastAsia="宋体" w:hint="default"/>
                <w:sz w:val="21"/>
                <w:szCs w:val="21"/>
              </w:rPr>
              <w:t>中信银</w:t>
            </w:r>
            <w:r>
              <w:rPr>
                <w:rFonts w:ascii="宋体" w:hAnsi="宋体" w:cs="宋体" w:eastAsia="宋体" w:hint="default"/>
                <w:spacing w:val="-102"/>
                <w:sz w:val="21"/>
                <w:szCs w:val="21"/>
              </w:rPr>
              <w:t> </w:t>
            </w:r>
            <w:r>
              <w:rPr>
                <w:rFonts w:ascii="宋体" w:hAnsi="宋体" w:cs="宋体" w:eastAsia="宋体" w:hint="default"/>
                <w:sz w:val="21"/>
                <w:szCs w:val="21"/>
              </w:rPr>
              <w:t>行股份</w:t>
            </w:r>
            <w:r>
              <w:rPr>
                <w:rFonts w:ascii="宋体" w:hAnsi="宋体" w:cs="宋体" w:eastAsia="宋体" w:hint="default"/>
                <w:spacing w:val="-102"/>
                <w:sz w:val="21"/>
                <w:szCs w:val="21"/>
              </w:rPr>
              <w:t> </w:t>
            </w:r>
            <w:r>
              <w:rPr>
                <w:rFonts w:ascii="宋体" w:hAnsi="宋体" w:cs="宋体" w:eastAsia="宋体" w:hint="default"/>
                <w:sz w:val="21"/>
                <w:szCs w:val="21"/>
              </w:rPr>
              <w:t>有限公</w:t>
            </w:r>
            <w:r>
              <w:rPr>
                <w:rFonts w:ascii="宋体" w:hAnsi="宋体" w:cs="宋体" w:eastAsia="宋体" w:hint="default"/>
                <w:spacing w:val="-102"/>
                <w:sz w:val="21"/>
                <w:szCs w:val="21"/>
              </w:rPr>
              <w:t> </w:t>
            </w:r>
            <w:r>
              <w:rPr>
                <w:rFonts w:ascii="宋体" w:hAnsi="宋体" w:cs="宋体" w:eastAsia="宋体" w:hint="default"/>
                <w:sz w:val="21"/>
                <w:szCs w:val="21"/>
              </w:rPr>
              <w:t>司福州</w:t>
            </w:r>
            <w:r>
              <w:rPr>
                <w:rFonts w:ascii="宋体" w:hAnsi="宋体" w:cs="宋体" w:eastAsia="宋体" w:hint="default"/>
                <w:spacing w:val="-102"/>
                <w:sz w:val="21"/>
                <w:szCs w:val="21"/>
              </w:rPr>
              <w:t> </w:t>
            </w:r>
            <w:r>
              <w:rPr>
                <w:rFonts w:ascii="宋体" w:hAnsi="宋体" w:cs="宋体" w:eastAsia="宋体" w:hint="default"/>
                <w:sz w:val="21"/>
                <w:szCs w:val="21"/>
              </w:rPr>
              <w:t>分行</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银</w:t>
            </w:r>
          </w:p>
          <w:p>
            <w:pPr>
              <w:pStyle w:val="TableParagraph"/>
              <w:spacing w:line="237" w:lineRule="auto"/>
              <w:ind w:left="103" w:right="242"/>
              <w:jc w:val="both"/>
              <w:rPr>
                <w:rFonts w:ascii="宋体" w:hAnsi="宋体" w:cs="宋体" w:eastAsia="宋体" w:hint="default"/>
                <w:sz w:val="21"/>
                <w:szCs w:val="21"/>
              </w:rPr>
            </w:pP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理</w:t>
            </w:r>
            <w:r>
              <w:rPr>
                <w:rFonts w:ascii="宋体" w:hAnsi="宋体" w:cs="宋体" w:eastAsia="宋体" w:hint="default"/>
                <w:w w:val="100"/>
                <w:sz w:val="21"/>
                <w:szCs w:val="21"/>
              </w:rPr>
              <w:t> </w:t>
            </w:r>
            <w:r>
              <w:rPr>
                <w:rFonts w:ascii="宋体" w:hAnsi="宋体" w:cs="宋体" w:eastAsia="宋体" w:hint="default"/>
                <w:sz w:val="21"/>
                <w:szCs w:val="21"/>
              </w:rPr>
              <w:t>财</w:t>
            </w:r>
            <w:r>
              <w:rPr>
                <w:rFonts w:ascii="宋体" w:hAnsi="宋体" w:cs="宋体" w:eastAsia="宋体" w:hint="default"/>
                <w:w w:val="100"/>
                <w:sz w:val="21"/>
                <w:szCs w:val="21"/>
              </w:rPr>
              <w:t> </w:t>
            </w:r>
            <w:r>
              <w:rPr>
                <w:rFonts w:ascii="宋体" w:hAnsi="宋体" w:cs="宋体" w:eastAsia="宋体" w:hint="default"/>
                <w:sz w:val="21"/>
                <w:szCs w:val="21"/>
              </w:rPr>
              <w:t>产</w:t>
            </w:r>
            <w:r>
              <w:rPr>
                <w:rFonts w:ascii="宋体" w:hAnsi="宋体" w:cs="宋体" w:eastAsia="宋体" w:hint="default"/>
                <w:w w:val="100"/>
                <w:sz w:val="21"/>
                <w:szCs w:val="21"/>
              </w:rPr>
              <w:t> </w:t>
            </w:r>
            <w:r>
              <w:rPr>
                <w:rFonts w:ascii="宋体" w:hAnsi="宋体" w:cs="宋体" w:eastAsia="宋体" w:hint="default"/>
                <w:sz w:val="21"/>
                <w:szCs w:val="21"/>
              </w:rPr>
              <w:t>品</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sz w:val="21"/>
              </w:rPr>
              <w:t>3,000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sz w:val="21"/>
              </w:rPr>
              <w:t>2017-07-14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sz w:val="21"/>
              </w:rPr>
              <w:t>2017-10-25</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募</w:t>
            </w:r>
            <w:r>
              <w:rPr>
                <w:rFonts w:ascii="宋体" w:hAnsi="宋体" w:cs="宋体" w:eastAsia="宋体" w:hint="default"/>
                <w:w w:val="100"/>
                <w:sz w:val="21"/>
                <w:szCs w:val="21"/>
              </w:rPr>
              <w:t> </w:t>
            </w:r>
            <w:r>
              <w:rPr>
                <w:rFonts w:ascii="宋体" w:hAnsi="宋体" w:cs="宋体" w:eastAsia="宋体" w:hint="default"/>
                <w:sz w:val="21"/>
                <w:szCs w:val="21"/>
              </w:rPr>
              <w:t>集</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z w:val="21"/>
                <w:szCs w:val="21"/>
              </w:rPr>
              <w:t>结构性利</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率掉期方</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式进行投</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资运作</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保</w:t>
            </w:r>
          </w:p>
          <w:p>
            <w:pPr>
              <w:pStyle w:val="TableParagraph"/>
              <w:spacing w:line="237" w:lineRule="auto"/>
              <w:ind w:left="100" w:right="101"/>
              <w:jc w:val="both"/>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浮</w:t>
            </w:r>
            <w:r>
              <w:rPr>
                <w:rFonts w:ascii="宋体" w:hAnsi="宋体" w:cs="宋体" w:eastAsia="宋体" w:hint="default"/>
                <w:w w:val="100"/>
                <w:sz w:val="21"/>
                <w:szCs w:val="21"/>
              </w:rPr>
              <w:t> </w:t>
            </w:r>
            <w:r>
              <w:rPr>
                <w:rFonts w:ascii="宋体" w:hAnsi="宋体" w:cs="宋体" w:eastAsia="宋体" w:hint="default"/>
                <w:sz w:val="21"/>
                <w:szCs w:val="21"/>
              </w:rPr>
              <w:t>动</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left="103" w:right="0"/>
              <w:jc w:val="left"/>
              <w:rPr>
                <w:rFonts w:ascii="宋体" w:hAnsi="宋体" w:cs="宋体" w:eastAsia="宋体" w:hint="default"/>
                <w:sz w:val="20"/>
                <w:szCs w:val="20"/>
              </w:rPr>
            </w:pPr>
            <w:r>
              <w:rPr>
                <w:rFonts w:ascii="宋体"/>
                <w:sz w:val="20"/>
              </w:rPr>
              <w:t>4.00%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6"/>
              <w:ind w:right="106"/>
              <w:jc w:val="center"/>
              <w:rPr>
                <w:rFonts w:ascii="Times New Roman" w:hAnsi="Times New Roman" w:cs="Times New Roman" w:eastAsia="Times New Roman" w:hint="default"/>
                <w:sz w:val="21"/>
                <w:szCs w:val="21"/>
              </w:rPr>
            </w:pPr>
            <w:r>
              <w:rPr>
                <w:rFonts w:ascii="Times New Roman"/>
                <w:sz w:val="21"/>
              </w:rPr>
              <w:t>33.86</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6"/>
              <w:ind w:right="98"/>
              <w:jc w:val="right"/>
              <w:rPr>
                <w:rFonts w:ascii="Times New Roman" w:hAnsi="Times New Roman" w:cs="Times New Roman" w:eastAsia="Times New Roman" w:hint="default"/>
                <w:sz w:val="21"/>
                <w:szCs w:val="21"/>
              </w:rPr>
            </w:pPr>
            <w:r>
              <w:rPr>
                <w:rFonts w:ascii="Times New Roman"/>
                <w:sz w:val="21"/>
              </w:rPr>
              <w:t>33.86</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到</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531"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中国民</w:t>
            </w: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z w:val="21"/>
                <w:szCs w:val="21"/>
              </w:rPr>
              <w:t>生银行</w:t>
            </w:r>
            <w:r>
              <w:rPr>
                <w:rFonts w:ascii="宋体" w:hAnsi="宋体" w:cs="宋体" w:eastAsia="宋体" w:hint="default"/>
                <w:spacing w:val="-102"/>
                <w:sz w:val="21"/>
                <w:szCs w:val="21"/>
              </w:rPr>
              <w:t> </w:t>
            </w:r>
            <w:r>
              <w:rPr>
                <w:rFonts w:ascii="宋体" w:hAnsi="宋体" w:cs="宋体" w:eastAsia="宋体" w:hint="default"/>
                <w:sz w:val="21"/>
                <w:szCs w:val="21"/>
              </w:rPr>
              <w:t>股份有</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银</w:t>
            </w:r>
          </w:p>
          <w:p>
            <w:pPr>
              <w:pStyle w:val="TableParagraph"/>
              <w:spacing w:line="240" w:lineRule="auto"/>
              <w:ind w:left="103" w:right="242"/>
              <w:jc w:val="left"/>
              <w:rPr>
                <w:rFonts w:ascii="宋体" w:hAnsi="宋体" w:cs="宋体" w:eastAsia="宋体" w:hint="default"/>
                <w:sz w:val="21"/>
                <w:szCs w:val="21"/>
              </w:rPr>
            </w:pP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理</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sz w:val="21"/>
              </w:rPr>
              <w:t>1,000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sz w:val="21"/>
              </w:rPr>
              <w:t>2017-06-28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sz w:val="21"/>
              </w:rPr>
              <w:t>2017-09-28</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自</w:t>
            </w: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资</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产品销售</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z w:val="21"/>
                <w:szCs w:val="21"/>
              </w:rPr>
              <w:t>所汇资金</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为名义本</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保</w:t>
            </w:r>
          </w:p>
          <w:p>
            <w:pPr>
              <w:pStyle w:val="TableParagraph"/>
              <w:spacing w:line="240" w:lineRule="auto"/>
              <w:ind w:left="100" w:right="101"/>
              <w:jc w:val="left"/>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浮</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0"/>
                <w:szCs w:val="20"/>
              </w:rPr>
            </w:pPr>
            <w:r>
              <w:rPr>
                <w:rFonts w:ascii="宋体"/>
                <w:sz w:val="20"/>
              </w:rPr>
              <w:t>4.20%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6"/>
              <w:jc w:val="center"/>
              <w:rPr>
                <w:rFonts w:ascii="Times New Roman" w:hAnsi="Times New Roman" w:cs="Times New Roman" w:eastAsia="Times New Roman" w:hint="default"/>
                <w:sz w:val="21"/>
                <w:szCs w:val="21"/>
              </w:rPr>
            </w:pPr>
            <w:r>
              <w:rPr>
                <w:rFonts w:ascii="Times New Roman"/>
                <w:sz w:val="21"/>
              </w:rPr>
              <w:t>10.59</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10.73</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到</w:t>
            </w: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收</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53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5" w:footer="1195" w:top="1280" w:bottom="1380" w:left="540" w:right="300"/>
        </w:sectPr>
      </w:pPr>
    </w:p>
    <w:p>
      <w:pPr>
        <w:spacing w:line="240" w:lineRule="auto" w:before="3"/>
        <w:rPr>
          <w:rFonts w:ascii="Times New Roman" w:hAnsi="Times New Roman" w:cs="Times New Roman" w:eastAsia="Times New Roman" w:hint="default"/>
          <w:sz w:val="20"/>
          <w:szCs w:val="20"/>
        </w:rPr>
      </w:pPr>
    </w:p>
    <w:tbl>
      <w:tblPr>
        <w:tblW w:w="0" w:type="auto"/>
        <w:jc w:val="left"/>
        <w:tblInd w:w="117" w:type="dxa"/>
        <w:tblLayout w:type="fixed"/>
        <w:tblCellMar>
          <w:top w:w="0" w:type="dxa"/>
          <w:left w:w="0" w:type="dxa"/>
          <w:bottom w:w="0" w:type="dxa"/>
          <w:right w:w="0" w:type="dxa"/>
        </w:tblCellMar>
        <w:tblLook w:val="01E0"/>
      </w:tblPr>
      <w:tblGrid>
        <w:gridCol w:w="850"/>
        <w:gridCol w:w="569"/>
        <w:gridCol w:w="847"/>
        <w:gridCol w:w="1277"/>
        <w:gridCol w:w="1277"/>
        <w:gridCol w:w="427"/>
        <w:gridCol w:w="1068"/>
        <w:gridCol w:w="425"/>
        <w:gridCol w:w="797"/>
        <w:gridCol w:w="795"/>
        <w:gridCol w:w="689"/>
        <w:gridCol w:w="427"/>
        <w:gridCol w:w="427"/>
        <w:gridCol w:w="427"/>
        <w:gridCol w:w="531"/>
      </w:tblGrid>
      <w:tr>
        <w:trPr>
          <w:trHeight w:val="2734"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z w:val="21"/>
                <w:szCs w:val="21"/>
              </w:rPr>
              <w:t>福州分</w:t>
            </w:r>
            <w:r>
              <w:rPr>
                <w:rFonts w:ascii="宋体" w:hAnsi="宋体" w:cs="宋体" w:eastAsia="宋体" w:hint="default"/>
                <w:spacing w:val="-102"/>
                <w:sz w:val="21"/>
                <w:szCs w:val="21"/>
              </w:rPr>
              <w:t> </w:t>
            </w:r>
            <w:r>
              <w:rPr>
                <w:rFonts w:ascii="宋体" w:hAnsi="宋体" w:cs="宋体" w:eastAsia="宋体" w:hint="default"/>
                <w:sz w:val="21"/>
                <w:szCs w:val="21"/>
              </w:rPr>
              <w:t>行</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财</w:t>
            </w:r>
          </w:p>
          <w:p>
            <w:pPr>
              <w:pStyle w:val="TableParagraph"/>
              <w:spacing w:line="240" w:lineRule="auto"/>
              <w:ind w:left="103" w:right="242"/>
              <w:jc w:val="left"/>
              <w:rPr>
                <w:rFonts w:ascii="宋体" w:hAnsi="宋体" w:cs="宋体" w:eastAsia="宋体" w:hint="default"/>
                <w:sz w:val="21"/>
                <w:szCs w:val="21"/>
              </w:rPr>
            </w:pPr>
            <w:r>
              <w:rPr>
                <w:rFonts w:ascii="宋体" w:hAnsi="宋体" w:cs="宋体" w:eastAsia="宋体" w:hint="default"/>
                <w:sz w:val="21"/>
                <w:szCs w:val="21"/>
              </w:rPr>
              <w:t>产</w:t>
            </w:r>
            <w:r>
              <w:rPr>
                <w:rFonts w:ascii="宋体" w:hAnsi="宋体" w:cs="宋体" w:eastAsia="宋体" w:hint="default"/>
                <w:w w:val="100"/>
                <w:sz w:val="21"/>
                <w:szCs w:val="21"/>
              </w:rPr>
              <w:t> </w:t>
            </w:r>
            <w:r>
              <w:rPr>
                <w:rFonts w:ascii="宋体" w:hAnsi="宋体" w:cs="宋体" w:eastAsia="宋体" w:hint="default"/>
                <w:sz w:val="21"/>
                <w:szCs w:val="21"/>
              </w:rPr>
              <w:t>品</w:t>
            </w:r>
          </w:p>
        </w:tc>
        <w:tc>
          <w:tcPr>
            <w:tcW w:w="84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金</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z w:val="21"/>
                <w:szCs w:val="21"/>
              </w:rPr>
              <w:t>金，并以</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该名义本</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金的资金</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成本与交</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易对手叙</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作投资收</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益和</w:t>
            </w:r>
            <w:r>
              <w:rPr>
                <w:rFonts w:ascii="宋体" w:hAnsi="宋体" w:cs="宋体" w:eastAsia="宋体" w:hint="default"/>
                <w:spacing w:val="12"/>
                <w:sz w:val="21"/>
                <w:szCs w:val="21"/>
              </w:rPr>
              <w:t> </w:t>
            </w:r>
            <w:r>
              <w:rPr>
                <w:rFonts w:ascii="宋体" w:hAnsi="宋体" w:cs="宋体" w:eastAsia="宋体" w:hint="default"/>
                <w:sz w:val="21"/>
                <w:szCs w:val="21"/>
              </w:rPr>
              <w:t>3ML</w:t>
            </w:r>
            <w:r>
              <w:rPr>
                <w:rFonts w:ascii="宋体" w:hAnsi="宋体" w:cs="宋体" w:eastAsia="宋体" w:hint="default"/>
                <w:w w:val="100"/>
                <w:sz w:val="21"/>
                <w:szCs w:val="21"/>
              </w:rPr>
              <w:t> </w:t>
            </w:r>
            <w:r>
              <w:rPr>
                <w:rFonts w:ascii="宋体" w:hAnsi="宋体" w:cs="宋体" w:eastAsia="宋体" w:hint="default"/>
                <w:sz w:val="21"/>
                <w:szCs w:val="21"/>
              </w:rPr>
              <w:t>挂钩的金</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融衍生品</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交易</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动</w:t>
            </w:r>
          </w:p>
          <w:p>
            <w:pPr>
              <w:pStyle w:val="TableParagraph"/>
              <w:spacing w:line="240" w:lineRule="auto"/>
              <w:ind w:left="100" w:right="101"/>
              <w:jc w:val="left"/>
              <w:rPr>
                <w:rFonts w:ascii="宋体" w:hAnsi="宋体" w:cs="宋体" w:eastAsia="宋体" w:hint="default"/>
                <w:sz w:val="21"/>
                <w:szCs w:val="21"/>
              </w:rPr>
            </w:pP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益</w:t>
            </w:r>
          </w:p>
        </w:tc>
        <w:tc>
          <w:tcPr>
            <w:tcW w:w="797" w:type="dxa"/>
            <w:tcBorders>
              <w:top w:val="nil" w:sz="6" w:space="0" w:color="auto"/>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回</w:t>
            </w: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r>
      <w:tr>
        <w:trPr>
          <w:trHeight w:val="3553"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国泰君</w:t>
            </w:r>
            <w:r>
              <w:rPr>
                <w:rFonts w:ascii="宋体" w:hAnsi="宋体" w:cs="宋体" w:eastAsia="宋体" w:hint="default"/>
                <w:spacing w:val="-102"/>
                <w:sz w:val="21"/>
                <w:szCs w:val="21"/>
              </w:rPr>
              <w:t> </w:t>
            </w:r>
            <w:r>
              <w:rPr>
                <w:rFonts w:ascii="宋体" w:hAnsi="宋体" w:cs="宋体" w:eastAsia="宋体" w:hint="default"/>
                <w:sz w:val="21"/>
                <w:szCs w:val="21"/>
              </w:rPr>
              <w:t>安证券</w:t>
            </w:r>
            <w:r>
              <w:rPr>
                <w:rFonts w:ascii="宋体" w:hAnsi="宋体" w:cs="宋体" w:eastAsia="宋体" w:hint="default"/>
                <w:spacing w:val="-102"/>
                <w:sz w:val="21"/>
                <w:szCs w:val="21"/>
              </w:rPr>
              <w:t> </w:t>
            </w:r>
            <w:r>
              <w:rPr>
                <w:rFonts w:ascii="宋体" w:hAnsi="宋体" w:cs="宋体" w:eastAsia="宋体" w:hint="default"/>
                <w:sz w:val="21"/>
                <w:szCs w:val="21"/>
              </w:rPr>
              <w:t>股份有</w:t>
            </w:r>
            <w:r>
              <w:rPr>
                <w:rFonts w:ascii="宋体" w:hAnsi="宋体" w:cs="宋体" w:eastAsia="宋体" w:hint="default"/>
                <w:spacing w:val="-102"/>
                <w:sz w:val="21"/>
                <w:szCs w:val="21"/>
              </w:rPr>
              <w:t> </w:t>
            </w:r>
            <w:r>
              <w:rPr>
                <w:rFonts w:ascii="宋体" w:hAnsi="宋体" w:cs="宋体" w:eastAsia="宋体" w:hint="default"/>
                <w:sz w:val="21"/>
                <w:szCs w:val="21"/>
              </w:rPr>
              <w:t>限公司</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37" w:lineRule="auto"/>
              <w:ind w:left="103" w:right="242"/>
              <w:jc w:val="both"/>
              <w:rPr>
                <w:rFonts w:ascii="宋体" w:hAnsi="宋体" w:cs="宋体" w:eastAsia="宋体" w:hint="default"/>
                <w:sz w:val="21"/>
                <w:szCs w:val="21"/>
              </w:rPr>
            </w:pPr>
            <w:r>
              <w:rPr>
                <w:rFonts w:ascii="宋体" w:hAnsi="宋体" w:cs="宋体" w:eastAsia="宋体" w:hint="default"/>
                <w:sz w:val="21"/>
                <w:szCs w:val="21"/>
              </w:rPr>
              <w:t>券</w:t>
            </w:r>
            <w:r>
              <w:rPr>
                <w:rFonts w:ascii="宋体" w:hAnsi="宋体" w:cs="宋体" w:eastAsia="宋体" w:hint="default"/>
                <w:w w:val="100"/>
                <w:sz w:val="21"/>
                <w:szCs w:val="21"/>
              </w:rPr>
              <w:t> </w:t>
            </w:r>
            <w:r>
              <w:rPr>
                <w:rFonts w:ascii="宋体" w:hAnsi="宋体" w:cs="宋体" w:eastAsia="宋体" w:hint="default"/>
                <w:sz w:val="21"/>
                <w:szCs w:val="21"/>
              </w:rPr>
              <w:t>商</w:t>
            </w:r>
            <w:r>
              <w:rPr>
                <w:rFonts w:ascii="宋体" w:hAnsi="宋体" w:cs="宋体" w:eastAsia="宋体" w:hint="default"/>
                <w:w w:val="100"/>
                <w:sz w:val="21"/>
                <w:szCs w:val="21"/>
              </w:rPr>
              <w:t> </w:t>
            </w:r>
            <w:r>
              <w:rPr>
                <w:rFonts w:ascii="宋体" w:hAnsi="宋体" w:cs="宋体" w:eastAsia="宋体" w:hint="default"/>
                <w:sz w:val="21"/>
                <w:szCs w:val="21"/>
              </w:rPr>
              <w:t>理</w:t>
            </w:r>
            <w:r>
              <w:rPr>
                <w:rFonts w:ascii="宋体" w:hAnsi="宋体" w:cs="宋体" w:eastAsia="宋体" w:hint="default"/>
                <w:w w:val="100"/>
                <w:sz w:val="21"/>
                <w:szCs w:val="21"/>
              </w:rPr>
              <w:t> </w:t>
            </w:r>
            <w:r>
              <w:rPr>
                <w:rFonts w:ascii="宋体" w:hAnsi="宋体" w:cs="宋体" w:eastAsia="宋体" w:hint="default"/>
                <w:sz w:val="21"/>
                <w:szCs w:val="21"/>
              </w:rPr>
              <w:t>财</w:t>
            </w:r>
            <w:r>
              <w:rPr>
                <w:rFonts w:ascii="宋体" w:hAnsi="宋体" w:cs="宋体" w:eastAsia="宋体" w:hint="default"/>
                <w:w w:val="100"/>
                <w:sz w:val="21"/>
                <w:szCs w:val="21"/>
              </w:rPr>
              <w:t> </w:t>
            </w:r>
            <w:r>
              <w:rPr>
                <w:rFonts w:ascii="宋体" w:hAnsi="宋体" w:cs="宋体" w:eastAsia="宋体" w:hint="default"/>
                <w:sz w:val="21"/>
                <w:szCs w:val="21"/>
              </w:rPr>
              <w:t>产</w:t>
            </w:r>
            <w:r>
              <w:rPr>
                <w:rFonts w:ascii="宋体" w:hAnsi="宋体" w:cs="宋体" w:eastAsia="宋体" w:hint="default"/>
                <w:w w:val="100"/>
                <w:sz w:val="21"/>
                <w:szCs w:val="21"/>
              </w:rPr>
              <w:t> </w:t>
            </w:r>
            <w:r>
              <w:rPr>
                <w:rFonts w:ascii="宋体" w:hAnsi="宋体" w:cs="宋体" w:eastAsia="宋体" w:hint="default"/>
                <w:sz w:val="21"/>
                <w:szCs w:val="21"/>
              </w:rPr>
              <w:t>品</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sz w:val="21"/>
              </w:rPr>
              <w:t>10,000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sz w:val="21"/>
              </w:rPr>
              <w:t>2017-06-30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sz w:val="21"/>
              </w:rPr>
              <w:t>2017-08-30</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募集的资</w:t>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z w:val="21"/>
                <w:szCs w:val="21"/>
              </w:rPr>
              <w:t>金用于补</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充公司营</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运资金，</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主要投向</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公司资本</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中介业务</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及其他创</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新业务，</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提升公司</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多元化业</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务收入水</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37" w:lineRule="auto"/>
              <w:ind w:left="100" w:right="101"/>
              <w:jc w:val="both"/>
              <w:rPr>
                <w:rFonts w:ascii="宋体" w:hAnsi="宋体" w:cs="宋体" w:eastAsia="宋体" w:hint="default"/>
                <w:sz w:val="21"/>
                <w:szCs w:val="21"/>
              </w:rPr>
            </w:pPr>
            <w:r>
              <w:rPr>
                <w:rFonts w:ascii="宋体" w:hAnsi="宋体" w:cs="宋体" w:eastAsia="宋体" w:hint="default"/>
                <w:sz w:val="21"/>
                <w:szCs w:val="21"/>
              </w:rPr>
              <w:t>固</w:t>
            </w:r>
            <w:r>
              <w:rPr>
                <w:rFonts w:ascii="宋体" w:hAnsi="宋体" w:cs="宋体" w:eastAsia="宋体" w:hint="default"/>
                <w:w w:val="100"/>
                <w:sz w:val="21"/>
                <w:szCs w:val="21"/>
              </w:rPr>
              <w:t> </w:t>
            </w:r>
            <w:r>
              <w:rPr>
                <w:rFonts w:ascii="宋体" w:hAnsi="宋体" w:cs="宋体" w:eastAsia="宋体" w:hint="default"/>
                <w:sz w:val="21"/>
                <w:szCs w:val="21"/>
              </w:rPr>
              <w:t>定</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0"/>
                <w:szCs w:val="20"/>
              </w:rPr>
            </w:pPr>
            <w:r>
              <w:rPr>
                <w:rFonts w:ascii="宋体"/>
                <w:sz w:val="20"/>
              </w:rPr>
              <w:t>4.65%</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78.99</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78.99</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到</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531" w:type="dxa"/>
            <w:tcBorders>
              <w:top w:val="single" w:sz="4" w:space="0" w:color="000000"/>
              <w:left w:val="single" w:sz="4" w:space="0" w:color="000000"/>
              <w:bottom w:val="single" w:sz="4" w:space="0" w:color="000000"/>
              <w:right w:val="single" w:sz="4" w:space="0" w:color="000000"/>
            </w:tcBorders>
          </w:tcPr>
          <w:p>
            <w:pPr/>
          </w:p>
        </w:tc>
      </w:tr>
      <w:tr>
        <w:trPr>
          <w:trHeight w:val="3550"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国泰君</w:t>
            </w:r>
            <w:r>
              <w:rPr>
                <w:rFonts w:ascii="宋体" w:hAnsi="宋体" w:cs="宋体" w:eastAsia="宋体" w:hint="default"/>
                <w:spacing w:val="-102"/>
                <w:sz w:val="21"/>
                <w:szCs w:val="21"/>
              </w:rPr>
              <w:t> </w:t>
            </w:r>
            <w:r>
              <w:rPr>
                <w:rFonts w:ascii="宋体" w:hAnsi="宋体" w:cs="宋体" w:eastAsia="宋体" w:hint="default"/>
                <w:sz w:val="21"/>
                <w:szCs w:val="21"/>
              </w:rPr>
              <w:t>安证券</w:t>
            </w:r>
            <w:r>
              <w:rPr>
                <w:rFonts w:ascii="宋体" w:hAnsi="宋体" w:cs="宋体" w:eastAsia="宋体" w:hint="default"/>
                <w:spacing w:val="-102"/>
                <w:sz w:val="21"/>
                <w:szCs w:val="21"/>
              </w:rPr>
              <w:t> </w:t>
            </w:r>
            <w:r>
              <w:rPr>
                <w:rFonts w:ascii="宋体" w:hAnsi="宋体" w:cs="宋体" w:eastAsia="宋体" w:hint="default"/>
                <w:sz w:val="21"/>
                <w:szCs w:val="21"/>
              </w:rPr>
              <w:t>股份有</w:t>
            </w:r>
            <w:r>
              <w:rPr>
                <w:rFonts w:ascii="宋体" w:hAnsi="宋体" w:cs="宋体" w:eastAsia="宋体" w:hint="default"/>
                <w:spacing w:val="-102"/>
                <w:sz w:val="21"/>
                <w:szCs w:val="21"/>
              </w:rPr>
              <w:t> </w:t>
            </w:r>
            <w:r>
              <w:rPr>
                <w:rFonts w:ascii="宋体" w:hAnsi="宋体" w:cs="宋体" w:eastAsia="宋体" w:hint="default"/>
                <w:sz w:val="21"/>
                <w:szCs w:val="21"/>
              </w:rPr>
              <w:t>限公司</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37" w:lineRule="auto"/>
              <w:ind w:left="103" w:right="242"/>
              <w:jc w:val="both"/>
              <w:rPr>
                <w:rFonts w:ascii="宋体" w:hAnsi="宋体" w:cs="宋体" w:eastAsia="宋体" w:hint="default"/>
                <w:sz w:val="21"/>
                <w:szCs w:val="21"/>
              </w:rPr>
            </w:pPr>
            <w:r>
              <w:rPr>
                <w:rFonts w:ascii="宋体" w:hAnsi="宋体" w:cs="宋体" w:eastAsia="宋体" w:hint="default"/>
                <w:sz w:val="21"/>
                <w:szCs w:val="21"/>
              </w:rPr>
              <w:t>券</w:t>
            </w:r>
            <w:r>
              <w:rPr>
                <w:rFonts w:ascii="宋体" w:hAnsi="宋体" w:cs="宋体" w:eastAsia="宋体" w:hint="default"/>
                <w:w w:val="100"/>
                <w:sz w:val="21"/>
                <w:szCs w:val="21"/>
              </w:rPr>
              <w:t> </w:t>
            </w:r>
            <w:r>
              <w:rPr>
                <w:rFonts w:ascii="宋体" w:hAnsi="宋体" w:cs="宋体" w:eastAsia="宋体" w:hint="default"/>
                <w:sz w:val="21"/>
                <w:szCs w:val="21"/>
              </w:rPr>
              <w:t>商</w:t>
            </w:r>
            <w:r>
              <w:rPr>
                <w:rFonts w:ascii="宋体" w:hAnsi="宋体" w:cs="宋体" w:eastAsia="宋体" w:hint="default"/>
                <w:w w:val="100"/>
                <w:sz w:val="21"/>
                <w:szCs w:val="21"/>
              </w:rPr>
              <w:t> </w:t>
            </w:r>
            <w:r>
              <w:rPr>
                <w:rFonts w:ascii="宋体" w:hAnsi="宋体" w:cs="宋体" w:eastAsia="宋体" w:hint="default"/>
                <w:sz w:val="21"/>
                <w:szCs w:val="21"/>
              </w:rPr>
              <w:t>理</w:t>
            </w:r>
            <w:r>
              <w:rPr>
                <w:rFonts w:ascii="宋体" w:hAnsi="宋体" w:cs="宋体" w:eastAsia="宋体" w:hint="default"/>
                <w:w w:val="100"/>
                <w:sz w:val="21"/>
                <w:szCs w:val="21"/>
              </w:rPr>
              <w:t> </w:t>
            </w:r>
            <w:r>
              <w:rPr>
                <w:rFonts w:ascii="宋体" w:hAnsi="宋体" w:cs="宋体" w:eastAsia="宋体" w:hint="default"/>
                <w:sz w:val="21"/>
                <w:szCs w:val="21"/>
              </w:rPr>
              <w:t>财</w:t>
            </w:r>
            <w:r>
              <w:rPr>
                <w:rFonts w:ascii="宋体" w:hAnsi="宋体" w:cs="宋体" w:eastAsia="宋体" w:hint="default"/>
                <w:w w:val="100"/>
                <w:sz w:val="21"/>
                <w:szCs w:val="21"/>
              </w:rPr>
              <w:t> </w:t>
            </w:r>
            <w:r>
              <w:rPr>
                <w:rFonts w:ascii="宋体" w:hAnsi="宋体" w:cs="宋体" w:eastAsia="宋体" w:hint="default"/>
                <w:sz w:val="21"/>
                <w:szCs w:val="21"/>
              </w:rPr>
              <w:t>产</w:t>
            </w:r>
            <w:r>
              <w:rPr>
                <w:rFonts w:ascii="宋体" w:hAnsi="宋体" w:cs="宋体" w:eastAsia="宋体" w:hint="default"/>
                <w:w w:val="100"/>
                <w:sz w:val="21"/>
                <w:szCs w:val="21"/>
              </w:rPr>
              <w:t> </w:t>
            </w:r>
            <w:r>
              <w:rPr>
                <w:rFonts w:ascii="宋体" w:hAnsi="宋体" w:cs="宋体" w:eastAsia="宋体" w:hint="default"/>
                <w:sz w:val="21"/>
                <w:szCs w:val="21"/>
              </w:rPr>
              <w:t>品</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sz w:val="21"/>
              </w:rPr>
              <w:t>4,000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sz w:val="21"/>
              </w:rPr>
              <w:t>2017-06-30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sz w:val="21"/>
              </w:rPr>
              <w:t>2017-10-10</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募集的资</w:t>
            </w:r>
          </w:p>
          <w:p>
            <w:pPr>
              <w:pStyle w:val="TableParagraph"/>
              <w:spacing w:line="237" w:lineRule="auto" w:before="1"/>
              <w:ind w:left="103" w:right="99"/>
              <w:jc w:val="both"/>
              <w:rPr>
                <w:rFonts w:ascii="宋体" w:hAnsi="宋体" w:cs="宋体" w:eastAsia="宋体" w:hint="default"/>
                <w:sz w:val="21"/>
                <w:szCs w:val="21"/>
              </w:rPr>
            </w:pPr>
            <w:r>
              <w:rPr>
                <w:rFonts w:ascii="宋体" w:hAnsi="宋体" w:cs="宋体" w:eastAsia="宋体" w:hint="default"/>
                <w:sz w:val="21"/>
                <w:szCs w:val="21"/>
              </w:rPr>
              <w:t>金用于补</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充公司营</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运资金，</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主要投向</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公司资本</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中介业务</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及其他创</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新业务，</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提升公司</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多元化业</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务收入水</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37" w:lineRule="auto"/>
              <w:ind w:left="100" w:right="101"/>
              <w:jc w:val="both"/>
              <w:rPr>
                <w:rFonts w:ascii="宋体" w:hAnsi="宋体" w:cs="宋体" w:eastAsia="宋体" w:hint="default"/>
                <w:sz w:val="21"/>
                <w:szCs w:val="21"/>
              </w:rPr>
            </w:pPr>
            <w:r>
              <w:rPr>
                <w:rFonts w:ascii="宋体" w:hAnsi="宋体" w:cs="宋体" w:eastAsia="宋体" w:hint="default"/>
                <w:sz w:val="21"/>
                <w:szCs w:val="21"/>
              </w:rPr>
              <w:t>固</w:t>
            </w:r>
            <w:r>
              <w:rPr>
                <w:rFonts w:ascii="宋体" w:hAnsi="宋体" w:cs="宋体" w:eastAsia="宋体" w:hint="default"/>
                <w:w w:val="100"/>
                <w:sz w:val="21"/>
                <w:szCs w:val="21"/>
              </w:rPr>
              <w:t> </w:t>
            </w:r>
            <w:r>
              <w:rPr>
                <w:rFonts w:ascii="宋体" w:hAnsi="宋体" w:cs="宋体" w:eastAsia="宋体" w:hint="default"/>
                <w:sz w:val="21"/>
                <w:szCs w:val="21"/>
              </w:rPr>
              <w:t>定</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0"/>
                <w:szCs w:val="20"/>
              </w:rPr>
            </w:pPr>
            <w:r>
              <w:rPr>
                <w:rFonts w:ascii="宋体"/>
                <w:sz w:val="20"/>
              </w:rPr>
              <w:t>4.55%</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51.36</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51.36</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到</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531" w:type="dxa"/>
            <w:tcBorders>
              <w:top w:val="single" w:sz="4" w:space="0" w:color="000000"/>
              <w:left w:val="single" w:sz="4" w:space="0" w:color="000000"/>
              <w:bottom w:val="single" w:sz="4" w:space="0" w:color="000000"/>
              <w:right w:val="single" w:sz="4" w:space="0" w:color="000000"/>
            </w:tcBorders>
          </w:tcPr>
          <w:p>
            <w:pPr/>
          </w:p>
        </w:tc>
      </w:tr>
      <w:tr>
        <w:trPr>
          <w:trHeight w:val="3551"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国泰君</w:t>
            </w:r>
            <w:r>
              <w:rPr>
                <w:rFonts w:ascii="宋体" w:hAnsi="宋体" w:cs="宋体" w:eastAsia="宋体" w:hint="default"/>
                <w:spacing w:val="-102"/>
                <w:sz w:val="21"/>
                <w:szCs w:val="21"/>
              </w:rPr>
              <w:t> </w:t>
            </w:r>
            <w:r>
              <w:rPr>
                <w:rFonts w:ascii="宋体" w:hAnsi="宋体" w:cs="宋体" w:eastAsia="宋体" w:hint="default"/>
                <w:sz w:val="21"/>
                <w:szCs w:val="21"/>
              </w:rPr>
              <w:t>安证券</w:t>
            </w:r>
            <w:r>
              <w:rPr>
                <w:rFonts w:ascii="宋体" w:hAnsi="宋体" w:cs="宋体" w:eastAsia="宋体" w:hint="default"/>
                <w:spacing w:val="-102"/>
                <w:sz w:val="21"/>
                <w:szCs w:val="21"/>
              </w:rPr>
              <w:t> </w:t>
            </w:r>
            <w:r>
              <w:rPr>
                <w:rFonts w:ascii="宋体" w:hAnsi="宋体" w:cs="宋体" w:eastAsia="宋体" w:hint="default"/>
                <w:sz w:val="21"/>
                <w:szCs w:val="21"/>
              </w:rPr>
              <w:t>股份有</w:t>
            </w:r>
            <w:r>
              <w:rPr>
                <w:rFonts w:ascii="宋体" w:hAnsi="宋体" w:cs="宋体" w:eastAsia="宋体" w:hint="default"/>
                <w:spacing w:val="-102"/>
                <w:sz w:val="21"/>
                <w:szCs w:val="21"/>
              </w:rPr>
              <w:t> </w:t>
            </w:r>
            <w:r>
              <w:rPr>
                <w:rFonts w:ascii="宋体" w:hAnsi="宋体" w:cs="宋体" w:eastAsia="宋体" w:hint="default"/>
                <w:sz w:val="21"/>
                <w:szCs w:val="21"/>
              </w:rPr>
              <w:t>限公司</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37" w:lineRule="auto"/>
              <w:ind w:left="103" w:right="242"/>
              <w:jc w:val="both"/>
              <w:rPr>
                <w:rFonts w:ascii="宋体" w:hAnsi="宋体" w:cs="宋体" w:eastAsia="宋体" w:hint="default"/>
                <w:sz w:val="21"/>
                <w:szCs w:val="21"/>
              </w:rPr>
            </w:pPr>
            <w:r>
              <w:rPr>
                <w:rFonts w:ascii="宋体" w:hAnsi="宋体" w:cs="宋体" w:eastAsia="宋体" w:hint="default"/>
                <w:sz w:val="21"/>
                <w:szCs w:val="21"/>
              </w:rPr>
              <w:t>券</w:t>
            </w:r>
            <w:r>
              <w:rPr>
                <w:rFonts w:ascii="宋体" w:hAnsi="宋体" w:cs="宋体" w:eastAsia="宋体" w:hint="default"/>
                <w:w w:val="100"/>
                <w:sz w:val="21"/>
                <w:szCs w:val="21"/>
              </w:rPr>
              <w:t> </w:t>
            </w:r>
            <w:r>
              <w:rPr>
                <w:rFonts w:ascii="宋体" w:hAnsi="宋体" w:cs="宋体" w:eastAsia="宋体" w:hint="default"/>
                <w:sz w:val="21"/>
                <w:szCs w:val="21"/>
              </w:rPr>
              <w:t>商</w:t>
            </w:r>
            <w:r>
              <w:rPr>
                <w:rFonts w:ascii="宋体" w:hAnsi="宋体" w:cs="宋体" w:eastAsia="宋体" w:hint="default"/>
                <w:w w:val="100"/>
                <w:sz w:val="21"/>
                <w:szCs w:val="21"/>
              </w:rPr>
              <w:t> </w:t>
            </w:r>
            <w:r>
              <w:rPr>
                <w:rFonts w:ascii="宋体" w:hAnsi="宋体" w:cs="宋体" w:eastAsia="宋体" w:hint="default"/>
                <w:sz w:val="21"/>
                <w:szCs w:val="21"/>
              </w:rPr>
              <w:t>理</w:t>
            </w:r>
            <w:r>
              <w:rPr>
                <w:rFonts w:ascii="宋体" w:hAnsi="宋体" w:cs="宋体" w:eastAsia="宋体" w:hint="default"/>
                <w:w w:val="100"/>
                <w:sz w:val="21"/>
                <w:szCs w:val="21"/>
              </w:rPr>
              <w:t> </w:t>
            </w:r>
            <w:r>
              <w:rPr>
                <w:rFonts w:ascii="宋体" w:hAnsi="宋体" w:cs="宋体" w:eastAsia="宋体" w:hint="default"/>
                <w:sz w:val="21"/>
                <w:szCs w:val="21"/>
              </w:rPr>
              <w:t>财</w:t>
            </w:r>
            <w:r>
              <w:rPr>
                <w:rFonts w:ascii="宋体" w:hAnsi="宋体" w:cs="宋体" w:eastAsia="宋体" w:hint="default"/>
                <w:w w:val="100"/>
                <w:sz w:val="21"/>
                <w:szCs w:val="21"/>
              </w:rPr>
              <w:t> </w:t>
            </w:r>
            <w:r>
              <w:rPr>
                <w:rFonts w:ascii="宋体" w:hAnsi="宋体" w:cs="宋体" w:eastAsia="宋体" w:hint="default"/>
                <w:sz w:val="21"/>
                <w:szCs w:val="21"/>
              </w:rPr>
              <w:t>产</w:t>
            </w:r>
            <w:r>
              <w:rPr>
                <w:rFonts w:ascii="宋体" w:hAnsi="宋体" w:cs="宋体" w:eastAsia="宋体" w:hint="default"/>
                <w:w w:val="100"/>
                <w:sz w:val="21"/>
                <w:szCs w:val="21"/>
              </w:rPr>
              <w:t> </w:t>
            </w:r>
            <w:r>
              <w:rPr>
                <w:rFonts w:ascii="宋体" w:hAnsi="宋体" w:cs="宋体" w:eastAsia="宋体" w:hint="default"/>
                <w:sz w:val="21"/>
                <w:szCs w:val="21"/>
              </w:rPr>
              <w:t>品</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sz w:val="21"/>
              </w:rPr>
              <w:t>10,000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sz w:val="21"/>
              </w:rPr>
              <w:t>2017-06-30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sz w:val="21"/>
              </w:rPr>
              <w:t>2018-04-02</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募集的资</w:t>
            </w:r>
          </w:p>
          <w:p>
            <w:pPr>
              <w:pStyle w:val="TableParagraph"/>
              <w:spacing w:line="237" w:lineRule="auto" w:before="2"/>
              <w:ind w:left="103" w:right="99"/>
              <w:jc w:val="both"/>
              <w:rPr>
                <w:rFonts w:ascii="宋体" w:hAnsi="宋体" w:cs="宋体" w:eastAsia="宋体" w:hint="default"/>
                <w:sz w:val="21"/>
                <w:szCs w:val="21"/>
              </w:rPr>
            </w:pPr>
            <w:r>
              <w:rPr>
                <w:rFonts w:ascii="宋体" w:hAnsi="宋体" w:cs="宋体" w:eastAsia="宋体" w:hint="default"/>
                <w:sz w:val="21"/>
                <w:szCs w:val="21"/>
              </w:rPr>
              <w:t>金用于补</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充公司营</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运资金，</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主要投向</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公司资本</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中介业务</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及其他创</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新业务，</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提升公司</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多元化业</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务收入水</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37" w:lineRule="auto"/>
              <w:ind w:left="100" w:right="101"/>
              <w:jc w:val="both"/>
              <w:rPr>
                <w:rFonts w:ascii="宋体" w:hAnsi="宋体" w:cs="宋体" w:eastAsia="宋体" w:hint="default"/>
                <w:sz w:val="21"/>
                <w:szCs w:val="21"/>
              </w:rPr>
            </w:pPr>
            <w:r>
              <w:rPr>
                <w:rFonts w:ascii="宋体" w:hAnsi="宋体" w:cs="宋体" w:eastAsia="宋体" w:hint="default"/>
                <w:sz w:val="21"/>
                <w:szCs w:val="21"/>
              </w:rPr>
              <w:t>固</w:t>
            </w:r>
            <w:r>
              <w:rPr>
                <w:rFonts w:ascii="宋体" w:hAnsi="宋体" w:cs="宋体" w:eastAsia="宋体" w:hint="default"/>
                <w:w w:val="100"/>
                <w:sz w:val="21"/>
                <w:szCs w:val="21"/>
              </w:rPr>
              <w:t> </w:t>
            </w:r>
            <w:r>
              <w:rPr>
                <w:rFonts w:ascii="宋体" w:hAnsi="宋体" w:cs="宋体" w:eastAsia="宋体" w:hint="default"/>
                <w:sz w:val="21"/>
                <w:szCs w:val="21"/>
              </w:rPr>
              <w:t>定</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0"/>
                <w:szCs w:val="20"/>
              </w:rPr>
            </w:pPr>
            <w:r>
              <w:rPr>
                <w:rFonts w:ascii="宋体"/>
                <w:sz w:val="20"/>
              </w:rPr>
              <w:t>4.65%</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352.89</w:t>
            </w:r>
          </w:p>
        </w:tc>
        <w:tc>
          <w:tcPr>
            <w:tcW w:w="689"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未</w:t>
            </w:r>
            <w:r>
              <w:rPr>
                <w:rFonts w:ascii="宋体" w:hAnsi="宋体" w:cs="宋体" w:eastAsia="宋体" w:hint="default"/>
                <w:w w:val="100"/>
                <w:sz w:val="21"/>
                <w:szCs w:val="21"/>
              </w:rPr>
              <w:t> </w:t>
            </w:r>
            <w:r>
              <w:rPr>
                <w:rFonts w:ascii="宋体" w:hAnsi="宋体" w:cs="宋体" w:eastAsia="宋体" w:hint="default"/>
                <w:sz w:val="21"/>
                <w:szCs w:val="21"/>
              </w:rPr>
              <w:t>到</w:t>
            </w:r>
            <w:r>
              <w:rPr>
                <w:rFonts w:ascii="宋体" w:hAnsi="宋体" w:cs="宋体" w:eastAsia="宋体" w:hint="default"/>
                <w:w w:val="100"/>
                <w:sz w:val="21"/>
                <w:szCs w:val="21"/>
              </w:rPr>
              <w:t> </w:t>
            </w:r>
            <w:r>
              <w:rPr>
                <w:rFonts w:ascii="宋体" w:hAnsi="宋体" w:cs="宋体" w:eastAsia="宋体" w:hint="default"/>
                <w:sz w:val="21"/>
                <w:szCs w:val="21"/>
              </w:rPr>
              <w:t>期</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5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华宝证</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券</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5,000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2017-07-13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2017-10-16</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自</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补充发行</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宋体" w:hAnsi="宋体" w:cs="宋体" w:eastAsia="宋体" w:hint="default"/>
                <w:sz w:val="20"/>
                <w:szCs w:val="20"/>
              </w:rPr>
            </w:pPr>
            <w:r>
              <w:rPr>
                <w:rFonts w:ascii="宋体"/>
                <w:sz w:val="20"/>
              </w:rPr>
              <w:t>4.90%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0" w:right="0"/>
              <w:jc w:val="left"/>
              <w:rPr>
                <w:rFonts w:ascii="Times New Roman" w:hAnsi="Times New Roman" w:cs="Times New Roman" w:eastAsia="Times New Roman" w:hint="default"/>
                <w:sz w:val="21"/>
                <w:szCs w:val="21"/>
              </w:rPr>
            </w:pPr>
            <w:r>
              <w:rPr>
                <w:rFonts w:ascii="Times New Roman"/>
                <w:sz w:val="21"/>
              </w:rPr>
              <w:t>64.44</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64.44</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到</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53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5" w:footer="1195" w:top="1280" w:bottom="1380" w:left="540" w:right="300"/>
        </w:sectPr>
      </w:pPr>
    </w:p>
    <w:p>
      <w:pPr>
        <w:spacing w:line="240" w:lineRule="auto" w:before="3"/>
        <w:rPr>
          <w:rFonts w:ascii="Times New Roman" w:hAnsi="Times New Roman" w:cs="Times New Roman" w:eastAsia="Times New Roman" w:hint="default"/>
          <w:sz w:val="20"/>
          <w:szCs w:val="20"/>
        </w:rPr>
      </w:pPr>
    </w:p>
    <w:tbl>
      <w:tblPr>
        <w:tblW w:w="0" w:type="auto"/>
        <w:jc w:val="left"/>
        <w:tblInd w:w="117" w:type="dxa"/>
        <w:tblLayout w:type="fixed"/>
        <w:tblCellMar>
          <w:top w:w="0" w:type="dxa"/>
          <w:left w:w="0" w:type="dxa"/>
          <w:bottom w:w="0" w:type="dxa"/>
          <w:right w:w="0" w:type="dxa"/>
        </w:tblCellMar>
        <w:tblLook w:val="01E0"/>
      </w:tblPr>
      <w:tblGrid>
        <w:gridCol w:w="850"/>
        <w:gridCol w:w="569"/>
        <w:gridCol w:w="847"/>
        <w:gridCol w:w="1277"/>
        <w:gridCol w:w="1277"/>
        <w:gridCol w:w="427"/>
        <w:gridCol w:w="1068"/>
        <w:gridCol w:w="425"/>
        <w:gridCol w:w="797"/>
        <w:gridCol w:w="795"/>
        <w:gridCol w:w="689"/>
        <w:gridCol w:w="427"/>
        <w:gridCol w:w="427"/>
        <w:gridCol w:w="427"/>
        <w:gridCol w:w="531"/>
      </w:tblGrid>
      <w:tr>
        <w:trPr>
          <w:trHeight w:val="1373"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券有限</w:t>
            </w: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z w:val="21"/>
                <w:szCs w:val="21"/>
              </w:rPr>
              <w:t>责任公</w:t>
            </w:r>
            <w:r>
              <w:rPr>
                <w:rFonts w:ascii="宋体" w:hAnsi="宋体" w:cs="宋体" w:eastAsia="宋体" w:hint="default"/>
                <w:spacing w:val="-102"/>
                <w:sz w:val="21"/>
                <w:szCs w:val="21"/>
              </w:rPr>
              <w:t> </w:t>
            </w:r>
            <w:r>
              <w:rPr>
                <w:rFonts w:ascii="宋体" w:hAnsi="宋体" w:cs="宋体" w:eastAsia="宋体" w:hint="default"/>
                <w:sz w:val="21"/>
                <w:szCs w:val="21"/>
              </w:rPr>
              <w:t>司</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商</w:t>
            </w:r>
          </w:p>
          <w:p>
            <w:pPr>
              <w:pStyle w:val="TableParagraph"/>
              <w:spacing w:line="237" w:lineRule="auto"/>
              <w:ind w:left="103" w:right="242"/>
              <w:jc w:val="both"/>
              <w:rPr>
                <w:rFonts w:ascii="宋体" w:hAnsi="宋体" w:cs="宋体" w:eastAsia="宋体" w:hint="default"/>
                <w:sz w:val="21"/>
                <w:szCs w:val="21"/>
              </w:rPr>
            </w:pPr>
            <w:r>
              <w:rPr>
                <w:rFonts w:ascii="宋体" w:hAnsi="宋体" w:cs="宋体" w:eastAsia="宋体" w:hint="default"/>
                <w:sz w:val="21"/>
                <w:szCs w:val="21"/>
              </w:rPr>
              <w:t>理</w:t>
            </w:r>
            <w:r>
              <w:rPr>
                <w:rFonts w:ascii="宋体" w:hAnsi="宋体" w:cs="宋体" w:eastAsia="宋体" w:hint="default"/>
                <w:w w:val="100"/>
                <w:sz w:val="21"/>
                <w:szCs w:val="21"/>
              </w:rPr>
              <w:t> </w:t>
            </w:r>
            <w:r>
              <w:rPr>
                <w:rFonts w:ascii="宋体" w:hAnsi="宋体" w:cs="宋体" w:eastAsia="宋体" w:hint="default"/>
                <w:sz w:val="21"/>
                <w:szCs w:val="21"/>
              </w:rPr>
              <w:t>财</w:t>
            </w:r>
            <w:r>
              <w:rPr>
                <w:rFonts w:ascii="宋体" w:hAnsi="宋体" w:cs="宋体" w:eastAsia="宋体" w:hint="default"/>
                <w:w w:val="100"/>
                <w:sz w:val="21"/>
                <w:szCs w:val="21"/>
              </w:rPr>
              <w:t> </w:t>
            </w:r>
            <w:r>
              <w:rPr>
                <w:rFonts w:ascii="宋体" w:hAnsi="宋体" w:cs="宋体" w:eastAsia="宋体" w:hint="default"/>
                <w:sz w:val="21"/>
                <w:szCs w:val="21"/>
              </w:rPr>
              <w:t>产</w:t>
            </w:r>
            <w:r>
              <w:rPr>
                <w:rFonts w:ascii="宋体" w:hAnsi="宋体" w:cs="宋体" w:eastAsia="宋体" w:hint="default"/>
                <w:w w:val="100"/>
                <w:sz w:val="21"/>
                <w:szCs w:val="21"/>
              </w:rPr>
              <w:t> </w:t>
            </w:r>
            <w:r>
              <w:rPr>
                <w:rFonts w:ascii="宋体" w:hAnsi="宋体" w:cs="宋体" w:eastAsia="宋体" w:hint="default"/>
                <w:sz w:val="21"/>
                <w:szCs w:val="21"/>
              </w:rPr>
              <w:t>品</w:t>
            </w:r>
          </w:p>
        </w:tc>
        <w:tc>
          <w:tcPr>
            <w:tcW w:w="84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有</w:t>
            </w: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z w:val="21"/>
                <w:szCs w:val="21"/>
              </w:rPr>
              <w:t>人运营资</w:t>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z w:val="21"/>
                <w:szCs w:val="21"/>
              </w:rPr>
              <w:t>金且不超</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过公司自</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有资金使</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用范围</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定</w:t>
            </w:r>
          </w:p>
          <w:p>
            <w:pPr>
              <w:pStyle w:val="TableParagraph"/>
              <w:spacing w:line="240" w:lineRule="auto"/>
              <w:ind w:left="100" w:right="101"/>
              <w:jc w:val="left"/>
              <w:rPr>
                <w:rFonts w:ascii="宋体" w:hAnsi="宋体" w:cs="宋体" w:eastAsia="宋体" w:hint="default"/>
                <w:sz w:val="21"/>
                <w:szCs w:val="21"/>
              </w:rPr>
            </w:pP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益</w:t>
            </w:r>
          </w:p>
        </w:tc>
        <w:tc>
          <w:tcPr>
            <w:tcW w:w="797" w:type="dxa"/>
            <w:tcBorders>
              <w:top w:val="nil" w:sz="6" w:space="0" w:color="auto"/>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期</w:t>
            </w: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华宝证</w:t>
            </w:r>
            <w:r>
              <w:rPr>
                <w:rFonts w:ascii="宋体" w:hAnsi="宋体" w:cs="宋体" w:eastAsia="宋体" w:hint="default"/>
                <w:spacing w:val="-102"/>
                <w:sz w:val="21"/>
                <w:szCs w:val="21"/>
              </w:rPr>
              <w:t> </w:t>
            </w:r>
            <w:r>
              <w:rPr>
                <w:rFonts w:ascii="宋体" w:hAnsi="宋体" w:cs="宋体" w:eastAsia="宋体" w:hint="default"/>
                <w:sz w:val="21"/>
                <w:szCs w:val="21"/>
              </w:rPr>
              <w:t>券有限</w:t>
            </w:r>
            <w:r>
              <w:rPr>
                <w:rFonts w:ascii="宋体" w:hAnsi="宋体" w:cs="宋体" w:eastAsia="宋体" w:hint="default"/>
                <w:spacing w:val="-102"/>
                <w:sz w:val="21"/>
                <w:szCs w:val="21"/>
              </w:rPr>
              <w:t> </w:t>
            </w:r>
            <w:r>
              <w:rPr>
                <w:rFonts w:ascii="宋体" w:hAnsi="宋体" w:cs="宋体" w:eastAsia="宋体" w:hint="default"/>
                <w:sz w:val="21"/>
                <w:szCs w:val="21"/>
              </w:rPr>
              <w:t>责任公</w:t>
            </w:r>
            <w:r>
              <w:rPr>
                <w:rFonts w:ascii="宋体" w:hAnsi="宋体" w:cs="宋体" w:eastAsia="宋体" w:hint="default"/>
                <w:spacing w:val="-102"/>
                <w:sz w:val="21"/>
                <w:szCs w:val="21"/>
              </w:rPr>
              <w:t> </w:t>
            </w:r>
            <w:r>
              <w:rPr>
                <w:rFonts w:ascii="宋体" w:hAnsi="宋体" w:cs="宋体" w:eastAsia="宋体" w:hint="default"/>
                <w:sz w:val="21"/>
                <w:szCs w:val="21"/>
              </w:rPr>
              <w:t>司</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券</w:t>
            </w:r>
          </w:p>
          <w:p>
            <w:pPr>
              <w:pStyle w:val="TableParagraph"/>
              <w:spacing w:line="237" w:lineRule="auto" w:before="2"/>
              <w:ind w:left="103" w:right="242"/>
              <w:jc w:val="both"/>
              <w:rPr>
                <w:rFonts w:ascii="宋体" w:hAnsi="宋体" w:cs="宋体" w:eastAsia="宋体" w:hint="default"/>
                <w:sz w:val="21"/>
                <w:szCs w:val="21"/>
              </w:rPr>
            </w:pPr>
            <w:r>
              <w:rPr>
                <w:rFonts w:ascii="宋体" w:hAnsi="宋体" w:cs="宋体" w:eastAsia="宋体" w:hint="default"/>
                <w:sz w:val="21"/>
                <w:szCs w:val="21"/>
              </w:rPr>
              <w:t>商</w:t>
            </w:r>
            <w:r>
              <w:rPr>
                <w:rFonts w:ascii="宋体" w:hAnsi="宋体" w:cs="宋体" w:eastAsia="宋体" w:hint="default"/>
                <w:w w:val="100"/>
                <w:sz w:val="21"/>
                <w:szCs w:val="21"/>
              </w:rPr>
              <w:t> </w:t>
            </w:r>
            <w:r>
              <w:rPr>
                <w:rFonts w:ascii="宋体" w:hAnsi="宋体" w:cs="宋体" w:eastAsia="宋体" w:hint="default"/>
                <w:sz w:val="21"/>
                <w:szCs w:val="21"/>
              </w:rPr>
              <w:t>理</w:t>
            </w:r>
            <w:r>
              <w:rPr>
                <w:rFonts w:ascii="宋体" w:hAnsi="宋体" w:cs="宋体" w:eastAsia="宋体" w:hint="default"/>
                <w:w w:val="100"/>
                <w:sz w:val="21"/>
                <w:szCs w:val="21"/>
              </w:rPr>
              <w:t> </w:t>
            </w:r>
            <w:r>
              <w:rPr>
                <w:rFonts w:ascii="宋体" w:hAnsi="宋体" w:cs="宋体" w:eastAsia="宋体" w:hint="default"/>
                <w:sz w:val="21"/>
                <w:szCs w:val="21"/>
              </w:rPr>
              <w:t>财</w:t>
            </w:r>
            <w:r>
              <w:rPr>
                <w:rFonts w:ascii="宋体" w:hAnsi="宋体" w:cs="宋体" w:eastAsia="宋体" w:hint="default"/>
                <w:w w:val="100"/>
                <w:sz w:val="21"/>
                <w:szCs w:val="21"/>
              </w:rPr>
              <w:t> </w:t>
            </w:r>
            <w:r>
              <w:rPr>
                <w:rFonts w:ascii="宋体" w:hAnsi="宋体" w:cs="宋体" w:eastAsia="宋体" w:hint="default"/>
                <w:sz w:val="21"/>
                <w:szCs w:val="21"/>
              </w:rPr>
              <w:t>产</w:t>
            </w:r>
            <w:r>
              <w:rPr>
                <w:rFonts w:ascii="宋体" w:hAnsi="宋体" w:cs="宋体" w:eastAsia="宋体" w:hint="default"/>
                <w:w w:val="100"/>
                <w:sz w:val="21"/>
                <w:szCs w:val="21"/>
              </w:rPr>
              <w:t> </w:t>
            </w:r>
            <w:r>
              <w:rPr>
                <w:rFonts w:ascii="宋体" w:hAnsi="宋体" w:cs="宋体" w:eastAsia="宋体" w:hint="default"/>
                <w:sz w:val="21"/>
                <w:szCs w:val="21"/>
              </w:rPr>
              <w:t>品</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sz w:val="21"/>
              </w:rPr>
              <w:t>5,000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sz w:val="21"/>
              </w:rPr>
              <w:t>2017-07-13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sz w:val="21"/>
              </w:rPr>
              <w:t>2018-01-15</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补充发行</w:t>
            </w:r>
          </w:p>
          <w:p>
            <w:pPr>
              <w:pStyle w:val="TableParagraph"/>
              <w:spacing w:line="237" w:lineRule="auto" w:before="2"/>
              <w:ind w:left="103" w:right="99"/>
              <w:jc w:val="both"/>
              <w:rPr>
                <w:rFonts w:ascii="宋体" w:hAnsi="宋体" w:cs="宋体" w:eastAsia="宋体" w:hint="default"/>
                <w:sz w:val="21"/>
                <w:szCs w:val="21"/>
              </w:rPr>
            </w:pPr>
            <w:r>
              <w:rPr>
                <w:rFonts w:ascii="宋体" w:hAnsi="宋体" w:cs="宋体" w:eastAsia="宋体" w:hint="default"/>
                <w:sz w:val="21"/>
                <w:szCs w:val="21"/>
              </w:rPr>
              <w:t>人运营资</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金且不超</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过公司自</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有资金使</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用范围</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37" w:lineRule="auto"/>
              <w:ind w:left="100" w:right="101"/>
              <w:jc w:val="both"/>
              <w:rPr>
                <w:rFonts w:ascii="宋体" w:hAnsi="宋体" w:cs="宋体" w:eastAsia="宋体" w:hint="default"/>
                <w:sz w:val="21"/>
                <w:szCs w:val="21"/>
              </w:rPr>
            </w:pPr>
            <w:r>
              <w:rPr>
                <w:rFonts w:ascii="宋体" w:hAnsi="宋体" w:cs="宋体" w:eastAsia="宋体" w:hint="default"/>
                <w:sz w:val="21"/>
                <w:szCs w:val="21"/>
              </w:rPr>
              <w:t>固</w:t>
            </w:r>
            <w:r>
              <w:rPr>
                <w:rFonts w:ascii="宋体" w:hAnsi="宋体" w:cs="宋体" w:eastAsia="宋体" w:hint="default"/>
                <w:w w:val="100"/>
                <w:sz w:val="21"/>
                <w:szCs w:val="21"/>
              </w:rPr>
              <w:t> </w:t>
            </w:r>
            <w:r>
              <w:rPr>
                <w:rFonts w:ascii="宋体" w:hAnsi="宋体" w:cs="宋体" w:eastAsia="宋体" w:hint="default"/>
                <w:sz w:val="21"/>
                <w:szCs w:val="21"/>
              </w:rPr>
              <w:t>定</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20"/>
                <w:szCs w:val="20"/>
              </w:rPr>
            </w:pPr>
            <w:r>
              <w:rPr>
                <w:rFonts w:ascii="宋体"/>
                <w:sz w:val="20"/>
              </w:rPr>
              <w:t>4.90%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125.52</w:t>
            </w:r>
          </w:p>
        </w:tc>
        <w:tc>
          <w:tcPr>
            <w:tcW w:w="689"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46"/>
              <w:ind w:left="103" w:right="101"/>
              <w:jc w:val="both"/>
              <w:rPr>
                <w:rFonts w:ascii="宋体" w:hAnsi="宋体" w:cs="宋体" w:eastAsia="宋体" w:hint="default"/>
                <w:sz w:val="21"/>
                <w:szCs w:val="21"/>
              </w:rPr>
            </w:pPr>
            <w:r>
              <w:rPr>
                <w:rFonts w:ascii="宋体" w:hAnsi="宋体" w:cs="宋体" w:eastAsia="宋体" w:hint="default"/>
                <w:sz w:val="21"/>
                <w:szCs w:val="21"/>
              </w:rPr>
              <w:t>未</w:t>
            </w:r>
            <w:r>
              <w:rPr>
                <w:rFonts w:ascii="宋体" w:hAnsi="宋体" w:cs="宋体" w:eastAsia="宋体" w:hint="default"/>
                <w:w w:val="100"/>
                <w:sz w:val="21"/>
                <w:szCs w:val="21"/>
              </w:rPr>
              <w:t> </w:t>
            </w:r>
            <w:r>
              <w:rPr>
                <w:rFonts w:ascii="宋体" w:hAnsi="宋体" w:cs="宋体" w:eastAsia="宋体" w:hint="default"/>
                <w:sz w:val="21"/>
                <w:szCs w:val="21"/>
              </w:rPr>
              <w:t>到</w:t>
            </w:r>
            <w:r>
              <w:rPr>
                <w:rFonts w:ascii="宋体" w:hAnsi="宋体" w:cs="宋体" w:eastAsia="宋体" w:hint="default"/>
                <w:w w:val="100"/>
                <w:sz w:val="21"/>
                <w:szCs w:val="21"/>
              </w:rPr>
              <w:t> </w:t>
            </w:r>
            <w:r>
              <w:rPr>
                <w:rFonts w:ascii="宋体" w:hAnsi="宋体" w:cs="宋体" w:eastAsia="宋体" w:hint="default"/>
                <w:sz w:val="21"/>
                <w:szCs w:val="21"/>
              </w:rPr>
              <w:t>期</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531" w:type="dxa"/>
            <w:tcBorders>
              <w:top w:val="single" w:sz="4" w:space="0" w:color="000000"/>
              <w:left w:val="single" w:sz="4" w:space="0" w:color="000000"/>
              <w:bottom w:val="single" w:sz="4" w:space="0" w:color="000000"/>
              <w:right w:val="single" w:sz="4" w:space="0" w:color="000000"/>
            </w:tcBorders>
          </w:tcPr>
          <w:p>
            <w:pPr/>
          </w:p>
        </w:tc>
      </w:tr>
      <w:tr>
        <w:trPr>
          <w:trHeight w:val="2734"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招商银</w:t>
            </w:r>
            <w:r>
              <w:rPr>
                <w:rFonts w:ascii="宋体" w:hAnsi="宋体" w:cs="宋体" w:eastAsia="宋体" w:hint="default"/>
                <w:spacing w:val="-102"/>
                <w:sz w:val="21"/>
                <w:szCs w:val="21"/>
              </w:rPr>
              <w:t> </w:t>
            </w:r>
            <w:r>
              <w:rPr>
                <w:rFonts w:ascii="宋体" w:hAnsi="宋体" w:cs="宋体" w:eastAsia="宋体" w:hint="default"/>
                <w:sz w:val="21"/>
                <w:szCs w:val="21"/>
              </w:rPr>
              <w:t>行股份</w:t>
            </w:r>
            <w:r>
              <w:rPr>
                <w:rFonts w:ascii="宋体" w:hAnsi="宋体" w:cs="宋体" w:eastAsia="宋体" w:hint="default"/>
                <w:spacing w:val="-102"/>
                <w:sz w:val="21"/>
                <w:szCs w:val="21"/>
              </w:rPr>
              <w:t> </w:t>
            </w:r>
            <w:r>
              <w:rPr>
                <w:rFonts w:ascii="宋体" w:hAnsi="宋体" w:cs="宋体" w:eastAsia="宋体" w:hint="default"/>
                <w:sz w:val="21"/>
                <w:szCs w:val="21"/>
              </w:rPr>
              <w:t>有限公</w:t>
            </w:r>
            <w:r>
              <w:rPr>
                <w:rFonts w:ascii="宋体" w:hAnsi="宋体" w:cs="宋体" w:eastAsia="宋体" w:hint="default"/>
                <w:spacing w:val="-102"/>
                <w:sz w:val="21"/>
                <w:szCs w:val="21"/>
              </w:rPr>
              <w:t> </w:t>
            </w:r>
            <w:r>
              <w:rPr>
                <w:rFonts w:ascii="宋体" w:hAnsi="宋体" w:cs="宋体" w:eastAsia="宋体" w:hint="default"/>
                <w:sz w:val="21"/>
                <w:szCs w:val="21"/>
              </w:rPr>
              <w:t>司福州</w:t>
            </w:r>
            <w:r>
              <w:rPr>
                <w:rFonts w:ascii="宋体" w:hAnsi="宋体" w:cs="宋体" w:eastAsia="宋体" w:hint="default"/>
                <w:spacing w:val="-102"/>
                <w:sz w:val="21"/>
                <w:szCs w:val="21"/>
              </w:rPr>
              <w:t> </w:t>
            </w:r>
            <w:r>
              <w:rPr>
                <w:rFonts w:ascii="宋体" w:hAnsi="宋体" w:cs="宋体" w:eastAsia="宋体" w:hint="default"/>
                <w:sz w:val="21"/>
                <w:szCs w:val="21"/>
              </w:rPr>
              <w:t>五四支</w:t>
            </w:r>
            <w:r>
              <w:rPr>
                <w:rFonts w:ascii="宋体" w:hAnsi="宋体" w:cs="宋体" w:eastAsia="宋体" w:hint="default"/>
                <w:spacing w:val="-102"/>
                <w:sz w:val="21"/>
                <w:szCs w:val="21"/>
              </w:rPr>
              <w:t> </w:t>
            </w:r>
            <w:r>
              <w:rPr>
                <w:rFonts w:ascii="宋体" w:hAnsi="宋体" w:cs="宋体" w:eastAsia="宋体" w:hint="default"/>
                <w:sz w:val="21"/>
                <w:szCs w:val="21"/>
              </w:rPr>
              <w:t>行</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37" w:lineRule="auto"/>
              <w:ind w:left="103" w:right="242"/>
              <w:jc w:val="both"/>
              <w:rPr>
                <w:rFonts w:ascii="宋体" w:hAnsi="宋体" w:cs="宋体" w:eastAsia="宋体" w:hint="default"/>
                <w:sz w:val="21"/>
                <w:szCs w:val="21"/>
              </w:rPr>
            </w:pPr>
            <w:r>
              <w:rPr>
                <w:rFonts w:ascii="宋体" w:hAnsi="宋体" w:cs="宋体" w:eastAsia="宋体" w:hint="default"/>
                <w:sz w:val="21"/>
                <w:szCs w:val="21"/>
              </w:rPr>
              <w:t>银</w:t>
            </w:r>
            <w:r>
              <w:rPr>
                <w:rFonts w:ascii="宋体" w:hAnsi="宋体" w:cs="宋体" w:eastAsia="宋体" w:hint="default"/>
                <w:w w:val="100"/>
                <w:sz w:val="21"/>
                <w:szCs w:val="21"/>
              </w:rPr>
              <w:t> </w:t>
            </w: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理</w:t>
            </w:r>
            <w:r>
              <w:rPr>
                <w:rFonts w:ascii="宋体" w:hAnsi="宋体" w:cs="宋体" w:eastAsia="宋体" w:hint="default"/>
                <w:w w:val="100"/>
                <w:sz w:val="21"/>
                <w:szCs w:val="21"/>
              </w:rPr>
              <w:t> </w:t>
            </w:r>
            <w:r>
              <w:rPr>
                <w:rFonts w:ascii="宋体" w:hAnsi="宋体" w:cs="宋体" w:eastAsia="宋体" w:hint="default"/>
                <w:sz w:val="21"/>
                <w:szCs w:val="21"/>
              </w:rPr>
              <w:t>财</w:t>
            </w:r>
            <w:r>
              <w:rPr>
                <w:rFonts w:ascii="宋体" w:hAnsi="宋体" w:cs="宋体" w:eastAsia="宋体" w:hint="default"/>
                <w:w w:val="100"/>
                <w:sz w:val="21"/>
                <w:szCs w:val="21"/>
              </w:rPr>
              <w:t> </w:t>
            </w:r>
            <w:r>
              <w:rPr>
                <w:rFonts w:ascii="宋体" w:hAnsi="宋体" w:cs="宋体" w:eastAsia="宋体" w:hint="default"/>
                <w:sz w:val="21"/>
                <w:szCs w:val="21"/>
              </w:rPr>
              <w:t>产</w:t>
            </w:r>
            <w:r>
              <w:rPr>
                <w:rFonts w:ascii="宋体" w:hAnsi="宋体" w:cs="宋体" w:eastAsia="宋体" w:hint="default"/>
                <w:w w:val="100"/>
                <w:sz w:val="21"/>
                <w:szCs w:val="21"/>
              </w:rPr>
              <w:t> </w:t>
            </w:r>
            <w:r>
              <w:rPr>
                <w:rFonts w:ascii="宋体" w:hAnsi="宋体" w:cs="宋体" w:eastAsia="宋体" w:hint="default"/>
                <w:sz w:val="21"/>
                <w:szCs w:val="21"/>
              </w:rPr>
              <w:t>品</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21"/>
                <w:szCs w:val="21"/>
              </w:rPr>
            </w:pPr>
            <w:r>
              <w:rPr>
                <w:rFonts w:ascii="宋体"/>
                <w:sz w:val="21"/>
              </w:rPr>
              <w:t>5,000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21"/>
                <w:szCs w:val="21"/>
              </w:rPr>
            </w:pPr>
            <w:r>
              <w:rPr>
                <w:rFonts w:ascii="宋体"/>
                <w:sz w:val="21"/>
              </w:rPr>
              <w:t>2017-07-12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21"/>
                <w:szCs w:val="21"/>
              </w:rPr>
            </w:pPr>
            <w:r>
              <w:rPr>
                <w:rFonts w:ascii="宋体"/>
                <w:sz w:val="21"/>
              </w:rPr>
              <w:t>2017-08-11</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8"/>
                <w:szCs w:val="28"/>
              </w:rPr>
            </w:pP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为黄金价</w:t>
            </w:r>
          </w:p>
          <w:p>
            <w:pPr>
              <w:pStyle w:val="TableParagraph"/>
              <w:spacing w:line="237" w:lineRule="auto" w:before="2"/>
              <w:ind w:left="103" w:right="99"/>
              <w:jc w:val="both"/>
              <w:rPr>
                <w:rFonts w:ascii="宋体" w:hAnsi="宋体" w:cs="宋体" w:eastAsia="宋体" w:hint="default"/>
                <w:sz w:val="21"/>
                <w:szCs w:val="21"/>
              </w:rPr>
            </w:pPr>
            <w:r>
              <w:rPr>
                <w:rFonts w:ascii="宋体" w:hAnsi="宋体" w:cs="宋体" w:eastAsia="宋体" w:hint="default"/>
                <w:sz w:val="21"/>
                <w:szCs w:val="21"/>
              </w:rPr>
              <w:t>格每盎司</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黄金的美</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元标价，</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黄金水平</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为伦敦金</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银市场协</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会发布的</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下午定盘</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8"/>
                <w:szCs w:val="28"/>
              </w:rPr>
            </w:pPr>
          </w:p>
          <w:p>
            <w:pPr>
              <w:pStyle w:val="TableParagraph"/>
              <w:spacing w:line="237" w:lineRule="auto"/>
              <w:ind w:left="100" w:right="101"/>
              <w:jc w:val="both"/>
              <w:rPr>
                <w:rFonts w:ascii="宋体" w:hAnsi="宋体" w:cs="宋体" w:eastAsia="宋体" w:hint="default"/>
                <w:sz w:val="21"/>
                <w:szCs w:val="21"/>
              </w:rPr>
            </w:pPr>
            <w:r>
              <w:rPr>
                <w:rFonts w:ascii="宋体" w:hAnsi="宋体" w:cs="宋体" w:eastAsia="宋体" w:hint="default"/>
                <w:sz w:val="21"/>
                <w:szCs w:val="21"/>
              </w:rPr>
              <w:t>保</w:t>
            </w:r>
            <w:r>
              <w:rPr>
                <w:rFonts w:ascii="宋体" w:hAnsi="宋体" w:cs="宋体" w:eastAsia="宋体" w:hint="default"/>
                <w:w w:val="100"/>
                <w:sz w:val="21"/>
                <w:szCs w:val="21"/>
              </w:rPr>
              <w:t> </w:t>
            </w: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浮</w:t>
            </w:r>
            <w:r>
              <w:rPr>
                <w:rFonts w:ascii="宋体" w:hAnsi="宋体" w:cs="宋体" w:eastAsia="宋体" w:hint="default"/>
                <w:w w:val="100"/>
                <w:sz w:val="21"/>
                <w:szCs w:val="21"/>
              </w:rPr>
              <w:t> </w:t>
            </w:r>
            <w:r>
              <w:rPr>
                <w:rFonts w:ascii="宋体" w:hAnsi="宋体" w:cs="宋体" w:eastAsia="宋体" w:hint="default"/>
                <w:sz w:val="21"/>
                <w:szCs w:val="21"/>
              </w:rPr>
              <w:t>动</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20"/>
                <w:szCs w:val="20"/>
              </w:rPr>
            </w:pPr>
            <w:r>
              <w:rPr>
                <w:rFonts w:ascii="宋体"/>
                <w:sz w:val="20"/>
              </w:rPr>
              <w:t>3.65%</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7"/>
                <w:szCs w:val="27"/>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15</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7"/>
                <w:szCs w:val="27"/>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15</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8"/>
                <w:szCs w:val="28"/>
              </w:rPr>
            </w:pP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到</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531" w:type="dxa"/>
            <w:tcBorders>
              <w:top w:val="single" w:sz="4" w:space="0" w:color="000000"/>
              <w:left w:val="single" w:sz="4" w:space="0" w:color="000000"/>
              <w:bottom w:val="single" w:sz="4" w:space="0" w:color="000000"/>
              <w:right w:val="single" w:sz="4" w:space="0" w:color="000000"/>
            </w:tcBorders>
          </w:tcPr>
          <w:p>
            <w:pPr/>
          </w:p>
        </w:tc>
      </w:tr>
      <w:tr>
        <w:trPr>
          <w:trHeight w:val="2734"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招商银</w:t>
            </w:r>
            <w:r>
              <w:rPr>
                <w:rFonts w:ascii="宋体" w:hAnsi="宋体" w:cs="宋体" w:eastAsia="宋体" w:hint="default"/>
                <w:spacing w:val="-102"/>
                <w:sz w:val="21"/>
                <w:szCs w:val="21"/>
              </w:rPr>
              <w:t> </w:t>
            </w:r>
            <w:r>
              <w:rPr>
                <w:rFonts w:ascii="宋体" w:hAnsi="宋体" w:cs="宋体" w:eastAsia="宋体" w:hint="default"/>
                <w:sz w:val="21"/>
                <w:szCs w:val="21"/>
              </w:rPr>
              <w:t>行股份</w:t>
            </w:r>
            <w:r>
              <w:rPr>
                <w:rFonts w:ascii="宋体" w:hAnsi="宋体" w:cs="宋体" w:eastAsia="宋体" w:hint="default"/>
                <w:spacing w:val="-102"/>
                <w:sz w:val="21"/>
                <w:szCs w:val="21"/>
              </w:rPr>
              <w:t> </w:t>
            </w:r>
            <w:r>
              <w:rPr>
                <w:rFonts w:ascii="宋体" w:hAnsi="宋体" w:cs="宋体" w:eastAsia="宋体" w:hint="default"/>
                <w:sz w:val="21"/>
                <w:szCs w:val="21"/>
              </w:rPr>
              <w:t>有限公</w:t>
            </w:r>
            <w:r>
              <w:rPr>
                <w:rFonts w:ascii="宋体" w:hAnsi="宋体" w:cs="宋体" w:eastAsia="宋体" w:hint="default"/>
                <w:spacing w:val="-102"/>
                <w:sz w:val="21"/>
                <w:szCs w:val="21"/>
              </w:rPr>
              <w:t> </w:t>
            </w:r>
            <w:r>
              <w:rPr>
                <w:rFonts w:ascii="宋体" w:hAnsi="宋体" w:cs="宋体" w:eastAsia="宋体" w:hint="default"/>
                <w:sz w:val="21"/>
                <w:szCs w:val="21"/>
              </w:rPr>
              <w:t>司福州</w:t>
            </w:r>
            <w:r>
              <w:rPr>
                <w:rFonts w:ascii="宋体" w:hAnsi="宋体" w:cs="宋体" w:eastAsia="宋体" w:hint="default"/>
                <w:spacing w:val="-102"/>
                <w:sz w:val="21"/>
                <w:szCs w:val="21"/>
              </w:rPr>
              <w:t> </w:t>
            </w:r>
            <w:r>
              <w:rPr>
                <w:rFonts w:ascii="宋体" w:hAnsi="宋体" w:cs="宋体" w:eastAsia="宋体" w:hint="default"/>
                <w:sz w:val="21"/>
                <w:szCs w:val="21"/>
              </w:rPr>
              <w:t>五四支</w:t>
            </w:r>
            <w:r>
              <w:rPr>
                <w:rFonts w:ascii="宋体" w:hAnsi="宋体" w:cs="宋体" w:eastAsia="宋体" w:hint="default"/>
                <w:spacing w:val="-102"/>
                <w:sz w:val="21"/>
                <w:szCs w:val="21"/>
              </w:rPr>
              <w:t> </w:t>
            </w:r>
            <w:r>
              <w:rPr>
                <w:rFonts w:ascii="宋体" w:hAnsi="宋体" w:cs="宋体" w:eastAsia="宋体" w:hint="default"/>
                <w:sz w:val="21"/>
                <w:szCs w:val="21"/>
              </w:rPr>
              <w:t>行</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37" w:lineRule="auto"/>
              <w:ind w:left="103" w:right="242"/>
              <w:jc w:val="both"/>
              <w:rPr>
                <w:rFonts w:ascii="宋体" w:hAnsi="宋体" w:cs="宋体" w:eastAsia="宋体" w:hint="default"/>
                <w:sz w:val="21"/>
                <w:szCs w:val="21"/>
              </w:rPr>
            </w:pPr>
            <w:r>
              <w:rPr>
                <w:rFonts w:ascii="宋体" w:hAnsi="宋体" w:cs="宋体" w:eastAsia="宋体" w:hint="default"/>
                <w:sz w:val="21"/>
                <w:szCs w:val="21"/>
              </w:rPr>
              <w:t>银</w:t>
            </w:r>
            <w:r>
              <w:rPr>
                <w:rFonts w:ascii="宋体" w:hAnsi="宋体" w:cs="宋体" w:eastAsia="宋体" w:hint="default"/>
                <w:w w:val="100"/>
                <w:sz w:val="21"/>
                <w:szCs w:val="21"/>
              </w:rPr>
              <w:t> </w:t>
            </w: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理</w:t>
            </w:r>
            <w:r>
              <w:rPr>
                <w:rFonts w:ascii="宋体" w:hAnsi="宋体" w:cs="宋体" w:eastAsia="宋体" w:hint="default"/>
                <w:w w:val="100"/>
                <w:sz w:val="21"/>
                <w:szCs w:val="21"/>
              </w:rPr>
              <w:t> </w:t>
            </w:r>
            <w:r>
              <w:rPr>
                <w:rFonts w:ascii="宋体" w:hAnsi="宋体" w:cs="宋体" w:eastAsia="宋体" w:hint="default"/>
                <w:sz w:val="21"/>
                <w:szCs w:val="21"/>
              </w:rPr>
              <w:t>财</w:t>
            </w:r>
            <w:r>
              <w:rPr>
                <w:rFonts w:ascii="宋体" w:hAnsi="宋体" w:cs="宋体" w:eastAsia="宋体" w:hint="default"/>
                <w:w w:val="100"/>
                <w:sz w:val="21"/>
                <w:szCs w:val="21"/>
              </w:rPr>
              <w:t> </w:t>
            </w:r>
            <w:r>
              <w:rPr>
                <w:rFonts w:ascii="宋体" w:hAnsi="宋体" w:cs="宋体" w:eastAsia="宋体" w:hint="default"/>
                <w:sz w:val="21"/>
                <w:szCs w:val="21"/>
              </w:rPr>
              <w:t>产</w:t>
            </w:r>
            <w:r>
              <w:rPr>
                <w:rFonts w:ascii="宋体" w:hAnsi="宋体" w:cs="宋体" w:eastAsia="宋体" w:hint="default"/>
                <w:w w:val="100"/>
                <w:sz w:val="21"/>
                <w:szCs w:val="21"/>
              </w:rPr>
              <w:t> </w:t>
            </w:r>
            <w:r>
              <w:rPr>
                <w:rFonts w:ascii="宋体" w:hAnsi="宋体" w:cs="宋体" w:eastAsia="宋体" w:hint="default"/>
                <w:sz w:val="21"/>
                <w:szCs w:val="21"/>
              </w:rPr>
              <w:t>品</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21"/>
                <w:szCs w:val="21"/>
              </w:rPr>
            </w:pPr>
            <w:r>
              <w:rPr>
                <w:rFonts w:ascii="宋体"/>
                <w:sz w:val="21"/>
              </w:rPr>
              <w:t>5,000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21"/>
                <w:szCs w:val="21"/>
              </w:rPr>
            </w:pPr>
            <w:r>
              <w:rPr>
                <w:rFonts w:ascii="宋体"/>
                <w:sz w:val="21"/>
              </w:rPr>
              <w:t>2017-08-15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21"/>
                <w:szCs w:val="21"/>
              </w:rPr>
            </w:pPr>
            <w:r>
              <w:rPr>
                <w:rFonts w:ascii="宋体"/>
                <w:sz w:val="21"/>
              </w:rPr>
              <w:t>2017-09-15</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8"/>
                <w:szCs w:val="28"/>
              </w:rPr>
            </w:pP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为黄金价</w:t>
            </w:r>
          </w:p>
          <w:p>
            <w:pPr>
              <w:pStyle w:val="TableParagraph"/>
              <w:spacing w:line="237" w:lineRule="auto" w:before="2"/>
              <w:ind w:left="103" w:right="99"/>
              <w:jc w:val="both"/>
              <w:rPr>
                <w:rFonts w:ascii="宋体" w:hAnsi="宋体" w:cs="宋体" w:eastAsia="宋体" w:hint="default"/>
                <w:sz w:val="21"/>
                <w:szCs w:val="21"/>
              </w:rPr>
            </w:pPr>
            <w:r>
              <w:rPr>
                <w:rFonts w:ascii="宋体" w:hAnsi="宋体" w:cs="宋体" w:eastAsia="宋体" w:hint="default"/>
                <w:sz w:val="21"/>
                <w:szCs w:val="21"/>
              </w:rPr>
              <w:t>格每盎司</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黄金的美</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元标价，</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黄金水平</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为伦敦金</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银市场协</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会发布的</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下午定盘</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8"/>
                <w:szCs w:val="28"/>
              </w:rPr>
            </w:pPr>
          </w:p>
          <w:p>
            <w:pPr>
              <w:pStyle w:val="TableParagraph"/>
              <w:spacing w:line="237" w:lineRule="auto"/>
              <w:ind w:left="100" w:right="101"/>
              <w:jc w:val="both"/>
              <w:rPr>
                <w:rFonts w:ascii="宋体" w:hAnsi="宋体" w:cs="宋体" w:eastAsia="宋体" w:hint="default"/>
                <w:sz w:val="21"/>
                <w:szCs w:val="21"/>
              </w:rPr>
            </w:pPr>
            <w:r>
              <w:rPr>
                <w:rFonts w:ascii="宋体" w:hAnsi="宋体" w:cs="宋体" w:eastAsia="宋体" w:hint="default"/>
                <w:sz w:val="21"/>
                <w:szCs w:val="21"/>
              </w:rPr>
              <w:t>保</w:t>
            </w:r>
            <w:r>
              <w:rPr>
                <w:rFonts w:ascii="宋体" w:hAnsi="宋体" w:cs="宋体" w:eastAsia="宋体" w:hint="default"/>
                <w:w w:val="100"/>
                <w:sz w:val="21"/>
                <w:szCs w:val="21"/>
              </w:rPr>
              <w:t> </w:t>
            </w: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浮</w:t>
            </w:r>
            <w:r>
              <w:rPr>
                <w:rFonts w:ascii="宋体" w:hAnsi="宋体" w:cs="宋体" w:eastAsia="宋体" w:hint="default"/>
                <w:w w:val="100"/>
                <w:sz w:val="21"/>
                <w:szCs w:val="21"/>
              </w:rPr>
              <w:t> </w:t>
            </w:r>
            <w:r>
              <w:rPr>
                <w:rFonts w:ascii="宋体" w:hAnsi="宋体" w:cs="宋体" w:eastAsia="宋体" w:hint="default"/>
                <w:sz w:val="21"/>
                <w:szCs w:val="21"/>
              </w:rPr>
              <w:t>动</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20"/>
                <w:szCs w:val="20"/>
              </w:rPr>
            </w:pPr>
            <w:r>
              <w:rPr>
                <w:rFonts w:ascii="宋体"/>
                <w:sz w:val="20"/>
              </w:rPr>
              <w:t>3.50%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7"/>
                <w:szCs w:val="27"/>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14.86</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7"/>
                <w:szCs w:val="27"/>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14.86</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8"/>
                <w:szCs w:val="28"/>
              </w:rPr>
            </w:pP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到</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531" w:type="dxa"/>
            <w:tcBorders>
              <w:top w:val="single" w:sz="4" w:space="0" w:color="000000"/>
              <w:left w:val="single" w:sz="4" w:space="0" w:color="000000"/>
              <w:bottom w:val="single" w:sz="4" w:space="0" w:color="000000"/>
              <w:right w:val="single" w:sz="4" w:space="0" w:color="000000"/>
            </w:tcBorders>
          </w:tcPr>
          <w:p>
            <w:pPr/>
          </w:p>
        </w:tc>
      </w:tr>
      <w:tr>
        <w:trPr>
          <w:trHeight w:val="3550"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国泰君</w:t>
            </w:r>
            <w:r>
              <w:rPr>
                <w:rFonts w:ascii="宋体" w:hAnsi="宋体" w:cs="宋体" w:eastAsia="宋体" w:hint="default"/>
                <w:spacing w:val="-102"/>
                <w:sz w:val="21"/>
                <w:szCs w:val="21"/>
              </w:rPr>
              <w:t> </w:t>
            </w:r>
            <w:r>
              <w:rPr>
                <w:rFonts w:ascii="宋体" w:hAnsi="宋体" w:cs="宋体" w:eastAsia="宋体" w:hint="default"/>
                <w:sz w:val="21"/>
                <w:szCs w:val="21"/>
              </w:rPr>
              <w:t>安证券</w:t>
            </w:r>
            <w:r>
              <w:rPr>
                <w:rFonts w:ascii="宋体" w:hAnsi="宋体" w:cs="宋体" w:eastAsia="宋体" w:hint="default"/>
                <w:spacing w:val="-102"/>
                <w:sz w:val="21"/>
                <w:szCs w:val="21"/>
              </w:rPr>
              <w:t> </w:t>
            </w:r>
            <w:r>
              <w:rPr>
                <w:rFonts w:ascii="宋体" w:hAnsi="宋体" w:cs="宋体" w:eastAsia="宋体" w:hint="default"/>
                <w:sz w:val="21"/>
                <w:szCs w:val="21"/>
              </w:rPr>
              <w:t>股份有</w:t>
            </w:r>
            <w:r>
              <w:rPr>
                <w:rFonts w:ascii="宋体" w:hAnsi="宋体" w:cs="宋体" w:eastAsia="宋体" w:hint="default"/>
                <w:spacing w:val="-102"/>
                <w:sz w:val="21"/>
                <w:szCs w:val="21"/>
              </w:rPr>
              <w:t> </w:t>
            </w:r>
            <w:r>
              <w:rPr>
                <w:rFonts w:ascii="宋体" w:hAnsi="宋体" w:cs="宋体" w:eastAsia="宋体" w:hint="default"/>
                <w:sz w:val="21"/>
                <w:szCs w:val="21"/>
              </w:rPr>
              <w:t>限公司</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37" w:lineRule="auto"/>
              <w:ind w:left="103" w:right="242"/>
              <w:jc w:val="both"/>
              <w:rPr>
                <w:rFonts w:ascii="宋体" w:hAnsi="宋体" w:cs="宋体" w:eastAsia="宋体" w:hint="default"/>
                <w:sz w:val="21"/>
                <w:szCs w:val="21"/>
              </w:rPr>
            </w:pPr>
            <w:r>
              <w:rPr>
                <w:rFonts w:ascii="宋体" w:hAnsi="宋体" w:cs="宋体" w:eastAsia="宋体" w:hint="default"/>
                <w:sz w:val="21"/>
                <w:szCs w:val="21"/>
              </w:rPr>
              <w:t>券</w:t>
            </w:r>
            <w:r>
              <w:rPr>
                <w:rFonts w:ascii="宋体" w:hAnsi="宋体" w:cs="宋体" w:eastAsia="宋体" w:hint="default"/>
                <w:w w:val="100"/>
                <w:sz w:val="21"/>
                <w:szCs w:val="21"/>
              </w:rPr>
              <w:t> </w:t>
            </w:r>
            <w:r>
              <w:rPr>
                <w:rFonts w:ascii="宋体" w:hAnsi="宋体" w:cs="宋体" w:eastAsia="宋体" w:hint="default"/>
                <w:sz w:val="21"/>
                <w:szCs w:val="21"/>
              </w:rPr>
              <w:t>商</w:t>
            </w:r>
            <w:r>
              <w:rPr>
                <w:rFonts w:ascii="宋体" w:hAnsi="宋体" w:cs="宋体" w:eastAsia="宋体" w:hint="default"/>
                <w:w w:val="100"/>
                <w:sz w:val="21"/>
                <w:szCs w:val="21"/>
              </w:rPr>
              <w:t> </w:t>
            </w:r>
            <w:r>
              <w:rPr>
                <w:rFonts w:ascii="宋体" w:hAnsi="宋体" w:cs="宋体" w:eastAsia="宋体" w:hint="default"/>
                <w:sz w:val="21"/>
                <w:szCs w:val="21"/>
              </w:rPr>
              <w:t>理</w:t>
            </w:r>
            <w:r>
              <w:rPr>
                <w:rFonts w:ascii="宋体" w:hAnsi="宋体" w:cs="宋体" w:eastAsia="宋体" w:hint="default"/>
                <w:w w:val="100"/>
                <w:sz w:val="21"/>
                <w:szCs w:val="21"/>
              </w:rPr>
              <w:t> </w:t>
            </w:r>
            <w:r>
              <w:rPr>
                <w:rFonts w:ascii="宋体" w:hAnsi="宋体" w:cs="宋体" w:eastAsia="宋体" w:hint="default"/>
                <w:sz w:val="21"/>
                <w:szCs w:val="21"/>
              </w:rPr>
              <w:t>财</w:t>
            </w:r>
            <w:r>
              <w:rPr>
                <w:rFonts w:ascii="宋体" w:hAnsi="宋体" w:cs="宋体" w:eastAsia="宋体" w:hint="default"/>
                <w:w w:val="100"/>
                <w:sz w:val="21"/>
                <w:szCs w:val="21"/>
              </w:rPr>
              <w:t> </w:t>
            </w:r>
            <w:r>
              <w:rPr>
                <w:rFonts w:ascii="宋体" w:hAnsi="宋体" w:cs="宋体" w:eastAsia="宋体" w:hint="default"/>
                <w:sz w:val="21"/>
                <w:szCs w:val="21"/>
              </w:rPr>
              <w:t>产</w:t>
            </w:r>
            <w:r>
              <w:rPr>
                <w:rFonts w:ascii="宋体" w:hAnsi="宋体" w:cs="宋体" w:eastAsia="宋体" w:hint="default"/>
                <w:w w:val="100"/>
                <w:sz w:val="21"/>
                <w:szCs w:val="21"/>
              </w:rPr>
              <w:t> </w:t>
            </w:r>
            <w:r>
              <w:rPr>
                <w:rFonts w:ascii="宋体" w:hAnsi="宋体" w:cs="宋体" w:eastAsia="宋体" w:hint="default"/>
                <w:sz w:val="21"/>
                <w:szCs w:val="21"/>
              </w:rPr>
              <w:t>品</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sz w:val="21"/>
              </w:rPr>
              <w:t>10,000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sz w:val="21"/>
              </w:rPr>
              <w:t>2017-09-01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sz w:val="21"/>
              </w:rPr>
              <w:t>2017-11-01</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募集的资</w:t>
            </w:r>
          </w:p>
          <w:p>
            <w:pPr>
              <w:pStyle w:val="TableParagraph"/>
              <w:spacing w:line="237" w:lineRule="auto" w:before="2"/>
              <w:ind w:left="103" w:right="99"/>
              <w:jc w:val="both"/>
              <w:rPr>
                <w:rFonts w:ascii="宋体" w:hAnsi="宋体" w:cs="宋体" w:eastAsia="宋体" w:hint="default"/>
                <w:sz w:val="21"/>
                <w:szCs w:val="21"/>
              </w:rPr>
            </w:pPr>
            <w:r>
              <w:rPr>
                <w:rFonts w:ascii="宋体" w:hAnsi="宋体" w:cs="宋体" w:eastAsia="宋体" w:hint="default"/>
                <w:sz w:val="21"/>
                <w:szCs w:val="21"/>
              </w:rPr>
              <w:t>金用于补</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充公司营</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运资金，</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主要投向</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公司资本</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中介业务</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及其他创</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新业务，</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提升公司</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多元化业</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务收入水</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37" w:lineRule="auto"/>
              <w:ind w:left="100" w:right="101"/>
              <w:jc w:val="both"/>
              <w:rPr>
                <w:rFonts w:ascii="宋体" w:hAnsi="宋体" w:cs="宋体" w:eastAsia="宋体" w:hint="default"/>
                <w:sz w:val="21"/>
                <w:szCs w:val="21"/>
              </w:rPr>
            </w:pPr>
            <w:r>
              <w:rPr>
                <w:rFonts w:ascii="宋体" w:hAnsi="宋体" w:cs="宋体" w:eastAsia="宋体" w:hint="default"/>
                <w:sz w:val="21"/>
                <w:szCs w:val="21"/>
              </w:rPr>
              <w:t>固</w:t>
            </w:r>
            <w:r>
              <w:rPr>
                <w:rFonts w:ascii="宋体" w:hAnsi="宋体" w:cs="宋体" w:eastAsia="宋体" w:hint="default"/>
                <w:w w:val="100"/>
                <w:sz w:val="21"/>
                <w:szCs w:val="21"/>
              </w:rPr>
              <w:t> </w:t>
            </w:r>
            <w:r>
              <w:rPr>
                <w:rFonts w:ascii="宋体" w:hAnsi="宋体" w:cs="宋体" w:eastAsia="宋体" w:hint="default"/>
                <w:sz w:val="21"/>
                <w:szCs w:val="21"/>
              </w:rPr>
              <w:t>定</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0"/>
                <w:szCs w:val="20"/>
              </w:rPr>
            </w:pPr>
            <w:r>
              <w:rPr>
                <w:rFonts w:ascii="宋体"/>
                <w:sz w:val="20"/>
              </w:rPr>
              <w:t>4.30%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73.04</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73.04</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到</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531"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兴业证</w:t>
            </w:r>
            <w:r>
              <w:rPr>
                <w:rFonts w:ascii="宋体" w:hAnsi="宋体" w:cs="宋体" w:eastAsia="宋体" w:hint="default"/>
                <w:spacing w:val="-102"/>
                <w:sz w:val="21"/>
                <w:szCs w:val="21"/>
              </w:rPr>
              <w:t> </w:t>
            </w:r>
            <w:r>
              <w:rPr>
                <w:rFonts w:ascii="宋体" w:hAnsi="宋体" w:cs="宋体" w:eastAsia="宋体" w:hint="default"/>
                <w:sz w:val="21"/>
                <w:szCs w:val="21"/>
              </w:rPr>
              <w:t>券股份</w:t>
            </w:r>
            <w:r>
              <w:rPr>
                <w:rFonts w:ascii="宋体" w:hAnsi="宋体" w:cs="宋体" w:eastAsia="宋体" w:hint="default"/>
                <w:spacing w:val="-102"/>
                <w:sz w:val="21"/>
                <w:szCs w:val="21"/>
              </w:rPr>
              <w:t> </w:t>
            </w:r>
            <w:r>
              <w:rPr>
                <w:rFonts w:ascii="宋体" w:hAnsi="宋体" w:cs="宋体" w:eastAsia="宋体" w:hint="default"/>
                <w:sz w:val="21"/>
                <w:szCs w:val="21"/>
              </w:rPr>
              <w:t>有限公</w:t>
            </w:r>
            <w:r>
              <w:rPr>
                <w:rFonts w:ascii="宋体" w:hAnsi="宋体" w:cs="宋体" w:eastAsia="宋体" w:hint="default"/>
                <w:spacing w:val="-102"/>
                <w:sz w:val="21"/>
                <w:szCs w:val="21"/>
              </w:rPr>
              <w:t> </w:t>
            </w:r>
            <w:r>
              <w:rPr>
                <w:rFonts w:ascii="宋体" w:hAnsi="宋体" w:cs="宋体" w:eastAsia="宋体" w:hint="default"/>
                <w:sz w:val="21"/>
                <w:szCs w:val="21"/>
              </w:rPr>
              <w:t>司</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券</w:t>
            </w:r>
          </w:p>
          <w:p>
            <w:pPr>
              <w:pStyle w:val="TableParagraph"/>
              <w:spacing w:line="237" w:lineRule="auto" w:before="2"/>
              <w:ind w:left="103" w:right="242"/>
              <w:jc w:val="both"/>
              <w:rPr>
                <w:rFonts w:ascii="宋体" w:hAnsi="宋体" w:cs="宋体" w:eastAsia="宋体" w:hint="default"/>
                <w:sz w:val="21"/>
                <w:szCs w:val="21"/>
              </w:rPr>
            </w:pPr>
            <w:r>
              <w:rPr>
                <w:rFonts w:ascii="宋体" w:hAnsi="宋体" w:cs="宋体" w:eastAsia="宋体" w:hint="default"/>
                <w:sz w:val="21"/>
                <w:szCs w:val="21"/>
              </w:rPr>
              <w:t>商</w:t>
            </w:r>
            <w:r>
              <w:rPr>
                <w:rFonts w:ascii="宋体" w:hAnsi="宋体" w:cs="宋体" w:eastAsia="宋体" w:hint="default"/>
                <w:w w:val="100"/>
                <w:sz w:val="21"/>
                <w:szCs w:val="21"/>
              </w:rPr>
              <w:t> </w:t>
            </w:r>
            <w:r>
              <w:rPr>
                <w:rFonts w:ascii="宋体" w:hAnsi="宋体" w:cs="宋体" w:eastAsia="宋体" w:hint="default"/>
                <w:sz w:val="21"/>
                <w:szCs w:val="21"/>
              </w:rPr>
              <w:t>理</w:t>
            </w:r>
            <w:r>
              <w:rPr>
                <w:rFonts w:ascii="宋体" w:hAnsi="宋体" w:cs="宋体" w:eastAsia="宋体" w:hint="default"/>
                <w:w w:val="100"/>
                <w:sz w:val="21"/>
                <w:szCs w:val="21"/>
              </w:rPr>
              <w:t> </w:t>
            </w:r>
            <w:r>
              <w:rPr>
                <w:rFonts w:ascii="宋体" w:hAnsi="宋体" w:cs="宋体" w:eastAsia="宋体" w:hint="default"/>
                <w:sz w:val="21"/>
                <w:szCs w:val="21"/>
              </w:rPr>
              <w:t>财</w:t>
            </w:r>
            <w:r>
              <w:rPr>
                <w:rFonts w:ascii="宋体" w:hAnsi="宋体" w:cs="宋体" w:eastAsia="宋体" w:hint="default"/>
                <w:w w:val="100"/>
                <w:sz w:val="21"/>
                <w:szCs w:val="21"/>
              </w:rPr>
              <w:t> </w:t>
            </w:r>
            <w:r>
              <w:rPr>
                <w:rFonts w:ascii="宋体" w:hAnsi="宋体" w:cs="宋体" w:eastAsia="宋体" w:hint="default"/>
                <w:sz w:val="21"/>
                <w:szCs w:val="21"/>
              </w:rPr>
              <w:t>产</w:t>
            </w:r>
            <w:r>
              <w:rPr>
                <w:rFonts w:ascii="宋体" w:hAnsi="宋体" w:cs="宋体" w:eastAsia="宋体" w:hint="default"/>
                <w:w w:val="100"/>
                <w:sz w:val="21"/>
                <w:szCs w:val="21"/>
              </w:rPr>
              <w:t> </w:t>
            </w:r>
            <w:r>
              <w:rPr>
                <w:rFonts w:ascii="宋体" w:hAnsi="宋体" w:cs="宋体" w:eastAsia="宋体" w:hint="default"/>
                <w:sz w:val="21"/>
                <w:szCs w:val="21"/>
              </w:rPr>
              <w:t>品</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sz w:val="21"/>
              </w:rPr>
              <w:t>5,000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sz w:val="21"/>
              </w:rPr>
              <w:t>2017-09-18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sz w:val="21"/>
              </w:rPr>
              <w:t>2018-01-16</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z w:val="21"/>
                <w:szCs w:val="21"/>
              </w:rPr>
              <w:t>补充发行</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人营运资</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金或用于</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偿还借款</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37" w:lineRule="auto"/>
              <w:ind w:left="100" w:right="101"/>
              <w:jc w:val="both"/>
              <w:rPr>
                <w:rFonts w:ascii="宋体" w:hAnsi="宋体" w:cs="宋体" w:eastAsia="宋体" w:hint="default"/>
                <w:sz w:val="21"/>
                <w:szCs w:val="21"/>
              </w:rPr>
            </w:pPr>
            <w:r>
              <w:rPr>
                <w:rFonts w:ascii="宋体" w:hAnsi="宋体" w:cs="宋体" w:eastAsia="宋体" w:hint="default"/>
                <w:sz w:val="21"/>
                <w:szCs w:val="21"/>
              </w:rPr>
              <w:t>固</w:t>
            </w:r>
            <w:r>
              <w:rPr>
                <w:rFonts w:ascii="宋体" w:hAnsi="宋体" w:cs="宋体" w:eastAsia="宋体" w:hint="default"/>
                <w:w w:val="100"/>
                <w:sz w:val="21"/>
                <w:szCs w:val="21"/>
              </w:rPr>
              <w:t> </w:t>
            </w:r>
            <w:r>
              <w:rPr>
                <w:rFonts w:ascii="宋体" w:hAnsi="宋体" w:cs="宋体" w:eastAsia="宋体" w:hint="default"/>
                <w:sz w:val="21"/>
                <w:szCs w:val="21"/>
              </w:rPr>
              <w:t>定</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20"/>
                <w:szCs w:val="20"/>
              </w:rPr>
            </w:pPr>
            <w:r>
              <w:rPr>
                <w:rFonts w:ascii="宋体"/>
                <w:sz w:val="20"/>
              </w:rPr>
              <w:t>4.90%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81.22</w:t>
            </w:r>
          </w:p>
        </w:tc>
        <w:tc>
          <w:tcPr>
            <w:tcW w:w="689"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48"/>
              <w:ind w:left="103" w:right="101"/>
              <w:jc w:val="both"/>
              <w:rPr>
                <w:rFonts w:ascii="宋体" w:hAnsi="宋体" w:cs="宋体" w:eastAsia="宋体" w:hint="default"/>
                <w:sz w:val="21"/>
                <w:szCs w:val="21"/>
              </w:rPr>
            </w:pPr>
            <w:r>
              <w:rPr>
                <w:rFonts w:ascii="宋体" w:hAnsi="宋体" w:cs="宋体" w:eastAsia="宋体" w:hint="default"/>
                <w:sz w:val="21"/>
                <w:szCs w:val="21"/>
              </w:rPr>
              <w:t>未</w:t>
            </w:r>
            <w:r>
              <w:rPr>
                <w:rFonts w:ascii="宋体" w:hAnsi="宋体" w:cs="宋体" w:eastAsia="宋体" w:hint="default"/>
                <w:w w:val="100"/>
                <w:sz w:val="21"/>
                <w:szCs w:val="21"/>
              </w:rPr>
              <w:t> </w:t>
            </w:r>
            <w:r>
              <w:rPr>
                <w:rFonts w:ascii="宋体" w:hAnsi="宋体" w:cs="宋体" w:eastAsia="宋体" w:hint="default"/>
                <w:sz w:val="21"/>
                <w:szCs w:val="21"/>
              </w:rPr>
              <w:t>到</w:t>
            </w:r>
            <w:r>
              <w:rPr>
                <w:rFonts w:ascii="宋体" w:hAnsi="宋体" w:cs="宋体" w:eastAsia="宋体" w:hint="default"/>
                <w:w w:val="100"/>
                <w:sz w:val="21"/>
                <w:szCs w:val="21"/>
              </w:rPr>
              <w:t> </w:t>
            </w:r>
            <w:r>
              <w:rPr>
                <w:rFonts w:ascii="宋体" w:hAnsi="宋体" w:cs="宋体" w:eastAsia="宋体" w:hint="default"/>
                <w:sz w:val="21"/>
                <w:szCs w:val="21"/>
              </w:rPr>
              <w:t>期</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53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5" w:footer="1195" w:top="1280" w:bottom="1380" w:left="540" w:right="300"/>
        </w:sectPr>
      </w:pPr>
    </w:p>
    <w:p>
      <w:pPr>
        <w:spacing w:line="240" w:lineRule="auto" w:before="3"/>
        <w:rPr>
          <w:rFonts w:ascii="Times New Roman" w:hAnsi="Times New Roman" w:cs="Times New Roman" w:eastAsia="Times New Roman" w:hint="default"/>
          <w:sz w:val="20"/>
          <w:szCs w:val="20"/>
        </w:rPr>
      </w:pPr>
    </w:p>
    <w:tbl>
      <w:tblPr>
        <w:tblW w:w="0" w:type="auto"/>
        <w:jc w:val="left"/>
        <w:tblInd w:w="117" w:type="dxa"/>
        <w:tblLayout w:type="fixed"/>
        <w:tblCellMar>
          <w:top w:w="0" w:type="dxa"/>
          <w:left w:w="0" w:type="dxa"/>
          <w:bottom w:w="0" w:type="dxa"/>
          <w:right w:w="0" w:type="dxa"/>
        </w:tblCellMar>
        <w:tblLook w:val="01E0"/>
      </w:tblPr>
      <w:tblGrid>
        <w:gridCol w:w="850"/>
        <w:gridCol w:w="569"/>
        <w:gridCol w:w="847"/>
        <w:gridCol w:w="1277"/>
        <w:gridCol w:w="1277"/>
        <w:gridCol w:w="427"/>
        <w:gridCol w:w="1068"/>
        <w:gridCol w:w="425"/>
        <w:gridCol w:w="797"/>
        <w:gridCol w:w="795"/>
        <w:gridCol w:w="689"/>
        <w:gridCol w:w="427"/>
        <w:gridCol w:w="427"/>
        <w:gridCol w:w="427"/>
        <w:gridCol w:w="531"/>
      </w:tblGrid>
      <w:tr>
        <w:trPr>
          <w:trHeight w:val="3553"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中国民</w:t>
            </w:r>
            <w:r>
              <w:rPr>
                <w:rFonts w:ascii="宋体" w:hAnsi="宋体" w:cs="宋体" w:eastAsia="宋体" w:hint="default"/>
                <w:spacing w:val="-102"/>
                <w:sz w:val="21"/>
                <w:szCs w:val="21"/>
              </w:rPr>
              <w:t> </w:t>
            </w:r>
            <w:r>
              <w:rPr>
                <w:rFonts w:ascii="宋体" w:hAnsi="宋体" w:cs="宋体" w:eastAsia="宋体" w:hint="default"/>
                <w:sz w:val="21"/>
                <w:szCs w:val="21"/>
              </w:rPr>
              <w:t>生银行</w:t>
            </w:r>
            <w:r>
              <w:rPr>
                <w:rFonts w:ascii="宋体" w:hAnsi="宋体" w:cs="宋体" w:eastAsia="宋体" w:hint="default"/>
                <w:spacing w:val="-102"/>
                <w:sz w:val="21"/>
                <w:szCs w:val="21"/>
              </w:rPr>
              <w:t> </w:t>
            </w:r>
            <w:r>
              <w:rPr>
                <w:rFonts w:ascii="宋体" w:hAnsi="宋体" w:cs="宋体" w:eastAsia="宋体" w:hint="default"/>
                <w:sz w:val="21"/>
                <w:szCs w:val="21"/>
              </w:rPr>
              <w:t>股份有</w:t>
            </w:r>
            <w:r>
              <w:rPr>
                <w:rFonts w:ascii="宋体" w:hAnsi="宋体" w:cs="宋体" w:eastAsia="宋体" w:hint="default"/>
                <w:spacing w:val="-102"/>
                <w:sz w:val="21"/>
                <w:szCs w:val="21"/>
              </w:rPr>
              <w:t> </w:t>
            </w:r>
            <w:r>
              <w:rPr>
                <w:rFonts w:ascii="宋体" w:hAnsi="宋体" w:cs="宋体" w:eastAsia="宋体" w:hint="default"/>
                <w:sz w:val="21"/>
                <w:szCs w:val="21"/>
              </w:rPr>
              <w:t>限公司</w:t>
            </w:r>
            <w:r>
              <w:rPr>
                <w:rFonts w:ascii="宋体" w:hAnsi="宋体" w:cs="宋体" w:eastAsia="宋体" w:hint="default"/>
                <w:spacing w:val="-102"/>
                <w:sz w:val="21"/>
                <w:szCs w:val="21"/>
              </w:rPr>
              <w:t> </w:t>
            </w:r>
            <w:r>
              <w:rPr>
                <w:rFonts w:ascii="宋体" w:hAnsi="宋体" w:cs="宋体" w:eastAsia="宋体" w:hint="default"/>
                <w:sz w:val="21"/>
                <w:szCs w:val="21"/>
              </w:rPr>
              <w:t>福州分</w:t>
            </w:r>
            <w:r>
              <w:rPr>
                <w:rFonts w:ascii="宋体" w:hAnsi="宋体" w:cs="宋体" w:eastAsia="宋体" w:hint="default"/>
                <w:spacing w:val="-102"/>
                <w:sz w:val="21"/>
                <w:szCs w:val="21"/>
              </w:rPr>
              <w:t> </w:t>
            </w:r>
            <w:r>
              <w:rPr>
                <w:rFonts w:ascii="宋体" w:hAnsi="宋体" w:cs="宋体" w:eastAsia="宋体" w:hint="default"/>
                <w:sz w:val="21"/>
                <w:szCs w:val="21"/>
              </w:rPr>
              <w:t>行</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37" w:lineRule="auto"/>
              <w:ind w:left="103" w:right="242"/>
              <w:jc w:val="both"/>
              <w:rPr>
                <w:rFonts w:ascii="宋体" w:hAnsi="宋体" w:cs="宋体" w:eastAsia="宋体" w:hint="default"/>
                <w:sz w:val="21"/>
                <w:szCs w:val="21"/>
              </w:rPr>
            </w:pPr>
            <w:r>
              <w:rPr>
                <w:rFonts w:ascii="宋体" w:hAnsi="宋体" w:cs="宋体" w:eastAsia="宋体" w:hint="default"/>
                <w:sz w:val="21"/>
                <w:szCs w:val="21"/>
              </w:rPr>
              <w:t>银</w:t>
            </w:r>
            <w:r>
              <w:rPr>
                <w:rFonts w:ascii="宋体" w:hAnsi="宋体" w:cs="宋体" w:eastAsia="宋体" w:hint="default"/>
                <w:w w:val="100"/>
                <w:sz w:val="21"/>
                <w:szCs w:val="21"/>
              </w:rPr>
              <w:t> </w:t>
            </w: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理</w:t>
            </w:r>
            <w:r>
              <w:rPr>
                <w:rFonts w:ascii="宋体" w:hAnsi="宋体" w:cs="宋体" w:eastAsia="宋体" w:hint="default"/>
                <w:w w:val="100"/>
                <w:sz w:val="21"/>
                <w:szCs w:val="21"/>
              </w:rPr>
              <w:t> </w:t>
            </w:r>
            <w:r>
              <w:rPr>
                <w:rFonts w:ascii="宋体" w:hAnsi="宋体" w:cs="宋体" w:eastAsia="宋体" w:hint="default"/>
                <w:sz w:val="21"/>
                <w:szCs w:val="21"/>
              </w:rPr>
              <w:t>财</w:t>
            </w:r>
            <w:r>
              <w:rPr>
                <w:rFonts w:ascii="宋体" w:hAnsi="宋体" w:cs="宋体" w:eastAsia="宋体" w:hint="default"/>
                <w:w w:val="100"/>
                <w:sz w:val="21"/>
                <w:szCs w:val="21"/>
              </w:rPr>
              <w:t> </w:t>
            </w:r>
            <w:r>
              <w:rPr>
                <w:rFonts w:ascii="宋体" w:hAnsi="宋体" w:cs="宋体" w:eastAsia="宋体" w:hint="default"/>
                <w:sz w:val="21"/>
                <w:szCs w:val="21"/>
              </w:rPr>
              <w:t>产</w:t>
            </w:r>
            <w:r>
              <w:rPr>
                <w:rFonts w:ascii="宋体" w:hAnsi="宋体" w:cs="宋体" w:eastAsia="宋体" w:hint="default"/>
                <w:w w:val="100"/>
                <w:sz w:val="21"/>
                <w:szCs w:val="21"/>
              </w:rPr>
              <w:t> </w:t>
            </w:r>
            <w:r>
              <w:rPr>
                <w:rFonts w:ascii="宋体" w:hAnsi="宋体" w:cs="宋体" w:eastAsia="宋体" w:hint="default"/>
                <w:sz w:val="21"/>
                <w:szCs w:val="21"/>
              </w:rPr>
              <w:t>品</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sz w:val="21"/>
              </w:rPr>
              <w:t>1,000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sz w:val="21"/>
              </w:rPr>
              <w:t>2017-09-28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sz w:val="21"/>
              </w:rPr>
              <w:t>2017-12-28</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z w:val="21"/>
                <w:szCs w:val="21"/>
              </w:rPr>
              <w:t>产品销售</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所汇资金</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为名义本</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金，并以</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该名义本</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金的资金</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成本与交</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易对手叙</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作投资收</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益和</w:t>
            </w:r>
            <w:r>
              <w:rPr>
                <w:rFonts w:ascii="宋体" w:hAnsi="宋体" w:cs="宋体" w:eastAsia="宋体" w:hint="default"/>
                <w:spacing w:val="12"/>
                <w:sz w:val="21"/>
                <w:szCs w:val="21"/>
              </w:rPr>
              <w:t> </w:t>
            </w:r>
            <w:r>
              <w:rPr>
                <w:rFonts w:ascii="宋体" w:hAnsi="宋体" w:cs="宋体" w:eastAsia="宋体" w:hint="default"/>
                <w:sz w:val="21"/>
                <w:szCs w:val="21"/>
              </w:rPr>
              <w:t>3ML</w:t>
            </w:r>
            <w:r>
              <w:rPr>
                <w:rFonts w:ascii="宋体" w:hAnsi="宋体" w:cs="宋体" w:eastAsia="宋体" w:hint="default"/>
                <w:w w:val="100"/>
                <w:sz w:val="21"/>
                <w:szCs w:val="21"/>
              </w:rPr>
              <w:t> </w:t>
            </w:r>
            <w:r>
              <w:rPr>
                <w:rFonts w:ascii="宋体" w:hAnsi="宋体" w:cs="宋体" w:eastAsia="宋体" w:hint="default"/>
                <w:sz w:val="21"/>
                <w:szCs w:val="21"/>
              </w:rPr>
              <w:t>挂钩的金</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融衍生品</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交易</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37" w:lineRule="auto"/>
              <w:ind w:left="100" w:right="101"/>
              <w:jc w:val="both"/>
              <w:rPr>
                <w:rFonts w:ascii="宋体" w:hAnsi="宋体" w:cs="宋体" w:eastAsia="宋体" w:hint="default"/>
                <w:sz w:val="21"/>
                <w:szCs w:val="21"/>
              </w:rPr>
            </w:pPr>
            <w:r>
              <w:rPr>
                <w:rFonts w:ascii="宋体" w:hAnsi="宋体" w:cs="宋体" w:eastAsia="宋体" w:hint="default"/>
                <w:sz w:val="21"/>
                <w:szCs w:val="21"/>
              </w:rPr>
              <w:t>保</w:t>
            </w:r>
            <w:r>
              <w:rPr>
                <w:rFonts w:ascii="宋体" w:hAnsi="宋体" w:cs="宋体" w:eastAsia="宋体" w:hint="default"/>
                <w:w w:val="100"/>
                <w:sz w:val="21"/>
                <w:szCs w:val="21"/>
              </w:rPr>
              <w:t> </w:t>
            </w: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浮</w:t>
            </w:r>
            <w:r>
              <w:rPr>
                <w:rFonts w:ascii="宋体" w:hAnsi="宋体" w:cs="宋体" w:eastAsia="宋体" w:hint="default"/>
                <w:w w:val="100"/>
                <w:sz w:val="21"/>
                <w:szCs w:val="21"/>
              </w:rPr>
              <w:t> </w:t>
            </w:r>
            <w:r>
              <w:rPr>
                <w:rFonts w:ascii="宋体" w:hAnsi="宋体" w:cs="宋体" w:eastAsia="宋体" w:hint="default"/>
                <w:sz w:val="21"/>
                <w:szCs w:val="21"/>
              </w:rPr>
              <w:t>动</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益</w:t>
            </w: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0"/>
                <w:szCs w:val="20"/>
              </w:rPr>
            </w:pPr>
            <w:r>
              <w:rPr>
                <w:rFonts w:ascii="宋体"/>
                <w:sz w:val="20"/>
              </w:rPr>
              <w:t>4.15%</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right="106"/>
              <w:jc w:val="center"/>
              <w:rPr>
                <w:rFonts w:ascii="Times New Roman" w:hAnsi="Times New Roman" w:cs="Times New Roman" w:eastAsia="Times New Roman" w:hint="default"/>
                <w:sz w:val="21"/>
                <w:szCs w:val="21"/>
              </w:rPr>
            </w:pPr>
            <w:r>
              <w:rPr>
                <w:rFonts w:ascii="Times New Roman"/>
                <w:sz w:val="21"/>
              </w:rPr>
              <w:t>10.35</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10.49</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到</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531" w:type="dxa"/>
            <w:tcBorders>
              <w:top w:val="single" w:sz="4" w:space="0" w:color="000000"/>
              <w:left w:val="single" w:sz="4" w:space="0" w:color="000000"/>
              <w:bottom w:val="single" w:sz="4" w:space="0" w:color="000000"/>
              <w:right w:val="single" w:sz="4" w:space="0" w:color="000000"/>
            </w:tcBorders>
          </w:tcPr>
          <w:p>
            <w:pPr/>
          </w:p>
        </w:tc>
      </w:tr>
      <w:tr>
        <w:trPr>
          <w:trHeight w:val="2734"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招商银</w:t>
            </w:r>
            <w:r>
              <w:rPr>
                <w:rFonts w:ascii="宋体" w:hAnsi="宋体" w:cs="宋体" w:eastAsia="宋体" w:hint="default"/>
                <w:spacing w:val="-102"/>
                <w:sz w:val="21"/>
                <w:szCs w:val="21"/>
              </w:rPr>
              <w:t> </w:t>
            </w:r>
            <w:r>
              <w:rPr>
                <w:rFonts w:ascii="宋体" w:hAnsi="宋体" w:cs="宋体" w:eastAsia="宋体" w:hint="default"/>
                <w:sz w:val="21"/>
                <w:szCs w:val="21"/>
              </w:rPr>
              <w:t>行股份</w:t>
            </w:r>
            <w:r>
              <w:rPr>
                <w:rFonts w:ascii="宋体" w:hAnsi="宋体" w:cs="宋体" w:eastAsia="宋体" w:hint="default"/>
                <w:spacing w:val="-102"/>
                <w:sz w:val="21"/>
                <w:szCs w:val="21"/>
              </w:rPr>
              <w:t> </w:t>
            </w:r>
            <w:r>
              <w:rPr>
                <w:rFonts w:ascii="宋体" w:hAnsi="宋体" w:cs="宋体" w:eastAsia="宋体" w:hint="default"/>
                <w:sz w:val="21"/>
                <w:szCs w:val="21"/>
              </w:rPr>
              <w:t>有限公</w:t>
            </w:r>
            <w:r>
              <w:rPr>
                <w:rFonts w:ascii="宋体" w:hAnsi="宋体" w:cs="宋体" w:eastAsia="宋体" w:hint="default"/>
                <w:spacing w:val="-102"/>
                <w:sz w:val="21"/>
                <w:szCs w:val="21"/>
              </w:rPr>
              <w:t> </w:t>
            </w:r>
            <w:r>
              <w:rPr>
                <w:rFonts w:ascii="宋体" w:hAnsi="宋体" w:cs="宋体" w:eastAsia="宋体" w:hint="default"/>
                <w:sz w:val="21"/>
                <w:szCs w:val="21"/>
              </w:rPr>
              <w:t>司武汉</w:t>
            </w:r>
            <w:r>
              <w:rPr>
                <w:rFonts w:ascii="宋体" w:hAnsi="宋体" w:cs="宋体" w:eastAsia="宋体" w:hint="default"/>
                <w:spacing w:val="-102"/>
                <w:sz w:val="21"/>
                <w:szCs w:val="21"/>
              </w:rPr>
              <w:t> </w:t>
            </w:r>
            <w:r>
              <w:rPr>
                <w:rFonts w:ascii="宋体" w:hAnsi="宋体" w:cs="宋体" w:eastAsia="宋体" w:hint="default"/>
                <w:sz w:val="21"/>
                <w:szCs w:val="21"/>
              </w:rPr>
              <w:t>光谷科</w:t>
            </w:r>
            <w:r>
              <w:rPr>
                <w:rFonts w:ascii="宋体" w:hAnsi="宋体" w:cs="宋体" w:eastAsia="宋体" w:hint="default"/>
                <w:spacing w:val="-102"/>
                <w:sz w:val="21"/>
                <w:szCs w:val="21"/>
              </w:rPr>
              <w:t> </w:t>
            </w:r>
            <w:r>
              <w:rPr>
                <w:rFonts w:ascii="宋体" w:hAnsi="宋体" w:cs="宋体" w:eastAsia="宋体" w:hint="default"/>
                <w:sz w:val="21"/>
                <w:szCs w:val="21"/>
              </w:rPr>
              <w:t>技支行</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37" w:lineRule="auto"/>
              <w:ind w:left="103" w:right="242"/>
              <w:jc w:val="both"/>
              <w:rPr>
                <w:rFonts w:ascii="宋体" w:hAnsi="宋体" w:cs="宋体" w:eastAsia="宋体" w:hint="default"/>
                <w:sz w:val="21"/>
                <w:szCs w:val="21"/>
              </w:rPr>
            </w:pPr>
            <w:r>
              <w:rPr>
                <w:rFonts w:ascii="宋体" w:hAnsi="宋体" w:cs="宋体" w:eastAsia="宋体" w:hint="default"/>
                <w:sz w:val="21"/>
                <w:szCs w:val="21"/>
              </w:rPr>
              <w:t>银</w:t>
            </w:r>
            <w:r>
              <w:rPr>
                <w:rFonts w:ascii="宋体" w:hAnsi="宋体" w:cs="宋体" w:eastAsia="宋体" w:hint="default"/>
                <w:w w:val="100"/>
                <w:sz w:val="21"/>
                <w:szCs w:val="21"/>
              </w:rPr>
              <w:t> </w:t>
            </w: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理</w:t>
            </w:r>
            <w:r>
              <w:rPr>
                <w:rFonts w:ascii="宋体" w:hAnsi="宋体" w:cs="宋体" w:eastAsia="宋体" w:hint="default"/>
                <w:w w:val="100"/>
                <w:sz w:val="21"/>
                <w:szCs w:val="21"/>
              </w:rPr>
              <w:t> </w:t>
            </w:r>
            <w:r>
              <w:rPr>
                <w:rFonts w:ascii="宋体" w:hAnsi="宋体" w:cs="宋体" w:eastAsia="宋体" w:hint="default"/>
                <w:sz w:val="21"/>
                <w:szCs w:val="21"/>
              </w:rPr>
              <w:t>财</w:t>
            </w:r>
            <w:r>
              <w:rPr>
                <w:rFonts w:ascii="宋体" w:hAnsi="宋体" w:cs="宋体" w:eastAsia="宋体" w:hint="default"/>
                <w:w w:val="100"/>
                <w:sz w:val="21"/>
                <w:szCs w:val="21"/>
              </w:rPr>
              <w:t> </w:t>
            </w:r>
            <w:r>
              <w:rPr>
                <w:rFonts w:ascii="宋体" w:hAnsi="宋体" w:cs="宋体" w:eastAsia="宋体" w:hint="default"/>
                <w:sz w:val="21"/>
                <w:szCs w:val="21"/>
              </w:rPr>
              <w:t>产</w:t>
            </w:r>
            <w:r>
              <w:rPr>
                <w:rFonts w:ascii="宋体" w:hAnsi="宋体" w:cs="宋体" w:eastAsia="宋体" w:hint="default"/>
                <w:w w:val="100"/>
                <w:sz w:val="21"/>
                <w:szCs w:val="21"/>
              </w:rPr>
              <w:t> </w:t>
            </w:r>
            <w:r>
              <w:rPr>
                <w:rFonts w:ascii="宋体" w:hAnsi="宋体" w:cs="宋体" w:eastAsia="宋体" w:hint="default"/>
                <w:sz w:val="21"/>
                <w:szCs w:val="21"/>
              </w:rPr>
              <w:t>品</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21"/>
                <w:szCs w:val="21"/>
              </w:rPr>
            </w:pPr>
            <w:r>
              <w:rPr>
                <w:rFonts w:ascii="宋体"/>
                <w:sz w:val="21"/>
              </w:rPr>
              <w:t>3,000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21"/>
                <w:szCs w:val="21"/>
              </w:rPr>
            </w:pPr>
            <w:r>
              <w:rPr>
                <w:rFonts w:ascii="宋体"/>
                <w:sz w:val="21"/>
              </w:rPr>
              <w:t>2017-09-29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21"/>
                <w:szCs w:val="21"/>
              </w:rPr>
            </w:pPr>
            <w:r>
              <w:rPr>
                <w:rFonts w:ascii="宋体"/>
                <w:sz w:val="21"/>
              </w:rPr>
              <w:t>2017-12-29</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募</w:t>
            </w:r>
            <w:r>
              <w:rPr>
                <w:rFonts w:ascii="宋体" w:hAnsi="宋体" w:cs="宋体" w:eastAsia="宋体" w:hint="default"/>
                <w:w w:val="100"/>
                <w:sz w:val="21"/>
                <w:szCs w:val="21"/>
              </w:rPr>
              <w:t> </w:t>
            </w:r>
            <w:r>
              <w:rPr>
                <w:rFonts w:ascii="宋体" w:hAnsi="宋体" w:cs="宋体" w:eastAsia="宋体" w:hint="default"/>
                <w:sz w:val="21"/>
                <w:szCs w:val="21"/>
              </w:rPr>
              <w:t>集</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为黄金价</w:t>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z w:val="21"/>
                <w:szCs w:val="21"/>
              </w:rPr>
              <w:t>格每盎司</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黄金的美</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元标价，</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黄金水平</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为伦敦金</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银市场协</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会发布的</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下午定盘</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37" w:lineRule="auto"/>
              <w:ind w:left="100" w:right="101"/>
              <w:jc w:val="both"/>
              <w:rPr>
                <w:rFonts w:ascii="宋体" w:hAnsi="宋体" w:cs="宋体" w:eastAsia="宋体" w:hint="default"/>
                <w:sz w:val="21"/>
                <w:szCs w:val="21"/>
              </w:rPr>
            </w:pPr>
            <w:r>
              <w:rPr>
                <w:rFonts w:ascii="宋体" w:hAnsi="宋体" w:cs="宋体" w:eastAsia="宋体" w:hint="default"/>
                <w:sz w:val="21"/>
                <w:szCs w:val="21"/>
              </w:rPr>
              <w:t>保</w:t>
            </w:r>
            <w:r>
              <w:rPr>
                <w:rFonts w:ascii="宋体" w:hAnsi="宋体" w:cs="宋体" w:eastAsia="宋体" w:hint="default"/>
                <w:w w:val="100"/>
                <w:sz w:val="21"/>
                <w:szCs w:val="21"/>
              </w:rPr>
              <w:t> </w:t>
            </w: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浮</w:t>
            </w:r>
            <w:r>
              <w:rPr>
                <w:rFonts w:ascii="宋体" w:hAnsi="宋体" w:cs="宋体" w:eastAsia="宋体" w:hint="default"/>
                <w:w w:val="100"/>
                <w:sz w:val="21"/>
                <w:szCs w:val="21"/>
              </w:rPr>
              <w:t> </w:t>
            </w:r>
            <w:r>
              <w:rPr>
                <w:rFonts w:ascii="宋体" w:hAnsi="宋体" w:cs="宋体" w:eastAsia="宋体" w:hint="default"/>
                <w:sz w:val="21"/>
                <w:szCs w:val="21"/>
              </w:rPr>
              <w:t>动</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20"/>
                <w:szCs w:val="20"/>
              </w:rPr>
            </w:pPr>
            <w:r>
              <w:rPr>
                <w:rFonts w:ascii="宋体"/>
                <w:sz w:val="20"/>
              </w:rPr>
              <w:t>4.00%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7"/>
                <w:szCs w:val="27"/>
              </w:rPr>
            </w:pPr>
          </w:p>
          <w:p>
            <w:pPr>
              <w:pStyle w:val="TableParagraph"/>
              <w:spacing w:line="240" w:lineRule="auto"/>
              <w:ind w:right="106"/>
              <w:jc w:val="center"/>
              <w:rPr>
                <w:rFonts w:ascii="Times New Roman" w:hAnsi="Times New Roman" w:cs="Times New Roman" w:eastAsia="Times New Roman" w:hint="default"/>
                <w:sz w:val="21"/>
                <w:szCs w:val="21"/>
              </w:rPr>
            </w:pPr>
            <w:r>
              <w:rPr>
                <w:rFonts w:ascii="Times New Roman"/>
                <w:sz w:val="21"/>
              </w:rPr>
              <w:t>29.92</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7"/>
                <w:szCs w:val="2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29.92</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到</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531" w:type="dxa"/>
            <w:tcBorders>
              <w:top w:val="single" w:sz="4" w:space="0" w:color="000000"/>
              <w:left w:val="single" w:sz="4" w:space="0" w:color="000000"/>
              <w:bottom w:val="single" w:sz="4" w:space="0" w:color="000000"/>
              <w:right w:val="single" w:sz="4" w:space="0" w:color="000000"/>
            </w:tcBorders>
          </w:tcPr>
          <w:p>
            <w:pPr/>
          </w:p>
        </w:tc>
      </w:tr>
      <w:tr>
        <w:trPr>
          <w:trHeight w:val="3550"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国泰君</w:t>
            </w:r>
            <w:r>
              <w:rPr>
                <w:rFonts w:ascii="宋体" w:hAnsi="宋体" w:cs="宋体" w:eastAsia="宋体" w:hint="default"/>
                <w:spacing w:val="-102"/>
                <w:sz w:val="21"/>
                <w:szCs w:val="21"/>
              </w:rPr>
              <w:t> </w:t>
            </w:r>
            <w:r>
              <w:rPr>
                <w:rFonts w:ascii="宋体" w:hAnsi="宋体" w:cs="宋体" w:eastAsia="宋体" w:hint="default"/>
                <w:sz w:val="21"/>
                <w:szCs w:val="21"/>
              </w:rPr>
              <w:t>安证券</w:t>
            </w:r>
            <w:r>
              <w:rPr>
                <w:rFonts w:ascii="宋体" w:hAnsi="宋体" w:cs="宋体" w:eastAsia="宋体" w:hint="default"/>
                <w:spacing w:val="-102"/>
                <w:sz w:val="21"/>
                <w:szCs w:val="21"/>
              </w:rPr>
              <w:t> </w:t>
            </w:r>
            <w:r>
              <w:rPr>
                <w:rFonts w:ascii="宋体" w:hAnsi="宋体" w:cs="宋体" w:eastAsia="宋体" w:hint="default"/>
                <w:sz w:val="21"/>
                <w:szCs w:val="21"/>
              </w:rPr>
              <w:t>股份有</w:t>
            </w:r>
            <w:r>
              <w:rPr>
                <w:rFonts w:ascii="宋体" w:hAnsi="宋体" w:cs="宋体" w:eastAsia="宋体" w:hint="default"/>
                <w:spacing w:val="-102"/>
                <w:sz w:val="21"/>
                <w:szCs w:val="21"/>
              </w:rPr>
              <w:t> </w:t>
            </w:r>
            <w:r>
              <w:rPr>
                <w:rFonts w:ascii="宋体" w:hAnsi="宋体" w:cs="宋体" w:eastAsia="宋体" w:hint="default"/>
                <w:sz w:val="21"/>
                <w:szCs w:val="21"/>
              </w:rPr>
              <w:t>限公司</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37" w:lineRule="auto"/>
              <w:ind w:left="103" w:right="242"/>
              <w:jc w:val="both"/>
              <w:rPr>
                <w:rFonts w:ascii="宋体" w:hAnsi="宋体" w:cs="宋体" w:eastAsia="宋体" w:hint="default"/>
                <w:sz w:val="21"/>
                <w:szCs w:val="21"/>
              </w:rPr>
            </w:pPr>
            <w:r>
              <w:rPr>
                <w:rFonts w:ascii="宋体" w:hAnsi="宋体" w:cs="宋体" w:eastAsia="宋体" w:hint="default"/>
                <w:sz w:val="21"/>
                <w:szCs w:val="21"/>
              </w:rPr>
              <w:t>券</w:t>
            </w:r>
            <w:r>
              <w:rPr>
                <w:rFonts w:ascii="宋体" w:hAnsi="宋体" w:cs="宋体" w:eastAsia="宋体" w:hint="default"/>
                <w:w w:val="100"/>
                <w:sz w:val="21"/>
                <w:szCs w:val="21"/>
              </w:rPr>
              <w:t> </w:t>
            </w:r>
            <w:r>
              <w:rPr>
                <w:rFonts w:ascii="宋体" w:hAnsi="宋体" w:cs="宋体" w:eastAsia="宋体" w:hint="default"/>
                <w:sz w:val="21"/>
                <w:szCs w:val="21"/>
              </w:rPr>
              <w:t>商</w:t>
            </w:r>
            <w:r>
              <w:rPr>
                <w:rFonts w:ascii="宋体" w:hAnsi="宋体" w:cs="宋体" w:eastAsia="宋体" w:hint="default"/>
                <w:w w:val="100"/>
                <w:sz w:val="21"/>
                <w:szCs w:val="21"/>
              </w:rPr>
              <w:t> </w:t>
            </w:r>
            <w:r>
              <w:rPr>
                <w:rFonts w:ascii="宋体" w:hAnsi="宋体" w:cs="宋体" w:eastAsia="宋体" w:hint="default"/>
                <w:sz w:val="21"/>
                <w:szCs w:val="21"/>
              </w:rPr>
              <w:t>理</w:t>
            </w:r>
            <w:r>
              <w:rPr>
                <w:rFonts w:ascii="宋体" w:hAnsi="宋体" w:cs="宋体" w:eastAsia="宋体" w:hint="default"/>
                <w:w w:val="100"/>
                <w:sz w:val="21"/>
                <w:szCs w:val="21"/>
              </w:rPr>
              <w:t> </w:t>
            </w:r>
            <w:r>
              <w:rPr>
                <w:rFonts w:ascii="宋体" w:hAnsi="宋体" w:cs="宋体" w:eastAsia="宋体" w:hint="default"/>
                <w:sz w:val="21"/>
                <w:szCs w:val="21"/>
              </w:rPr>
              <w:t>财</w:t>
            </w:r>
            <w:r>
              <w:rPr>
                <w:rFonts w:ascii="宋体" w:hAnsi="宋体" w:cs="宋体" w:eastAsia="宋体" w:hint="default"/>
                <w:w w:val="100"/>
                <w:sz w:val="21"/>
                <w:szCs w:val="21"/>
              </w:rPr>
              <w:t> </w:t>
            </w:r>
            <w:r>
              <w:rPr>
                <w:rFonts w:ascii="宋体" w:hAnsi="宋体" w:cs="宋体" w:eastAsia="宋体" w:hint="default"/>
                <w:sz w:val="21"/>
                <w:szCs w:val="21"/>
              </w:rPr>
              <w:t>产</w:t>
            </w:r>
            <w:r>
              <w:rPr>
                <w:rFonts w:ascii="宋体" w:hAnsi="宋体" w:cs="宋体" w:eastAsia="宋体" w:hint="default"/>
                <w:w w:val="100"/>
                <w:sz w:val="21"/>
                <w:szCs w:val="21"/>
              </w:rPr>
              <w:t> </w:t>
            </w:r>
            <w:r>
              <w:rPr>
                <w:rFonts w:ascii="宋体" w:hAnsi="宋体" w:cs="宋体" w:eastAsia="宋体" w:hint="default"/>
                <w:sz w:val="21"/>
                <w:szCs w:val="21"/>
              </w:rPr>
              <w:t>品</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sz w:val="21"/>
              </w:rPr>
              <w:t>4,000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sz w:val="21"/>
              </w:rPr>
              <w:t>2017-10-12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sz w:val="21"/>
              </w:rPr>
              <w:t>2018-01-10</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募集的资</w:t>
            </w:r>
          </w:p>
          <w:p>
            <w:pPr>
              <w:pStyle w:val="TableParagraph"/>
              <w:spacing w:line="237" w:lineRule="auto" w:before="1"/>
              <w:ind w:left="103" w:right="99"/>
              <w:jc w:val="both"/>
              <w:rPr>
                <w:rFonts w:ascii="宋体" w:hAnsi="宋体" w:cs="宋体" w:eastAsia="宋体" w:hint="default"/>
                <w:sz w:val="21"/>
                <w:szCs w:val="21"/>
              </w:rPr>
            </w:pPr>
            <w:r>
              <w:rPr>
                <w:rFonts w:ascii="宋体" w:hAnsi="宋体" w:cs="宋体" w:eastAsia="宋体" w:hint="default"/>
                <w:sz w:val="21"/>
                <w:szCs w:val="21"/>
              </w:rPr>
              <w:t>金用于补</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充公司营</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运资金，</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主要投向</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公司资本</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中介业务</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及其他创</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新业务，</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提升公司</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多元化业</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务收入水</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37" w:lineRule="auto"/>
              <w:ind w:left="100" w:right="101"/>
              <w:jc w:val="both"/>
              <w:rPr>
                <w:rFonts w:ascii="宋体" w:hAnsi="宋体" w:cs="宋体" w:eastAsia="宋体" w:hint="default"/>
                <w:sz w:val="21"/>
                <w:szCs w:val="21"/>
              </w:rPr>
            </w:pPr>
            <w:r>
              <w:rPr>
                <w:rFonts w:ascii="宋体" w:hAnsi="宋体" w:cs="宋体" w:eastAsia="宋体" w:hint="default"/>
                <w:sz w:val="21"/>
                <w:szCs w:val="21"/>
              </w:rPr>
              <w:t>固</w:t>
            </w:r>
            <w:r>
              <w:rPr>
                <w:rFonts w:ascii="宋体" w:hAnsi="宋体" w:cs="宋体" w:eastAsia="宋体" w:hint="default"/>
                <w:w w:val="100"/>
                <w:sz w:val="21"/>
                <w:szCs w:val="21"/>
              </w:rPr>
              <w:t> </w:t>
            </w:r>
            <w:r>
              <w:rPr>
                <w:rFonts w:ascii="宋体" w:hAnsi="宋体" w:cs="宋体" w:eastAsia="宋体" w:hint="default"/>
                <w:sz w:val="21"/>
                <w:szCs w:val="21"/>
              </w:rPr>
              <w:t>定</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0"/>
                <w:szCs w:val="20"/>
              </w:rPr>
            </w:pPr>
            <w:r>
              <w:rPr>
                <w:rFonts w:ascii="宋体"/>
                <w:sz w:val="20"/>
              </w:rPr>
              <w:t>4.50%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106"/>
              <w:jc w:val="center"/>
              <w:rPr>
                <w:rFonts w:ascii="Times New Roman" w:hAnsi="Times New Roman" w:cs="Times New Roman" w:eastAsia="Times New Roman" w:hint="default"/>
                <w:sz w:val="21"/>
                <w:szCs w:val="21"/>
              </w:rPr>
            </w:pPr>
            <w:r>
              <w:rPr>
                <w:rFonts w:ascii="Times New Roman"/>
                <w:sz w:val="21"/>
              </w:rPr>
              <w:t>44.88</w:t>
            </w:r>
          </w:p>
        </w:tc>
        <w:tc>
          <w:tcPr>
            <w:tcW w:w="689"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79"/>
              <w:ind w:left="103" w:right="101"/>
              <w:jc w:val="both"/>
              <w:rPr>
                <w:rFonts w:ascii="宋体" w:hAnsi="宋体" w:cs="宋体" w:eastAsia="宋体" w:hint="default"/>
                <w:sz w:val="21"/>
                <w:szCs w:val="21"/>
              </w:rPr>
            </w:pPr>
            <w:r>
              <w:rPr>
                <w:rFonts w:ascii="宋体" w:hAnsi="宋体" w:cs="宋体" w:eastAsia="宋体" w:hint="default"/>
                <w:sz w:val="21"/>
                <w:szCs w:val="21"/>
              </w:rPr>
              <w:t>未</w:t>
            </w:r>
            <w:r>
              <w:rPr>
                <w:rFonts w:ascii="宋体" w:hAnsi="宋体" w:cs="宋体" w:eastAsia="宋体" w:hint="default"/>
                <w:w w:val="100"/>
                <w:sz w:val="21"/>
                <w:szCs w:val="21"/>
              </w:rPr>
              <w:t> </w:t>
            </w:r>
            <w:r>
              <w:rPr>
                <w:rFonts w:ascii="宋体" w:hAnsi="宋体" w:cs="宋体" w:eastAsia="宋体" w:hint="default"/>
                <w:sz w:val="21"/>
                <w:szCs w:val="21"/>
              </w:rPr>
              <w:t>到</w:t>
            </w:r>
            <w:r>
              <w:rPr>
                <w:rFonts w:ascii="宋体" w:hAnsi="宋体" w:cs="宋体" w:eastAsia="宋体" w:hint="default"/>
                <w:w w:val="100"/>
                <w:sz w:val="21"/>
                <w:szCs w:val="21"/>
              </w:rPr>
              <w:t> </w:t>
            </w:r>
            <w:r>
              <w:rPr>
                <w:rFonts w:ascii="宋体" w:hAnsi="宋体" w:cs="宋体" w:eastAsia="宋体" w:hint="default"/>
                <w:sz w:val="21"/>
                <w:szCs w:val="21"/>
              </w:rPr>
              <w:t>期</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531" w:type="dxa"/>
            <w:tcBorders>
              <w:top w:val="single" w:sz="4" w:space="0" w:color="000000"/>
              <w:left w:val="single" w:sz="4" w:space="0" w:color="000000"/>
              <w:bottom w:val="single" w:sz="4" w:space="0" w:color="000000"/>
              <w:right w:val="single" w:sz="4" w:space="0" w:color="000000"/>
            </w:tcBorders>
          </w:tcPr>
          <w:p>
            <w:pPr/>
          </w:p>
        </w:tc>
      </w:tr>
      <w:tr>
        <w:trPr>
          <w:trHeight w:val="1645"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101"/>
              <w:jc w:val="both"/>
              <w:rPr>
                <w:rFonts w:ascii="宋体" w:hAnsi="宋体" w:cs="宋体" w:eastAsia="宋体" w:hint="default"/>
                <w:sz w:val="21"/>
                <w:szCs w:val="21"/>
              </w:rPr>
            </w:pPr>
            <w:r>
              <w:rPr>
                <w:rFonts w:ascii="宋体" w:hAnsi="宋体" w:cs="宋体" w:eastAsia="宋体" w:hint="default"/>
                <w:sz w:val="21"/>
                <w:szCs w:val="21"/>
              </w:rPr>
              <w:t>中信银</w:t>
            </w:r>
            <w:r>
              <w:rPr>
                <w:rFonts w:ascii="宋体" w:hAnsi="宋体" w:cs="宋体" w:eastAsia="宋体" w:hint="default"/>
                <w:spacing w:val="-102"/>
                <w:sz w:val="21"/>
                <w:szCs w:val="21"/>
              </w:rPr>
              <w:t> </w:t>
            </w:r>
            <w:r>
              <w:rPr>
                <w:rFonts w:ascii="宋体" w:hAnsi="宋体" w:cs="宋体" w:eastAsia="宋体" w:hint="default"/>
                <w:sz w:val="21"/>
                <w:szCs w:val="21"/>
              </w:rPr>
              <w:t>行股份</w:t>
            </w:r>
            <w:r>
              <w:rPr>
                <w:rFonts w:ascii="宋体" w:hAnsi="宋体" w:cs="宋体" w:eastAsia="宋体" w:hint="default"/>
                <w:spacing w:val="-102"/>
                <w:sz w:val="21"/>
                <w:szCs w:val="21"/>
              </w:rPr>
              <w:t> </w:t>
            </w:r>
            <w:r>
              <w:rPr>
                <w:rFonts w:ascii="宋体" w:hAnsi="宋体" w:cs="宋体" w:eastAsia="宋体" w:hint="default"/>
                <w:sz w:val="21"/>
                <w:szCs w:val="21"/>
              </w:rPr>
              <w:t>有限公</w:t>
            </w:r>
            <w:r>
              <w:rPr>
                <w:rFonts w:ascii="宋体" w:hAnsi="宋体" w:cs="宋体" w:eastAsia="宋体" w:hint="default"/>
                <w:spacing w:val="-102"/>
                <w:sz w:val="21"/>
                <w:szCs w:val="21"/>
              </w:rPr>
              <w:t> </w:t>
            </w:r>
            <w:r>
              <w:rPr>
                <w:rFonts w:ascii="宋体" w:hAnsi="宋体" w:cs="宋体" w:eastAsia="宋体" w:hint="default"/>
                <w:sz w:val="21"/>
                <w:szCs w:val="21"/>
              </w:rPr>
              <w:t>司福州</w:t>
            </w:r>
            <w:r>
              <w:rPr>
                <w:rFonts w:ascii="宋体" w:hAnsi="宋体" w:cs="宋体" w:eastAsia="宋体" w:hint="default"/>
                <w:spacing w:val="-102"/>
                <w:sz w:val="21"/>
                <w:szCs w:val="21"/>
              </w:rPr>
              <w:t> </w:t>
            </w:r>
            <w:r>
              <w:rPr>
                <w:rFonts w:ascii="宋体" w:hAnsi="宋体" w:cs="宋体" w:eastAsia="宋体" w:hint="default"/>
                <w:sz w:val="21"/>
                <w:szCs w:val="21"/>
              </w:rPr>
              <w:t>分行</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银</w:t>
            </w:r>
          </w:p>
          <w:p>
            <w:pPr>
              <w:pStyle w:val="TableParagraph"/>
              <w:spacing w:line="237" w:lineRule="auto" w:before="2"/>
              <w:ind w:left="103" w:right="242"/>
              <w:jc w:val="both"/>
              <w:rPr>
                <w:rFonts w:ascii="宋体" w:hAnsi="宋体" w:cs="宋体" w:eastAsia="宋体" w:hint="default"/>
                <w:sz w:val="21"/>
                <w:szCs w:val="21"/>
              </w:rPr>
            </w:pP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理</w:t>
            </w:r>
            <w:r>
              <w:rPr>
                <w:rFonts w:ascii="宋体" w:hAnsi="宋体" w:cs="宋体" w:eastAsia="宋体" w:hint="default"/>
                <w:w w:val="100"/>
                <w:sz w:val="21"/>
                <w:szCs w:val="21"/>
              </w:rPr>
              <w:t> </w:t>
            </w:r>
            <w:r>
              <w:rPr>
                <w:rFonts w:ascii="宋体" w:hAnsi="宋体" w:cs="宋体" w:eastAsia="宋体" w:hint="default"/>
                <w:sz w:val="21"/>
                <w:szCs w:val="21"/>
              </w:rPr>
              <w:t>财</w:t>
            </w:r>
            <w:r>
              <w:rPr>
                <w:rFonts w:ascii="宋体" w:hAnsi="宋体" w:cs="宋体" w:eastAsia="宋体" w:hint="default"/>
                <w:w w:val="100"/>
                <w:sz w:val="21"/>
                <w:szCs w:val="21"/>
              </w:rPr>
              <w:t> </w:t>
            </w:r>
            <w:r>
              <w:rPr>
                <w:rFonts w:ascii="宋体" w:hAnsi="宋体" w:cs="宋体" w:eastAsia="宋体" w:hint="default"/>
                <w:sz w:val="21"/>
                <w:szCs w:val="21"/>
              </w:rPr>
              <w:t>产</w:t>
            </w:r>
            <w:r>
              <w:rPr>
                <w:rFonts w:ascii="宋体" w:hAnsi="宋体" w:cs="宋体" w:eastAsia="宋体" w:hint="default"/>
                <w:w w:val="100"/>
                <w:sz w:val="21"/>
                <w:szCs w:val="21"/>
              </w:rPr>
              <w:t> </w:t>
            </w:r>
            <w:r>
              <w:rPr>
                <w:rFonts w:ascii="宋体" w:hAnsi="宋体" w:cs="宋体" w:eastAsia="宋体" w:hint="default"/>
                <w:sz w:val="21"/>
                <w:szCs w:val="21"/>
              </w:rPr>
              <w:t>品</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sz w:val="21"/>
              </w:rPr>
              <w:t>8,000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sz w:val="21"/>
              </w:rPr>
              <w:t>2017-10-13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sz w:val="21"/>
              </w:rPr>
              <w:t>2017-11-15</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募</w:t>
            </w:r>
            <w:r>
              <w:rPr>
                <w:rFonts w:ascii="宋体" w:hAnsi="宋体" w:cs="宋体" w:eastAsia="宋体" w:hint="default"/>
                <w:w w:val="100"/>
                <w:sz w:val="21"/>
                <w:szCs w:val="21"/>
              </w:rPr>
              <w:t> </w:t>
            </w:r>
            <w:r>
              <w:rPr>
                <w:rFonts w:ascii="宋体" w:hAnsi="宋体" w:cs="宋体" w:eastAsia="宋体" w:hint="default"/>
                <w:sz w:val="21"/>
                <w:szCs w:val="21"/>
              </w:rPr>
              <w:t>集</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z w:val="21"/>
                <w:szCs w:val="21"/>
              </w:rPr>
              <w:t>结构性利</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率掉期方</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式进行投</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资运作</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保</w:t>
            </w:r>
          </w:p>
          <w:p>
            <w:pPr>
              <w:pStyle w:val="TableParagraph"/>
              <w:spacing w:line="237" w:lineRule="auto" w:before="2"/>
              <w:ind w:left="100" w:right="101"/>
              <w:jc w:val="both"/>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浮</w:t>
            </w:r>
            <w:r>
              <w:rPr>
                <w:rFonts w:ascii="宋体" w:hAnsi="宋体" w:cs="宋体" w:eastAsia="宋体" w:hint="default"/>
                <w:w w:val="100"/>
                <w:sz w:val="21"/>
                <w:szCs w:val="21"/>
              </w:rPr>
              <w:t> </w:t>
            </w:r>
            <w:r>
              <w:rPr>
                <w:rFonts w:ascii="宋体" w:hAnsi="宋体" w:cs="宋体" w:eastAsia="宋体" w:hint="default"/>
                <w:sz w:val="21"/>
                <w:szCs w:val="21"/>
              </w:rPr>
              <w:t>动</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20"/>
                <w:szCs w:val="20"/>
              </w:rPr>
            </w:pPr>
            <w:r>
              <w:rPr>
                <w:rFonts w:ascii="宋体"/>
                <w:sz w:val="20"/>
              </w:rPr>
              <w:t>3.80%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06"/>
              <w:jc w:val="center"/>
              <w:rPr>
                <w:rFonts w:ascii="Times New Roman" w:hAnsi="Times New Roman" w:cs="Times New Roman" w:eastAsia="Times New Roman" w:hint="default"/>
                <w:sz w:val="21"/>
                <w:szCs w:val="21"/>
              </w:rPr>
            </w:pPr>
            <w:r>
              <w:rPr>
                <w:rFonts w:ascii="Times New Roman"/>
                <w:sz w:val="21"/>
              </w:rPr>
              <w:t>27.48</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27.48</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到</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531"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华宝证</w:t>
            </w:r>
            <w:r>
              <w:rPr>
                <w:rFonts w:ascii="宋体" w:hAnsi="宋体" w:cs="宋体" w:eastAsia="宋体" w:hint="default"/>
                <w:spacing w:val="-102"/>
                <w:sz w:val="21"/>
                <w:szCs w:val="21"/>
              </w:rPr>
              <w:t> </w:t>
            </w:r>
            <w:r>
              <w:rPr>
                <w:rFonts w:ascii="宋体" w:hAnsi="宋体" w:cs="宋体" w:eastAsia="宋体" w:hint="default"/>
                <w:sz w:val="21"/>
                <w:szCs w:val="21"/>
              </w:rPr>
              <w:t>券有限</w:t>
            </w:r>
            <w:r>
              <w:rPr>
                <w:rFonts w:ascii="宋体" w:hAnsi="宋体" w:cs="宋体" w:eastAsia="宋体" w:hint="default"/>
                <w:spacing w:val="-102"/>
                <w:sz w:val="21"/>
                <w:szCs w:val="21"/>
              </w:rPr>
              <w:t> </w:t>
            </w:r>
            <w:r>
              <w:rPr>
                <w:rFonts w:ascii="宋体" w:hAnsi="宋体" w:cs="宋体" w:eastAsia="宋体" w:hint="default"/>
                <w:sz w:val="21"/>
                <w:szCs w:val="21"/>
              </w:rPr>
              <w:t>责任公</w:t>
            </w:r>
            <w:r>
              <w:rPr>
                <w:rFonts w:ascii="宋体" w:hAnsi="宋体" w:cs="宋体" w:eastAsia="宋体" w:hint="default"/>
                <w:spacing w:val="-102"/>
                <w:sz w:val="21"/>
                <w:szCs w:val="21"/>
              </w:rPr>
              <w:t> </w:t>
            </w:r>
            <w:r>
              <w:rPr>
                <w:rFonts w:ascii="宋体" w:hAnsi="宋体" w:cs="宋体" w:eastAsia="宋体" w:hint="default"/>
                <w:sz w:val="21"/>
                <w:szCs w:val="21"/>
              </w:rPr>
              <w:t>司</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券</w:t>
            </w:r>
          </w:p>
          <w:p>
            <w:pPr>
              <w:pStyle w:val="TableParagraph"/>
              <w:spacing w:line="237" w:lineRule="auto" w:before="2"/>
              <w:ind w:left="103" w:right="242"/>
              <w:jc w:val="both"/>
              <w:rPr>
                <w:rFonts w:ascii="宋体" w:hAnsi="宋体" w:cs="宋体" w:eastAsia="宋体" w:hint="default"/>
                <w:sz w:val="21"/>
                <w:szCs w:val="21"/>
              </w:rPr>
            </w:pPr>
            <w:r>
              <w:rPr>
                <w:rFonts w:ascii="宋体" w:hAnsi="宋体" w:cs="宋体" w:eastAsia="宋体" w:hint="default"/>
                <w:sz w:val="21"/>
                <w:szCs w:val="21"/>
              </w:rPr>
              <w:t>商</w:t>
            </w:r>
            <w:r>
              <w:rPr>
                <w:rFonts w:ascii="宋体" w:hAnsi="宋体" w:cs="宋体" w:eastAsia="宋体" w:hint="default"/>
                <w:w w:val="100"/>
                <w:sz w:val="21"/>
                <w:szCs w:val="21"/>
              </w:rPr>
              <w:t> </w:t>
            </w:r>
            <w:r>
              <w:rPr>
                <w:rFonts w:ascii="宋体" w:hAnsi="宋体" w:cs="宋体" w:eastAsia="宋体" w:hint="default"/>
                <w:sz w:val="21"/>
                <w:szCs w:val="21"/>
              </w:rPr>
              <w:t>理</w:t>
            </w:r>
            <w:r>
              <w:rPr>
                <w:rFonts w:ascii="宋体" w:hAnsi="宋体" w:cs="宋体" w:eastAsia="宋体" w:hint="default"/>
                <w:w w:val="100"/>
                <w:sz w:val="21"/>
                <w:szCs w:val="21"/>
              </w:rPr>
              <w:t> </w:t>
            </w:r>
            <w:r>
              <w:rPr>
                <w:rFonts w:ascii="宋体" w:hAnsi="宋体" w:cs="宋体" w:eastAsia="宋体" w:hint="default"/>
                <w:sz w:val="21"/>
                <w:szCs w:val="21"/>
              </w:rPr>
              <w:t>财</w:t>
            </w:r>
            <w:r>
              <w:rPr>
                <w:rFonts w:ascii="宋体" w:hAnsi="宋体" w:cs="宋体" w:eastAsia="宋体" w:hint="default"/>
                <w:w w:val="100"/>
                <w:sz w:val="21"/>
                <w:szCs w:val="21"/>
              </w:rPr>
              <w:t> </w:t>
            </w:r>
            <w:r>
              <w:rPr>
                <w:rFonts w:ascii="宋体" w:hAnsi="宋体" w:cs="宋体" w:eastAsia="宋体" w:hint="default"/>
                <w:sz w:val="21"/>
                <w:szCs w:val="21"/>
              </w:rPr>
              <w:t>产</w:t>
            </w:r>
            <w:r>
              <w:rPr>
                <w:rFonts w:ascii="宋体" w:hAnsi="宋体" w:cs="宋体" w:eastAsia="宋体" w:hint="default"/>
                <w:w w:val="100"/>
                <w:sz w:val="21"/>
                <w:szCs w:val="21"/>
              </w:rPr>
              <w:t> </w:t>
            </w:r>
            <w:r>
              <w:rPr>
                <w:rFonts w:ascii="宋体" w:hAnsi="宋体" w:cs="宋体" w:eastAsia="宋体" w:hint="default"/>
                <w:sz w:val="21"/>
                <w:szCs w:val="21"/>
              </w:rPr>
              <w:t>品</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sz w:val="21"/>
              </w:rPr>
              <w:t>5,000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sz w:val="21"/>
              </w:rPr>
              <w:t>2017-10-19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sz w:val="21"/>
              </w:rPr>
              <w:t>2018-01-16</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补充发行</w:t>
            </w:r>
          </w:p>
          <w:p>
            <w:pPr>
              <w:pStyle w:val="TableParagraph"/>
              <w:spacing w:line="237" w:lineRule="auto" w:before="2"/>
              <w:ind w:left="103" w:right="99"/>
              <w:jc w:val="both"/>
              <w:rPr>
                <w:rFonts w:ascii="宋体" w:hAnsi="宋体" w:cs="宋体" w:eastAsia="宋体" w:hint="default"/>
                <w:sz w:val="21"/>
                <w:szCs w:val="21"/>
              </w:rPr>
            </w:pPr>
            <w:r>
              <w:rPr>
                <w:rFonts w:ascii="宋体" w:hAnsi="宋体" w:cs="宋体" w:eastAsia="宋体" w:hint="default"/>
                <w:sz w:val="21"/>
                <w:szCs w:val="21"/>
              </w:rPr>
              <w:t>人运营资</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金且不超</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过公司自</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有资金使</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用范围</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37" w:lineRule="auto"/>
              <w:ind w:left="100" w:right="101"/>
              <w:jc w:val="both"/>
              <w:rPr>
                <w:rFonts w:ascii="宋体" w:hAnsi="宋体" w:cs="宋体" w:eastAsia="宋体" w:hint="default"/>
                <w:sz w:val="21"/>
                <w:szCs w:val="21"/>
              </w:rPr>
            </w:pPr>
            <w:r>
              <w:rPr>
                <w:rFonts w:ascii="宋体" w:hAnsi="宋体" w:cs="宋体" w:eastAsia="宋体" w:hint="default"/>
                <w:sz w:val="21"/>
                <w:szCs w:val="21"/>
              </w:rPr>
              <w:t>固</w:t>
            </w:r>
            <w:r>
              <w:rPr>
                <w:rFonts w:ascii="宋体" w:hAnsi="宋体" w:cs="宋体" w:eastAsia="宋体" w:hint="default"/>
                <w:w w:val="100"/>
                <w:sz w:val="21"/>
                <w:szCs w:val="21"/>
              </w:rPr>
              <w:t> </w:t>
            </w:r>
            <w:r>
              <w:rPr>
                <w:rFonts w:ascii="宋体" w:hAnsi="宋体" w:cs="宋体" w:eastAsia="宋体" w:hint="default"/>
                <w:sz w:val="21"/>
                <w:szCs w:val="21"/>
              </w:rPr>
              <w:t>定</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20"/>
                <w:szCs w:val="20"/>
              </w:rPr>
            </w:pPr>
            <w:r>
              <w:rPr>
                <w:rFonts w:ascii="宋体"/>
                <w:sz w:val="20"/>
              </w:rPr>
              <w:t>4.90%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106"/>
              <w:jc w:val="center"/>
              <w:rPr>
                <w:rFonts w:ascii="Times New Roman" w:hAnsi="Times New Roman" w:cs="Times New Roman" w:eastAsia="Times New Roman" w:hint="default"/>
                <w:sz w:val="21"/>
                <w:szCs w:val="21"/>
              </w:rPr>
            </w:pPr>
            <w:r>
              <w:rPr>
                <w:rFonts w:ascii="Times New Roman"/>
                <w:sz w:val="21"/>
              </w:rPr>
              <w:t>60.41</w:t>
            </w:r>
          </w:p>
        </w:tc>
        <w:tc>
          <w:tcPr>
            <w:tcW w:w="689"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46"/>
              <w:ind w:left="103" w:right="101"/>
              <w:jc w:val="both"/>
              <w:rPr>
                <w:rFonts w:ascii="宋体" w:hAnsi="宋体" w:cs="宋体" w:eastAsia="宋体" w:hint="default"/>
                <w:sz w:val="21"/>
                <w:szCs w:val="21"/>
              </w:rPr>
            </w:pPr>
            <w:r>
              <w:rPr>
                <w:rFonts w:ascii="宋体" w:hAnsi="宋体" w:cs="宋体" w:eastAsia="宋体" w:hint="default"/>
                <w:sz w:val="21"/>
                <w:szCs w:val="21"/>
              </w:rPr>
              <w:t>未</w:t>
            </w:r>
            <w:r>
              <w:rPr>
                <w:rFonts w:ascii="宋体" w:hAnsi="宋体" w:cs="宋体" w:eastAsia="宋体" w:hint="default"/>
                <w:w w:val="100"/>
                <w:sz w:val="21"/>
                <w:szCs w:val="21"/>
              </w:rPr>
              <w:t> </w:t>
            </w:r>
            <w:r>
              <w:rPr>
                <w:rFonts w:ascii="宋体" w:hAnsi="宋体" w:cs="宋体" w:eastAsia="宋体" w:hint="default"/>
                <w:sz w:val="21"/>
                <w:szCs w:val="21"/>
              </w:rPr>
              <w:t>到</w:t>
            </w:r>
            <w:r>
              <w:rPr>
                <w:rFonts w:ascii="宋体" w:hAnsi="宋体" w:cs="宋体" w:eastAsia="宋体" w:hint="default"/>
                <w:w w:val="100"/>
                <w:sz w:val="21"/>
                <w:szCs w:val="21"/>
              </w:rPr>
              <w:t> </w:t>
            </w:r>
            <w:r>
              <w:rPr>
                <w:rFonts w:ascii="宋体" w:hAnsi="宋体" w:cs="宋体" w:eastAsia="宋体" w:hint="default"/>
                <w:sz w:val="21"/>
                <w:szCs w:val="21"/>
              </w:rPr>
              <w:t>期</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531"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中信银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行股份</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行</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3,500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2017-10-27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2017-11-29</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集</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结构性利</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率掉期方</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保</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03" w:right="0"/>
              <w:jc w:val="left"/>
              <w:rPr>
                <w:rFonts w:ascii="宋体" w:hAnsi="宋体" w:cs="宋体" w:eastAsia="宋体" w:hint="default"/>
                <w:sz w:val="20"/>
                <w:szCs w:val="20"/>
              </w:rPr>
            </w:pPr>
            <w:r>
              <w:rPr>
                <w:rFonts w:ascii="宋体"/>
                <w:sz w:val="20"/>
              </w:rPr>
              <w:t>3.80%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6"/>
              <w:jc w:val="center"/>
              <w:rPr>
                <w:rFonts w:ascii="Times New Roman" w:hAnsi="Times New Roman" w:cs="Times New Roman" w:eastAsia="Times New Roman" w:hint="default"/>
                <w:sz w:val="21"/>
                <w:szCs w:val="21"/>
              </w:rPr>
            </w:pPr>
            <w:r>
              <w:rPr>
                <w:rFonts w:ascii="Times New Roman"/>
                <w:sz w:val="21"/>
              </w:rPr>
              <w:t>12.02</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12.02</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期</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53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5" w:footer="1195" w:top="1280" w:bottom="1380" w:left="540" w:right="300"/>
        </w:sectPr>
      </w:pPr>
    </w:p>
    <w:p>
      <w:pPr>
        <w:spacing w:line="240" w:lineRule="auto" w:before="3"/>
        <w:rPr>
          <w:rFonts w:ascii="Times New Roman" w:hAnsi="Times New Roman" w:cs="Times New Roman" w:eastAsia="Times New Roman" w:hint="default"/>
          <w:sz w:val="20"/>
          <w:szCs w:val="20"/>
        </w:rPr>
      </w:pPr>
    </w:p>
    <w:tbl>
      <w:tblPr>
        <w:tblW w:w="0" w:type="auto"/>
        <w:jc w:val="left"/>
        <w:tblInd w:w="117" w:type="dxa"/>
        <w:tblLayout w:type="fixed"/>
        <w:tblCellMar>
          <w:top w:w="0" w:type="dxa"/>
          <w:left w:w="0" w:type="dxa"/>
          <w:bottom w:w="0" w:type="dxa"/>
          <w:right w:w="0" w:type="dxa"/>
        </w:tblCellMar>
        <w:tblLook w:val="01E0"/>
      </w:tblPr>
      <w:tblGrid>
        <w:gridCol w:w="850"/>
        <w:gridCol w:w="569"/>
        <w:gridCol w:w="847"/>
        <w:gridCol w:w="1277"/>
        <w:gridCol w:w="1277"/>
        <w:gridCol w:w="427"/>
        <w:gridCol w:w="1068"/>
        <w:gridCol w:w="425"/>
        <w:gridCol w:w="797"/>
        <w:gridCol w:w="795"/>
        <w:gridCol w:w="689"/>
        <w:gridCol w:w="427"/>
        <w:gridCol w:w="427"/>
        <w:gridCol w:w="427"/>
        <w:gridCol w:w="531"/>
      </w:tblGrid>
      <w:tr>
        <w:trPr>
          <w:trHeight w:val="1100"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w:t>
            </w: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z w:val="21"/>
                <w:szCs w:val="21"/>
              </w:rPr>
              <w:t>司福州</w:t>
            </w:r>
            <w:r>
              <w:rPr>
                <w:rFonts w:ascii="宋体" w:hAnsi="宋体" w:cs="宋体" w:eastAsia="宋体" w:hint="default"/>
                <w:spacing w:val="-102"/>
                <w:sz w:val="21"/>
                <w:szCs w:val="21"/>
              </w:rPr>
              <w:t> </w:t>
            </w:r>
            <w:r>
              <w:rPr>
                <w:rFonts w:ascii="宋体" w:hAnsi="宋体" w:cs="宋体" w:eastAsia="宋体" w:hint="default"/>
                <w:sz w:val="21"/>
                <w:szCs w:val="21"/>
              </w:rPr>
              <w:t>分行</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理</w:t>
            </w:r>
          </w:p>
          <w:p>
            <w:pPr>
              <w:pStyle w:val="TableParagraph"/>
              <w:spacing w:line="237" w:lineRule="auto"/>
              <w:ind w:left="103" w:right="242"/>
              <w:jc w:val="both"/>
              <w:rPr>
                <w:rFonts w:ascii="宋体" w:hAnsi="宋体" w:cs="宋体" w:eastAsia="宋体" w:hint="default"/>
                <w:sz w:val="21"/>
                <w:szCs w:val="21"/>
              </w:rPr>
            </w:pPr>
            <w:r>
              <w:rPr>
                <w:rFonts w:ascii="宋体" w:hAnsi="宋体" w:cs="宋体" w:eastAsia="宋体" w:hint="default"/>
                <w:sz w:val="21"/>
                <w:szCs w:val="21"/>
              </w:rPr>
              <w:t>财</w:t>
            </w:r>
            <w:r>
              <w:rPr>
                <w:rFonts w:ascii="宋体" w:hAnsi="宋体" w:cs="宋体" w:eastAsia="宋体" w:hint="default"/>
                <w:w w:val="100"/>
                <w:sz w:val="21"/>
                <w:szCs w:val="21"/>
              </w:rPr>
              <w:t> </w:t>
            </w:r>
            <w:r>
              <w:rPr>
                <w:rFonts w:ascii="宋体" w:hAnsi="宋体" w:cs="宋体" w:eastAsia="宋体" w:hint="default"/>
                <w:sz w:val="21"/>
                <w:szCs w:val="21"/>
              </w:rPr>
              <w:t>产</w:t>
            </w:r>
            <w:r>
              <w:rPr>
                <w:rFonts w:ascii="宋体" w:hAnsi="宋体" w:cs="宋体" w:eastAsia="宋体" w:hint="default"/>
                <w:w w:val="100"/>
                <w:sz w:val="21"/>
                <w:szCs w:val="21"/>
              </w:rPr>
              <w:t> </w:t>
            </w:r>
            <w:r>
              <w:rPr>
                <w:rFonts w:ascii="宋体" w:hAnsi="宋体" w:cs="宋体" w:eastAsia="宋体" w:hint="default"/>
                <w:sz w:val="21"/>
                <w:szCs w:val="21"/>
              </w:rPr>
              <w:t>品</w:t>
            </w:r>
          </w:p>
        </w:tc>
        <w:tc>
          <w:tcPr>
            <w:tcW w:w="84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式进行投</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资运作</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浮</w:t>
            </w:r>
          </w:p>
          <w:p>
            <w:pPr>
              <w:pStyle w:val="TableParagraph"/>
              <w:spacing w:line="237" w:lineRule="auto"/>
              <w:ind w:left="100" w:right="101"/>
              <w:jc w:val="both"/>
              <w:rPr>
                <w:rFonts w:ascii="宋体" w:hAnsi="宋体" w:cs="宋体" w:eastAsia="宋体" w:hint="default"/>
                <w:sz w:val="21"/>
                <w:szCs w:val="21"/>
              </w:rPr>
            </w:pPr>
            <w:r>
              <w:rPr>
                <w:rFonts w:ascii="宋体" w:hAnsi="宋体" w:cs="宋体" w:eastAsia="宋体" w:hint="default"/>
                <w:sz w:val="21"/>
                <w:szCs w:val="21"/>
              </w:rPr>
              <w:t>动</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益</w:t>
            </w:r>
          </w:p>
        </w:tc>
        <w:tc>
          <w:tcPr>
            <w:tcW w:w="797" w:type="dxa"/>
            <w:tcBorders>
              <w:top w:val="nil" w:sz="6" w:space="0" w:color="auto"/>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回</w:t>
            </w: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r>
      <w:tr>
        <w:trPr>
          <w:trHeight w:val="1646"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101"/>
              <w:jc w:val="both"/>
              <w:rPr>
                <w:rFonts w:ascii="宋体" w:hAnsi="宋体" w:cs="宋体" w:eastAsia="宋体" w:hint="default"/>
                <w:sz w:val="21"/>
                <w:szCs w:val="21"/>
              </w:rPr>
            </w:pPr>
            <w:r>
              <w:rPr>
                <w:rFonts w:ascii="宋体" w:hAnsi="宋体" w:cs="宋体" w:eastAsia="宋体" w:hint="default"/>
                <w:sz w:val="21"/>
                <w:szCs w:val="21"/>
              </w:rPr>
              <w:t>中信银</w:t>
            </w:r>
            <w:r>
              <w:rPr>
                <w:rFonts w:ascii="宋体" w:hAnsi="宋体" w:cs="宋体" w:eastAsia="宋体" w:hint="default"/>
                <w:spacing w:val="-102"/>
                <w:sz w:val="21"/>
                <w:szCs w:val="21"/>
              </w:rPr>
              <w:t> </w:t>
            </w:r>
            <w:r>
              <w:rPr>
                <w:rFonts w:ascii="宋体" w:hAnsi="宋体" w:cs="宋体" w:eastAsia="宋体" w:hint="default"/>
                <w:sz w:val="21"/>
                <w:szCs w:val="21"/>
              </w:rPr>
              <w:t>行股份</w:t>
            </w:r>
            <w:r>
              <w:rPr>
                <w:rFonts w:ascii="宋体" w:hAnsi="宋体" w:cs="宋体" w:eastAsia="宋体" w:hint="default"/>
                <w:spacing w:val="-102"/>
                <w:sz w:val="21"/>
                <w:szCs w:val="21"/>
              </w:rPr>
              <w:t> </w:t>
            </w:r>
            <w:r>
              <w:rPr>
                <w:rFonts w:ascii="宋体" w:hAnsi="宋体" w:cs="宋体" w:eastAsia="宋体" w:hint="default"/>
                <w:sz w:val="21"/>
                <w:szCs w:val="21"/>
              </w:rPr>
              <w:t>有限公</w:t>
            </w:r>
            <w:r>
              <w:rPr>
                <w:rFonts w:ascii="宋体" w:hAnsi="宋体" w:cs="宋体" w:eastAsia="宋体" w:hint="default"/>
                <w:spacing w:val="-102"/>
                <w:sz w:val="21"/>
                <w:szCs w:val="21"/>
              </w:rPr>
              <w:t> </w:t>
            </w:r>
            <w:r>
              <w:rPr>
                <w:rFonts w:ascii="宋体" w:hAnsi="宋体" w:cs="宋体" w:eastAsia="宋体" w:hint="default"/>
                <w:sz w:val="21"/>
                <w:szCs w:val="21"/>
              </w:rPr>
              <w:t>司福州</w:t>
            </w:r>
            <w:r>
              <w:rPr>
                <w:rFonts w:ascii="宋体" w:hAnsi="宋体" w:cs="宋体" w:eastAsia="宋体" w:hint="default"/>
                <w:spacing w:val="-102"/>
                <w:sz w:val="21"/>
                <w:szCs w:val="21"/>
              </w:rPr>
              <w:t> </w:t>
            </w:r>
            <w:r>
              <w:rPr>
                <w:rFonts w:ascii="宋体" w:hAnsi="宋体" w:cs="宋体" w:eastAsia="宋体" w:hint="default"/>
                <w:sz w:val="21"/>
                <w:szCs w:val="21"/>
              </w:rPr>
              <w:t>分行</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银</w:t>
            </w:r>
          </w:p>
          <w:p>
            <w:pPr>
              <w:pStyle w:val="TableParagraph"/>
              <w:spacing w:line="237" w:lineRule="auto"/>
              <w:ind w:left="103" w:right="242"/>
              <w:jc w:val="both"/>
              <w:rPr>
                <w:rFonts w:ascii="宋体" w:hAnsi="宋体" w:cs="宋体" w:eastAsia="宋体" w:hint="default"/>
                <w:sz w:val="21"/>
                <w:szCs w:val="21"/>
              </w:rPr>
            </w:pP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理</w:t>
            </w:r>
            <w:r>
              <w:rPr>
                <w:rFonts w:ascii="宋体" w:hAnsi="宋体" w:cs="宋体" w:eastAsia="宋体" w:hint="default"/>
                <w:w w:val="100"/>
                <w:sz w:val="21"/>
                <w:szCs w:val="21"/>
              </w:rPr>
              <w:t> </w:t>
            </w:r>
            <w:r>
              <w:rPr>
                <w:rFonts w:ascii="宋体" w:hAnsi="宋体" w:cs="宋体" w:eastAsia="宋体" w:hint="default"/>
                <w:sz w:val="21"/>
                <w:szCs w:val="21"/>
              </w:rPr>
              <w:t>财</w:t>
            </w:r>
            <w:r>
              <w:rPr>
                <w:rFonts w:ascii="宋体" w:hAnsi="宋体" w:cs="宋体" w:eastAsia="宋体" w:hint="default"/>
                <w:w w:val="100"/>
                <w:sz w:val="21"/>
                <w:szCs w:val="21"/>
              </w:rPr>
              <w:t> </w:t>
            </w:r>
            <w:r>
              <w:rPr>
                <w:rFonts w:ascii="宋体" w:hAnsi="宋体" w:cs="宋体" w:eastAsia="宋体" w:hint="default"/>
                <w:sz w:val="21"/>
                <w:szCs w:val="21"/>
              </w:rPr>
              <w:t>产</w:t>
            </w:r>
            <w:r>
              <w:rPr>
                <w:rFonts w:ascii="宋体" w:hAnsi="宋体" w:cs="宋体" w:eastAsia="宋体" w:hint="default"/>
                <w:w w:val="100"/>
                <w:sz w:val="21"/>
                <w:szCs w:val="21"/>
              </w:rPr>
              <w:t> </w:t>
            </w:r>
            <w:r>
              <w:rPr>
                <w:rFonts w:ascii="宋体" w:hAnsi="宋体" w:cs="宋体" w:eastAsia="宋体" w:hint="default"/>
                <w:sz w:val="21"/>
                <w:szCs w:val="21"/>
              </w:rPr>
              <w:t>品</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sz w:val="21"/>
              </w:rPr>
              <w:t>2,500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sz w:val="21"/>
              </w:rPr>
              <w:t>2017-10-27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sz w:val="21"/>
              </w:rPr>
              <w:t>2017-11-29</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募</w:t>
            </w:r>
            <w:r>
              <w:rPr>
                <w:rFonts w:ascii="宋体" w:hAnsi="宋体" w:cs="宋体" w:eastAsia="宋体" w:hint="default"/>
                <w:w w:val="100"/>
                <w:sz w:val="21"/>
                <w:szCs w:val="21"/>
              </w:rPr>
              <w:t> </w:t>
            </w:r>
            <w:r>
              <w:rPr>
                <w:rFonts w:ascii="宋体" w:hAnsi="宋体" w:cs="宋体" w:eastAsia="宋体" w:hint="default"/>
                <w:sz w:val="21"/>
                <w:szCs w:val="21"/>
              </w:rPr>
              <w:t>集</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z w:val="21"/>
                <w:szCs w:val="21"/>
              </w:rPr>
              <w:t>结构性利</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率掉期方</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式进行投</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资运作</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保</w:t>
            </w:r>
          </w:p>
          <w:p>
            <w:pPr>
              <w:pStyle w:val="TableParagraph"/>
              <w:spacing w:line="237" w:lineRule="auto"/>
              <w:ind w:left="100" w:right="101"/>
              <w:jc w:val="both"/>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浮</w:t>
            </w:r>
            <w:r>
              <w:rPr>
                <w:rFonts w:ascii="宋体" w:hAnsi="宋体" w:cs="宋体" w:eastAsia="宋体" w:hint="default"/>
                <w:w w:val="100"/>
                <w:sz w:val="21"/>
                <w:szCs w:val="21"/>
              </w:rPr>
              <w:t> </w:t>
            </w:r>
            <w:r>
              <w:rPr>
                <w:rFonts w:ascii="宋体" w:hAnsi="宋体" w:cs="宋体" w:eastAsia="宋体" w:hint="default"/>
                <w:sz w:val="21"/>
                <w:szCs w:val="21"/>
              </w:rPr>
              <w:t>动</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20"/>
                <w:szCs w:val="20"/>
              </w:rPr>
            </w:pPr>
            <w:r>
              <w:rPr>
                <w:rFonts w:ascii="宋体"/>
                <w:sz w:val="20"/>
              </w:rPr>
              <w:t>3.80%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212"/>
              <w:jc w:val="center"/>
              <w:rPr>
                <w:rFonts w:ascii="Times New Roman" w:hAnsi="Times New Roman" w:cs="Times New Roman" w:eastAsia="Times New Roman" w:hint="default"/>
                <w:sz w:val="21"/>
                <w:szCs w:val="21"/>
              </w:rPr>
            </w:pPr>
            <w:r>
              <w:rPr>
                <w:rFonts w:ascii="Times New Roman"/>
                <w:sz w:val="21"/>
              </w:rPr>
              <w:t>8.59</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8.59</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到</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531" w:type="dxa"/>
            <w:tcBorders>
              <w:top w:val="single" w:sz="4" w:space="0" w:color="000000"/>
              <w:left w:val="single" w:sz="4" w:space="0" w:color="000000"/>
              <w:bottom w:val="single" w:sz="4" w:space="0" w:color="000000"/>
              <w:right w:val="single" w:sz="4" w:space="0" w:color="000000"/>
            </w:tcBorders>
          </w:tcPr>
          <w:p>
            <w:pPr/>
          </w:p>
        </w:tc>
      </w:tr>
      <w:tr>
        <w:trPr>
          <w:trHeight w:val="1645"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2"/>
              <w:ind w:left="103" w:right="101"/>
              <w:jc w:val="both"/>
              <w:rPr>
                <w:rFonts w:ascii="宋体" w:hAnsi="宋体" w:cs="宋体" w:eastAsia="宋体" w:hint="default"/>
                <w:sz w:val="21"/>
                <w:szCs w:val="21"/>
              </w:rPr>
            </w:pPr>
            <w:r>
              <w:rPr>
                <w:rFonts w:ascii="宋体" w:hAnsi="宋体" w:cs="宋体" w:eastAsia="宋体" w:hint="default"/>
                <w:sz w:val="21"/>
                <w:szCs w:val="21"/>
              </w:rPr>
              <w:t>中信银</w:t>
            </w:r>
            <w:r>
              <w:rPr>
                <w:rFonts w:ascii="宋体" w:hAnsi="宋体" w:cs="宋体" w:eastAsia="宋体" w:hint="default"/>
                <w:spacing w:val="-102"/>
                <w:sz w:val="21"/>
                <w:szCs w:val="21"/>
              </w:rPr>
              <w:t> </w:t>
            </w:r>
            <w:r>
              <w:rPr>
                <w:rFonts w:ascii="宋体" w:hAnsi="宋体" w:cs="宋体" w:eastAsia="宋体" w:hint="default"/>
                <w:sz w:val="21"/>
                <w:szCs w:val="21"/>
              </w:rPr>
              <w:t>行股份</w:t>
            </w:r>
            <w:r>
              <w:rPr>
                <w:rFonts w:ascii="宋体" w:hAnsi="宋体" w:cs="宋体" w:eastAsia="宋体" w:hint="default"/>
                <w:spacing w:val="-102"/>
                <w:sz w:val="21"/>
                <w:szCs w:val="21"/>
              </w:rPr>
              <w:t> </w:t>
            </w:r>
            <w:r>
              <w:rPr>
                <w:rFonts w:ascii="宋体" w:hAnsi="宋体" w:cs="宋体" w:eastAsia="宋体" w:hint="default"/>
                <w:sz w:val="21"/>
                <w:szCs w:val="21"/>
              </w:rPr>
              <w:t>有限公</w:t>
            </w:r>
            <w:r>
              <w:rPr>
                <w:rFonts w:ascii="宋体" w:hAnsi="宋体" w:cs="宋体" w:eastAsia="宋体" w:hint="default"/>
                <w:spacing w:val="-102"/>
                <w:sz w:val="21"/>
                <w:szCs w:val="21"/>
              </w:rPr>
              <w:t> </w:t>
            </w:r>
            <w:r>
              <w:rPr>
                <w:rFonts w:ascii="宋体" w:hAnsi="宋体" w:cs="宋体" w:eastAsia="宋体" w:hint="default"/>
                <w:sz w:val="21"/>
                <w:szCs w:val="21"/>
              </w:rPr>
              <w:t>司福州</w:t>
            </w:r>
            <w:r>
              <w:rPr>
                <w:rFonts w:ascii="宋体" w:hAnsi="宋体" w:cs="宋体" w:eastAsia="宋体" w:hint="default"/>
                <w:spacing w:val="-102"/>
                <w:sz w:val="21"/>
                <w:szCs w:val="21"/>
              </w:rPr>
              <w:t> </w:t>
            </w:r>
            <w:r>
              <w:rPr>
                <w:rFonts w:ascii="宋体" w:hAnsi="宋体" w:cs="宋体" w:eastAsia="宋体" w:hint="default"/>
                <w:sz w:val="21"/>
                <w:szCs w:val="21"/>
              </w:rPr>
              <w:t>分行</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银</w:t>
            </w:r>
          </w:p>
          <w:p>
            <w:pPr>
              <w:pStyle w:val="TableParagraph"/>
              <w:spacing w:line="237" w:lineRule="auto"/>
              <w:ind w:left="103" w:right="242"/>
              <w:jc w:val="both"/>
              <w:rPr>
                <w:rFonts w:ascii="宋体" w:hAnsi="宋体" w:cs="宋体" w:eastAsia="宋体" w:hint="default"/>
                <w:sz w:val="21"/>
                <w:szCs w:val="21"/>
              </w:rPr>
            </w:pP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理</w:t>
            </w:r>
            <w:r>
              <w:rPr>
                <w:rFonts w:ascii="宋体" w:hAnsi="宋体" w:cs="宋体" w:eastAsia="宋体" w:hint="default"/>
                <w:w w:val="100"/>
                <w:sz w:val="21"/>
                <w:szCs w:val="21"/>
              </w:rPr>
              <w:t> </w:t>
            </w:r>
            <w:r>
              <w:rPr>
                <w:rFonts w:ascii="宋体" w:hAnsi="宋体" w:cs="宋体" w:eastAsia="宋体" w:hint="default"/>
                <w:sz w:val="21"/>
                <w:szCs w:val="21"/>
              </w:rPr>
              <w:t>财</w:t>
            </w:r>
            <w:r>
              <w:rPr>
                <w:rFonts w:ascii="宋体" w:hAnsi="宋体" w:cs="宋体" w:eastAsia="宋体" w:hint="default"/>
                <w:w w:val="100"/>
                <w:sz w:val="21"/>
                <w:szCs w:val="21"/>
              </w:rPr>
              <w:t> </w:t>
            </w:r>
            <w:r>
              <w:rPr>
                <w:rFonts w:ascii="宋体" w:hAnsi="宋体" w:cs="宋体" w:eastAsia="宋体" w:hint="default"/>
                <w:sz w:val="21"/>
                <w:szCs w:val="21"/>
              </w:rPr>
              <w:t>产</w:t>
            </w:r>
            <w:r>
              <w:rPr>
                <w:rFonts w:ascii="宋体" w:hAnsi="宋体" w:cs="宋体" w:eastAsia="宋体" w:hint="default"/>
                <w:w w:val="100"/>
                <w:sz w:val="21"/>
                <w:szCs w:val="21"/>
              </w:rPr>
              <w:t> </w:t>
            </w:r>
            <w:r>
              <w:rPr>
                <w:rFonts w:ascii="宋体" w:hAnsi="宋体" w:cs="宋体" w:eastAsia="宋体" w:hint="default"/>
                <w:sz w:val="21"/>
                <w:szCs w:val="21"/>
              </w:rPr>
              <w:t>品</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sz w:val="21"/>
              </w:rPr>
              <w:t>7,000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sz w:val="21"/>
              </w:rPr>
              <w:t>2017-10-27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sz w:val="21"/>
              </w:rPr>
              <w:t>2018-02-12</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募</w:t>
            </w:r>
            <w:r>
              <w:rPr>
                <w:rFonts w:ascii="宋体" w:hAnsi="宋体" w:cs="宋体" w:eastAsia="宋体" w:hint="default"/>
                <w:w w:val="100"/>
                <w:sz w:val="21"/>
                <w:szCs w:val="21"/>
              </w:rPr>
              <w:t> </w:t>
            </w:r>
            <w:r>
              <w:rPr>
                <w:rFonts w:ascii="宋体" w:hAnsi="宋体" w:cs="宋体" w:eastAsia="宋体" w:hint="default"/>
                <w:sz w:val="21"/>
                <w:szCs w:val="21"/>
              </w:rPr>
              <w:t>集</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z w:val="21"/>
                <w:szCs w:val="21"/>
              </w:rPr>
              <w:t>结构性利</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率掉期方</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式进行投</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资运作</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保</w:t>
            </w:r>
          </w:p>
          <w:p>
            <w:pPr>
              <w:pStyle w:val="TableParagraph"/>
              <w:spacing w:line="237" w:lineRule="auto"/>
              <w:ind w:left="100" w:right="101"/>
              <w:jc w:val="both"/>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浮</w:t>
            </w:r>
            <w:r>
              <w:rPr>
                <w:rFonts w:ascii="宋体" w:hAnsi="宋体" w:cs="宋体" w:eastAsia="宋体" w:hint="default"/>
                <w:w w:val="100"/>
                <w:sz w:val="21"/>
                <w:szCs w:val="21"/>
              </w:rPr>
              <w:t> </w:t>
            </w:r>
            <w:r>
              <w:rPr>
                <w:rFonts w:ascii="宋体" w:hAnsi="宋体" w:cs="宋体" w:eastAsia="宋体" w:hint="default"/>
                <w:sz w:val="21"/>
                <w:szCs w:val="21"/>
              </w:rPr>
              <w:t>动</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0"/>
                <w:szCs w:val="20"/>
              </w:rPr>
            </w:pPr>
            <w:r>
              <w:rPr>
                <w:rFonts w:ascii="宋体"/>
                <w:sz w:val="20"/>
              </w:rPr>
              <w:t>4.30%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06"/>
              <w:jc w:val="center"/>
              <w:rPr>
                <w:rFonts w:ascii="Times New Roman" w:hAnsi="Times New Roman" w:cs="Times New Roman" w:eastAsia="Times New Roman" w:hint="default"/>
                <w:sz w:val="21"/>
                <w:szCs w:val="21"/>
              </w:rPr>
            </w:pPr>
            <w:r>
              <w:rPr>
                <w:rFonts w:ascii="Times New Roman"/>
                <w:sz w:val="21"/>
              </w:rPr>
              <w:t>89.06</w:t>
            </w:r>
          </w:p>
        </w:tc>
        <w:tc>
          <w:tcPr>
            <w:tcW w:w="689"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47"/>
              <w:ind w:left="103" w:right="101"/>
              <w:jc w:val="both"/>
              <w:rPr>
                <w:rFonts w:ascii="宋体" w:hAnsi="宋体" w:cs="宋体" w:eastAsia="宋体" w:hint="default"/>
                <w:sz w:val="21"/>
                <w:szCs w:val="21"/>
              </w:rPr>
            </w:pPr>
            <w:r>
              <w:rPr>
                <w:rFonts w:ascii="宋体" w:hAnsi="宋体" w:cs="宋体" w:eastAsia="宋体" w:hint="default"/>
                <w:sz w:val="21"/>
                <w:szCs w:val="21"/>
              </w:rPr>
              <w:t>未</w:t>
            </w:r>
            <w:r>
              <w:rPr>
                <w:rFonts w:ascii="宋体" w:hAnsi="宋体" w:cs="宋体" w:eastAsia="宋体" w:hint="default"/>
                <w:w w:val="100"/>
                <w:sz w:val="21"/>
                <w:szCs w:val="21"/>
              </w:rPr>
              <w:t> </w:t>
            </w:r>
            <w:r>
              <w:rPr>
                <w:rFonts w:ascii="宋体" w:hAnsi="宋体" w:cs="宋体" w:eastAsia="宋体" w:hint="default"/>
                <w:sz w:val="21"/>
                <w:szCs w:val="21"/>
              </w:rPr>
              <w:t>到</w:t>
            </w:r>
            <w:r>
              <w:rPr>
                <w:rFonts w:ascii="宋体" w:hAnsi="宋体" w:cs="宋体" w:eastAsia="宋体" w:hint="default"/>
                <w:w w:val="100"/>
                <w:sz w:val="21"/>
                <w:szCs w:val="21"/>
              </w:rPr>
              <w:t> </w:t>
            </w:r>
            <w:r>
              <w:rPr>
                <w:rFonts w:ascii="宋体" w:hAnsi="宋体" w:cs="宋体" w:eastAsia="宋体" w:hint="default"/>
                <w:sz w:val="21"/>
                <w:szCs w:val="21"/>
              </w:rPr>
              <w:t>期</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531" w:type="dxa"/>
            <w:tcBorders>
              <w:top w:val="single" w:sz="4" w:space="0" w:color="000000"/>
              <w:left w:val="single" w:sz="4" w:space="0" w:color="000000"/>
              <w:bottom w:val="single" w:sz="4" w:space="0" w:color="000000"/>
              <w:right w:val="single" w:sz="4" w:space="0" w:color="000000"/>
            </w:tcBorders>
          </w:tcPr>
          <w:p>
            <w:pPr/>
          </w:p>
        </w:tc>
      </w:tr>
      <w:tr>
        <w:trPr>
          <w:trHeight w:val="3550"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国泰君</w:t>
            </w:r>
            <w:r>
              <w:rPr>
                <w:rFonts w:ascii="宋体" w:hAnsi="宋体" w:cs="宋体" w:eastAsia="宋体" w:hint="default"/>
                <w:spacing w:val="-102"/>
                <w:sz w:val="21"/>
                <w:szCs w:val="21"/>
              </w:rPr>
              <w:t> </w:t>
            </w:r>
            <w:r>
              <w:rPr>
                <w:rFonts w:ascii="宋体" w:hAnsi="宋体" w:cs="宋体" w:eastAsia="宋体" w:hint="default"/>
                <w:sz w:val="21"/>
                <w:szCs w:val="21"/>
              </w:rPr>
              <w:t>安证券</w:t>
            </w:r>
            <w:r>
              <w:rPr>
                <w:rFonts w:ascii="宋体" w:hAnsi="宋体" w:cs="宋体" w:eastAsia="宋体" w:hint="default"/>
                <w:spacing w:val="-102"/>
                <w:sz w:val="21"/>
                <w:szCs w:val="21"/>
              </w:rPr>
              <w:t> </w:t>
            </w:r>
            <w:r>
              <w:rPr>
                <w:rFonts w:ascii="宋体" w:hAnsi="宋体" w:cs="宋体" w:eastAsia="宋体" w:hint="default"/>
                <w:sz w:val="21"/>
                <w:szCs w:val="21"/>
              </w:rPr>
              <w:t>股份有</w:t>
            </w:r>
            <w:r>
              <w:rPr>
                <w:rFonts w:ascii="宋体" w:hAnsi="宋体" w:cs="宋体" w:eastAsia="宋体" w:hint="default"/>
                <w:spacing w:val="-102"/>
                <w:sz w:val="21"/>
                <w:szCs w:val="21"/>
              </w:rPr>
              <w:t> </w:t>
            </w:r>
            <w:r>
              <w:rPr>
                <w:rFonts w:ascii="宋体" w:hAnsi="宋体" w:cs="宋体" w:eastAsia="宋体" w:hint="default"/>
                <w:sz w:val="21"/>
                <w:szCs w:val="21"/>
              </w:rPr>
              <w:t>限公司</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37" w:lineRule="auto"/>
              <w:ind w:left="103" w:right="242"/>
              <w:jc w:val="both"/>
              <w:rPr>
                <w:rFonts w:ascii="宋体" w:hAnsi="宋体" w:cs="宋体" w:eastAsia="宋体" w:hint="default"/>
                <w:sz w:val="21"/>
                <w:szCs w:val="21"/>
              </w:rPr>
            </w:pPr>
            <w:r>
              <w:rPr>
                <w:rFonts w:ascii="宋体" w:hAnsi="宋体" w:cs="宋体" w:eastAsia="宋体" w:hint="default"/>
                <w:sz w:val="21"/>
                <w:szCs w:val="21"/>
              </w:rPr>
              <w:t>券</w:t>
            </w:r>
            <w:r>
              <w:rPr>
                <w:rFonts w:ascii="宋体" w:hAnsi="宋体" w:cs="宋体" w:eastAsia="宋体" w:hint="default"/>
                <w:w w:val="100"/>
                <w:sz w:val="21"/>
                <w:szCs w:val="21"/>
              </w:rPr>
              <w:t> </w:t>
            </w:r>
            <w:r>
              <w:rPr>
                <w:rFonts w:ascii="宋体" w:hAnsi="宋体" w:cs="宋体" w:eastAsia="宋体" w:hint="default"/>
                <w:sz w:val="21"/>
                <w:szCs w:val="21"/>
              </w:rPr>
              <w:t>商</w:t>
            </w:r>
            <w:r>
              <w:rPr>
                <w:rFonts w:ascii="宋体" w:hAnsi="宋体" w:cs="宋体" w:eastAsia="宋体" w:hint="default"/>
                <w:w w:val="100"/>
                <w:sz w:val="21"/>
                <w:szCs w:val="21"/>
              </w:rPr>
              <w:t> </w:t>
            </w:r>
            <w:r>
              <w:rPr>
                <w:rFonts w:ascii="宋体" w:hAnsi="宋体" w:cs="宋体" w:eastAsia="宋体" w:hint="default"/>
                <w:sz w:val="21"/>
                <w:szCs w:val="21"/>
              </w:rPr>
              <w:t>理</w:t>
            </w:r>
            <w:r>
              <w:rPr>
                <w:rFonts w:ascii="宋体" w:hAnsi="宋体" w:cs="宋体" w:eastAsia="宋体" w:hint="default"/>
                <w:w w:val="100"/>
                <w:sz w:val="21"/>
                <w:szCs w:val="21"/>
              </w:rPr>
              <w:t> </w:t>
            </w:r>
            <w:r>
              <w:rPr>
                <w:rFonts w:ascii="宋体" w:hAnsi="宋体" w:cs="宋体" w:eastAsia="宋体" w:hint="default"/>
                <w:sz w:val="21"/>
                <w:szCs w:val="21"/>
              </w:rPr>
              <w:t>财</w:t>
            </w:r>
            <w:r>
              <w:rPr>
                <w:rFonts w:ascii="宋体" w:hAnsi="宋体" w:cs="宋体" w:eastAsia="宋体" w:hint="default"/>
                <w:w w:val="100"/>
                <w:sz w:val="21"/>
                <w:szCs w:val="21"/>
              </w:rPr>
              <w:t> </w:t>
            </w:r>
            <w:r>
              <w:rPr>
                <w:rFonts w:ascii="宋体" w:hAnsi="宋体" w:cs="宋体" w:eastAsia="宋体" w:hint="default"/>
                <w:sz w:val="21"/>
                <w:szCs w:val="21"/>
              </w:rPr>
              <w:t>产</w:t>
            </w:r>
            <w:r>
              <w:rPr>
                <w:rFonts w:ascii="宋体" w:hAnsi="宋体" w:cs="宋体" w:eastAsia="宋体" w:hint="default"/>
                <w:w w:val="100"/>
                <w:sz w:val="21"/>
                <w:szCs w:val="21"/>
              </w:rPr>
              <w:t> </w:t>
            </w:r>
            <w:r>
              <w:rPr>
                <w:rFonts w:ascii="宋体" w:hAnsi="宋体" w:cs="宋体" w:eastAsia="宋体" w:hint="default"/>
                <w:sz w:val="21"/>
                <w:szCs w:val="21"/>
              </w:rPr>
              <w:t>品</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sz w:val="21"/>
              </w:rPr>
              <w:t>4,000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sz w:val="21"/>
              </w:rPr>
              <w:t>2017-11-03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sz w:val="21"/>
              </w:rPr>
              <w:t>2018-02-26</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所募集的</w:t>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z w:val="21"/>
                <w:szCs w:val="21"/>
              </w:rPr>
              <w:t>资金用于</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补充公司</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营 运</w:t>
            </w:r>
            <w:r>
              <w:rPr>
                <w:rFonts w:ascii="宋体" w:hAnsi="宋体" w:cs="宋体" w:eastAsia="宋体" w:hint="default"/>
                <w:spacing w:val="13"/>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金，主要</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投向公司</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资本中介</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业务及其</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他创新业</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务，提升</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公司多元</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化业务收</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入水平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37" w:lineRule="auto"/>
              <w:ind w:left="100" w:right="101"/>
              <w:jc w:val="both"/>
              <w:rPr>
                <w:rFonts w:ascii="宋体" w:hAnsi="宋体" w:cs="宋体" w:eastAsia="宋体" w:hint="default"/>
                <w:sz w:val="21"/>
                <w:szCs w:val="21"/>
              </w:rPr>
            </w:pPr>
            <w:r>
              <w:rPr>
                <w:rFonts w:ascii="宋体" w:hAnsi="宋体" w:cs="宋体" w:eastAsia="宋体" w:hint="default"/>
                <w:sz w:val="21"/>
                <w:szCs w:val="21"/>
              </w:rPr>
              <w:t>固</w:t>
            </w:r>
            <w:r>
              <w:rPr>
                <w:rFonts w:ascii="宋体" w:hAnsi="宋体" w:cs="宋体" w:eastAsia="宋体" w:hint="default"/>
                <w:w w:val="100"/>
                <w:sz w:val="21"/>
                <w:szCs w:val="21"/>
              </w:rPr>
              <w:t> </w:t>
            </w:r>
            <w:r>
              <w:rPr>
                <w:rFonts w:ascii="宋体" w:hAnsi="宋体" w:cs="宋体" w:eastAsia="宋体" w:hint="default"/>
                <w:sz w:val="21"/>
                <w:szCs w:val="21"/>
              </w:rPr>
              <w:t>定</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0"/>
                <w:szCs w:val="20"/>
              </w:rPr>
            </w:pPr>
            <w:r>
              <w:rPr>
                <w:rFonts w:ascii="宋体"/>
                <w:sz w:val="20"/>
              </w:rPr>
              <w:t>4.60%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106"/>
              <w:jc w:val="center"/>
              <w:rPr>
                <w:rFonts w:ascii="Times New Roman" w:hAnsi="Times New Roman" w:cs="Times New Roman" w:eastAsia="Times New Roman" w:hint="default"/>
                <w:sz w:val="21"/>
                <w:szCs w:val="21"/>
              </w:rPr>
            </w:pPr>
            <w:r>
              <w:rPr>
                <w:rFonts w:ascii="Times New Roman"/>
                <w:sz w:val="21"/>
              </w:rPr>
              <w:t>58.48</w:t>
            </w:r>
          </w:p>
        </w:tc>
        <w:tc>
          <w:tcPr>
            <w:tcW w:w="689"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79"/>
              <w:ind w:left="103" w:right="101"/>
              <w:jc w:val="both"/>
              <w:rPr>
                <w:rFonts w:ascii="宋体" w:hAnsi="宋体" w:cs="宋体" w:eastAsia="宋体" w:hint="default"/>
                <w:sz w:val="21"/>
                <w:szCs w:val="21"/>
              </w:rPr>
            </w:pPr>
            <w:r>
              <w:rPr>
                <w:rFonts w:ascii="宋体" w:hAnsi="宋体" w:cs="宋体" w:eastAsia="宋体" w:hint="default"/>
                <w:sz w:val="21"/>
                <w:szCs w:val="21"/>
              </w:rPr>
              <w:t>未</w:t>
            </w:r>
            <w:r>
              <w:rPr>
                <w:rFonts w:ascii="宋体" w:hAnsi="宋体" w:cs="宋体" w:eastAsia="宋体" w:hint="default"/>
                <w:w w:val="100"/>
                <w:sz w:val="21"/>
                <w:szCs w:val="21"/>
              </w:rPr>
              <w:t> </w:t>
            </w:r>
            <w:r>
              <w:rPr>
                <w:rFonts w:ascii="宋体" w:hAnsi="宋体" w:cs="宋体" w:eastAsia="宋体" w:hint="default"/>
                <w:sz w:val="21"/>
                <w:szCs w:val="21"/>
              </w:rPr>
              <w:t>到</w:t>
            </w:r>
            <w:r>
              <w:rPr>
                <w:rFonts w:ascii="宋体" w:hAnsi="宋体" w:cs="宋体" w:eastAsia="宋体" w:hint="default"/>
                <w:w w:val="100"/>
                <w:sz w:val="21"/>
                <w:szCs w:val="21"/>
              </w:rPr>
              <w:t> </w:t>
            </w:r>
            <w:r>
              <w:rPr>
                <w:rFonts w:ascii="宋体" w:hAnsi="宋体" w:cs="宋体" w:eastAsia="宋体" w:hint="default"/>
                <w:sz w:val="21"/>
                <w:szCs w:val="21"/>
              </w:rPr>
              <w:t>期</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531" w:type="dxa"/>
            <w:tcBorders>
              <w:top w:val="single" w:sz="4" w:space="0" w:color="000000"/>
              <w:left w:val="single" w:sz="4" w:space="0" w:color="000000"/>
              <w:bottom w:val="single" w:sz="4" w:space="0" w:color="000000"/>
              <w:right w:val="single" w:sz="4" w:space="0" w:color="000000"/>
            </w:tcBorders>
          </w:tcPr>
          <w:p>
            <w:pPr/>
          </w:p>
        </w:tc>
      </w:tr>
      <w:tr>
        <w:trPr>
          <w:trHeight w:val="5185"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71"/>
              <w:ind w:left="103" w:right="101"/>
              <w:jc w:val="both"/>
              <w:rPr>
                <w:rFonts w:ascii="宋体" w:hAnsi="宋体" w:cs="宋体" w:eastAsia="宋体" w:hint="default"/>
                <w:sz w:val="21"/>
                <w:szCs w:val="21"/>
              </w:rPr>
            </w:pPr>
            <w:r>
              <w:rPr>
                <w:rFonts w:ascii="宋体" w:hAnsi="宋体" w:cs="宋体" w:eastAsia="宋体" w:hint="default"/>
                <w:sz w:val="21"/>
                <w:szCs w:val="21"/>
              </w:rPr>
              <w:t>东兴证</w:t>
            </w:r>
            <w:r>
              <w:rPr>
                <w:rFonts w:ascii="宋体" w:hAnsi="宋体" w:cs="宋体" w:eastAsia="宋体" w:hint="default"/>
                <w:spacing w:val="-102"/>
                <w:sz w:val="21"/>
                <w:szCs w:val="21"/>
              </w:rPr>
              <w:t> </w:t>
            </w:r>
            <w:r>
              <w:rPr>
                <w:rFonts w:ascii="宋体" w:hAnsi="宋体" w:cs="宋体" w:eastAsia="宋体" w:hint="default"/>
                <w:sz w:val="21"/>
                <w:szCs w:val="21"/>
              </w:rPr>
              <w:t>券股份</w:t>
            </w:r>
            <w:r>
              <w:rPr>
                <w:rFonts w:ascii="宋体" w:hAnsi="宋体" w:cs="宋体" w:eastAsia="宋体" w:hint="default"/>
                <w:spacing w:val="-102"/>
                <w:sz w:val="21"/>
                <w:szCs w:val="21"/>
              </w:rPr>
              <w:t> </w:t>
            </w:r>
            <w:r>
              <w:rPr>
                <w:rFonts w:ascii="宋体" w:hAnsi="宋体" w:cs="宋体" w:eastAsia="宋体" w:hint="default"/>
                <w:sz w:val="21"/>
                <w:szCs w:val="21"/>
              </w:rPr>
              <w:t>有限公</w:t>
            </w:r>
            <w:r>
              <w:rPr>
                <w:rFonts w:ascii="宋体" w:hAnsi="宋体" w:cs="宋体" w:eastAsia="宋体" w:hint="default"/>
                <w:spacing w:val="-102"/>
                <w:sz w:val="21"/>
                <w:szCs w:val="21"/>
              </w:rPr>
              <w:t> </w:t>
            </w:r>
            <w:r>
              <w:rPr>
                <w:rFonts w:ascii="宋体" w:hAnsi="宋体" w:cs="宋体" w:eastAsia="宋体" w:hint="default"/>
                <w:sz w:val="21"/>
                <w:szCs w:val="21"/>
              </w:rPr>
              <w:t>司</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30"/>
              <w:ind w:left="103" w:right="242"/>
              <w:jc w:val="both"/>
              <w:rPr>
                <w:rFonts w:ascii="宋体" w:hAnsi="宋体" w:cs="宋体" w:eastAsia="宋体" w:hint="default"/>
                <w:sz w:val="21"/>
                <w:szCs w:val="21"/>
              </w:rPr>
            </w:pPr>
            <w:r>
              <w:rPr>
                <w:rFonts w:ascii="宋体" w:hAnsi="宋体" w:cs="宋体" w:eastAsia="宋体" w:hint="default"/>
                <w:sz w:val="21"/>
                <w:szCs w:val="21"/>
              </w:rPr>
              <w:t>券</w:t>
            </w:r>
            <w:r>
              <w:rPr>
                <w:rFonts w:ascii="宋体" w:hAnsi="宋体" w:cs="宋体" w:eastAsia="宋体" w:hint="default"/>
                <w:w w:val="100"/>
                <w:sz w:val="21"/>
                <w:szCs w:val="21"/>
              </w:rPr>
              <w:t> </w:t>
            </w:r>
            <w:r>
              <w:rPr>
                <w:rFonts w:ascii="宋体" w:hAnsi="宋体" w:cs="宋体" w:eastAsia="宋体" w:hint="default"/>
                <w:sz w:val="21"/>
                <w:szCs w:val="21"/>
              </w:rPr>
              <w:t>商</w:t>
            </w:r>
            <w:r>
              <w:rPr>
                <w:rFonts w:ascii="宋体" w:hAnsi="宋体" w:cs="宋体" w:eastAsia="宋体" w:hint="default"/>
                <w:w w:val="100"/>
                <w:sz w:val="21"/>
                <w:szCs w:val="21"/>
              </w:rPr>
              <w:t> </w:t>
            </w:r>
            <w:r>
              <w:rPr>
                <w:rFonts w:ascii="宋体" w:hAnsi="宋体" w:cs="宋体" w:eastAsia="宋体" w:hint="default"/>
                <w:sz w:val="21"/>
                <w:szCs w:val="21"/>
              </w:rPr>
              <w:t>理</w:t>
            </w:r>
            <w:r>
              <w:rPr>
                <w:rFonts w:ascii="宋体" w:hAnsi="宋体" w:cs="宋体" w:eastAsia="宋体" w:hint="default"/>
                <w:w w:val="100"/>
                <w:sz w:val="21"/>
                <w:szCs w:val="21"/>
              </w:rPr>
              <w:t> </w:t>
            </w:r>
            <w:r>
              <w:rPr>
                <w:rFonts w:ascii="宋体" w:hAnsi="宋体" w:cs="宋体" w:eastAsia="宋体" w:hint="default"/>
                <w:sz w:val="21"/>
                <w:szCs w:val="21"/>
              </w:rPr>
              <w:t>财</w:t>
            </w:r>
            <w:r>
              <w:rPr>
                <w:rFonts w:ascii="宋体" w:hAnsi="宋体" w:cs="宋体" w:eastAsia="宋体" w:hint="default"/>
                <w:w w:val="100"/>
                <w:sz w:val="21"/>
                <w:szCs w:val="21"/>
              </w:rPr>
              <w:t> </w:t>
            </w:r>
            <w:r>
              <w:rPr>
                <w:rFonts w:ascii="宋体" w:hAnsi="宋体" w:cs="宋体" w:eastAsia="宋体" w:hint="default"/>
                <w:sz w:val="21"/>
                <w:szCs w:val="21"/>
              </w:rPr>
              <w:t>产</w:t>
            </w:r>
            <w:r>
              <w:rPr>
                <w:rFonts w:ascii="宋体" w:hAnsi="宋体" w:cs="宋体" w:eastAsia="宋体" w:hint="default"/>
                <w:w w:val="100"/>
                <w:sz w:val="21"/>
                <w:szCs w:val="21"/>
              </w:rPr>
              <w:t> </w:t>
            </w:r>
            <w:r>
              <w:rPr>
                <w:rFonts w:ascii="宋体" w:hAnsi="宋体" w:cs="宋体" w:eastAsia="宋体" w:hint="default"/>
                <w:sz w:val="21"/>
                <w:szCs w:val="21"/>
              </w:rPr>
              <w:t>品</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7"/>
              <w:ind w:left="103" w:right="0"/>
              <w:jc w:val="left"/>
              <w:rPr>
                <w:rFonts w:ascii="宋体" w:hAnsi="宋体" w:cs="宋体" w:eastAsia="宋体" w:hint="default"/>
                <w:sz w:val="21"/>
                <w:szCs w:val="21"/>
              </w:rPr>
            </w:pPr>
            <w:r>
              <w:rPr>
                <w:rFonts w:ascii="宋体"/>
                <w:sz w:val="21"/>
              </w:rPr>
              <w:t>6,000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7"/>
              <w:ind w:left="103" w:right="0"/>
              <w:jc w:val="left"/>
              <w:rPr>
                <w:rFonts w:ascii="宋体" w:hAnsi="宋体" w:cs="宋体" w:eastAsia="宋体" w:hint="default"/>
                <w:sz w:val="21"/>
                <w:szCs w:val="21"/>
              </w:rPr>
            </w:pPr>
            <w:r>
              <w:rPr>
                <w:rFonts w:ascii="宋体"/>
                <w:sz w:val="21"/>
              </w:rPr>
              <w:t>2017-11-03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7"/>
              <w:ind w:left="103" w:right="0"/>
              <w:jc w:val="left"/>
              <w:rPr>
                <w:rFonts w:ascii="宋体" w:hAnsi="宋体" w:cs="宋体" w:eastAsia="宋体" w:hint="default"/>
                <w:sz w:val="21"/>
                <w:szCs w:val="21"/>
              </w:rPr>
            </w:pPr>
            <w:r>
              <w:rPr>
                <w:rFonts w:ascii="宋体"/>
                <w:sz w:val="21"/>
              </w:rPr>
              <w:t>2018-01-31</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71"/>
              <w:ind w:left="103" w:right="101"/>
              <w:jc w:val="both"/>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可用于补</w:t>
            </w:r>
          </w:p>
          <w:p>
            <w:pPr>
              <w:pStyle w:val="TableParagraph"/>
              <w:spacing w:line="237" w:lineRule="auto" w:before="2"/>
              <w:ind w:left="103" w:right="99"/>
              <w:jc w:val="both"/>
              <w:rPr>
                <w:rFonts w:ascii="宋体" w:hAnsi="宋体" w:cs="宋体" w:eastAsia="宋体" w:hint="default"/>
                <w:sz w:val="21"/>
                <w:szCs w:val="21"/>
              </w:rPr>
            </w:pPr>
            <w:r>
              <w:rPr>
                <w:rFonts w:ascii="宋体" w:hAnsi="宋体" w:cs="宋体" w:eastAsia="宋体" w:hint="default"/>
                <w:sz w:val="21"/>
                <w:szCs w:val="21"/>
              </w:rPr>
              <w:t>充公司运</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营资金；</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可投资于</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存款、债</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券、货币</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基金等固</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定收益类</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资产，融</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资融券业</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务、股票</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质押式回</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购交易等</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资本中介</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业务及其</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他业务，</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不的投资</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涉及股权</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类产品</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37" w:lineRule="auto"/>
              <w:ind w:left="100" w:right="101"/>
              <w:jc w:val="both"/>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保</w:t>
            </w:r>
            <w:r>
              <w:rPr>
                <w:rFonts w:ascii="宋体" w:hAnsi="宋体" w:cs="宋体" w:eastAsia="宋体" w:hint="default"/>
                <w:w w:val="100"/>
                <w:sz w:val="21"/>
                <w:szCs w:val="21"/>
              </w:rPr>
              <w:t> </w:t>
            </w:r>
            <w:r>
              <w:rPr>
                <w:rFonts w:ascii="宋体" w:hAnsi="宋体" w:cs="宋体" w:eastAsia="宋体" w:hint="default"/>
                <w:sz w:val="21"/>
                <w:szCs w:val="21"/>
              </w:rPr>
              <w:t>障</w:t>
            </w:r>
            <w:r>
              <w:rPr>
                <w:rFonts w:ascii="宋体" w:hAnsi="宋体" w:cs="宋体" w:eastAsia="宋体" w:hint="default"/>
                <w:w w:val="100"/>
                <w:sz w:val="21"/>
                <w:szCs w:val="21"/>
              </w:rPr>
              <w:t> </w:t>
            </w:r>
            <w:r>
              <w:rPr>
                <w:rFonts w:ascii="宋体" w:hAnsi="宋体" w:cs="宋体" w:eastAsia="宋体" w:hint="default"/>
                <w:sz w:val="21"/>
                <w:szCs w:val="21"/>
              </w:rPr>
              <w:t>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6"/>
              <w:ind w:left="103" w:right="0"/>
              <w:jc w:val="left"/>
              <w:rPr>
                <w:rFonts w:ascii="宋体" w:hAnsi="宋体" w:cs="宋体" w:eastAsia="宋体" w:hint="default"/>
                <w:sz w:val="20"/>
                <w:szCs w:val="20"/>
              </w:rPr>
            </w:pPr>
            <w:r>
              <w:rPr>
                <w:rFonts w:ascii="宋体"/>
                <w:sz w:val="20"/>
              </w:rPr>
              <w:t>4.50%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1"/>
              <w:ind w:right="106"/>
              <w:jc w:val="center"/>
              <w:rPr>
                <w:rFonts w:ascii="Times New Roman" w:hAnsi="Times New Roman" w:cs="Times New Roman" w:eastAsia="Times New Roman" w:hint="default"/>
                <w:sz w:val="21"/>
                <w:szCs w:val="21"/>
              </w:rPr>
            </w:pPr>
            <w:r>
              <w:rPr>
                <w:rFonts w:ascii="Times New Roman"/>
                <w:sz w:val="21"/>
              </w:rPr>
              <w:t>66.58</w:t>
            </w:r>
          </w:p>
        </w:tc>
        <w:tc>
          <w:tcPr>
            <w:tcW w:w="689"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未</w:t>
            </w:r>
            <w:r>
              <w:rPr>
                <w:rFonts w:ascii="宋体" w:hAnsi="宋体" w:cs="宋体" w:eastAsia="宋体" w:hint="default"/>
                <w:w w:val="100"/>
                <w:sz w:val="21"/>
                <w:szCs w:val="21"/>
              </w:rPr>
              <w:t> </w:t>
            </w:r>
            <w:r>
              <w:rPr>
                <w:rFonts w:ascii="宋体" w:hAnsi="宋体" w:cs="宋体" w:eastAsia="宋体" w:hint="default"/>
                <w:sz w:val="21"/>
                <w:szCs w:val="21"/>
              </w:rPr>
              <w:t>到</w:t>
            </w:r>
            <w:r>
              <w:rPr>
                <w:rFonts w:ascii="宋体" w:hAnsi="宋体" w:cs="宋体" w:eastAsia="宋体" w:hint="default"/>
                <w:w w:val="100"/>
                <w:sz w:val="21"/>
                <w:szCs w:val="21"/>
              </w:rPr>
              <w:t> </w:t>
            </w:r>
            <w:r>
              <w:rPr>
                <w:rFonts w:ascii="宋体" w:hAnsi="宋体" w:cs="宋体" w:eastAsia="宋体" w:hint="default"/>
                <w:sz w:val="21"/>
                <w:szCs w:val="21"/>
              </w:rPr>
              <w:t>期</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7"/>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7"/>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531"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中信银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行股份</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行</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8,000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2017-11-17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2017-12-20</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集</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结构性利</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率掉期方</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保</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03" w:right="0"/>
              <w:jc w:val="left"/>
              <w:rPr>
                <w:rFonts w:ascii="宋体" w:hAnsi="宋体" w:cs="宋体" w:eastAsia="宋体" w:hint="default"/>
                <w:sz w:val="20"/>
                <w:szCs w:val="20"/>
              </w:rPr>
            </w:pPr>
            <w:r>
              <w:rPr>
                <w:rFonts w:ascii="宋体"/>
                <w:sz w:val="20"/>
              </w:rPr>
              <w:t>3.80%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6"/>
              <w:jc w:val="center"/>
              <w:rPr>
                <w:rFonts w:ascii="Times New Roman" w:hAnsi="Times New Roman" w:cs="Times New Roman" w:eastAsia="Times New Roman" w:hint="default"/>
                <w:sz w:val="21"/>
                <w:szCs w:val="21"/>
              </w:rPr>
            </w:pPr>
            <w:r>
              <w:rPr>
                <w:rFonts w:ascii="Times New Roman"/>
                <w:sz w:val="21"/>
              </w:rPr>
              <w:t>27.48</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Times New Roman" w:hAnsi="Times New Roman" w:cs="Times New Roman" w:eastAsia="Times New Roman" w:hint="default"/>
                <w:sz w:val="21"/>
                <w:szCs w:val="21"/>
              </w:rPr>
            </w:pPr>
            <w:r>
              <w:rPr>
                <w:rFonts w:ascii="Times New Roman"/>
                <w:sz w:val="21"/>
              </w:rPr>
              <w:t>27.48</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期</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53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5" w:footer="1195" w:top="1280" w:bottom="1380" w:left="540" w:right="300"/>
        </w:sectPr>
      </w:pPr>
    </w:p>
    <w:p>
      <w:pPr>
        <w:spacing w:line="240" w:lineRule="auto" w:before="3"/>
        <w:rPr>
          <w:rFonts w:ascii="Times New Roman" w:hAnsi="Times New Roman" w:cs="Times New Roman" w:eastAsia="Times New Roman" w:hint="default"/>
          <w:sz w:val="20"/>
          <w:szCs w:val="20"/>
        </w:rPr>
      </w:pPr>
    </w:p>
    <w:tbl>
      <w:tblPr>
        <w:tblW w:w="0" w:type="auto"/>
        <w:jc w:val="left"/>
        <w:tblInd w:w="117" w:type="dxa"/>
        <w:tblLayout w:type="fixed"/>
        <w:tblCellMar>
          <w:top w:w="0" w:type="dxa"/>
          <w:left w:w="0" w:type="dxa"/>
          <w:bottom w:w="0" w:type="dxa"/>
          <w:right w:w="0" w:type="dxa"/>
        </w:tblCellMar>
        <w:tblLook w:val="01E0"/>
      </w:tblPr>
      <w:tblGrid>
        <w:gridCol w:w="850"/>
        <w:gridCol w:w="569"/>
        <w:gridCol w:w="847"/>
        <w:gridCol w:w="1277"/>
        <w:gridCol w:w="1277"/>
        <w:gridCol w:w="427"/>
        <w:gridCol w:w="1068"/>
        <w:gridCol w:w="425"/>
        <w:gridCol w:w="797"/>
        <w:gridCol w:w="795"/>
        <w:gridCol w:w="689"/>
        <w:gridCol w:w="427"/>
        <w:gridCol w:w="427"/>
        <w:gridCol w:w="427"/>
        <w:gridCol w:w="531"/>
      </w:tblGrid>
      <w:tr>
        <w:trPr>
          <w:trHeight w:val="1100"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w:t>
            </w: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z w:val="21"/>
                <w:szCs w:val="21"/>
              </w:rPr>
              <w:t>司福州</w:t>
            </w:r>
            <w:r>
              <w:rPr>
                <w:rFonts w:ascii="宋体" w:hAnsi="宋体" w:cs="宋体" w:eastAsia="宋体" w:hint="default"/>
                <w:spacing w:val="-102"/>
                <w:sz w:val="21"/>
                <w:szCs w:val="21"/>
              </w:rPr>
              <w:t> </w:t>
            </w:r>
            <w:r>
              <w:rPr>
                <w:rFonts w:ascii="宋体" w:hAnsi="宋体" w:cs="宋体" w:eastAsia="宋体" w:hint="default"/>
                <w:sz w:val="21"/>
                <w:szCs w:val="21"/>
              </w:rPr>
              <w:t>分行</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理</w:t>
            </w:r>
          </w:p>
          <w:p>
            <w:pPr>
              <w:pStyle w:val="TableParagraph"/>
              <w:spacing w:line="237" w:lineRule="auto"/>
              <w:ind w:left="103" w:right="242"/>
              <w:jc w:val="both"/>
              <w:rPr>
                <w:rFonts w:ascii="宋体" w:hAnsi="宋体" w:cs="宋体" w:eastAsia="宋体" w:hint="default"/>
                <w:sz w:val="21"/>
                <w:szCs w:val="21"/>
              </w:rPr>
            </w:pPr>
            <w:r>
              <w:rPr>
                <w:rFonts w:ascii="宋体" w:hAnsi="宋体" w:cs="宋体" w:eastAsia="宋体" w:hint="default"/>
                <w:sz w:val="21"/>
                <w:szCs w:val="21"/>
              </w:rPr>
              <w:t>财</w:t>
            </w:r>
            <w:r>
              <w:rPr>
                <w:rFonts w:ascii="宋体" w:hAnsi="宋体" w:cs="宋体" w:eastAsia="宋体" w:hint="default"/>
                <w:w w:val="100"/>
                <w:sz w:val="21"/>
                <w:szCs w:val="21"/>
              </w:rPr>
              <w:t> </w:t>
            </w:r>
            <w:r>
              <w:rPr>
                <w:rFonts w:ascii="宋体" w:hAnsi="宋体" w:cs="宋体" w:eastAsia="宋体" w:hint="default"/>
                <w:sz w:val="21"/>
                <w:szCs w:val="21"/>
              </w:rPr>
              <w:t>产</w:t>
            </w:r>
            <w:r>
              <w:rPr>
                <w:rFonts w:ascii="宋体" w:hAnsi="宋体" w:cs="宋体" w:eastAsia="宋体" w:hint="default"/>
                <w:w w:val="100"/>
                <w:sz w:val="21"/>
                <w:szCs w:val="21"/>
              </w:rPr>
              <w:t> </w:t>
            </w:r>
            <w:r>
              <w:rPr>
                <w:rFonts w:ascii="宋体" w:hAnsi="宋体" w:cs="宋体" w:eastAsia="宋体" w:hint="default"/>
                <w:sz w:val="21"/>
                <w:szCs w:val="21"/>
              </w:rPr>
              <w:t>品</w:t>
            </w:r>
          </w:p>
        </w:tc>
        <w:tc>
          <w:tcPr>
            <w:tcW w:w="84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式进行投</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资运作</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浮</w:t>
            </w:r>
          </w:p>
          <w:p>
            <w:pPr>
              <w:pStyle w:val="TableParagraph"/>
              <w:spacing w:line="237" w:lineRule="auto"/>
              <w:ind w:left="100" w:right="101"/>
              <w:jc w:val="both"/>
              <w:rPr>
                <w:rFonts w:ascii="宋体" w:hAnsi="宋体" w:cs="宋体" w:eastAsia="宋体" w:hint="default"/>
                <w:sz w:val="21"/>
                <w:szCs w:val="21"/>
              </w:rPr>
            </w:pPr>
            <w:r>
              <w:rPr>
                <w:rFonts w:ascii="宋体" w:hAnsi="宋体" w:cs="宋体" w:eastAsia="宋体" w:hint="default"/>
                <w:sz w:val="21"/>
                <w:szCs w:val="21"/>
              </w:rPr>
              <w:t>动</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益</w:t>
            </w:r>
          </w:p>
        </w:tc>
        <w:tc>
          <w:tcPr>
            <w:tcW w:w="797" w:type="dxa"/>
            <w:tcBorders>
              <w:top w:val="nil" w:sz="6" w:space="0" w:color="auto"/>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回</w:t>
            </w: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r>
      <w:tr>
        <w:trPr>
          <w:trHeight w:val="1646"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101"/>
              <w:jc w:val="both"/>
              <w:rPr>
                <w:rFonts w:ascii="宋体" w:hAnsi="宋体" w:cs="宋体" w:eastAsia="宋体" w:hint="default"/>
                <w:sz w:val="21"/>
                <w:szCs w:val="21"/>
              </w:rPr>
            </w:pPr>
            <w:r>
              <w:rPr>
                <w:rFonts w:ascii="宋体" w:hAnsi="宋体" w:cs="宋体" w:eastAsia="宋体" w:hint="default"/>
                <w:sz w:val="21"/>
                <w:szCs w:val="21"/>
              </w:rPr>
              <w:t>中信银</w:t>
            </w:r>
            <w:r>
              <w:rPr>
                <w:rFonts w:ascii="宋体" w:hAnsi="宋体" w:cs="宋体" w:eastAsia="宋体" w:hint="default"/>
                <w:spacing w:val="-102"/>
                <w:sz w:val="21"/>
                <w:szCs w:val="21"/>
              </w:rPr>
              <w:t> </w:t>
            </w:r>
            <w:r>
              <w:rPr>
                <w:rFonts w:ascii="宋体" w:hAnsi="宋体" w:cs="宋体" w:eastAsia="宋体" w:hint="default"/>
                <w:sz w:val="21"/>
                <w:szCs w:val="21"/>
              </w:rPr>
              <w:t>行股份</w:t>
            </w:r>
            <w:r>
              <w:rPr>
                <w:rFonts w:ascii="宋体" w:hAnsi="宋体" w:cs="宋体" w:eastAsia="宋体" w:hint="default"/>
                <w:spacing w:val="-102"/>
                <w:sz w:val="21"/>
                <w:szCs w:val="21"/>
              </w:rPr>
              <w:t> </w:t>
            </w:r>
            <w:r>
              <w:rPr>
                <w:rFonts w:ascii="宋体" w:hAnsi="宋体" w:cs="宋体" w:eastAsia="宋体" w:hint="default"/>
                <w:sz w:val="21"/>
                <w:szCs w:val="21"/>
              </w:rPr>
              <w:t>有限公</w:t>
            </w:r>
            <w:r>
              <w:rPr>
                <w:rFonts w:ascii="宋体" w:hAnsi="宋体" w:cs="宋体" w:eastAsia="宋体" w:hint="default"/>
                <w:spacing w:val="-102"/>
                <w:sz w:val="21"/>
                <w:szCs w:val="21"/>
              </w:rPr>
              <w:t> </w:t>
            </w:r>
            <w:r>
              <w:rPr>
                <w:rFonts w:ascii="宋体" w:hAnsi="宋体" w:cs="宋体" w:eastAsia="宋体" w:hint="default"/>
                <w:sz w:val="21"/>
                <w:szCs w:val="21"/>
              </w:rPr>
              <w:t>司福州</w:t>
            </w:r>
            <w:r>
              <w:rPr>
                <w:rFonts w:ascii="宋体" w:hAnsi="宋体" w:cs="宋体" w:eastAsia="宋体" w:hint="default"/>
                <w:spacing w:val="-102"/>
                <w:sz w:val="21"/>
                <w:szCs w:val="21"/>
              </w:rPr>
              <w:t> </w:t>
            </w:r>
            <w:r>
              <w:rPr>
                <w:rFonts w:ascii="宋体" w:hAnsi="宋体" w:cs="宋体" w:eastAsia="宋体" w:hint="default"/>
                <w:sz w:val="21"/>
                <w:szCs w:val="21"/>
              </w:rPr>
              <w:t>分行</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银</w:t>
            </w:r>
          </w:p>
          <w:p>
            <w:pPr>
              <w:pStyle w:val="TableParagraph"/>
              <w:spacing w:line="237" w:lineRule="auto"/>
              <w:ind w:left="103" w:right="242"/>
              <w:jc w:val="both"/>
              <w:rPr>
                <w:rFonts w:ascii="宋体" w:hAnsi="宋体" w:cs="宋体" w:eastAsia="宋体" w:hint="default"/>
                <w:sz w:val="21"/>
                <w:szCs w:val="21"/>
              </w:rPr>
            </w:pP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理</w:t>
            </w:r>
            <w:r>
              <w:rPr>
                <w:rFonts w:ascii="宋体" w:hAnsi="宋体" w:cs="宋体" w:eastAsia="宋体" w:hint="default"/>
                <w:w w:val="100"/>
                <w:sz w:val="21"/>
                <w:szCs w:val="21"/>
              </w:rPr>
              <w:t> </w:t>
            </w:r>
            <w:r>
              <w:rPr>
                <w:rFonts w:ascii="宋体" w:hAnsi="宋体" w:cs="宋体" w:eastAsia="宋体" w:hint="default"/>
                <w:sz w:val="21"/>
                <w:szCs w:val="21"/>
              </w:rPr>
              <w:t>财</w:t>
            </w:r>
            <w:r>
              <w:rPr>
                <w:rFonts w:ascii="宋体" w:hAnsi="宋体" w:cs="宋体" w:eastAsia="宋体" w:hint="default"/>
                <w:w w:val="100"/>
                <w:sz w:val="21"/>
                <w:szCs w:val="21"/>
              </w:rPr>
              <w:t> </w:t>
            </w:r>
            <w:r>
              <w:rPr>
                <w:rFonts w:ascii="宋体" w:hAnsi="宋体" w:cs="宋体" w:eastAsia="宋体" w:hint="default"/>
                <w:sz w:val="21"/>
                <w:szCs w:val="21"/>
              </w:rPr>
              <w:t>产</w:t>
            </w:r>
            <w:r>
              <w:rPr>
                <w:rFonts w:ascii="宋体" w:hAnsi="宋体" w:cs="宋体" w:eastAsia="宋体" w:hint="default"/>
                <w:w w:val="100"/>
                <w:sz w:val="21"/>
                <w:szCs w:val="21"/>
              </w:rPr>
              <w:t> </w:t>
            </w:r>
            <w:r>
              <w:rPr>
                <w:rFonts w:ascii="宋体" w:hAnsi="宋体" w:cs="宋体" w:eastAsia="宋体" w:hint="default"/>
                <w:sz w:val="21"/>
                <w:szCs w:val="21"/>
              </w:rPr>
              <w:t>品</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sz w:val="21"/>
              </w:rPr>
              <w:t>3,500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sz w:val="21"/>
              </w:rPr>
              <w:t>2017-12-01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sz w:val="21"/>
              </w:rPr>
              <w:t>2018-01-05</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募</w:t>
            </w:r>
            <w:r>
              <w:rPr>
                <w:rFonts w:ascii="宋体" w:hAnsi="宋体" w:cs="宋体" w:eastAsia="宋体" w:hint="default"/>
                <w:w w:val="100"/>
                <w:sz w:val="21"/>
                <w:szCs w:val="21"/>
              </w:rPr>
              <w:t> </w:t>
            </w:r>
            <w:r>
              <w:rPr>
                <w:rFonts w:ascii="宋体" w:hAnsi="宋体" w:cs="宋体" w:eastAsia="宋体" w:hint="default"/>
                <w:sz w:val="21"/>
                <w:szCs w:val="21"/>
              </w:rPr>
              <w:t>集</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z w:val="21"/>
                <w:szCs w:val="21"/>
              </w:rPr>
              <w:t>结构性利</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率掉期方</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式进行投</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资运作</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保</w:t>
            </w:r>
          </w:p>
          <w:p>
            <w:pPr>
              <w:pStyle w:val="TableParagraph"/>
              <w:spacing w:line="237" w:lineRule="auto"/>
              <w:ind w:left="100" w:right="101"/>
              <w:jc w:val="both"/>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浮</w:t>
            </w:r>
            <w:r>
              <w:rPr>
                <w:rFonts w:ascii="宋体" w:hAnsi="宋体" w:cs="宋体" w:eastAsia="宋体" w:hint="default"/>
                <w:w w:val="100"/>
                <w:sz w:val="21"/>
                <w:szCs w:val="21"/>
              </w:rPr>
              <w:t> </w:t>
            </w:r>
            <w:r>
              <w:rPr>
                <w:rFonts w:ascii="宋体" w:hAnsi="宋体" w:cs="宋体" w:eastAsia="宋体" w:hint="default"/>
                <w:sz w:val="21"/>
                <w:szCs w:val="21"/>
              </w:rPr>
              <w:t>动</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20"/>
                <w:szCs w:val="20"/>
              </w:rPr>
            </w:pPr>
            <w:r>
              <w:rPr>
                <w:rFonts w:ascii="宋体"/>
                <w:sz w:val="20"/>
              </w:rPr>
              <w:t>3.80%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106"/>
              <w:jc w:val="center"/>
              <w:rPr>
                <w:rFonts w:ascii="Times New Roman" w:hAnsi="Times New Roman" w:cs="Times New Roman" w:eastAsia="Times New Roman" w:hint="default"/>
                <w:sz w:val="21"/>
                <w:szCs w:val="21"/>
              </w:rPr>
            </w:pPr>
            <w:r>
              <w:rPr>
                <w:rFonts w:ascii="Times New Roman"/>
                <w:sz w:val="21"/>
              </w:rPr>
              <w:t>12.75</w:t>
            </w:r>
          </w:p>
        </w:tc>
        <w:tc>
          <w:tcPr>
            <w:tcW w:w="689"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48"/>
              <w:ind w:left="103" w:right="101"/>
              <w:jc w:val="both"/>
              <w:rPr>
                <w:rFonts w:ascii="宋体" w:hAnsi="宋体" w:cs="宋体" w:eastAsia="宋体" w:hint="default"/>
                <w:sz w:val="21"/>
                <w:szCs w:val="21"/>
              </w:rPr>
            </w:pPr>
            <w:r>
              <w:rPr>
                <w:rFonts w:ascii="宋体" w:hAnsi="宋体" w:cs="宋体" w:eastAsia="宋体" w:hint="default"/>
                <w:sz w:val="21"/>
                <w:szCs w:val="21"/>
              </w:rPr>
              <w:t>未</w:t>
            </w:r>
            <w:r>
              <w:rPr>
                <w:rFonts w:ascii="宋体" w:hAnsi="宋体" w:cs="宋体" w:eastAsia="宋体" w:hint="default"/>
                <w:w w:val="100"/>
                <w:sz w:val="21"/>
                <w:szCs w:val="21"/>
              </w:rPr>
              <w:t> </w:t>
            </w:r>
            <w:r>
              <w:rPr>
                <w:rFonts w:ascii="宋体" w:hAnsi="宋体" w:cs="宋体" w:eastAsia="宋体" w:hint="default"/>
                <w:sz w:val="21"/>
                <w:szCs w:val="21"/>
              </w:rPr>
              <w:t>到</w:t>
            </w:r>
            <w:r>
              <w:rPr>
                <w:rFonts w:ascii="宋体" w:hAnsi="宋体" w:cs="宋体" w:eastAsia="宋体" w:hint="default"/>
                <w:w w:val="100"/>
                <w:sz w:val="21"/>
                <w:szCs w:val="21"/>
              </w:rPr>
              <w:t> </w:t>
            </w:r>
            <w:r>
              <w:rPr>
                <w:rFonts w:ascii="宋体" w:hAnsi="宋体" w:cs="宋体" w:eastAsia="宋体" w:hint="default"/>
                <w:sz w:val="21"/>
                <w:szCs w:val="21"/>
              </w:rPr>
              <w:t>期</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531" w:type="dxa"/>
            <w:tcBorders>
              <w:top w:val="single" w:sz="4" w:space="0" w:color="000000"/>
              <w:left w:val="single" w:sz="4" w:space="0" w:color="000000"/>
              <w:bottom w:val="single" w:sz="4" w:space="0" w:color="000000"/>
              <w:right w:val="single" w:sz="4" w:space="0" w:color="000000"/>
            </w:tcBorders>
          </w:tcPr>
          <w:p>
            <w:pPr/>
          </w:p>
        </w:tc>
      </w:tr>
      <w:tr>
        <w:trPr>
          <w:trHeight w:val="1645"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2"/>
              <w:ind w:left="103" w:right="101"/>
              <w:jc w:val="both"/>
              <w:rPr>
                <w:rFonts w:ascii="宋体" w:hAnsi="宋体" w:cs="宋体" w:eastAsia="宋体" w:hint="default"/>
                <w:sz w:val="21"/>
                <w:szCs w:val="21"/>
              </w:rPr>
            </w:pPr>
            <w:r>
              <w:rPr>
                <w:rFonts w:ascii="宋体" w:hAnsi="宋体" w:cs="宋体" w:eastAsia="宋体" w:hint="default"/>
                <w:sz w:val="21"/>
                <w:szCs w:val="21"/>
              </w:rPr>
              <w:t>中信银</w:t>
            </w:r>
            <w:r>
              <w:rPr>
                <w:rFonts w:ascii="宋体" w:hAnsi="宋体" w:cs="宋体" w:eastAsia="宋体" w:hint="default"/>
                <w:spacing w:val="-102"/>
                <w:sz w:val="21"/>
                <w:szCs w:val="21"/>
              </w:rPr>
              <w:t> </w:t>
            </w:r>
            <w:r>
              <w:rPr>
                <w:rFonts w:ascii="宋体" w:hAnsi="宋体" w:cs="宋体" w:eastAsia="宋体" w:hint="default"/>
                <w:sz w:val="21"/>
                <w:szCs w:val="21"/>
              </w:rPr>
              <w:t>行股份</w:t>
            </w:r>
            <w:r>
              <w:rPr>
                <w:rFonts w:ascii="宋体" w:hAnsi="宋体" w:cs="宋体" w:eastAsia="宋体" w:hint="default"/>
                <w:spacing w:val="-102"/>
                <w:sz w:val="21"/>
                <w:szCs w:val="21"/>
              </w:rPr>
              <w:t> </w:t>
            </w:r>
            <w:r>
              <w:rPr>
                <w:rFonts w:ascii="宋体" w:hAnsi="宋体" w:cs="宋体" w:eastAsia="宋体" w:hint="default"/>
                <w:sz w:val="21"/>
                <w:szCs w:val="21"/>
              </w:rPr>
              <w:t>有限公</w:t>
            </w:r>
            <w:r>
              <w:rPr>
                <w:rFonts w:ascii="宋体" w:hAnsi="宋体" w:cs="宋体" w:eastAsia="宋体" w:hint="default"/>
                <w:spacing w:val="-102"/>
                <w:sz w:val="21"/>
                <w:szCs w:val="21"/>
              </w:rPr>
              <w:t> </w:t>
            </w:r>
            <w:r>
              <w:rPr>
                <w:rFonts w:ascii="宋体" w:hAnsi="宋体" w:cs="宋体" w:eastAsia="宋体" w:hint="default"/>
                <w:sz w:val="21"/>
                <w:szCs w:val="21"/>
              </w:rPr>
              <w:t>司福州</w:t>
            </w:r>
            <w:r>
              <w:rPr>
                <w:rFonts w:ascii="宋体" w:hAnsi="宋体" w:cs="宋体" w:eastAsia="宋体" w:hint="default"/>
                <w:spacing w:val="-102"/>
                <w:sz w:val="21"/>
                <w:szCs w:val="21"/>
              </w:rPr>
              <w:t> </w:t>
            </w:r>
            <w:r>
              <w:rPr>
                <w:rFonts w:ascii="宋体" w:hAnsi="宋体" w:cs="宋体" w:eastAsia="宋体" w:hint="default"/>
                <w:sz w:val="21"/>
                <w:szCs w:val="21"/>
              </w:rPr>
              <w:t>分行</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银</w:t>
            </w:r>
          </w:p>
          <w:p>
            <w:pPr>
              <w:pStyle w:val="TableParagraph"/>
              <w:spacing w:line="237" w:lineRule="auto"/>
              <w:ind w:left="103" w:right="242"/>
              <w:jc w:val="both"/>
              <w:rPr>
                <w:rFonts w:ascii="宋体" w:hAnsi="宋体" w:cs="宋体" w:eastAsia="宋体" w:hint="default"/>
                <w:sz w:val="21"/>
                <w:szCs w:val="21"/>
              </w:rPr>
            </w:pP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理</w:t>
            </w:r>
            <w:r>
              <w:rPr>
                <w:rFonts w:ascii="宋体" w:hAnsi="宋体" w:cs="宋体" w:eastAsia="宋体" w:hint="default"/>
                <w:w w:val="100"/>
                <w:sz w:val="21"/>
                <w:szCs w:val="21"/>
              </w:rPr>
              <w:t> </w:t>
            </w:r>
            <w:r>
              <w:rPr>
                <w:rFonts w:ascii="宋体" w:hAnsi="宋体" w:cs="宋体" w:eastAsia="宋体" w:hint="default"/>
                <w:sz w:val="21"/>
                <w:szCs w:val="21"/>
              </w:rPr>
              <w:t>财</w:t>
            </w:r>
            <w:r>
              <w:rPr>
                <w:rFonts w:ascii="宋体" w:hAnsi="宋体" w:cs="宋体" w:eastAsia="宋体" w:hint="default"/>
                <w:w w:val="100"/>
                <w:sz w:val="21"/>
                <w:szCs w:val="21"/>
              </w:rPr>
              <w:t> </w:t>
            </w:r>
            <w:r>
              <w:rPr>
                <w:rFonts w:ascii="宋体" w:hAnsi="宋体" w:cs="宋体" w:eastAsia="宋体" w:hint="default"/>
                <w:sz w:val="21"/>
                <w:szCs w:val="21"/>
              </w:rPr>
              <w:t>产</w:t>
            </w:r>
            <w:r>
              <w:rPr>
                <w:rFonts w:ascii="宋体" w:hAnsi="宋体" w:cs="宋体" w:eastAsia="宋体" w:hint="default"/>
                <w:w w:val="100"/>
                <w:sz w:val="21"/>
                <w:szCs w:val="21"/>
              </w:rPr>
              <w:t> </w:t>
            </w:r>
            <w:r>
              <w:rPr>
                <w:rFonts w:ascii="宋体" w:hAnsi="宋体" w:cs="宋体" w:eastAsia="宋体" w:hint="default"/>
                <w:sz w:val="21"/>
                <w:szCs w:val="21"/>
              </w:rPr>
              <w:t>品</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sz w:val="21"/>
              </w:rPr>
              <w:t>2,500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sz w:val="21"/>
              </w:rPr>
              <w:t>2017-12-01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sz w:val="21"/>
              </w:rPr>
              <w:t>2018-01-05</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募</w:t>
            </w:r>
            <w:r>
              <w:rPr>
                <w:rFonts w:ascii="宋体" w:hAnsi="宋体" w:cs="宋体" w:eastAsia="宋体" w:hint="default"/>
                <w:w w:val="100"/>
                <w:sz w:val="21"/>
                <w:szCs w:val="21"/>
              </w:rPr>
              <w:t> </w:t>
            </w:r>
            <w:r>
              <w:rPr>
                <w:rFonts w:ascii="宋体" w:hAnsi="宋体" w:cs="宋体" w:eastAsia="宋体" w:hint="default"/>
                <w:sz w:val="21"/>
                <w:szCs w:val="21"/>
              </w:rPr>
              <w:t>集</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z w:val="21"/>
                <w:szCs w:val="21"/>
              </w:rPr>
              <w:t>结构性利</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率掉期方</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式进行投</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资运作</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保</w:t>
            </w:r>
          </w:p>
          <w:p>
            <w:pPr>
              <w:pStyle w:val="TableParagraph"/>
              <w:spacing w:line="237" w:lineRule="auto"/>
              <w:ind w:left="100" w:right="101"/>
              <w:jc w:val="both"/>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浮</w:t>
            </w:r>
            <w:r>
              <w:rPr>
                <w:rFonts w:ascii="宋体" w:hAnsi="宋体" w:cs="宋体" w:eastAsia="宋体" w:hint="default"/>
                <w:w w:val="100"/>
                <w:sz w:val="21"/>
                <w:szCs w:val="21"/>
              </w:rPr>
              <w:t> </w:t>
            </w:r>
            <w:r>
              <w:rPr>
                <w:rFonts w:ascii="宋体" w:hAnsi="宋体" w:cs="宋体" w:eastAsia="宋体" w:hint="default"/>
                <w:sz w:val="21"/>
                <w:szCs w:val="21"/>
              </w:rPr>
              <w:t>动</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0"/>
                <w:szCs w:val="20"/>
              </w:rPr>
            </w:pPr>
            <w:r>
              <w:rPr>
                <w:rFonts w:ascii="宋体"/>
                <w:sz w:val="20"/>
              </w:rPr>
              <w:t>3.80%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219"/>
              <w:jc w:val="center"/>
              <w:rPr>
                <w:rFonts w:ascii="Times New Roman" w:hAnsi="Times New Roman" w:cs="Times New Roman" w:eastAsia="Times New Roman" w:hint="default"/>
                <w:sz w:val="21"/>
                <w:szCs w:val="21"/>
              </w:rPr>
            </w:pPr>
            <w:r>
              <w:rPr>
                <w:rFonts w:ascii="Times New Roman"/>
                <w:sz w:val="21"/>
              </w:rPr>
              <w:t>9.11</w:t>
            </w:r>
          </w:p>
        </w:tc>
        <w:tc>
          <w:tcPr>
            <w:tcW w:w="689"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47"/>
              <w:ind w:left="103" w:right="101"/>
              <w:jc w:val="both"/>
              <w:rPr>
                <w:rFonts w:ascii="宋体" w:hAnsi="宋体" w:cs="宋体" w:eastAsia="宋体" w:hint="default"/>
                <w:sz w:val="21"/>
                <w:szCs w:val="21"/>
              </w:rPr>
            </w:pPr>
            <w:r>
              <w:rPr>
                <w:rFonts w:ascii="宋体" w:hAnsi="宋体" w:cs="宋体" w:eastAsia="宋体" w:hint="default"/>
                <w:sz w:val="21"/>
                <w:szCs w:val="21"/>
              </w:rPr>
              <w:t>未</w:t>
            </w:r>
            <w:r>
              <w:rPr>
                <w:rFonts w:ascii="宋体" w:hAnsi="宋体" w:cs="宋体" w:eastAsia="宋体" w:hint="default"/>
                <w:w w:val="100"/>
                <w:sz w:val="21"/>
                <w:szCs w:val="21"/>
              </w:rPr>
              <w:t> </w:t>
            </w:r>
            <w:r>
              <w:rPr>
                <w:rFonts w:ascii="宋体" w:hAnsi="宋体" w:cs="宋体" w:eastAsia="宋体" w:hint="default"/>
                <w:sz w:val="21"/>
                <w:szCs w:val="21"/>
              </w:rPr>
              <w:t>到</w:t>
            </w:r>
            <w:r>
              <w:rPr>
                <w:rFonts w:ascii="宋体" w:hAnsi="宋体" w:cs="宋体" w:eastAsia="宋体" w:hint="default"/>
                <w:w w:val="100"/>
                <w:sz w:val="21"/>
                <w:szCs w:val="21"/>
              </w:rPr>
              <w:t> </w:t>
            </w:r>
            <w:r>
              <w:rPr>
                <w:rFonts w:ascii="宋体" w:hAnsi="宋体" w:cs="宋体" w:eastAsia="宋体" w:hint="default"/>
                <w:sz w:val="21"/>
                <w:szCs w:val="21"/>
              </w:rPr>
              <w:t>期</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531"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2"/>
              <w:ind w:left="103" w:right="101"/>
              <w:jc w:val="both"/>
              <w:rPr>
                <w:rFonts w:ascii="宋体" w:hAnsi="宋体" w:cs="宋体" w:eastAsia="宋体" w:hint="default"/>
                <w:sz w:val="21"/>
                <w:szCs w:val="21"/>
              </w:rPr>
            </w:pPr>
            <w:r>
              <w:rPr>
                <w:rFonts w:ascii="宋体" w:hAnsi="宋体" w:cs="宋体" w:eastAsia="宋体" w:hint="default"/>
                <w:sz w:val="21"/>
                <w:szCs w:val="21"/>
              </w:rPr>
              <w:t>中信银</w:t>
            </w:r>
            <w:r>
              <w:rPr>
                <w:rFonts w:ascii="宋体" w:hAnsi="宋体" w:cs="宋体" w:eastAsia="宋体" w:hint="default"/>
                <w:spacing w:val="-102"/>
                <w:sz w:val="21"/>
                <w:szCs w:val="21"/>
              </w:rPr>
              <w:t> </w:t>
            </w:r>
            <w:r>
              <w:rPr>
                <w:rFonts w:ascii="宋体" w:hAnsi="宋体" w:cs="宋体" w:eastAsia="宋体" w:hint="default"/>
                <w:sz w:val="21"/>
                <w:szCs w:val="21"/>
              </w:rPr>
              <w:t>行股份</w:t>
            </w:r>
            <w:r>
              <w:rPr>
                <w:rFonts w:ascii="宋体" w:hAnsi="宋体" w:cs="宋体" w:eastAsia="宋体" w:hint="default"/>
                <w:spacing w:val="-102"/>
                <w:sz w:val="21"/>
                <w:szCs w:val="21"/>
              </w:rPr>
              <w:t> </w:t>
            </w:r>
            <w:r>
              <w:rPr>
                <w:rFonts w:ascii="宋体" w:hAnsi="宋体" w:cs="宋体" w:eastAsia="宋体" w:hint="default"/>
                <w:sz w:val="21"/>
                <w:szCs w:val="21"/>
              </w:rPr>
              <w:t>有限公</w:t>
            </w:r>
            <w:r>
              <w:rPr>
                <w:rFonts w:ascii="宋体" w:hAnsi="宋体" w:cs="宋体" w:eastAsia="宋体" w:hint="default"/>
                <w:spacing w:val="-102"/>
                <w:sz w:val="21"/>
                <w:szCs w:val="21"/>
              </w:rPr>
              <w:t> </w:t>
            </w:r>
            <w:r>
              <w:rPr>
                <w:rFonts w:ascii="宋体" w:hAnsi="宋体" w:cs="宋体" w:eastAsia="宋体" w:hint="default"/>
                <w:sz w:val="21"/>
                <w:szCs w:val="21"/>
              </w:rPr>
              <w:t>司福州</w:t>
            </w:r>
            <w:r>
              <w:rPr>
                <w:rFonts w:ascii="宋体" w:hAnsi="宋体" w:cs="宋体" w:eastAsia="宋体" w:hint="default"/>
                <w:spacing w:val="-102"/>
                <w:sz w:val="21"/>
                <w:szCs w:val="21"/>
              </w:rPr>
              <w:t> </w:t>
            </w:r>
            <w:r>
              <w:rPr>
                <w:rFonts w:ascii="宋体" w:hAnsi="宋体" w:cs="宋体" w:eastAsia="宋体" w:hint="default"/>
                <w:sz w:val="21"/>
                <w:szCs w:val="21"/>
              </w:rPr>
              <w:t>分行</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银</w:t>
            </w:r>
          </w:p>
          <w:p>
            <w:pPr>
              <w:pStyle w:val="TableParagraph"/>
              <w:spacing w:line="237" w:lineRule="auto"/>
              <w:ind w:left="103" w:right="242"/>
              <w:jc w:val="both"/>
              <w:rPr>
                <w:rFonts w:ascii="宋体" w:hAnsi="宋体" w:cs="宋体" w:eastAsia="宋体" w:hint="default"/>
                <w:sz w:val="21"/>
                <w:szCs w:val="21"/>
              </w:rPr>
            </w:pP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理</w:t>
            </w:r>
            <w:r>
              <w:rPr>
                <w:rFonts w:ascii="宋体" w:hAnsi="宋体" w:cs="宋体" w:eastAsia="宋体" w:hint="default"/>
                <w:w w:val="100"/>
                <w:sz w:val="21"/>
                <w:szCs w:val="21"/>
              </w:rPr>
              <w:t> </w:t>
            </w:r>
            <w:r>
              <w:rPr>
                <w:rFonts w:ascii="宋体" w:hAnsi="宋体" w:cs="宋体" w:eastAsia="宋体" w:hint="default"/>
                <w:sz w:val="21"/>
                <w:szCs w:val="21"/>
              </w:rPr>
              <w:t>财</w:t>
            </w:r>
            <w:r>
              <w:rPr>
                <w:rFonts w:ascii="宋体" w:hAnsi="宋体" w:cs="宋体" w:eastAsia="宋体" w:hint="default"/>
                <w:w w:val="100"/>
                <w:sz w:val="21"/>
                <w:szCs w:val="21"/>
              </w:rPr>
              <w:t> </w:t>
            </w:r>
            <w:r>
              <w:rPr>
                <w:rFonts w:ascii="宋体" w:hAnsi="宋体" w:cs="宋体" w:eastAsia="宋体" w:hint="default"/>
                <w:sz w:val="21"/>
                <w:szCs w:val="21"/>
              </w:rPr>
              <w:t>产</w:t>
            </w:r>
            <w:r>
              <w:rPr>
                <w:rFonts w:ascii="宋体" w:hAnsi="宋体" w:cs="宋体" w:eastAsia="宋体" w:hint="default"/>
                <w:w w:val="100"/>
                <w:sz w:val="21"/>
                <w:szCs w:val="21"/>
              </w:rPr>
              <w:t> </w:t>
            </w:r>
            <w:r>
              <w:rPr>
                <w:rFonts w:ascii="宋体" w:hAnsi="宋体" w:cs="宋体" w:eastAsia="宋体" w:hint="default"/>
                <w:sz w:val="21"/>
                <w:szCs w:val="21"/>
              </w:rPr>
              <w:t>品</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sz w:val="21"/>
              </w:rPr>
              <w:t>7,000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sz w:val="21"/>
              </w:rPr>
              <w:t>2017-12-22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sz w:val="21"/>
              </w:rPr>
              <w:t>2018-04-09</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募</w:t>
            </w:r>
            <w:r>
              <w:rPr>
                <w:rFonts w:ascii="宋体" w:hAnsi="宋体" w:cs="宋体" w:eastAsia="宋体" w:hint="default"/>
                <w:w w:val="100"/>
                <w:sz w:val="21"/>
                <w:szCs w:val="21"/>
              </w:rPr>
              <w:t> </w:t>
            </w:r>
            <w:r>
              <w:rPr>
                <w:rFonts w:ascii="宋体" w:hAnsi="宋体" w:cs="宋体" w:eastAsia="宋体" w:hint="default"/>
                <w:sz w:val="21"/>
                <w:szCs w:val="21"/>
              </w:rPr>
              <w:t>集</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z w:val="21"/>
                <w:szCs w:val="21"/>
              </w:rPr>
              <w:t>结构性利</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率掉期方</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式进行投</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资运作</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保</w:t>
            </w:r>
          </w:p>
          <w:p>
            <w:pPr>
              <w:pStyle w:val="TableParagraph"/>
              <w:spacing w:line="237" w:lineRule="auto"/>
              <w:ind w:left="100" w:right="101"/>
              <w:jc w:val="both"/>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浮</w:t>
            </w:r>
            <w:r>
              <w:rPr>
                <w:rFonts w:ascii="宋体" w:hAnsi="宋体" w:cs="宋体" w:eastAsia="宋体" w:hint="default"/>
                <w:w w:val="100"/>
                <w:sz w:val="21"/>
                <w:szCs w:val="21"/>
              </w:rPr>
              <w:t> </w:t>
            </w:r>
            <w:r>
              <w:rPr>
                <w:rFonts w:ascii="宋体" w:hAnsi="宋体" w:cs="宋体" w:eastAsia="宋体" w:hint="default"/>
                <w:sz w:val="21"/>
                <w:szCs w:val="21"/>
              </w:rPr>
              <w:t>动</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0"/>
                <w:szCs w:val="20"/>
              </w:rPr>
            </w:pPr>
            <w:r>
              <w:rPr>
                <w:rFonts w:ascii="宋体"/>
                <w:sz w:val="20"/>
              </w:rPr>
              <w:t>4.55%</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106"/>
              <w:jc w:val="center"/>
              <w:rPr>
                <w:rFonts w:ascii="Times New Roman" w:hAnsi="Times New Roman" w:cs="Times New Roman" w:eastAsia="Times New Roman" w:hint="default"/>
                <w:sz w:val="21"/>
                <w:szCs w:val="21"/>
              </w:rPr>
            </w:pPr>
            <w:r>
              <w:rPr>
                <w:rFonts w:ascii="Times New Roman"/>
                <w:sz w:val="21"/>
              </w:rPr>
              <w:t>94.24</w:t>
            </w:r>
          </w:p>
        </w:tc>
        <w:tc>
          <w:tcPr>
            <w:tcW w:w="689"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46"/>
              <w:ind w:left="103" w:right="101"/>
              <w:jc w:val="both"/>
              <w:rPr>
                <w:rFonts w:ascii="宋体" w:hAnsi="宋体" w:cs="宋体" w:eastAsia="宋体" w:hint="default"/>
                <w:sz w:val="21"/>
                <w:szCs w:val="21"/>
              </w:rPr>
            </w:pPr>
            <w:r>
              <w:rPr>
                <w:rFonts w:ascii="宋体" w:hAnsi="宋体" w:cs="宋体" w:eastAsia="宋体" w:hint="default"/>
                <w:sz w:val="21"/>
                <w:szCs w:val="21"/>
              </w:rPr>
              <w:t>未</w:t>
            </w:r>
            <w:r>
              <w:rPr>
                <w:rFonts w:ascii="宋体" w:hAnsi="宋体" w:cs="宋体" w:eastAsia="宋体" w:hint="default"/>
                <w:w w:val="100"/>
                <w:sz w:val="21"/>
                <w:szCs w:val="21"/>
              </w:rPr>
              <w:t> </w:t>
            </w:r>
            <w:r>
              <w:rPr>
                <w:rFonts w:ascii="宋体" w:hAnsi="宋体" w:cs="宋体" w:eastAsia="宋体" w:hint="default"/>
                <w:sz w:val="21"/>
                <w:szCs w:val="21"/>
              </w:rPr>
              <w:t>到</w:t>
            </w:r>
            <w:r>
              <w:rPr>
                <w:rFonts w:ascii="宋体" w:hAnsi="宋体" w:cs="宋体" w:eastAsia="宋体" w:hint="default"/>
                <w:w w:val="100"/>
                <w:sz w:val="21"/>
                <w:szCs w:val="21"/>
              </w:rPr>
              <w:t> </w:t>
            </w:r>
            <w:r>
              <w:rPr>
                <w:rFonts w:ascii="宋体" w:hAnsi="宋体" w:cs="宋体" w:eastAsia="宋体" w:hint="default"/>
                <w:sz w:val="21"/>
                <w:szCs w:val="21"/>
              </w:rPr>
              <w:t>期</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531" w:type="dxa"/>
            <w:tcBorders>
              <w:top w:val="single" w:sz="4" w:space="0" w:color="000000"/>
              <w:left w:val="single" w:sz="4" w:space="0" w:color="000000"/>
              <w:bottom w:val="single" w:sz="4" w:space="0" w:color="000000"/>
              <w:right w:val="single" w:sz="4" w:space="0" w:color="000000"/>
            </w:tcBorders>
          </w:tcPr>
          <w:p>
            <w:pPr/>
          </w:p>
        </w:tc>
      </w:tr>
      <w:tr>
        <w:trPr>
          <w:trHeight w:val="3550"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中国民</w:t>
            </w:r>
            <w:r>
              <w:rPr>
                <w:rFonts w:ascii="宋体" w:hAnsi="宋体" w:cs="宋体" w:eastAsia="宋体" w:hint="default"/>
                <w:spacing w:val="-102"/>
                <w:sz w:val="21"/>
                <w:szCs w:val="21"/>
              </w:rPr>
              <w:t> </w:t>
            </w:r>
            <w:r>
              <w:rPr>
                <w:rFonts w:ascii="宋体" w:hAnsi="宋体" w:cs="宋体" w:eastAsia="宋体" w:hint="default"/>
                <w:sz w:val="21"/>
                <w:szCs w:val="21"/>
              </w:rPr>
              <w:t>生银行</w:t>
            </w:r>
            <w:r>
              <w:rPr>
                <w:rFonts w:ascii="宋体" w:hAnsi="宋体" w:cs="宋体" w:eastAsia="宋体" w:hint="default"/>
                <w:spacing w:val="-102"/>
                <w:sz w:val="21"/>
                <w:szCs w:val="21"/>
              </w:rPr>
              <w:t> </w:t>
            </w:r>
            <w:r>
              <w:rPr>
                <w:rFonts w:ascii="宋体" w:hAnsi="宋体" w:cs="宋体" w:eastAsia="宋体" w:hint="default"/>
                <w:sz w:val="21"/>
                <w:szCs w:val="21"/>
              </w:rPr>
              <w:t>股份有</w:t>
            </w:r>
            <w:r>
              <w:rPr>
                <w:rFonts w:ascii="宋体" w:hAnsi="宋体" w:cs="宋体" w:eastAsia="宋体" w:hint="default"/>
                <w:spacing w:val="-102"/>
                <w:sz w:val="21"/>
                <w:szCs w:val="21"/>
              </w:rPr>
              <w:t> </w:t>
            </w:r>
            <w:r>
              <w:rPr>
                <w:rFonts w:ascii="宋体" w:hAnsi="宋体" w:cs="宋体" w:eastAsia="宋体" w:hint="default"/>
                <w:sz w:val="21"/>
                <w:szCs w:val="21"/>
              </w:rPr>
              <w:t>限公司</w:t>
            </w:r>
            <w:r>
              <w:rPr>
                <w:rFonts w:ascii="宋体" w:hAnsi="宋体" w:cs="宋体" w:eastAsia="宋体" w:hint="default"/>
                <w:spacing w:val="-102"/>
                <w:sz w:val="21"/>
                <w:szCs w:val="21"/>
              </w:rPr>
              <w:t> </w:t>
            </w:r>
            <w:r>
              <w:rPr>
                <w:rFonts w:ascii="宋体" w:hAnsi="宋体" w:cs="宋体" w:eastAsia="宋体" w:hint="default"/>
                <w:sz w:val="21"/>
                <w:szCs w:val="21"/>
              </w:rPr>
              <w:t>福州分</w:t>
            </w:r>
            <w:r>
              <w:rPr>
                <w:rFonts w:ascii="宋体" w:hAnsi="宋体" w:cs="宋体" w:eastAsia="宋体" w:hint="default"/>
                <w:spacing w:val="-102"/>
                <w:sz w:val="21"/>
                <w:szCs w:val="21"/>
              </w:rPr>
              <w:t> </w:t>
            </w:r>
            <w:r>
              <w:rPr>
                <w:rFonts w:ascii="宋体" w:hAnsi="宋体" w:cs="宋体" w:eastAsia="宋体" w:hint="default"/>
                <w:sz w:val="21"/>
                <w:szCs w:val="21"/>
              </w:rPr>
              <w:t>行</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37" w:lineRule="auto"/>
              <w:ind w:left="103" w:right="242"/>
              <w:jc w:val="both"/>
              <w:rPr>
                <w:rFonts w:ascii="宋体" w:hAnsi="宋体" w:cs="宋体" w:eastAsia="宋体" w:hint="default"/>
                <w:sz w:val="21"/>
                <w:szCs w:val="21"/>
              </w:rPr>
            </w:pPr>
            <w:r>
              <w:rPr>
                <w:rFonts w:ascii="宋体" w:hAnsi="宋体" w:cs="宋体" w:eastAsia="宋体" w:hint="default"/>
                <w:sz w:val="21"/>
                <w:szCs w:val="21"/>
              </w:rPr>
              <w:t>银</w:t>
            </w:r>
            <w:r>
              <w:rPr>
                <w:rFonts w:ascii="宋体" w:hAnsi="宋体" w:cs="宋体" w:eastAsia="宋体" w:hint="default"/>
                <w:w w:val="100"/>
                <w:sz w:val="21"/>
                <w:szCs w:val="21"/>
              </w:rPr>
              <w:t> </w:t>
            </w: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理</w:t>
            </w:r>
            <w:r>
              <w:rPr>
                <w:rFonts w:ascii="宋体" w:hAnsi="宋体" w:cs="宋体" w:eastAsia="宋体" w:hint="default"/>
                <w:w w:val="100"/>
                <w:sz w:val="21"/>
                <w:szCs w:val="21"/>
              </w:rPr>
              <w:t> </w:t>
            </w:r>
            <w:r>
              <w:rPr>
                <w:rFonts w:ascii="宋体" w:hAnsi="宋体" w:cs="宋体" w:eastAsia="宋体" w:hint="default"/>
                <w:sz w:val="21"/>
                <w:szCs w:val="21"/>
              </w:rPr>
              <w:t>财</w:t>
            </w:r>
            <w:r>
              <w:rPr>
                <w:rFonts w:ascii="宋体" w:hAnsi="宋体" w:cs="宋体" w:eastAsia="宋体" w:hint="default"/>
                <w:w w:val="100"/>
                <w:sz w:val="21"/>
                <w:szCs w:val="21"/>
              </w:rPr>
              <w:t> </w:t>
            </w:r>
            <w:r>
              <w:rPr>
                <w:rFonts w:ascii="宋体" w:hAnsi="宋体" w:cs="宋体" w:eastAsia="宋体" w:hint="default"/>
                <w:sz w:val="21"/>
                <w:szCs w:val="21"/>
              </w:rPr>
              <w:t>产</w:t>
            </w:r>
            <w:r>
              <w:rPr>
                <w:rFonts w:ascii="宋体" w:hAnsi="宋体" w:cs="宋体" w:eastAsia="宋体" w:hint="default"/>
                <w:w w:val="100"/>
                <w:sz w:val="21"/>
                <w:szCs w:val="21"/>
              </w:rPr>
              <w:t> </w:t>
            </w:r>
            <w:r>
              <w:rPr>
                <w:rFonts w:ascii="宋体" w:hAnsi="宋体" w:cs="宋体" w:eastAsia="宋体" w:hint="default"/>
                <w:sz w:val="21"/>
                <w:szCs w:val="21"/>
              </w:rPr>
              <w:t>品</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sz w:val="21"/>
              </w:rPr>
              <w:t>1,000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sz w:val="21"/>
              </w:rPr>
              <w:t>2017-12-28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sz w:val="21"/>
              </w:rPr>
              <w:t>2018-03-28</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产品销售</w:t>
            </w:r>
          </w:p>
          <w:p>
            <w:pPr>
              <w:pStyle w:val="TableParagraph"/>
              <w:spacing w:line="237" w:lineRule="auto"/>
              <w:ind w:left="103" w:right="95"/>
              <w:jc w:val="both"/>
              <w:rPr>
                <w:rFonts w:ascii="宋体" w:hAnsi="宋体" w:cs="宋体" w:eastAsia="宋体" w:hint="default"/>
                <w:sz w:val="21"/>
                <w:szCs w:val="21"/>
              </w:rPr>
            </w:pPr>
            <w:r>
              <w:rPr>
                <w:rFonts w:ascii="宋体" w:hAnsi="宋体" w:cs="宋体" w:eastAsia="宋体" w:hint="default"/>
                <w:spacing w:val="2"/>
                <w:sz w:val="21"/>
                <w:szCs w:val="21"/>
              </w:rPr>
              <w:t>所汇资金</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为名义本</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金，并以</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该名义本</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金的资金</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成本与交</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易对手叙</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作投资收</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益和</w:t>
            </w:r>
            <w:r>
              <w:rPr>
                <w:rFonts w:ascii="宋体" w:hAnsi="宋体" w:cs="宋体" w:eastAsia="宋体" w:hint="default"/>
                <w:spacing w:val="12"/>
                <w:sz w:val="21"/>
                <w:szCs w:val="21"/>
              </w:rPr>
              <w:t> </w:t>
            </w:r>
            <w:r>
              <w:rPr>
                <w:rFonts w:ascii="宋体" w:hAnsi="宋体" w:cs="宋体" w:eastAsia="宋体" w:hint="default"/>
                <w:sz w:val="21"/>
                <w:szCs w:val="21"/>
              </w:rPr>
              <w:t>3ML</w:t>
            </w:r>
            <w:r>
              <w:rPr>
                <w:rFonts w:ascii="宋体" w:hAnsi="宋体" w:cs="宋体" w:eastAsia="宋体" w:hint="default"/>
                <w:w w:val="100"/>
                <w:sz w:val="21"/>
                <w:szCs w:val="21"/>
              </w:rPr>
              <w:t> </w:t>
            </w:r>
            <w:r>
              <w:rPr>
                <w:rFonts w:ascii="宋体" w:hAnsi="宋体" w:cs="宋体" w:eastAsia="宋体" w:hint="default"/>
                <w:sz w:val="21"/>
                <w:szCs w:val="21"/>
              </w:rPr>
              <w:t>挂钩的金</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融衍生品</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交易</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37" w:lineRule="auto"/>
              <w:ind w:left="100" w:right="101"/>
              <w:jc w:val="both"/>
              <w:rPr>
                <w:rFonts w:ascii="宋体" w:hAnsi="宋体" w:cs="宋体" w:eastAsia="宋体" w:hint="default"/>
                <w:sz w:val="21"/>
                <w:szCs w:val="21"/>
              </w:rPr>
            </w:pPr>
            <w:r>
              <w:rPr>
                <w:rFonts w:ascii="宋体" w:hAnsi="宋体" w:cs="宋体" w:eastAsia="宋体" w:hint="default"/>
                <w:sz w:val="21"/>
                <w:szCs w:val="21"/>
              </w:rPr>
              <w:t>保</w:t>
            </w:r>
            <w:r>
              <w:rPr>
                <w:rFonts w:ascii="宋体" w:hAnsi="宋体" w:cs="宋体" w:eastAsia="宋体" w:hint="default"/>
                <w:w w:val="100"/>
                <w:sz w:val="21"/>
                <w:szCs w:val="21"/>
              </w:rPr>
              <w:t> </w:t>
            </w: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浮</w:t>
            </w:r>
            <w:r>
              <w:rPr>
                <w:rFonts w:ascii="宋体" w:hAnsi="宋体" w:cs="宋体" w:eastAsia="宋体" w:hint="default"/>
                <w:w w:val="100"/>
                <w:sz w:val="21"/>
                <w:szCs w:val="21"/>
              </w:rPr>
              <w:t> </w:t>
            </w:r>
            <w:r>
              <w:rPr>
                <w:rFonts w:ascii="宋体" w:hAnsi="宋体" w:cs="宋体" w:eastAsia="宋体" w:hint="default"/>
                <w:sz w:val="21"/>
                <w:szCs w:val="21"/>
              </w:rPr>
              <w:t>动</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0"/>
                <w:szCs w:val="20"/>
              </w:rPr>
            </w:pPr>
            <w:r>
              <w:rPr>
                <w:rFonts w:ascii="宋体"/>
                <w:sz w:val="20"/>
              </w:rPr>
              <w:t>4.40%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106"/>
              <w:jc w:val="center"/>
              <w:rPr>
                <w:rFonts w:ascii="Times New Roman" w:hAnsi="Times New Roman" w:cs="Times New Roman" w:eastAsia="Times New Roman" w:hint="default"/>
                <w:sz w:val="21"/>
                <w:szCs w:val="21"/>
              </w:rPr>
            </w:pPr>
            <w:r>
              <w:rPr>
                <w:rFonts w:ascii="Times New Roman"/>
                <w:sz w:val="21"/>
              </w:rPr>
              <w:t>10.85</w:t>
            </w:r>
          </w:p>
        </w:tc>
        <w:tc>
          <w:tcPr>
            <w:tcW w:w="689"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79"/>
              <w:ind w:left="103" w:right="101"/>
              <w:jc w:val="both"/>
              <w:rPr>
                <w:rFonts w:ascii="宋体" w:hAnsi="宋体" w:cs="宋体" w:eastAsia="宋体" w:hint="default"/>
                <w:sz w:val="21"/>
                <w:szCs w:val="21"/>
              </w:rPr>
            </w:pPr>
            <w:r>
              <w:rPr>
                <w:rFonts w:ascii="宋体" w:hAnsi="宋体" w:cs="宋体" w:eastAsia="宋体" w:hint="default"/>
                <w:sz w:val="21"/>
                <w:szCs w:val="21"/>
              </w:rPr>
              <w:t>未</w:t>
            </w:r>
            <w:r>
              <w:rPr>
                <w:rFonts w:ascii="宋体" w:hAnsi="宋体" w:cs="宋体" w:eastAsia="宋体" w:hint="default"/>
                <w:w w:val="100"/>
                <w:sz w:val="21"/>
                <w:szCs w:val="21"/>
              </w:rPr>
              <w:t> </w:t>
            </w:r>
            <w:r>
              <w:rPr>
                <w:rFonts w:ascii="宋体" w:hAnsi="宋体" w:cs="宋体" w:eastAsia="宋体" w:hint="default"/>
                <w:sz w:val="21"/>
                <w:szCs w:val="21"/>
              </w:rPr>
              <w:t>到</w:t>
            </w:r>
            <w:r>
              <w:rPr>
                <w:rFonts w:ascii="宋体" w:hAnsi="宋体" w:cs="宋体" w:eastAsia="宋体" w:hint="default"/>
                <w:w w:val="100"/>
                <w:sz w:val="21"/>
                <w:szCs w:val="21"/>
              </w:rPr>
              <w:t> </w:t>
            </w:r>
            <w:r>
              <w:rPr>
                <w:rFonts w:ascii="宋体" w:hAnsi="宋体" w:cs="宋体" w:eastAsia="宋体" w:hint="default"/>
                <w:sz w:val="21"/>
                <w:szCs w:val="21"/>
              </w:rPr>
              <w:t>期</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53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1"/>
          <w:szCs w:val="21"/>
        </w:rPr>
      </w:pPr>
    </w:p>
    <w:p>
      <w:pPr>
        <w:pStyle w:val="Heading3"/>
        <w:spacing w:line="274" w:lineRule="exact" w:before="36"/>
        <w:ind w:left="1258" w:right="0"/>
        <w:jc w:val="left"/>
        <w:rPr>
          <w:b w:val="0"/>
          <w:bCs w:val="0"/>
        </w:rPr>
      </w:pPr>
      <w:r>
        <w:rPr/>
        <w:t>其他情况</w:t>
      </w:r>
      <w:r>
        <w:rPr>
          <w:b w:val="0"/>
          <w:bCs w:val="0"/>
        </w:rPr>
      </w:r>
    </w:p>
    <w:p>
      <w:pPr>
        <w:pStyle w:val="BodyText"/>
        <w:tabs>
          <w:tab w:pos="2100" w:val="left" w:leader="none"/>
        </w:tabs>
        <w:spacing w:line="274" w:lineRule="exact"/>
        <w:ind w:left="1258" w:right="0"/>
        <w:jc w:val="left"/>
      </w:pPr>
      <w:r>
        <w:rPr>
          <w:spacing w:val="-1"/>
        </w:rPr>
        <w:t>□适用</w:t>
        <w:tab/>
      </w:r>
      <w:r>
        <w:rPr>
          <w:spacing w:val="-2"/>
        </w:rPr>
        <w:t>√不适用</w:t>
      </w:r>
    </w:p>
    <w:p>
      <w:pPr>
        <w:spacing w:line="240" w:lineRule="auto" w:before="6"/>
        <w:rPr>
          <w:rFonts w:ascii="宋体" w:hAnsi="宋体" w:cs="宋体" w:eastAsia="宋体" w:hint="default"/>
          <w:sz w:val="20"/>
          <w:szCs w:val="20"/>
        </w:rPr>
      </w:pPr>
    </w:p>
    <w:p>
      <w:pPr>
        <w:pStyle w:val="Heading3"/>
        <w:spacing w:line="274" w:lineRule="exact"/>
        <w:ind w:left="1258" w:right="0"/>
        <w:jc w:val="left"/>
        <w:rPr>
          <w:b w:val="0"/>
          <w:bCs w:val="0"/>
        </w:rPr>
      </w:pPr>
      <w:r>
        <w:rPr>
          <w:rFonts w:ascii="宋体" w:hAnsi="宋体" w:cs="宋体" w:eastAsia="宋体" w:hint="default"/>
        </w:rPr>
        <w:t>(3).</w:t>
      </w:r>
      <w:r>
        <w:rPr/>
        <w:t>委托理财减值准备</w:t>
      </w:r>
      <w:r>
        <w:rPr>
          <w:b w:val="0"/>
          <w:bCs w:val="0"/>
        </w:rPr>
      </w:r>
    </w:p>
    <w:p>
      <w:pPr>
        <w:pStyle w:val="BodyText"/>
        <w:tabs>
          <w:tab w:pos="2100" w:val="left" w:leader="none"/>
        </w:tabs>
        <w:spacing w:line="274" w:lineRule="exact"/>
        <w:ind w:left="1258"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3"/>
        <w:spacing w:line="290" w:lineRule="auto"/>
        <w:ind w:left="1258" w:right="7678"/>
        <w:jc w:val="left"/>
        <w:rPr>
          <w:b w:val="0"/>
          <w:bCs w:val="0"/>
        </w:rPr>
      </w:pPr>
      <w:r>
        <w:rPr>
          <w:rFonts w:ascii="宋体" w:hAnsi="宋体" w:cs="宋体" w:eastAsia="宋体" w:hint="default"/>
        </w:rPr>
        <w:t>2</w:t>
      </w:r>
      <w:r>
        <w:rPr/>
        <w:t>、</w:t>
      </w:r>
      <w:r>
        <w:rPr>
          <w:spacing w:val="-3"/>
        </w:rPr>
        <w:t> </w:t>
      </w:r>
      <w:r>
        <w:rPr/>
        <w:t>委托贷款情况</w:t>
      </w:r>
      <w:r>
        <w:rPr>
          <w:w w:val="100"/>
        </w:rPr>
        <w:t> </w:t>
      </w:r>
      <w:r>
        <w:rPr>
          <w:rFonts w:ascii="宋体" w:hAnsi="宋体" w:cs="宋体" w:eastAsia="宋体" w:hint="default"/>
        </w:rPr>
        <w:t>(1).</w:t>
      </w:r>
      <w:r>
        <w:rPr/>
        <w:t>委托贷款总体情况</w:t>
      </w:r>
      <w:r>
        <w:rPr>
          <w:b w:val="0"/>
          <w:bCs w:val="0"/>
        </w:rPr>
      </w:r>
    </w:p>
    <w:p>
      <w:pPr>
        <w:pStyle w:val="BodyText"/>
        <w:tabs>
          <w:tab w:pos="2100" w:val="left" w:leader="none"/>
        </w:tabs>
        <w:spacing w:line="228" w:lineRule="exact"/>
        <w:ind w:left="1258" w:right="0"/>
        <w:jc w:val="left"/>
      </w:pPr>
      <w:r>
        <w:rPr>
          <w:spacing w:val="-1"/>
        </w:rPr>
        <w:t>□适用</w:t>
        <w:tab/>
      </w:r>
      <w:r>
        <w:rPr>
          <w:spacing w:val="-2"/>
        </w:rPr>
        <w:t>√不适用</w:t>
      </w:r>
    </w:p>
    <w:p>
      <w:pPr>
        <w:pStyle w:val="Heading3"/>
        <w:spacing w:line="273" w:lineRule="exact"/>
        <w:ind w:left="1258" w:right="0"/>
        <w:jc w:val="left"/>
        <w:rPr>
          <w:b w:val="0"/>
          <w:bCs w:val="0"/>
        </w:rPr>
      </w:pPr>
      <w:r>
        <w:rPr/>
        <w:t>其他情况</w:t>
      </w:r>
      <w:r>
        <w:rPr>
          <w:b w:val="0"/>
          <w:bCs w:val="0"/>
        </w:rPr>
      </w:r>
    </w:p>
    <w:p>
      <w:pPr>
        <w:pStyle w:val="BodyText"/>
        <w:tabs>
          <w:tab w:pos="2100" w:val="left" w:leader="none"/>
        </w:tabs>
        <w:spacing w:line="274" w:lineRule="exact"/>
        <w:ind w:left="1258" w:right="0"/>
        <w:jc w:val="left"/>
      </w:pPr>
      <w:r>
        <w:rPr>
          <w:spacing w:val="-1"/>
        </w:rPr>
        <w:t>□适用</w:t>
        <w:tab/>
      </w:r>
      <w:r>
        <w:rPr>
          <w:spacing w:val="-2"/>
        </w:rPr>
        <w:t>√不适用</w:t>
      </w:r>
    </w:p>
    <w:p>
      <w:pPr>
        <w:spacing w:line="240" w:lineRule="auto" w:before="8"/>
        <w:rPr>
          <w:rFonts w:ascii="宋体" w:hAnsi="宋体" w:cs="宋体" w:eastAsia="宋体" w:hint="default"/>
          <w:sz w:val="20"/>
          <w:szCs w:val="20"/>
        </w:rPr>
      </w:pPr>
    </w:p>
    <w:p>
      <w:pPr>
        <w:pStyle w:val="Heading3"/>
        <w:spacing w:line="240" w:lineRule="auto"/>
        <w:ind w:left="1258" w:right="0"/>
        <w:jc w:val="left"/>
        <w:rPr>
          <w:b w:val="0"/>
          <w:bCs w:val="0"/>
        </w:rPr>
      </w:pPr>
      <w:r>
        <w:rPr>
          <w:rFonts w:ascii="宋体" w:hAnsi="宋体" w:cs="宋体" w:eastAsia="宋体" w:hint="default"/>
        </w:rPr>
        <w:t>(2).</w:t>
      </w:r>
      <w:r>
        <w:rPr/>
        <w:t>单项委托贷款情况</w:t>
      </w:r>
      <w:r>
        <w:rPr>
          <w:b w:val="0"/>
          <w:bCs w:val="0"/>
        </w:rPr>
      </w:r>
    </w:p>
    <w:p>
      <w:pPr>
        <w:spacing w:after="0" w:line="240" w:lineRule="auto"/>
        <w:jc w:val="left"/>
        <w:sectPr>
          <w:pgSz w:w="11910" w:h="16840"/>
          <w:pgMar w:header="855" w:footer="1195" w:top="1280" w:bottom="1380" w:left="540" w:right="300"/>
        </w:sectPr>
      </w:pPr>
    </w:p>
    <w:p>
      <w:pPr>
        <w:spacing w:line="240" w:lineRule="auto" w:before="6"/>
        <w:rPr>
          <w:rFonts w:ascii="宋体" w:hAnsi="宋体" w:cs="宋体" w:eastAsia="宋体" w:hint="default"/>
          <w:b/>
          <w:bCs/>
          <w:sz w:val="12"/>
          <w:szCs w:val="12"/>
        </w:rPr>
      </w:pPr>
    </w:p>
    <w:p>
      <w:pPr>
        <w:tabs>
          <w:tab w:pos="1060" w:val="left" w:leader="none"/>
        </w:tabs>
        <w:spacing w:before="36"/>
        <w:ind w:left="218" w:right="7383"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其他情况</w:t>
      </w:r>
      <w:r>
        <w:rPr>
          <w:rFonts w:ascii="宋体" w:hAnsi="宋体" w:cs="宋体" w:eastAsia="宋体" w:hint="default"/>
          <w:sz w:val="21"/>
          <w:szCs w:val="21"/>
        </w:rPr>
      </w:r>
    </w:p>
    <w:p>
      <w:pPr>
        <w:pStyle w:val="BodyText"/>
        <w:tabs>
          <w:tab w:pos="1060" w:val="left" w:leader="none"/>
        </w:tabs>
        <w:spacing w:line="271" w:lineRule="exact"/>
        <w:ind w:right="2757"/>
        <w:jc w:val="left"/>
      </w:pPr>
      <w:r>
        <w:rPr>
          <w:spacing w:val="-1"/>
        </w:rPr>
        <w:t>□适用</w:t>
        <w:tab/>
      </w:r>
      <w:r>
        <w:rPr>
          <w:spacing w:val="-2"/>
        </w:rPr>
        <w:t>√不适用</w:t>
      </w:r>
    </w:p>
    <w:p>
      <w:pPr>
        <w:spacing w:line="240" w:lineRule="auto" w:before="8"/>
        <w:rPr>
          <w:rFonts w:ascii="宋体" w:hAnsi="宋体" w:cs="宋体" w:eastAsia="宋体" w:hint="default"/>
          <w:sz w:val="20"/>
          <w:szCs w:val="20"/>
        </w:rPr>
      </w:pPr>
    </w:p>
    <w:p>
      <w:pPr>
        <w:pStyle w:val="Heading3"/>
        <w:spacing w:line="274" w:lineRule="exact"/>
        <w:ind w:right="2757"/>
        <w:jc w:val="left"/>
        <w:rPr>
          <w:b w:val="0"/>
          <w:bCs w:val="0"/>
        </w:rPr>
      </w:pPr>
      <w:r>
        <w:rPr>
          <w:rFonts w:ascii="宋体" w:hAnsi="宋体" w:cs="宋体" w:eastAsia="宋体" w:hint="default"/>
        </w:rPr>
        <w:t>(3).</w:t>
      </w:r>
      <w:r>
        <w:rPr/>
        <w:t>委托贷款减值准备</w:t>
      </w:r>
      <w:r>
        <w:rPr>
          <w:b w:val="0"/>
          <w:bCs w:val="0"/>
        </w:rPr>
      </w:r>
    </w:p>
    <w:p>
      <w:pPr>
        <w:pStyle w:val="BodyText"/>
        <w:tabs>
          <w:tab w:pos="1060" w:val="left" w:leader="none"/>
        </w:tabs>
        <w:spacing w:line="274" w:lineRule="exact"/>
        <w:ind w:right="2757"/>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3"/>
        <w:spacing w:line="240" w:lineRule="auto"/>
        <w:ind w:right="2757"/>
        <w:jc w:val="left"/>
        <w:rPr>
          <w:b w:val="0"/>
          <w:bCs w:val="0"/>
        </w:rPr>
      </w:pPr>
      <w:r>
        <w:rPr>
          <w:rFonts w:ascii="宋体" w:hAnsi="宋体" w:cs="宋体" w:eastAsia="宋体" w:hint="default"/>
        </w:rPr>
        <w:t>3</w:t>
      </w:r>
      <w:r>
        <w:rPr/>
        <w:t>、</w:t>
      </w:r>
      <w:r>
        <w:rPr>
          <w:spacing w:val="-2"/>
        </w:rPr>
        <w:t> </w:t>
      </w:r>
      <w:r>
        <w:rPr/>
        <w:t>其他情况</w:t>
      </w:r>
      <w:r>
        <w:rPr>
          <w:b w:val="0"/>
          <w:bCs w:val="0"/>
        </w:rPr>
      </w:r>
    </w:p>
    <w:p>
      <w:pPr>
        <w:pStyle w:val="BodyText"/>
        <w:tabs>
          <w:tab w:pos="1060" w:val="left" w:leader="none"/>
        </w:tabs>
        <w:spacing w:line="240" w:lineRule="auto" w:before="56"/>
        <w:ind w:right="2757"/>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3"/>
        <w:tabs>
          <w:tab w:pos="1057" w:val="left" w:leader="none"/>
        </w:tabs>
        <w:spacing w:line="240" w:lineRule="auto"/>
        <w:ind w:right="2757"/>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其他重大合同</w:t>
      </w:r>
      <w:r>
        <w:rPr>
          <w:b w:val="0"/>
          <w:bCs w:val="0"/>
        </w:rPr>
      </w:r>
    </w:p>
    <w:p>
      <w:pPr>
        <w:pStyle w:val="BodyText"/>
        <w:tabs>
          <w:tab w:pos="1060" w:val="left" w:leader="none"/>
        </w:tabs>
        <w:spacing w:line="240" w:lineRule="auto" w:before="59"/>
        <w:ind w:right="2757"/>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3"/>
        <w:spacing w:line="240" w:lineRule="auto"/>
        <w:ind w:right="2757"/>
        <w:jc w:val="left"/>
        <w:rPr>
          <w:b w:val="0"/>
          <w:bCs w:val="0"/>
        </w:rPr>
      </w:pPr>
      <w:r>
        <w:rPr/>
        <w:t>十六、其他重大事项的说明</w:t>
      </w:r>
      <w:r>
        <w:rPr>
          <w:b w:val="0"/>
          <w:bCs w:val="0"/>
        </w:rPr>
      </w:r>
    </w:p>
    <w:p>
      <w:pPr>
        <w:pStyle w:val="BodyText"/>
        <w:spacing w:line="240" w:lineRule="auto" w:before="56"/>
        <w:ind w:right="2757"/>
        <w:jc w:val="left"/>
      </w:pPr>
      <w:r>
        <w:rPr/>
        <w:t>√适用</w:t>
      </w:r>
      <w:r>
        <w:rPr>
          <w:spacing w:val="-1"/>
        </w:rPr>
        <w:t> </w:t>
      </w:r>
      <w:r>
        <w:rPr/>
        <w:t>□不适用</w:t>
      </w:r>
    </w:p>
    <w:p>
      <w:pPr>
        <w:spacing w:line="240" w:lineRule="auto" w:before="3"/>
        <w:rPr>
          <w:rFonts w:ascii="宋体" w:hAnsi="宋体" w:cs="宋体" w:eastAsia="宋体" w:hint="default"/>
          <w:sz w:val="23"/>
          <w:szCs w:val="23"/>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1916"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报告</w:t>
            </w:r>
            <w:r>
              <w:rPr>
                <w:rFonts w:ascii="宋体" w:hAnsi="宋体" w:cs="宋体" w:eastAsia="宋体" w:hint="default"/>
                <w:spacing w:val="-3"/>
                <w:w w:val="100"/>
                <w:sz w:val="21"/>
                <w:szCs w:val="21"/>
              </w:rPr>
              <w:t>期</w:t>
            </w:r>
            <w:r>
              <w:rPr>
                <w:rFonts w:ascii="宋体" w:hAnsi="宋体" w:cs="宋体" w:eastAsia="宋体" w:hint="default"/>
                <w:w w:val="100"/>
                <w:sz w:val="21"/>
                <w:szCs w:val="21"/>
              </w:rPr>
              <w:t>内</w:t>
            </w:r>
            <w:r>
              <w:rPr>
                <w:rFonts w:ascii="宋体" w:hAnsi="宋体" w:cs="宋体" w:eastAsia="宋体" w:hint="default"/>
                <w:spacing w:val="-104"/>
                <w:w w:val="100"/>
                <w:sz w:val="21"/>
                <w:szCs w:val="21"/>
              </w:rPr>
              <w:t>，</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向</w:t>
            </w:r>
            <w:r>
              <w:rPr>
                <w:rFonts w:ascii="宋体" w:hAnsi="宋体" w:cs="宋体" w:eastAsia="宋体" w:hint="default"/>
                <w:w w:val="100"/>
                <w:sz w:val="21"/>
                <w:szCs w:val="21"/>
              </w:rPr>
              <w:t>福</w:t>
            </w:r>
            <w:r>
              <w:rPr>
                <w:rFonts w:ascii="宋体" w:hAnsi="宋体" w:cs="宋体" w:eastAsia="宋体" w:hint="default"/>
                <w:spacing w:val="-3"/>
                <w:w w:val="100"/>
                <w:sz w:val="21"/>
                <w:szCs w:val="21"/>
              </w:rPr>
              <w:t>州</w:t>
            </w:r>
            <w:r>
              <w:rPr>
                <w:rFonts w:ascii="宋体" w:hAnsi="宋体" w:cs="宋体" w:eastAsia="宋体" w:hint="default"/>
                <w:w w:val="100"/>
                <w:sz w:val="21"/>
                <w:szCs w:val="21"/>
              </w:rPr>
              <w:t>软</w:t>
            </w:r>
            <w:r>
              <w:rPr>
                <w:rFonts w:ascii="宋体" w:hAnsi="宋体" w:cs="宋体" w:eastAsia="宋体" w:hint="default"/>
                <w:spacing w:val="-3"/>
                <w:w w:val="100"/>
                <w:sz w:val="21"/>
                <w:szCs w:val="21"/>
              </w:rPr>
              <w:t>件</w:t>
            </w:r>
            <w:r>
              <w:rPr>
                <w:rFonts w:ascii="宋体" w:hAnsi="宋体" w:cs="宋体" w:eastAsia="宋体" w:hint="default"/>
                <w:w w:val="100"/>
                <w:sz w:val="21"/>
                <w:szCs w:val="21"/>
              </w:rPr>
              <w:t>园产</w:t>
            </w:r>
            <w:r>
              <w:rPr>
                <w:rFonts w:ascii="宋体" w:hAnsi="宋体" w:cs="宋体" w:eastAsia="宋体" w:hint="default"/>
                <w:spacing w:val="-3"/>
                <w:w w:val="100"/>
                <w:sz w:val="21"/>
                <w:szCs w:val="21"/>
              </w:rPr>
              <w:t>业</w:t>
            </w:r>
            <w:r>
              <w:rPr>
                <w:rFonts w:ascii="宋体" w:hAnsi="宋体" w:cs="宋体" w:eastAsia="宋体" w:hint="default"/>
                <w:w w:val="100"/>
                <w:sz w:val="21"/>
                <w:szCs w:val="21"/>
              </w:rPr>
              <w:t>基</w:t>
            </w:r>
            <w:r>
              <w:rPr>
                <w:rFonts w:ascii="宋体" w:hAnsi="宋体" w:cs="宋体" w:eastAsia="宋体" w:hint="default"/>
                <w:spacing w:val="-3"/>
                <w:w w:val="100"/>
                <w:sz w:val="21"/>
                <w:szCs w:val="21"/>
              </w:rPr>
              <w:t>地</w:t>
            </w:r>
            <w:r>
              <w:rPr>
                <w:rFonts w:ascii="宋体" w:hAnsi="宋体" w:cs="宋体" w:eastAsia="宋体" w:hint="default"/>
                <w:w w:val="100"/>
                <w:sz w:val="21"/>
                <w:szCs w:val="21"/>
              </w:rPr>
              <w:t>开</w:t>
            </w:r>
            <w:r>
              <w:rPr>
                <w:rFonts w:ascii="宋体" w:hAnsi="宋体" w:cs="宋体" w:eastAsia="宋体" w:hint="default"/>
                <w:spacing w:val="-3"/>
                <w:w w:val="100"/>
                <w:sz w:val="21"/>
                <w:szCs w:val="21"/>
              </w:rPr>
              <w:t>发</w:t>
            </w:r>
            <w:r>
              <w:rPr>
                <w:rFonts w:ascii="宋体" w:hAnsi="宋体" w:cs="宋体" w:eastAsia="宋体" w:hint="default"/>
                <w:w w:val="100"/>
                <w:sz w:val="21"/>
                <w:szCs w:val="21"/>
              </w:rPr>
              <w:t>有限</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pacing w:val="14"/>
                <w:sz w:val="21"/>
                <w:szCs w:val="21"/>
              </w:rPr>
              <w:t>公司购买福州软件园动漫游戏产业基地二期</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4"/>
                <w:sz w:val="21"/>
                <w:szCs w:val="21"/>
              </w:rPr>
              <w:t>D1</w:t>
            </w:r>
            <w:r>
              <w:rPr>
                <w:rFonts w:ascii="宋体" w:hAnsi="宋体" w:cs="宋体" w:eastAsia="宋体" w:hint="default"/>
                <w:spacing w:val="-4"/>
                <w:sz w:val="21"/>
                <w:szCs w:val="21"/>
              </w:rPr>
              <w:t>、</w:t>
            </w:r>
            <w:r>
              <w:rPr>
                <w:rFonts w:ascii="宋体" w:hAnsi="宋体" w:cs="宋体" w:eastAsia="宋体" w:hint="default"/>
                <w:spacing w:val="-4"/>
                <w:sz w:val="21"/>
                <w:szCs w:val="21"/>
              </w:rPr>
              <w:t>D2</w:t>
            </w:r>
            <w:r>
              <w:rPr>
                <w:rFonts w:ascii="宋体" w:hAnsi="宋体" w:cs="宋体" w:eastAsia="宋体" w:hint="default"/>
                <w:spacing w:val="-52"/>
                <w:sz w:val="21"/>
                <w:szCs w:val="21"/>
              </w:rPr>
              <w:t> </w:t>
            </w:r>
            <w:r>
              <w:rPr>
                <w:rFonts w:ascii="宋体" w:hAnsi="宋体" w:cs="宋体" w:eastAsia="宋体" w:hint="default"/>
                <w:spacing w:val="-5"/>
                <w:sz w:val="21"/>
                <w:szCs w:val="21"/>
              </w:rPr>
              <w:t>楼（即：福州软件大道</w:t>
            </w:r>
            <w:r>
              <w:rPr>
                <w:rFonts w:ascii="宋体" w:hAnsi="宋体" w:cs="宋体" w:eastAsia="宋体" w:hint="default"/>
                <w:spacing w:val="-49"/>
                <w:sz w:val="21"/>
                <w:szCs w:val="21"/>
              </w:rPr>
              <w:t> </w:t>
            </w:r>
            <w:r>
              <w:rPr>
                <w:rFonts w:ascii="宋体" w:hAnsi="宋体" w:cs="宋体" w:eastAsia="宋体" w:hint="default"/>
                <w:sz w:val="21"/>
                <w:szCs w:val="21"/>
              </w:rPr>
              <w:t>89</w:t>
            </w:r>
            <w:r>
              <w:rPr>
                <w:rFonts w:ascii="宋体" w:hAnsi="宋体" w:cs="宋体" w:eastAsia="宋体" w:hint="default"/>
                <w:spacing w:val="-50"/>
                <w:sz w:val="21"/>
                <w:szCs w:val="21"/>
              </w:rPr>
              <w:t> </w:t>
            </w:r>
            <w:r>
              <w:rPr>
                <w:rFonts w:ascii="宋体" w:hAnsi="宋体" w:cs="宋体" w:eastAsia="宋体" w:hint="default"/>
                <w:sz w:val="21"/>
                <w:szCs w:val="21"/>
              </w:rPr>
              <w:t>号软件园</w:t>
            </w:r>
            <w:r>
              <w:rPr>
                <w:rFonts w:ascii="宋体" w:hAnsi="宋体" w:cs="宋体" w:eastAsia="宋体" w:hint="default"/>
                <w:spacing w:val="-50"/>
                <w:sz w:val="21"/>
                <w:szCs w:val="21"/>
              </w:rPr>
              <w:t> </w:t>
            </w:r>
            <w:r>
              <w:rPr>
                <w:rFonts w:ascii="宋体" w:hAnsi="宋体" w:cs="宋体" w:eastAsia="宋体" w:hint="default"/>
                <w:sz w:val="21"/>
                <w:szCs w:val="21"/>
              </w:rPr>
              <w:t>G</w:t>
            </w:r>
            <w:r>
              <w:rPr>
                <w:rFonts w:ascii="宋体" w:hAnsi="宋体" w:cs="宋体" w:eastAsia="宋体" w:hint="default"/>
                <w:spacing w:val="-52"/>
                <w:sz w:val="21"/>
                <w:szCs w:val="21"/>
              </w:rPr>
              <w:t> </w:t>
            </w:r>
            <w:r>
              <w:rPr>
                <w:rFonts w:ascii="宋体" w:hAnsi="宋体" w:cs="宋体" w:eastAsia="宋体" w:hint="default"/>
                <w:sz w:val="21"/>
                <w:szCs w:val="21"/>
              </w:rPr>
              <w:t>区</w:t>
            </w:r>
            <w:r>
              <w:rPr>
                <w:rFonts w:ascii="宋体" w:hAnsi="宋体" w:cs="宋体" w:eastAsia="宋体" w:hint="default"/>
                <w:w w:val="100"/>
                <w:sz w:val="21"/>
                <w:szCs w:val="21"/>
              </w:rPr>
              <w:t> </w:t>
            </w:r>
            <w:r>
              <w:rPr>
                <w:rFonts w:ascii="宋体" w:hAnsi="宋体" w:cs="宋体" w:eastAsia="宋体" w:hint="default"/>
                <w:sz w:val="21"/>
                <w:szCs w:val="21"/>
              </w:rPr>
              <w:t>8</w:t>
            </w:r>
            <w:r>
              <w:rPr>
                <w:rFonts w:ascii="宋体" w:hAnsi="宋体" w:cs="宋体" w:eastAsia="宋体" w:hint="default"/>
                <w:sz w:val="21"/>
                <w:szCs w:val="21"/>
              </w:rPr>
              <w:t>、</w:t>
            </w:r>
            <w:r>
              <w:rPr>
                <w:rFonts w:ascii="宋体" w:hAnsi="宋体" w:cs="宋体" w:eastAsia="宋体" w:hint="default"/>
                <w:sz w:val="21"/>
                <w:szCs w:val="21"/>
              </w:rPr>
              <w:t>9</w:t>
            </w:r>
            <w:r>
              <w:rPr>
                <w:rFonts w:ascii="宋体" w:hAnsi="宋体" w:cs="宋体" w:eastAsia="宋体" w:hint="default"/>
                <w:spacing w:val="-1"/>
                <w:sz w:val="21"/>
                <w:szCs w:val="21"/>
              </w:rPr>
              <w:t> </w:t>
            </w:r>
            <w:r>
              <w:rPr>
                <w:rFonts w:ascii="宋体" w:hAnsi="宋体" w:cs="宋体" w:eastAsia="宋体" w:hint="default"/>
                <w:sz w:val="21"/>
                <w:szCs w:val="21"/>
              </w:rPr>
              <w:t>号楼）并将公司部分募投项目实施地变更</w:t>
            </w:r>
            <w:r>
              <w:rPr>
                <w:rFonts w:ascii="宋体" w:hAnsi="宋体" w:cs="宋体" w:eastAsia="宋体" w:hint="default"/>
                <w:w w:val="100"/>
                <w:sz w:val="21"/>
                <w:szCs w:val="21"/>
              </w:rPr>
              <w:t> </w:t>
            </w:r>
            <w:r>
              <w:rPr>
                <w:rFonts w:ascii="宋体" w:hAnsi="宋体" w:cs="宋体" w:eastAsia="宋体" w:hint="default"/>
                <w:sz w:val="21"/>
                <w:szCs w:val="21"/>
              </w:rPr>
              <w:t>至上述地址。合同金额为人民币 </w:t>
            </w:r>
            <w:r>
              <w:rPr>
                <w:rFonts w:ascii="宋体" w:hAnsi="宋体" w:cs="宋体" w:eastAsia="宋体" w:hint="default"/>
                <w:sz w:val="21"/>
                <w:szCs w:val="21"/>
              </w:rPr>
              <w:t>56,438,603.1</w:t>
            </w:r>
            <w:r>
              <w:rPr>
                <w:rFonts w:ascii="宋体" w:hAnsi="宋体" w:cs="宋体" w:eastAsia="宋体" w:hint="default"/>
                <w:w w:val="100"/>
                <w:sz w:val="21"/>
                <w:szCs w:val="21"/>
              </w:rPr>
              <w:t> </w:t>
            </w:r>
            <w:r>
              <w:rPr>
                <w:rFonts w:ascii="宋体" w:hAnsi="宋体" w:cs="宋体" w:eastAsia="宋体" w:hint="default"/>
                <w:spacing w:val="2"/>
                <w:sz w:val="21"/>
                <w:szCs w:val="21"/>
              </w:rPr>
              <w:t>元。上述事项经过公司第七届董事会第六次会</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议、第七届董事会第七次会议审议通过。</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1"/>
              <w:ind w:left="103" w:right="98"/>
              <w:jc w:val="left"/>
              <w:rPr>
                <w:rFonts w:ascii="宋体" w:hAnsi="宋体" w:cs="宋体" w:eastAsia="宋体" w:hint="default"/>
                <w:sz w:val="21"/>
                <w:szCs w:val="21"/>
              </w:rPr>
            </w:pPr>
            <w:r>
              <w:rPr>
                <w:rFonts w:ascii="宋体" w:hAnsi="宋体" w:cs="宋体" w:eastAsia="宋体" w:hint="default"/>
                <w:sz w:val="21"/>
                <w:szCs w:val="21"/>
              </w:rPr>
              <w:t>详见公司于</w:t>
            </w:r>
            <w:r>
              <w:rPr>
                <w:rFonts w:ascii="宋体" w:hAnsi="宋体" w:cs="宋体" w:eastAsia="宋体" w:hint="default"/>
                <w:spacing w:val="-54"/>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13</w:t>
            </w:r>
            <w:r>
              <w:rPr>
                <w:rFonts w:ascii="宋体" w:hAnsi="宋体" w:cs="宋体" w:eastAsia="宋体" w:hint="default"/>
                <w:spacing w:val="-51"/>
                <w:sz w:val="21"/>
                <w:szCs w:val="21"/>
              </w:rPr>
              <w:t> </w:t>
            </w:r>
            <w:r>
              <w:rPr>
                <w:rFonts w:ascii="宋体" w:hAnsi="宋体" w:cs="宋体" w:eastAsia="宋体" w:hint="default"/>
                <w:sz w:val="21"/>
                <w:szCs w:val="21"/>
              </w:rPr>
              <w:t>日披露的公告，公</w:t>
            </w:r>
            <w:r>
              <w:rPr>
                <w:rFonts w:ascii="宋体" w:hAnsi="宋体" w:cs="宋体" w:eastAsia="宋体" w:hint="default"/>
                <w:w w:val="100"/>
                <w:sz w:val="21"/>
                <w:szCs w:val="21"/>
              </w:rPr>
              <w:t> </w:t>
            </w:r>
            <w:r>
              <w:rPr>
                <w:rFonts w:ascii="宋体" w:hAnsi="宋体" w:cs="宋体" w:eastAsia="宋体" w:hint="default"/>
                <w:sz w:val="21"/>
                <w:szCs w:val="21"/>
              </w:rPr>
              <w:t>告编号：</w:t>
            </w:r>
            <w:r>
              <w:rPr>
                <w:rFonts w:ascii="宋体" w:hAnsi="宋体" w:cs="宋体" w:eastAsia="宋体" w:hint="default"/>
                <w:sz w:val="21"/>
                <w:szCs w:val="21"/>
              </w:rPr>
              <w:t>2017-058</w:t>
            </w:r>
            <w:r>
              <w:rPr>
                <w:rFonts w:ascii="宋体" w:hAnsi="宋体" w:cs="宋体" w:eastAsia="宋体" w:hint="default"/>
                <w:sz w:val="21"/>
                <w:szCs w:val="21"/>
              </w:rPr>
              <w:t>，</w:t>
            </w:r>
            <w:r>
              <w:rPr>
                <w:rFonts w:ascii="宋体" w:hAnsi="宋体" w:cs="宋体" w:eastAsia="宋体" w:hint="default"/>
                <w:sz w:val="21"/>
                <w:szCs w:val="21"/>
              </w:rPr>
              <w:t>2017-059</w:t>
            </w:r>
            <w:r>
              <w:rPr>
                <w:rFonts w:ascii="宋体" w:hAnsi="宋体" w:cs="宋体" w:eastAsia="宋体" w:hint="default"/>
                <w:sz w:val="21"/>
                <w:szCs w:val="21"/>
              </w:rPr>
              <w:t>。</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3"/>
        <w:tabs>
          <w:tab w:pos="861" w:val="left" w:leader="none"/>
        </w:tabs>
        <w:spacing w:line="290" w:lineRule="auto" w:before="36"/>
        <w:ind w:right="5691"/>
        <w:jc w:val="left"/>
        <w:rPr>
          <w:b w:val="0"/>
          <w:bCs w:val="0"/>
        </w:rPr>
      </w:pPr>
      <w:r>
        <w:rPr>
          <w:spacing w:val="-1"/>
        </w:rPr>
        <w:t>十七、积极履行社会责任的工作情况</w:t>
      </w:r>
      <w:r>
        <w:rPr>
          <w:spacing w:val="-91"/>
        </w:rPr>
        <w:t> </w:t>
      </w:r>
      <w:r>
        <w:rPr>
          <w:spacing w:val="-91"/>
        </w:rPr>
      </w:r>
      <w:r>
        <w:rPr>
          <w:rFonts w:ascii="宋体" w:hAnsi="宋体" w:cs="宋体" w:eastAsia="宋体" w:hint="default"/>
          <w:spacing w:val="-1"/>
        </w:rPr>
        <w:t>(</w:t>
      </w:r>
      <w:r>
        <w:rPr>
          <w:spacing w:val="-1"/>
        </w:rPr>
        <w:t>一</w:t>
      </w:r>
      <w:r>
        <w:rPr>
          <w:rFonts w:ascii="宋体" w:hAnsi="宋体" w:cs="宋体" w:eastAsia="宋体" w:hint="default"/>
          <w:spacing w:val="-1"/>
        </w:rPr>
        <w:t>)</w:t>
        <w:tab/>
      </w:r>
      <w:r>
        <w:rPr>
          <w:spacing w:val="-1"/>
        </w:rPr>
        <w:t>上市公司扶贫工作情况</w:t>
      </w:r>
      <w:r>
        <w:rPr>
          <w:b w:val="0"/>
          <w:bCs w:val="0"/>
          <w:spacing w:val="-1"/>
        </w:rPr>
      </w:r>
    </w:p>
    <w:p>
      <w:pPr>
        <w:pStyle w:val="BodyText"/>
        <w:spacing w:line="240" w:lineRule="auto" w:before="12"/>
        <w:ind w:right="0"/>
        <w:jc w:val="both"/>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3"/>
        <w:spacing w:line="240" w:lineRule="auto"/>
        <w:ind w:right="0"/>
        <w:jc w:val="both"/>
        <w:rPr>
          <w:b w:val="0"/>
          <w:bCs w:val="0"/>
        </w:rPr>
      </w:pPr>
      <w:r>
        <w:rPr>
          <w:rFonts w:ascii="宋体" w:hAnsi="宋体" w:cs="宋体" w:eastAsia="宋体" w:hint="default"/>
        </w:rPr>
        <w:t>(</w:t>
      </w:r>
      <w:r>
        <w:rPr/>
        <w:t>二</w:t>
      </w:r>
      <w:r>
        <w:rPr>
          <w:rFonts w:ascii="宋体" w:hAnsi="宋体" w:cs="宋体" w:eastAsia="宋体" w:hint="default"/>
        </w:rPr>
        <w:t>) </w:t>
      </w:r>
      <w:r>
        <w:rPr>
          <w:rFonts w:ascii="宋体" w:hAnsi="宋体" w:cs="宋体" w:eastAsia="宋体" w:hint="default"/>
          <w:spacing w:val="10"/>
        </w:rPr>
        <w:t> </w:t>
      </w:r>
      <w:r>
        <w:rPr/>
        <w:t>社会责任工作情况</w:t>
      </w:r>
      <w:r>
        <w:rPr>
          <w:b w:val="0"/>
          <w:bCs w:val="0"/>
        </w:rPr>
      </w:r>
    </w:p>
    <w:p>
      <w:pPr>
        <w:pStyle w:val="BodyText"/>
        <w:tabs>
          <w:tab w:pos="1060" w:val="left" w:leader="none"/>
        </w:tabs>
        <w:spacing w:line="240" w:lineRule="auto" w:before="56"/>
        <w:ind w:left="638" w:right="237" w:hanging="420"/>
        <w:jc w:val="left"/>
      </w:pPr>
      <w:r>
        <w:rPr>
          <w:spacing w:val="-1"/>
        </w:rPr>
        <w:t>√适用</w:t>
        <w:tab/>
      </w:r>
      <w:r>
        <w:rPr>
          <w:spacing w:val="-2"/>
        </w:rPr>
        <w:t>□不适用</w:t>
      </w:r>
      <w:r>
        <w:rPr>
          <w:spacing w:val="-99"/>
        </w:rPr>
        <w:t> </w:t>
      </w:r>
      <w:r>
        <w:rPr>
          <w:spacing w:val="-99"/>
        </w:rPr>
      </w:r>
      <w:r>
        <w:rPr>
          <w:spacing w:val="-2"/>
        </w:rPr>
        <w:t>顶点软件作为一家在行业内长期提供信息化解决方案的软件公司，在专注企业经营的同时也</w:t>
      </w:r>
    </w:p>
    <w:p>
      <w:pPr>
        <w:pStyle w:val="BodyText"/>
        <w:spacing w:line="355" w:lineRule="auto" w:before="133"/>
        <w:ind w:right="228"/>
        <w:jc w:val="both"/>
      </w:pPr>
      <w:r>
        <w:rPr>
          <w:spacing w:val="-4"/>
        </w:rPr>
        <w:t>积极承担与履行了企业责任、公共责任与社会责任。公司在依法经营的基础上，秉持</w:t>
      </w:r>
      <w:r>
        <w:rPr>
          <w:spacing w:val="64"/>
        </w:rPr>
        <w:t> </w:t>
      </w:r>
      <w:r>
        <w:rPr>
          <w:spacing w:val="-6"/>
        </w:rPr>
        <w:t>“客户、员</w:t>
      </w:r>
      <w:r>
        <w:rPr>
          <w:spacing w:val="-93"/>
        </w:rPr>
        <w:t> </w:t>
      </w:r>
      <w:r>
        <w:rPr>
          <w:spacing w:val="-93"/>
        </w:rPr>
      </w:r>
      <w:r>
        <w:rPr>
          <w:spacing w:val="-2"/>
        </w:rPr>
        <w:t>工、股东共同成长”的宗旨，在追求经济效益，为股东谋利的同时，兼顾社会公益事业，积极承</w:t>
      </w:r>
      <w:r>
        <w:rPr>
          <w:spacing w:val="-26"/>
        </w:rPr>
        <w:t> </w:t>
      </w:r>
      <w:r>
        <w:rPr>
          <w:spacing w:val="-26"/>
        </w:rPr>
      </w:r>
      <w:r>
        <w:rPr/>
        <w:t>担企业社会责任，致力成为客户、员工、股东及社会信赖并敬重的企业。</w:t>
      </w:r>
    </w:p>
    <w:p>
      <w:pPr>
        <w:pStyle w:val="BodyText"/>
        <w:spacing w:line="240" w:lineRule="auto" w:before="34"/>
        <w:ind w:left="638" w:right="2757"/>
        <w:jc w:val="left"/>
      </w:pPr>
      <w:r>
        <w:rPr/>
        <w:t>一、股东和债权人权益保护</w:t>
      </w:r>
    </w:p>
    <w:p>
      <w:pPr>
        <w:pStyle w:val="BodyText"/>
        <w:tabs>
          <w:tab w:pos="1477" w:val="left" w:leader="none"/>
        </w:tabs>
        <w:spacing w:line="240" w:lineRule="auto" w:before="133"/>
        <w:ind w:left="638" w:right="2757"/>
        <w:jc w:val="left"/>
      </w:pPr>
      <w:r>
        <w:rPr/>
        <w:t>（一）</w:t>
        <w:tab/>
        <w:t>完善公司治理，健全内部制度</w:t>
      </w:r>
    </w:p>
    <w:p>
      <w:pPr>
        <w:pStyle w:val="BodyText"/>
        <w:spacing w:line="357" w:lineRule="auto" w:before="133"/>
        <w:ind w:right="237" w:firstLine="419"/>
        <w:jc w:val="both"/>
      </w:pPr>
      <w:r>
        <w:rPr/>
        <w:t>公司严格按照《中华人民共和国公司法》 、《中华人民共和国证券法》</w:t>
      </w:r>
      <w:r>
        <w:rPr>
          <w:spacing w:val="-8"/>
        </w:rPr>
        <w:t> </w:t>
      </w:r>
      <w:r>
        <w:rPr/>
        <w:t>、《公司章程》和</w:t>
      </w:r>
      <w:r>
        <w:rPr>
          <w:w w:val="100"/>
        </w:rPr>
        <w:t> </w:t>
      </w:r>
      <w:r>
        <w:rPr>
          <w:spacing w:val="-2"/>
        </w:rPr>
        <w:t>其他有关法律法规的规定，不断完善和规范公司治理结构。公司治理结构由股东大会、董事会、</w:t>
      </w:r>
      <w:r>
        <w:rPr>
          <w:spacing w:val="-25"/>
        </w:rPr>
        <w:t> </w:t>
      </w:r>
      <w:r>
        <w:rPr>
          <w:spacing w:val="-25"/>
        </w:rPr>
      </w:r>
      <w:r>
        <w:rPr>
          <w:spacing w:val="-2"/>
        </w:rPr>
        <w:t>监事会和总经理为代表的经营团队组成，权责清晰，运行良好。公司建立了《公司章程》、《股</w:t>
      </w:r>
      <w:r>
        <w:rPr>
          <w:spacing w:val="-25"/>
        </w:rPr>
        <w:t> </w:t>
      </w:r>
      <w:r>
        <w:rPr>
          <w:spacing w:val="-25"/>
        </w:rPr>
      </w:r>
      <w:r>
        <w:rPr>
          <w:spacing w:val="-2"/>
        </w:rPr>
        <w:t>东大会议事规则》、《董事会议事规则》、《监事会议事规则》、《总经理工作细则》、《对外</w:t>
      </w:r>
    </w:p>
    <w:p>
      <w:pPr>
        <w:spacing w:after="0" w:line="357" w:lineRule="auto"/>
        <w:jc w:val="both"/>
        <w:sectPr>
          <w:footerReference w:type="default" r:id="rId18"/>
          <w:pgSz w:w="11910" w:h="16840"/>
          <w:pgMar w:footer="1195" w:header="855" w:top="1280" w:bottom="1380" w:left="1580" w:right="1040"/>
        </w:sectPr>
      </w:pPr>
    </w:p>
    <w:p>
      <w:pPr>
        <w:spacing w:line="240" w:lineRule="auto" w:before="6"/>
        <w:rPr>
          <w:rFonts w:ascii="宋体" w:hAnsi="宋体" w:cs="宋体" w:eastAsia="宋体" w:hint="default"/>
          <w:sz w:val="12"/>
          <w:szCs w:val="12"/>
        </w:rPr>
      </w:pPr>
    </w:p>
    <w:p>
      <w:pPr>
        <w:pStyle w:val="BodyText"/>
        <w:spacing w:line="357" w:lineRule="auto" w:before="36"/>
        <w:ind w:left="138" w:right="0"/>
        <w:jc w:val="left"/>
      </w:pPr>
      <w:r>
        <w:rPr>
          <w:spacing w:val="-2"/>
        </w:rPr>
        <w:t>担保制度》、《对外投资管理制度》、《关联交易决策制度》等，为公司各项运作提供了规范依</w:t>
      </w:r>
      <w:r>
        <w:rPr>
          <w:spacing w:val="-25"/>
        </w:rPr>
        <w:t> </w:t>
      </w:r>
      <w:r>
        <w:rPr>
          <w:spacing w:val="-25"/>
        </w:rPr>
      </w:r>
      <w:r>
        <w:rPr/>
        <w:t>据，促进公司健康的发展。</w:t>
      </w:r>
    </w:p>
    <w:p>
      <w:pPr>
        <w:pStyle w:val="BodyText"/>
        <w:tabs>
          <w:tab w:pos="1397" w:val="left" w:leader="none"/>
        </w:tabs>
        <w:spacing w:line="355" w:lineRule="auto" w:before="30"/>
        <w:ind w:left="558" w:right="137"/>
        <w:jc w:val="left"/>
      </w:pPr>
      <w:r>
        <w:rPr/>
        <w:t>（二）</w:t>
        <w:tab/>
        <w:t>强化信批责任，重视投资者关系管理</w:t>
      </w:r>
      <w:r>
        <w:rPr>
          <w:w w:val="100"/>
        </w:rPr>
        <w:t> </w:t>
      </w:r>
      <w:r>
        <w:rPr>
          <w:spacing w:val="-2"/>
        </w:rPr>
        <w:t>报告期内，公司根据相关法律法规及监管部门的要求，认真做好各项信批工作，积极履行信</w:t>
      </w:r>
    </w:p>
    <w:p>
      <w:pPr>
        <w:pStyle w:val="BodyText"/>
        <w:spacing w:line="357" w:lineRule="auto" w:before="32"/>
        <w:ind w:left="138" w:right="0"/>
        <w:jc w:val="left"/>
      </w:pPr>
      <w:r>
        <w:rPr/>
        <w:t>息披露义务，公司所有应披露的信息均在指定信息披露媒体及上海证券交易所网站</w:t>
      </w:r>
      <w:r>
        <w:rPr>
          <w:w w:val="100"/>
        </w:rPr>
        <w:t> </w:t>
      </w:r>
      <w:r>
        <w:rPr>
          <w:rFonts w:ascii="宋体" w:hAnsi="宋体" w:cs="宋体" w:eastAsia="宋体" w:hint="default"/>
          <w:spacing w:val="-6"/>
        </w:rPr>
        <w:t>(www.sse.com.cn)</w:t>
      </w:r>
      <w:r>
        <w:rPr>
          <w:spacing w:val="-6"/>
        </w:rPr>
        <w:t>及时披露，公司股东大会、董事会、监事会与管理层之间各司其职，互相配合。 </w:t>
      </w:r>
      <w:r>
        <w:rPr/>
        <w:t>报告期内，公司共召开</w:t>
      </w:r>
      <w:r>
        <w:rPr>
          <w:spacing w:val="-2"/>
        </w:rPr>
        <w:t> </w:t>
      </w:r>
      <w:r>
        <w:rPr>
          <w:rFonts w:ascii="宋体" w:hAnsi="宋体" w:cs="宋体" w:eastAsia="宋体" w:hint="default"/>
        </w:rPr>
        <w:t>15</w:t>
      </w:r>
      <w:r>
        <w:rPr>
          <w:rFonts w:ascii="宋体" w:hAnsi="宋体" w:cs="宋体" w:eastAsia="宋体" w:hint="default"/>
          <w:spacing w:val="-54"/>
        </w:rPr>
        <w:t> </w:t>
      </w:r>
      <w:r>
        <w:rPr/>
        <w:t>次董事会、</w:t>
      </w:r>
      <w:r>
        <w:rPr>
          <w:rFonts w:ascii="宋体" w:hAnsi="宋体" w:cs="宋体" w:eastAsia="宋体" w:hint="default"/>
        </w:rPr>
        <w:t>9</w:t>
      </w:r>
      <w:r>
        <w:rPr>
          <w:rFonts w:ascii="宋体" w:hAnsi="宋体" w:cs="宋体" w:eastAsia="宋体" w:hint="default"/>
          <w:spacing w:val="-56"/>
        </w:rPr>
        <w:t> </w:t>
      </w:r>
      <w:r>
        <w:rPr/>
        <w:t>次监事会、</w:t>
      </w:r>
      <w:r>
        <w:rPr>
          <w:rFonts w:ascii="宋体" w:hAnsi="宋体" w:cs="宋体" w:eastAsia="宋体" w:hint="default"/>
        </w:rPr>
        <w:t>5</w:t>
      </w:r>
      <w:r>
        <w:rPr>
          <w:rFonts w:ascii="宋体" w:hAnsi="宋体" w:cs="宋体" w:eastAsia="宋体" w:hint="default"/>
          <w:spacing w:val="-54"/>
        </w:rPr>
        <w:t> </w:t>
      </w:r>
      <w:r>
        <w:rPr/>
        <w:t>次股东大会，共完成</w:t>
      </w:r>
      <w:r>
        <w:rPr>
          <w:spacing w:val="-54"/>
        </w:rPr>
        <w:t> </w:t>
      </w:r>
      <w:r>
        <w:rPr>
          <w:rFonts w:ascii="宋体" w:hAnsi="宋体" w:cs="宋体" w:eastAsia="宋体" w:hint="default"/>
        </w:rPr>
        <w:t>64</w:t>
      </w:r>
      <w:r>
        <w:rPr>
          <w:rFonts w:ascii="宋体" w:hAnsi="宋体" w:cs="宋体" w:eastAsia="宋体" w:hint="default"/>
          <w:spacing w:val="-55"/>
        </w:rPr>
        <w:t> </w:t>
      </w:r>
      <w:r>
        <w:rPr/>
        <w:t>份公告的披露，对</w:t>
      </w:r>
      <w:r>
        <w:rPr>
          <w:w w:val="100"/>
        </w:rPr>
        <w:t> </w:t>
      </w:r>
      <w:r>
        <w:rPr>
          <w:spacing w:val="-6"/>
        </w:rPr>
        <w:t>公司运行的各项情况进行了真实、准确、完整的披露。同时，公司积极开展投资者关系管理工作，</w:t>
      </w:r>
      <w:r>
        <w:rPr>
          <w:spacing w:val="-51"/>
        </w:rPr>
        <w:t> </w:t>
      </w:r>
      <w:r>
        <w:rPr>
          <w:spacing w:val="-51"/>
        </w:rPr>
      </w:r>
      <w:r>
        <w:rPr>
          <w:spacing w:val="-5"/>
        </w:rPr>
        <w:t>及时答复投资者问题，安排董事会办公室专门人员充分利用电话、上证</w:t>
      </w:r>
      <w:r>
        <w:rPr>
          <w:spacing w:val="26"/>
        </w:rPr>
        <w:t> </w:t>
      </w:r>
      <w:r>
        <w:rPr>
          <w:rFonts w:ascii="宋体" w:hAnsi="宋体" w:cs="宋体" w:eastAsia="宋体" w:hint="default"/>
        </w:rPr>
        <w:t>E</w:t>
      </w:r>
      <w:r>
        <w:rPr>
          <w:rFonts w:ascii="宋体" w:hAnsi="宋体" w:cs="宋体" w:eastAsia="宋体" w:hint="default"/>
          <w:spacing w:val="23"/>
        </w:rPr>
        <w:t> </w:t>
      </w:r>
      <w:r>
        <w:rPr/>
        <w:t>互动等方式与投资者进</w:t>
      </w:r>
      <w:r>
        <w:rPr>
          <w:spacing w:val="-101"/>
        </w:rPr>
        <w:t> </w:t>
      </w:r>
      <w:r>
        <w:rPr>
          <w:spacing w:val="-101"/>
        </w:rPr>
      </w:r>
      <w:r>
        <w:rPr>
          <w:spacing w:val="-2"/>
        </w:rPr>
        <w:t>行交流，并认真做好投资者来访调研接待工作，使公司股东准确、全面地了解公司的整体运行情</w:t>
      </w:r>
      <w:r>
        <w:rPr>
          <w:spacing w:val="-25"/>
        </w:rPr>
        <w:t> </w:t>
      </w:r>
      <w:r>
        <w:rPr>
          <w:spacing w:val="-25"/>
        </w:rPr>
      </w:r>
      <w:r>
        <w:rPr/>
        <w:t>况。</w:t>
      </w:r>
    </w:p>
    <w:p>
      <w:pPr>
        <w:pStyle w:val="BodyText"/>
        <w:tabs>
          <w:tab w:pos="1397" w:val="left" w:leader="none"/>
        </w:tabs>
        <w:spacing w:line="355" w:lineRule="auto" w:before="30"/>
        <w:ind w:left="558" w:right="137"/>
        <w:jc w:val="left"/>
      </w:pPr>
      <w:r>
        <w:rPr/>
        <w:t>（三）</w:t>
        <w:tab/>
        <w:t>坚持现金分红政策，积极回报投资者</w:t>
      </w:r>
      <w:r>
        <w:rPr>
          <w:w w:val="100"/>
        </w:rPr>
        <w:t> </w:t>
      </w:r>
      <w:r>
        <w:rPr>
          <w:spacing w:val="-2"/>
        </w:rPr>
        <w:t>公司建立了稳定的利润分配政策，积极回报广大投资者，与投资者共同分享企业发展成果。</w:t>
      </w:r>
    </w:p>
    <w:p>
      <w:pPr>
        <w:pStyle w:val="BodyText"/>
        <w:spacing w:line="357" w:lineRule="auto" w:before="32"/>
        <w:ind w:left="138" w:right="127"/>
        <w:jc w:val="both"/>
      </w:pPr>
      <w:r>
        <w:rPr>
          <w:spacing w:val="-2"/>
        </w:rPr>
        <w:t>公司章程明确优先采取现金分红的利润分配政策；根据中国证监会《关于进一步落实上市公司现</w:t>
      </w:r>
      <w:r>
        <w:rPr>
          <w:spacing w:val="-25"/>
        </w:rPr>
        <w:t> </w:t>
      </w:r>
      <w:r>
        <w:rPr>
          <w:spacing w:val="-25"/>
        </w:rPr>
      </w:r>
      <w:r>
        <w:rPr/>
        <w:t>金分红有关事项的通知》和《上市公司监管指引第</w:t>
      </w:r>
      <w:r>
        <w:rPr>
          <w:spacing w:val="-57"/>
        </w:rPr>
        <w:t> </w:t>
      </w:r>
      <w:r>
        <w:rPr>
          <w:rFonts w:ascii="宋体" w:hAnsi="宋体" w:cs="宋体" w:eastAsia="宋体" w:hint="default"/>
        </w:rPr>
        <w:t>3</w:t>
      </w:r>
      <w:r>
        <w:rPr>
          <w:rFonts w:ascii="宋体" w:hAnsi="宋体" w:cs="宋体" w:eastAsia="宋体" w:hint="default"/>
          <w:spacing w:val="-55"/>
        </w:rPr>
        <w:t> </w:t>
      </w:r>
      <w:r>
        <w:rPr/>
        <w:t>号——上市公司现金分红》及《公司章程》</w:t>
      </w:r>
      <w:r>
        <w:rPr>
          <w:w w:val="100"/>
        </w:rPr>
        <w:t> </w:t>
      </w:r>
      <w:r>
        <w:rPr>
          <w:spacing w:val="-4"/>
        </w:rPr>
        <w:t>等相关文件规定，结合公司实际情况，公司还制定了《公司股东回报规划》，</w:t>
      </w:r>
      <w:r>
        <w:rPr>
          <w:spacing w:val="23"/>
        </w:rPr>
        <w:t> </w:t>
      </w:r>
      <w:r>
        <w:rPr/>
        <w:t>保证公司利润分配</w:t>
      </w:r>
      <w:r>
        <w:rPr>
          <w:spacing w:val="-95"/>
        </w:rPr>
        <w:t> </w:t>
      </w:r>
      <w:r>
        <w:rPr>
          <w:spacing w:val="-95"/>
        </w:rPr>
      </w:r>
      <w:r>
        <w:rPr/>
        <w:t>政策的持续性和稳定性。</w:t>
      </w:r>
    </w:p>
    <w:p>
      <w:pPr>
        <w:pStyle w:val="BodyText"/>
        <w:spacing w:line="355" w:lineRule="auto" w:before="30"/>
        <w:ind w:left="558" w:right="0"/>
        <w:jc w:val="left"/>
      </w:pPr>
      <w:r>
        <w:rPr/>
        <w:t>二、客户、供应商利益保障</w:t>
      </w:r>
      <w:r>
        <w:rPr>
          <w:w w:val="100"/>
        </w:rPr>
        <w:t> </w:t>
      </w:r>
      <w:r>
        <w:rPr>
          <w:spacing w:val="-2"/>
        </w:rPr>
        <w:t>公司一贯坚持以客户满意为关注焦点的服务理念，将客户作为企业存在的最大价值，重视与</w:t>
      </w:r>
    </w:p>
    <w:p>
      <w:pPr>
        <w:pStyle w:val="BodyText"/>
        <w:spacing w:line="357" w:lineRule="auto" w:before="32"/>
        <w:ind w:left="138" w:right="0"/>
        <w:jc w:val="left"/>
      </w:pPr>
      <w:r>
        <w:rPr>
          <w:spacing w:val="-2"/>
        </w:rPr>
        <w:t>客户的共赢关系，致力于为客户提供优质产品和各项优质服务。历年来，顶点软件一直紧跟客户</w:t>
      </w:r>
      <w:r>
        <w:rPr>
          <w:spacing w:val="-25"/>
        </w:rPr>
        <w:t> </w:t>
      </w:r>
      <w:r>
        <w:rPr>
          <w:spacing w:val="-25"/>
        </w:rPr>
      </w:r>
      <w:r>
        <w:rPr>
          <w:spacing w:val="-7"/>
        </w:rPr>
        <w:t>需求、行业及监管的变化，不断推陈出新，努力为客户提供整体化解决方案，全面提升服务质量。</w:t>
      </w:r>
    </w:p>
    <w:p>
      <w:pPr>
        <w:pStyle w:val="BodyText"/>
        <w:spacing w:line="355" w:lineRule="auto" w:before="30"/>
        <w:ind w:left="558" w:right="0"/>
        <w:jc w:val="left"/>
      </w:pPr>
      <w:r>
        <w:rPr/>
        <w:t>三、社会公益事业</w:t>
      </w:r>
      <w:r>
        <w:rPr>
          <w:w w:val="100"/>
        </w:rPr>
        <w:t> </w:t>
      </w:r>
      <w:r>
        <w:rPr>
          <w:spacing w:val="-7"/>
        </w:rPr>
        <w:t>开展公益活动，践行企业社会责任，是公司一直以来坚守的企业发展理念。公司在福州大学、</w:t>
      </w:r>
    </w:p>
    <w:p>
      <w:pPr>
        <w:pStyle w:val="BodyText"/>
        <w:spacing w:line="357" w:lineRule="auto" w:before="32"/>
        <w:ind w:left="138" w:right="127"/>
        <w:jc w:val="both"/>
      </w:pPr>
      <w:r>
        <w:rPr/>
        <w:t>福建师范大学捐资设立</w:t>
      </w:r>
      <w:r>
        <w:rPr>
          <w:spacing w:val="47"/>
        </w:rPr>
        <w:t> </w:t>
      </w:r>
      <w:r>
        <w:rPr>
          <w:spacing w:val="-5"/>
        </w:rPr>
        <w:t>“顶点软件教育基金”，每年资助品学兼优、勇于创新、积极实践的大学</w:t>
      </w:r>
      <w:r>
        <w:rPr>
          <w:spacing w:val="-95"/>
        </w:rPr>
        <w:t> </w:t>
      </w:r>
      <w:r>
        <w:rPr>
          <w:spacing w:val="-95"/>
        </w:rPr>
      </w:r>
      <w:r>
        <w:rPr>
          <w:spacing w:val="-4"/>
        </w:rPr>
        <w:t>生。</w:t>
      </w:r>
      <w:r>
        <w:rPr>
          <w:rFonts w:ascii="宋体" w:hAnsi="宋体" w:cs="宋体" w:eastAsia="宋体" w:hint="default"/>
          <w:spacing w:val="-4"/>
        </w:rPr>
        <w:t>2017</w:t>
      </w:r>
      <w:r>
        <w:rPr>
          <w:rFonts w:ascii="宋体" w:hAnsi="宋体" w:cs="宋体" w:eastAsia="宋体" w:hint="default"/>
          <w:spacing w:val="-17"/>
        </w:rPr>
        <w:t> </w:t>
      </w:r>
      <w:r>
        <w:rPr>
          <w:spacing w:val="-2"/>
        </w:rPr>
        <w:t>年公司积极参与福州市鼓楼区与甘肃省岷县东西部扶贫协作项目，对开展的百企联百村</w:t>
      </w:r>
      <w:r>
        <w:rPr>
          <w:spacing w:val="-90"/>
        </w:rPr>
        <w:t> </w:t>
      </w:r>
      <w:r>
        <w:rPr>
          <w:spacing w:val="-90"/>
        </w:rPr>
      </w:r>
      <w:r>
        <w:rPr/>
        <w:t>捐资助学、医疗救助、社会公益等方面的帮扶工作提供帮扶资金</w:t>
      </w:r>
      <w:r>
        <w:rPr>
          <w:spacing w:val="-55"/>
        </w:rPr>
        <w:t> </w:t>
      </w:r>
      <w:r>
        <w:rPr>
          <w:rFonts w:ascii="宋体" w:hAnsi="宋体" w:cs="宋体" w:eastAsia="宋体" w:hint="default"/>
        </w:rPr>
        <w:t>20</w:t>
      </w:r>
      <w:r>
        <w:rPr>
          <w:rFonts w:ascii="宋体" w:hAnsi="宋体" w:cs="宋体" w:eastAsia="宋体" w:hint="default"/>
          <w:spacing w:val="-55"/>
        </w:rPr>
        <w:t> </w:t>
      </w:r>
      <w:r>
        <w:rPr/>
        <w:t>万元。</w:t>
      </w:r>
    </w:p>
    <w:p>
      <w:pPr>
        <w:spacing w:line="240" w:lineRule="auto" w:before="8"/>
        <w:rPr>
          <w:rFonts w:ascii="宋体" w:hAnsi="宋体" w:cs="宋体" w:eastAsia="宋体" w:hint="default"/>
          <w:sz w:val="27"/>
          <w:szCs w:val="27"/>
        </w:rPr>
      </w:pPr>
    </w:p>
    <w:p>
      <w:pPr>
        <w:pStyle w:val="Heading3"/>
        <w:spacing w:line="240" w:lineRule="auto"/>
        <w:ind w:left="138" w:right="0"/>
        <w:jc w:val="both"/>
        <w:rPr>
          <w:b w:val="0"/>
          <w:bCs w:val="0"/>
        </w:rPr>
      </w:pPr>
      <w:r>
        <w:rPr>
          <w:rFonts w:ascii="宋体" w:hAnsi="宋体" w:cs="宋体" w:eastAsia="宋体" w:hint="default"/>
        </w:rPr>
        <w:t>(</w:t>
      </w:r>
      <w:r>
        <w:rPr/>
        <w:t>三</w:t>
      </w:r>
      <w:r>
        <w:rPr>
          <w:rFonts w:ascii="宋体" w:hAnsi="宋体" w:cs="宋体" w:eastAsia="宋体" w:hint="default"/>
        </w:rPr>
        <w:t>) </w:t>
      </w:r>
      <w:r>
        <w:rPr>
          <w:rFonts w:ascii="宋体" w:hAnsi="宋体" w:cs="宋体" w:eastAsia="宋体" w:hint="default"/>
          <w:spacing w:val="10"/>
        </w:rPr>
        <w:t> </w:t>
      </w:r>
      <w:r>
        <w:rPr/>
        <w:t>环境信息情况</w:t>
      </w:r>
      <w:r>
        <w:rPr>
          <w:b w:val="0"/>
          <w:bCs w:val="0"/>
        </w:rPr>
      </w:r>
    </w:p>
    <w:p>
      <w:pPr>
        <w:pStyle w:val="Heading3"/>
        <w:spacing w:line="240" w:lineRule="auto" w:before="58"/>
        <w:ind w:left="138" w:right="0"/>
        <w:jc w:val="both"/>
        <w:rPr>
          <w:b w:val="0"/>
          <w:bCs w:val="0"/>
        </w:rPr>
      </w:pPr>
      <w:r>
        <w:rPr>
          <w:rFonts w:ascii="宋体" w:hAnsi="宋体" w:cs="宋体" w:eastAsia="宋体" w:hint="default"/>
        </w:rPr>
        <w:t>1.</w:t>
      </w:r>
      <w:r>
        <w:rPr>
          <w:rFonts w:ascii="宋体" w:hAnsi="宋体" w:cs="宋体" w:eastAsia="宋体" w:hint="default"/>
          <w:spacing w:val="101"/>
        </w:rPr>
        <w:t> </w:t>
      </w:r>
      <w:r>
        <w:rPr/>
        <w:t>属于环境保护部门公布的重点排污单位的公司及其重要子公司的环保情况说明</w:t>
      </w:r>
      <w:r>
        <w:rPr>
          <w:b w:val="0"/>
          <w:bCs w:val="0"/>
        </w:rPr>
      </w:r>
    </w:p>
    <w:p>
      <w:pPr>
        <w:pStyle w:val="BodyText"/>
        <w:spacing w:line="240" w:lineRule="auto" w:before="56"/>
        <w:ind w:left="138" w:right="0"/>
        <w:jc w:val="both"/>
      </w:pPr>
      <w:r>
        <w:rPr/>
        <w:t>□适用</w:t>
      </w:r>
      <w:r>
        <w:rPr>
          <w:spacing w:val="104"/>
        </w:rPr>
        <w:t> </w:t>
      </w:r>
      <w:r>
        <w:rPr/>
        <w:t>√不适用</w:t>
      </w:r>
    </w:p>
    <w:p>
      <w:pPr>
        <w:spacing w:line="240" w:lineRule="auto" w:before="3"/>
        <w:rPr>
          <w:rFonts w:ascii="宋体" w:hAnsi="宋体" w:cs="宋体" w:eastAsia="宋体" w:hint="default"/>
          <w:sz w:val="25"/>
          <w:szCs w:val="25"/>
        </w:rPr>
      </w:pPr>
    </w:p>
    <w:p>
      <w:pPr>
        <w:pStyle w:val="Heading3"/>
        <w:spacing w:line="240" w:lineRule="auto"/>
        <w:ind w:left="138" w:right="0"/>
        <w:jc w:val="both"/>
        <w:rPr>
          <w:b w:val="0"/>
          <w:bCs w:val="0"/>
        </w:rPr>
      </w:pPr>
      <w:r>
        <w:rPr>
          <w:rFonts w:ascii="宋体" w:hAnsi="宋体" w:cs="宋体" w:eastAsia="宋体" w:hint="default"/>
        </w:rPr>
        <w:t>2. </w:t>
      </w:r>
      <w:r>
        <w:rPr>
          <w:rFonts w:ascii="宋体" w:hAnsi="宋体" w:cs="宋体" w:eastAsia="宋体" w:hint="default"/>
          <w:spacing w:val="1"/>
        </w:rPr>
        <w:t> </w:t>
      </w:r>
      <w:r>
        <w:rPr/>
        <w:t>重点排污单位之外的公司</w:t>
      </w:r>
      <w:r>
        <w:rPr>
          <w:b w:val="0"/>
          <w:bCs w:val="0"/>
        </w:rPr>
      </w:r>
    </w:p>
    <w:p>
      <w:pPr>
        <w:pStyle w:val="BodyText"/>
        <w:spacing w:line="240" w:lineRule="auto" w:before="58"/>
        <w:ind w:left="138" w:right="0"/>
        <w:jc w:val="both"/>
      </w:pPr>
      <w:r>
        <w:rPr/>
        <w:t>□适用</w:t>
      </w:r>
      <w:r>
        <w:rPr>
          <w:spacing w:val="104"/>
        </w:rPr>
        <w:t> </w:t>
      </w:r>
      <w:r>
        <w:rPr/>
        <w:t>√不适用</w:t>
      </w:r>
    </w:p>
    <w:p>
      <w:pPr>
        <w:spacing w:line="240" w:lineRule="auto" w:before="3"/>
        <w:rPr>
          <w:rFonts w:ascii="宋体" w:hAnsi="宋体" w:cs="宋体" w:eastAsia="宋体" w:hint="default"/>
          <w:sz w:val="25"/>
          <w:szCs w:val="25"/>
        </w:rPr>
      </w:pPr>
    </w:p>
    <w:p>
      <w:pPr>
        <w:pStyle w:val="Heading3"/>
        <w:spacing w:line="240" w:lineRule="auto"/>
        <w:ind w:left="138" w:right="0"/>
        <w:jc w:val="both"/>
        <w:rPr>
          <w:b w:val="0"/>
          <w:bCs w:val="0"/>
        </w:rPr>
      </w:pPr>
      <w:r>
        <w:rPr>
          <w:rFonts w:ascii="宋体" w:hAnsi="宋体" w:cs="宋体" w:eastAsia="宋体" w:hint="default"/>
        </w:rPr>
        <w:t>3. </w:t>
      </w:r>
      <w:r>
        <w:rPr>
          <w:rFonts w:ascii="宋体" w:hAnsi="宋体" w:cs="宋体" w:eastAsia="宋体" w:hint="default"/>
          <w:spacing w:val="2"/>
        </w:rPr>
        <w:t> </w:t>
      </w:r>
      <w:r>
        <w:rPr/>
        <w:t>其他说明</w:t>
      </w:r>
      <w:r>
        <w:rPr>
          <w:b w:val="0"/>
          <w:bCs w:val="0"/>
        </w:rPr>
      </w:r>
    </w:p>
    <w:p>
      <w:pPr>
        <w:pStyle w:val="BodyText"/>
        <w:spacing w:line="240" w:lineRule="auto" w:before="56"/>
        <w:ind w:left="138" w:right="0"/>
        <w:jc w:val="both"/>
      </w:pPr>
      <w:r>
        <w:rPr/>
        <w:t>□适用</w:t>
      </w:r>
      <w:r>
        <w:rPr>
          <w:spacing w:val="104"/>
        </w:rPr>
        <w:t> </w:t>
      </w:r>
      <w:r>
        <w:rPr/>
        <w:t>√不适用</w:t>
      </w:r>
    </w:p>
    <w:p>
      <w:pPr>
        <w:spacing w:after="0" w:line="240" w:lineRule="auto"/>
        <w:jc w:val="both"/>
        <w:sectPr>
          <w:footerReference w:type="default" r:id="rId19"/>
          <w:pgSz w:w="11910" w:h="16840"/>
          <w:pgMar w:footer="1195" w:header="855" w:top="1280" w:bottom="1380" w:left="1660" w:right="1140"/>
          <w:pgNumType w:start="41"/>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7"/>
          <w:szCs w:val="17"/>
        </w:rPr>
      </w:pPr>
    </w:p>
    <w:p>
      <w:pPr>
        <w:pStyle w:val="Heading3"/>
        <w:tabs>
          <w:tab w:pos="861" w:val="left" w:leader="none"/>
        </w:tabs>
        <w:spacing w:line="240" w:lineRule="auto" w:before="36"/>
        <w:ind w:right="2757"/>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其他说明</w:t>
      </w:r>
      <w:r>
        <w:rPr>
          <w:b w:val="0"/>
          <w:bCs w:val="0"/>
        </w:rPr>
      </w:r>
    </w:p>
    <w:p>
      <w:pPr>
        <w:pStyle w:val="BodyText"/>
        <w:tabs>
          <w:tab w:pos="1060" w:val="left" w:leader="none"/>
        </w:tabs>
        <w:spacing w:line="240" w:lineRule="auto" w:before="56"/>
        <w:ind w:right="2757"/>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3"/>
        <w:spacing w:line="240" w:lineRule="auto"/>
        <w:ind w:right="2757"/>
        <w:jc w:val="left"/>
        <w:rPr>
          <w:b w:val="0"/>
          <w:bCs w:val="0"/>
        </w:rPr>
      </w:pPr>
      <w:r>
        <w:rPr/>
        <w:t>十八、可转换公司债券情况</w:t>
      </w:r>
      <w:r>
        <w:rPr>
          <w:b w:val="0"/>
          <w:bCs w:val="0"/>
        </w:rPr>
      </w:r>
    </w:p>
    <w:p>
      <w:pPr>
        <w:pStyle w:val="Heading3"/>
        <w:spacing w:line="240" w:lineRule="auto" w:before="58"/>
        <w:ind w:right="2757"/>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转债发行情况</w:t>
      </w:r>
      <w:r>
        <w:rPr>
          <w:b w:val="0"/>
          <w:bCs w:val="0"/>
        </w:rPr>
      </w:r>
    </w:p>
    <w:p>
      <w:pPr>
        <w:pStyle w:val="BodyText"/>
        <w:tabs>
          <w:tab w:pos="1060" w:val="left" w:leader="none"/>
        </w:tabs>
        <w:spacing w:line="240" w:lineRule="auto" w:before="29"/>
        <w:ind w:right="2757"/>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3"/>
        <w:spacing w:line="240" w:lineRule="auto"/>
        <w:ind w:right="2757"/>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8"/>
        </w:rPr>
        <w:t> </w:t>
      </w:r>
      <w:r>
        <w:rPr/>
        <w:t>报告期转债持有人及担保人情况</w:t>
      </w:r>
      <w:r>
        <w:rPr>
          <w:b w:val="0"/>
          <w:bCs w:val="0"/>
        </w:rPr>
      </w:r>
    </w:p>
    <w:p>
      <w:pPr>
        <w:pStyle w:val="BodyText"/>
        <w:spacing w:line="240" w:lineRule="auto" w:before="32"/>
        <w:ind w:right="2757"/>
        <w:jc w:val="left"/>
      </w:pPr>
      <w:r>
        <w:rPr/>
        <w:t>□适用</w:t>
      </w:r>
      <w:r>
        <w:rPr>
          <w:spacing w:val="-1"/>
        </w:rPr>
        <w:t> </w:t>
      </w:r>
      <w:r>
        <w:rPr/>
        <w:t>√不适用</w:t>
      </w:r>
    </w:p>
    <w:p>
      <w:pPr>
        <w:pStyle w:val="Heading3"/>
        <w:spacing w:line="240" w:lineRule="auto" w:before="57"/>
        <w:ind w:right="2757"/>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3"/>
        </w:rPr>
        <w:t> </w:t>
      </w:r>
      <w:r>
        <w:rPr/>
        <w:t>报告期转债变动情况</w:t>
      </w:r>
      <w:r>
        <w:rPr>
          <w:b w:val="0"/>
          <w:bCs w:val="0"/>
        </w:rPr>
      </w:r>
    </w:p>
    <w:p>
      <w:pPr>
        <w:pStyle w:val="BodyText"/>
        <w:spacing w:line="272" w:lineRule="exact" w:before="59"/>
        <w:ind w:right="6323"/>
        <w:jc w:val="left"/>
      </w:pPr>
      <w:r>
        <w:rPr/>
        <w:t>□适用</w:t>
      </w:r>
      <w:r>
        <w:rPr>
          <w:spacing w:val="-2"/>
        </w:rPr>
        <w:t> </w:t>
      </w:r>
      <w:r>
        <w:rPr/>
        <w:t>√不适用</w:t>
      </w:r>
      <w:r>
        <w:rPr>
          <w:w w:val="100"/>
        </w:rPr>
        <w:t> </w:t>
      </w:r>
      <w:r>
        <w:rPr>
          <w:spacing w:val="-2"/>
        </w:rPr>
        <w:t>报告期转债累计转股情况</w:t>
      </w:r>
    </w:p>
    <w:p>
      <w:pPr>
        <w:pStyle w:val="BodyText"/>
        <w:spacing w:line="249" w:lineRule="exact"/>
        <w:ind w:right="2757"/>
        <w:jc w:val="left"/>
      </w:pPr>
      <w:r>
        <w:rPr/>
        <w:t>□适用</w:t>
      </w:r>
      <w:r>
        <w:rPr>
          <w:spacing w:val="-1"/>
        </w:rPr>
        <w:t> </w:t>
      </w:r>
      <w:r>
        <w:rPr/>
        <w:t>√不适用</w:t>
      </w:r>
    </w:p>
    <w:p>
      <w:pPr>
        <w:pStyle w:val="Heading3"/>
        <w:spacing w:line="240" w:lineRule="auto" w:before="56"/>
        <w:ind w:right="2757"/>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0"/>
        </w:rPr>
        <w:t> </w:t>
      </w:r>
      <w:r>
        <w:rPr/>
        <w:t>转股价格历次调整情况</w:t>
      </w:r>
      <w:r>
        <w:rPr>
          <w:b w:val="0"/>
          <w:bCs w:val="0"/>
        </w:rPr>
      </w:r>
    </w:p>
    <w:p>
      <w:pPr>
        <w:pStyle w:val="BodyText"/>
        <w:spacing w:line="240" w:lineRule="auto" w:before="32"/>
        <w:ind w:right="2757"/>
        <w:jc w:val="left"/>
      </w:pPr>
      <w:r>
        <w:rPr/>
        <w:t>□适用</w:t>
      </w:r>
      <w:r>
        <w:rPr>
          <w:spacing w:val="-1"/>
        </w:rPr>
        <w:t> </w:t>
      </w:r>
      <w:r>
        <w:rPr/>
        <w:t>√不适用</w:t>
      </w:r>
    </w:p>
    <w:p>
      <w:pPr>
        <w:pStyle w:val="Heading3"/>
        <w:spacing w:line="240" w:lineRule="auto" w:before="56"/>
        <w:ind w:right="2757"/>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27"/>
        </w:rPr>
        <w:t> </w:t>
      </w:r>
      <w:r>
        <w:rPr/>
        <w:t>公司的负债情况、资信变化情况及在未来年度还债的现金安排</w:t>
      </w:r>
      <w:r>
        <w:rPr>
          <w:b w:val="0"/>
          <w:bCs w:val="0"/>
        </w:rPr>
      </w:r>
    </w:p>
    <w:p>
      <w:pPr>
        <w:pStyle w:val="BodyText"/>
        <w:tabs>
          <w:tab w:pos="1060" w:val="left" w:leader="none"/>
        </w:tabs>
        <w:spacing w:line="240" w:lineRule="auto" w:before="32"/>
        <w:ind w:right="2757"/>
        <w:jc w:val="left"/>
      </w:pPr>
      <w:r>
        <w:rPr>
          <w:spacing w:val="-1"/>
        </w:rPr>
        <w:t>□适用</w:t>
        <w:tab/>
      </w:r>
      <w:r>
        <w:rPr>
          <w:spacing w:val="-2"/>
        </w:rPr>
        <w:t>√不适用</w:t>
      </w:r>
    </w:p>
    <w:p>
      <w:pPr>
        <w:pStyle w:val="Heading3"/>
        <w:spacing w:line="240" w:lineRule="auto" w:before="56"/>
        <w:ind w:right="2757"/>
        <w:jc w:val="left"/>
        <w:rPr>
          <w:b w:val="0"/>
          <w:bCs w:val="0"/>
        </w:rPr>
      </w:pPr>
      <w:r>
        <w:rPr>
          <w:rFonts w:ascii="Calibri" w:hAnsi="Calibri" w:cs="Calibri" w:eastAsia="Calibri" w:hint="default"/>
        </w:rPr>
        <w:t>(</w:t>
      </w:r>
      <w:r>
        <w:rPr/>
        <w:t>六</w:t>
      </w:r>
      <w:r>
        <w:rPr>
          <w:rFonts w:ascii="Calibri" w:hAnsi="Calibri" w:cs="Calibri" w:eastAsia="Calibri" w:hint="default"/>
        </w:rPr>
        <w:t>)</w:t>
      </w:r>
      <w:r>
        <w:rPr>
          <w:rFonts w:ascii="Calibri" w:hAnsi="Calibri" w:cs="Calibri" w:eastAsia="Calibri" w:hint="default"/>
          <w:spacing w:val="32"/>
        </w:rPr>
        <w:t> </w:t>
      </w:r>
      <w:r>
        <w:rPr/>
        <w:t>转债其他情况说明</w:t>
      </w:r>
      <w:r>
        <w:rPr>
          <w:b w:val="0"/>
          <w:bCs w:val="0"/>
        </w:rPr>
      </w:r>
    </w:p>
    <w:p>
      <w:pPr>
        <w:pStyle w:val="BodyText"/>
        <w:tabs>
          <w:tab w:pos="1060" w:val="left" w:leader="none"/>
        </w:tabs>
        <w:spacing w:line="240" w:lineRule="auto" w:before="29"/>
        <w:ind w:right="2757"/>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pStyle w:val="Heading1"/>
        <w:tabs>
          <w:tab w:pos="3576" w:val="left" w:leader="none"/>
        </w:tabs>
        <w:spacing w:line="240" w:lineRule="auto"/>
        <w:ind w:left="2316" w:right="0"/>
        <w:jc w:val="left"/>
        <w:rPr>
          <w:b w:val="0"/>
          <w:bCs w:val="0"/>
        </w:rPr>
      </w:pPr>
      <w:bookmarkStart w:name="_TOC_250006" w:id="6"/>
      <w:r>
        <w:rPr>
          <w:w w:val="95"/>
        </w:rPr>
        <w:t>第六节</w:t>
        <w:tab/>
      </w:r>
      <w:r>
        <w:rPr/>
        <w:t>普通股股份变动及股东情况</w:t>
      </w:r>
      <w:bookmarkEnd w:id="6"/>
      <w:r>
        <w:rPr>
          <w:b w:val="0"/>
          <w:bCs w:val="0"/>
        </w:rPr>
      </w:r>
    </w:p>
    <w:p>
      <w:pPr>
        <w:spacing w:line="240" w:lineRule="auto" w:before="7"/>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pgSz w:w="11910" w:h="16840"/>
          <w:pgMar w:header="855" w:footer="1195" w:top="1280" w:bottom="1380" w:left="1580" w:right="1040"/>
        </w:sectPr>
      </w:pPr>
    </w:p>
    <w:p>
      <w:pPr>
        <w:pStyle w:val="Heading3"/>
        <w:spacing w:line="240" w:lineRule="auto" w:before="36"/>
        <w:ind w:right="-9"/>
        <w:jc w:val="left"/>
        <w:rPr>
          <w:b w:val="0"/>
          <w:bCs w:val="0"/>
        </w:rPr>
      </w:pPr>
      <w:r>
        <w:rPr/>
        <w:t>一、</w:t>
      </w:r>
      <w:r>
        <w:rPr>
          <w:spacing w:val="-74"/>
        </w:rPr>
        <w:t> </w:t>
      </w:r>
      <w:r>
        <w:rPr/>
        <w:t>普通股股本变动情况</w:t>
      </w:r>
      <w:r>
        <w:rPr>
          <w:b w:val="0"/>
          <w:bCs w:val="0"/>
        </w:rPr>
      </w:r>
    </w:p>
    <w:p>
      <w:pPr>
        <w:pStyle w:val="Heading3"/>
        <w:tabs>
          <w:tab w:pos="784" w:val="left" w:leader="none"/>
        </w:tabs>
        <w:spacing w:line="240" w:lineRule="auto" w:before="56"/>
        <w:ind w:right="-9"/>
        <w:jc w:val="left"/>
        <w:rPr>
          <w:b w:val="0"/>
          <w:bCs w:val="0"/>
        </w:rPr>
      </w:pPr>
      <w:r>
        <w:rPr>
          <w:rFonts w:ascii="Calibri" w:hAnsi="Calibri" w:cs="Calibri" w:eastAsia="Calibri" w:hint="default"/>
        </w:rPr>
        <w:t>(</w:t>
      </w:r>
      <w:r>
        <w:rPr/>
        <w:t>一</w:t>
      </w:r>
      <w:r>
        <w:rPr>
          <w:rFonts w:ascii="Calibri" w:hAnsi="Calibri" w:cs="Calibri" w:eastAsia="Calibri" w:hint="default"/>
        </w:rPr>
        <w:t>)</w:t>
        <w:tab/>
      </w:r>
      <w:r>
        <w:rPr>
          <w:spacing w:val="-1"/>
        </w:rPr>
        <w:t>普通股股份变动情况表</w:t>
      </w:r>
      <w:r>
        <w:rPr>
          <w:b w:val="0"/>
          <w:bCs w:val="0"/>
          <w:spacing w:val="-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77"/>
        <w:ind w:right="0"/>
        <w:jc w:val="left"/>
      </w:pPr>
      <w:r>
        <w:rPr/>
        <w:t>单位：股</w:t>
      </w:r>
    </w:p>
    <w:p>
      <w:pPr>
        <w:spacing w:after="0" w:line="240" w:lineRule="auto"/>
        <w:jc w:val="left"/>
        <w:sectPr>
          <w:type w:val="continuous"/>
          <w:pgSz w:w="11910" w:h="16840"/>
          <w:pgMar w:top="1000" w:bottom="280" w:left="1580" w:right="1040"/>
          <w:cols w:num="2" w:equalWidth="0">
            <w:col w:w="2895" w:space="5099"/>
            <w:col w:w="1296"/>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330"/>
        <w:gridCol w:w="1268"/>
        <w:gridCol w:w="636"/>
        <w:gridCol w:w="1265"/>
        <w:gridCol w:w="428"/>
        <w:gridCol w:w="425"/>
        <w:gridCol w:w="427"/>
        <w:gridCol w:w="1265"/>
        <w:gridCol w:w="1268"/>
        <w:gridCol w:w="739"/>
      </w:tblGrid>
      <w:tr>
        <w:trPr>
          <w:trHeight w:val="283" w:hRule="exact"/>
        </w:trPr>
        <w:tc>
          <w:tcPr>
            <w:tcW w:w="1330" w:type="dxa"/>
            <w:vMerge w:val="restart"/>
            <w:tcBorders>
              <w:top w:val="single" w:sz="4" w:space="0" w:color="000000"/>
              <w:left w:val="single" w:sz="4" w:space="0" w:color="000000"/>
              <w:right w:val="single" w:sz="4" w:space="0" w:color="000000"/>
            </w:tcBorders>
          </w:tcPr>
          <w:p>
            <w:pPr/>
          </w:p>
        </w:tc>
        <w:tc>
          <w:tcPr>
            <w:tcW w:w="19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9"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380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41" w:right="0"/>
              <w:jc w:val="left"/>
              <w:rPr>
                <w:rFonts w:ascii="宋体" w:hAnsi="宋体" w:cs="宋体" w:eastAsia="宋体" w:hint="default"/>
                <w:sz w:val="21"/>
                <w:szCs w:val="21"/>
              </w:rPr>
            </w:pPr>
            <w:r>
              <w:rPr>
                <w:rFonts w:ascii="宋体" w:hAnsi="宋体" w:cs="宋体" w:eastAsia="宋体" w:hint="default"/>
                <w:sz w:val="21"/>
                <w:szCs w:val="21"/>
              </w:rPr>
              <w:t>本次变动增减（＋，－）</w:t>
            </w:r>
          </w:p>
        </w:tc>
        <w:tc>
          <w:tcPr>
            <w:tcW w:w="20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3"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1371" w:hRule="exact"/>
        </w:trPr>
        <w:tc>
          <w:tcPr>
            <w:tcW w:w="1330" w:type="dxa"/>
            <w:vMerge/>
            <w:tcBorders>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53" w:right="101"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06" w:right="0"/>
              <w:jc w:val="left"/>
              <w:rPr>
                <w:rFonts w:ascii="宋体" w:hAnsi="宋体" w:cs="宋体" w:eastAsia="宋体" w:hint="default"/>
                <w:sz w:val="21"/>
                <w:szCs w:val="21"/>
              </w:rPr>
            </w:pPr>
            <w:r>
              <w:rPr>
                <w:rFonts w:ascii="宋体" w:hAnsi="宋体" w:cs="宋体" w:eastAsia="宋体" w:hint="default"/>
                <w:sz w:val="21"/>
                <w:szCs w:val="21"/>
              </w:rPr>
              <w:t>发行新股</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z w:val="21"/>
                <w:szCs w:val="21"/>
              </w:rPr>
              <w:t>送</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公</w:t>
            </w:r>
          </w:p>
          <w:p>
            <w:pPr>
              <w:pStyle w:val="TableParagraph"/>
              <w:spacing w:line="237" w:lineRule="auto" w:before="2"/>
              <w:ind w:left="100" w:right="101"/>
              <w:jc w:val="both"/>
              <w:rPr>
                <w:rFonts w:ascii="宋体" w:hAnsi="宋体" w:cs="宋体" w:eastAsia="宋体" w:hint="default"/>
                <w:sz w:val="21"/>
                <w:szCs w:val="21"/>
              </w:rPr>
            </w:pPr>
            <w:r>
              <w:rPr>
                <w:rFonts w:ascii="宋体" w:hAnsi="宋体" w:cs="宋体" w:eastAsia="宋体" w:hint="default"/>
                <w:sz w:val="21"/>
                <w:szCs w:val="21"/>
              </w:rPr>
              <w:t>积</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转</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06" w:right="151"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r>
      <w:tr>
        <w:trPr>
          <w:trHeight w:val="557"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一、有限售</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条件股份</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sz w:val="21"/>
              </w:rPr>
              <w:t>63,140,000</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06" w:right="0"/>
              <w:jc w:val="left"/>
              <w:rPr>
                <w:rFonts w:ascii="宋体" w:hAnsi="宋体" w:cs="宋体" w:eastAsia="宋体" w:hint="default"/>
                <w:sz w:val="21"/>
                <w:szCs w:val="21"/>
              </w:rPr>
            </w:pPr>
            <w:r>
              <w:rPr>
                <w:rFonts w:ascii="宋体"/>
                <w:sz w:val="21"/>
              </w:rPr>
              <w:t>1,677,000</w:t>
            </w: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sz w:val="21"/>
              </w:rPr>
              <w:t>1,677,000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sz w:val="21"/>
              </w:rPr>
              <w:t>64,817,000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75.49</w:t>
            </w:r>
          </w:p>
        </w:tc>
      </w:tr>
      <w:tr>
        <w:trPr>
          <w:trHeight w:val="281"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1</w:t>
            </w:r>
            <w:r>
              <w:rPr>
                <w:rFonts w:ascii="宋体" w:hAnsi="宋体" w:cs="宋体" w:eastAsia="宋体" w:hint="default"/>
                <w:spacing w:val="-8"/>
                <w:sz w:val="21"/>
                <w:szCs w:val="21"/>
              </w:rPr>
              <w:t>、国家持股</w:t>
            </w:r>
          </w:p>
        </w:tc>
        <w:tc>
          <w:tcPr>
            <w:tcW w:w="1268"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2</w:t>
            </w:r>
            <w:r>
              <w:rPr>
                <w:rFonts w:ascii="宋体" w:hAnsi="宋体" w:cs="宋体" w:eastAsia="宋体" w:hint="default"/>
                <w:spacing w:val="-8"/>
                <w:sz w:val="21"/>
                <w:szCs w:val="21"/>
              </w:rPr>
              <w:t>、国有法人</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1268"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3</w:t>
            </w:r>
            <w:r>
              <w:rPr>
                <w:rFonts w:ascii="宋体" w:hAnsi="宋体" w:cs="宋体" w:eastAsia="宋体" w:hint="default"/>
                <w:spacing w:val="-8"/>
                <w:sz w:val="21"/>
                <w:szCs w:val="21"/>
              </w:rPr>
              <w:t>、其他内资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sz w:val="21"/>
              </w:rPr>
              <w:t>63,140,000</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06" w:right="0"/>
              <w:jc w:val="left"/>
              <w:rPr>
                <w:rFonts w:ascii="宋体" w:hAnsi="宋体" w:cs="宋体" w:eastAsia="宋体" w:hint="default"/>
                <w:sz w:val="21"/>
                <w:szCs w:val="21"/>
              </w:rPr>
            </w:pPr>
            <w:r>
              <w:rPr>
                <w:rFonts w:ascii="宋体"/>
                <w:sz w:val="21"/>
              </w:rPr>
              <w:t>1,677,000</w:t>
            </w: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sz w:val="21"/>
              </w:rPr>
              <w:t>1,677,000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sz w:val="21"/>
              </w:rPr>
              <w:t>64,817,000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75.49</w:t>
            </w:r>
          </w:p>
        </w:tc>
      </w:tr>
      <w:tr>
        <w:trPr>
          <w:trHeight w:val="828"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其中：境内</w:t>
            </w:r>
          </w:p>
          <w:p>
            <w:pPr>
              <w:pStyle w:val="TableParagraph"/>
              <w:spacing w:line="240" w:lineRule="auto"/>
              <w:ind w:left="103" w:right="161"/>
              <w:jc w:val="left"/>
              <w:rPr>
                <w:rFonts w:ascii="宋体" w:hAnsi="宋体" w:cs="宋体" w:eastAsia="宋体" w:hint="default"/>
                <w:sz w:val="21"/>
                <w:szCs w:val="21"/>
              </w:rPr>
            </w:pPr>
            <w:r>
              <w:rPr>
                <w:rFonts w:ascii="宋体" w:hAnsi="宋体" w:cs="宋体" w:eastAsia="宋体" w:hint="default"/>
                <w:sz w:val="21"/>
                <w:szCs w:val="21"/>
              </w:rPr>
              <w:t>非国有法人</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持股</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sz w:val="21"/>
              </w:rPr>
              <w:t>25,380,000</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40.2</w:t>
            </w:r>
          </w:p>
        </w:tc>
        <w:tc>
          <w:tcPr>
            <w:tcW w:w="126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sz w:val="21"/>
              </w:rPr>
              <w:t>25,380,000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29.56</w:t>
            </w:r>
          </w:p>
        </w:tc>
      </w:tr>
      <w:tr>
        <w:trPr>
          <w:trHeight w:val="55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firstLine="631"/>
              <w:jc w:val="left"/>
              <w:rPr>
                <w:rFonts w:ascii="宋体" w:hAnsi="宋体" w:cs="宋体" w:eastAsia="宋体" w:hint="default"/>
                <w:sz w:val="21"/>
                <w:szCs w:val="21"/>
              </w:rPr>
            </w:pPr>
            <w:r>
              <w:rPr>
                <w:rFonts w:ascii="宋体" w:hAnsi="宋体" w:cs="宋体" w:eastAsia="宋体" w:hint="default"/>
                <w:sz w:val="21"/>
                <w:szCs w:val="21"/>
              </w:rPr>
              <w:t>境内</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自然人持股</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37,760,000</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59.8</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sz w:val="21"/>
              </w:rPr>
              <w:t>1,677,000</w:t>
            </w: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1,677,000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39,437,000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45.93</w:t>
            </w:r>
          </w:p>
        </w:tc>
      </w:tr>
      <w:tr>
        <w:trPr>
          <w:trHeight w:val="28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4</w:t>
            </w:r>
            <w:r>
              <w:rPr>
                <w:rFonts w:ascii="宋体" w:hAnsi="宋体" w:cs="宋体" w:eastAsia="宋体" w:hint="default"/>
                <w:spacing w:val="-8"/>
                <w:sz w:val="21"/>
                <w:szCs w:val="21"/>
              </w:rPr>
              <w:t>、外资持股</w:t>
            </w:r>
          </w:p>
        </w:tc>
        <w:tc>
          <w:tcPr>
            <w:tcW w:w="1268"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00" w:bottom="280" w:left="1580" w:right="1040"/>
        </w:sectPr>
      </w:pPr>
    </w:p>
    <w:p>
      <w:pPr>
        <w:spacing w:line="240" w:lineRule="auto" w:before="11"/>
        <w:rPr>
          <w:rFonts w:ascii="宋体" w:hAnsi="宋体" w:cs="宋体" w:eastAsia="宋体" w:hint="default"/>
          <w:sz w:val="17"/>
          <w:szCs w:val="17"/>
        </w:rPr>
      </w:pPr>
    </w:p>
    <w:tbl>
      <w:tblPr>
        <w:tblW w:w="0" w:type="auto"/>
        <w:jc w:val="left"/>
        <w:tblInd w:w="105" w:type="dxa"/>
        <w:tblLayout w:type="fixed"/>
        <w:tblCellMar>
          <w:top w:w="0" w:type="dxa"/>
          <w:left w:w="0" w:type="dxa"/>
          <w:bottom w:w="0" w:type="dxa"/>
          <w:right w:w="0" w:type="dxa"/>
        </w:tblCellMar>
        <w:tblLook w:val="01E0"/>
      </w:tblPr>
      <w:tblGrid>
        <w:gridCol w:w="1330"/>
        <w:gridCol w:w="1268"/>
        <w:gridCol w:w="636"/>
        <w:gridCol w:w="1265"/>
        <w:gridCol w:w="428"/>
        <w:gridCol w:w="425"/>
        <w:gridCol w:w="427"/>
        <w:gridCol w:w="1265"/>
        <w:gridCol w:w="1268"/>
        <w:gridCol w:w="739"/>
      </w:tblGrid>
      <w:tr>
        <w:trPr>
          <w:trHeight w:val="557"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其中：境外</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法人持股</w:t>
            </w:r>
          </w:p>
        </w:tc>
        <w:tc>
          <w:tcPr>
            <w:tcW w:w="1268"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firstLine="631"/>
              <w:jc w:val="left"/>
              <w:rPr>
                <w:rFonts w:ascii="宋体" w:hAnsi="宋体" w:cs="宋体" w:eastAsia="宋体" w:hint="default"/>
                <w:sz w:val="21"/>
                <w:szCs w:val="21"/>
              </w:rPr>
            </w:pPr>
            <w:r>
              <w:rPr>
                <w:rFonts w:ascii="宋体" w:hAnsi="宋体" w:cs="宋体" w:eastAsia="宋体" w:hint="default"/>
                <w:sz w:val="21"/>
                <w:szCs w:val="21"/>
              </w:rPr>
              <w:t>境外</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自然人持股</w:t>
            </w:r>
          </w:p>
        </w:tc>
        <w:tc>
          <w:tcPr>
            <w:tcW w:w="1268"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二、无限售</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pacing w:val="10"/>
                <w:sz w:val="21"/>
                <w:szCs w:val="21"/>
              </w:rPr>
              <w:t>条件流通股</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份</w:t>
            </w:r>
          </w:p>
        </w:tc>
        <w:tc>
          <w:tcPr>
            <w:tcW w:w="1268"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21,050,000</w:t>
            </w: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21,050,000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21,050,000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24.51</w:t>
            </w:r>
          </w:p>
        </w:tc>
      </w:tr>
      <w:tr>
        <w:trPr>
          <w:trHeight w:val="55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1</w:t>
            </w:r>
            <w:r>
              <w:rPr>
                <w:rFonts w:ascii="宋体" w:hAnsi="宋体" w:cs="宋体" w:eastAsia="宋体" w:hint="default"/>
                <w:spacing w:val="-8"/>
                <w:sz w:val="21"/>
                <w:szCs w:val="21"/>
              </w:rPr>
              <w:t>、人民币普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通股</w:t>
            </w:r>
          </w:p>
        </w:tc>
        <w:tc>
          <w:tcPr>
            <w:tcW w:w="1268"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21,050,000</w:t>
            </w: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21,050,000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21,050,000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24.51</w:t>
            </w:r>
          </w:p>
        </w:tc>
      </w:tr>
      <w:tr>
        <w:trPr>
          <w:trHeight w:val="55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2</w:t>
            </w:r>
            <w:r>
              <w:rPr>
                <w:rFonts w:ascii="宋体" w:hAnsi="宋体" w:cs="宋体" w:eastAsia="宋体" w:hint="default"/>
                <w:spacing w:val="-8"/>
                <w:sz w:val="21"/>
                <w:szCs w:val="21"/>
              </w:rPr>
              <w:t>、境内上市</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的外资股</w:t>
            </w:r>
          </w:p>
        </w:tc>
        <w:tc>
          <w:tcPr>
            <w:tcW w:w="1268"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3</w:t>
            </w:r>
            <w:r>
              <w:rPr>
                <w:rFonts w:ascii="宋体" w:hAnsi="宋体" w:cs="宋体" w:eastAsia="宋体" w:hint="default"/>
                <w:spacing w:val="-8"/>
                <w:sz w:val="21"/>
                <w:szCs w:val="21"/>
              </w:rPr>
              <w:t>、境外上市</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的外资股</w:t>
            </w:r>
          </w:p>
        </w:tc>
        <w:tc>
          <w:tcPr>
            <w:tcW w:w="1268"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p>
        </w:tc>
        <w:tc>
          <w:tcPr>
            <w:tcW w:w="1268"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三、普通股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股份总数</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63,140,000</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22,727,000</w:t>
            </w: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22,727,000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85,867,000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Heading3"/>
        <w:spacing w:line="240" w:lineRule="auto" w:before="36"/>
        <w:ind w:right="520"/>
        <w:jc w:val="left"/>
        <w:rPr>
          <w:b w:val="0"/>
          <w:bCs w:val="0"/>
        </w:rPr>
      </w:pPr>
      <w:r>
        <w:rPr>
          <w:rFonts w:ascii="宋体" w:hAnsi="宋体" w:cs="宋体" w:eastAsia="宋体" w:hint="default"/>
        </w:rPr>
        <w:t>1</w:t>
      </w:r>
      <w:r>
        <w:rPr/>
        <w:t>、</w:t>
      </w:r>
      <w:r>
        <w:rPr>
          <w:spacing w:val="-2"/>
        </w:rPr>
        <w:t> </w:t>
      </w:r>
      <w:r>
        <w:rPr/>
        <w:t>普通股股份变动情况说明</w:t>
      </w:r>
      <w:r>
        <w:rPr>
          <w:b w:val="0"/>
          <w:bCs w:val="0"/>
        </w:rPr>
      </w:r>
    </w:p>
    <w:p>
      <w:pPr>
        <w:pStyle w:val="BodyText"/>
        <w:tabs>
          <w:tab w:pos="1060" w:val="left" w:leader="none"/>
        </w:tabs>
        <w:spacing w:line="274" w:lineRule="exact" w:before="56"/>
        <w:ind w:right="520"/>
        <w:jc w:val="left"/>
      </w:pPr>
      <w:r>
        <w:rPr>
          <w:spacing w:val="-1"/>
        </w:rPr>
        <w:t>√适用</w:t>
        <w:tab/>
      </w:r>
      <w:r>
        <w:rPr>
          <w:spacing w:val="-2"/>
        </w:rPr>
        <w:t>□不适用</w:t>
      </w:r>
    </w:p>
    <w:p>
      <w:pPr>
        <w:pStyle w:val="BodyText"/>
        <w:spacing w:line="237" w:lineRule="auto" w:before="2"/>
        <w:ind w:right="629" w:firstLine="419"/>
        <w:jc w:val="both"/>
      </w:pPr>
      <w:r>
        <w:rPr/>
        <w:t>经中国证券监督管理委员会以证监许可</w:t>
      </w:r>
      <w:r>
        <w:rPr>
          <w:rFonts w:ascii="宋体" w:hAnsi="宋体" w:cs="宋体" w:eastAsia="宋体" w:hint="default"/>
        </w:rPr>
        <w:t>[2017]</w:t>
      </w:r>
      <w:r>
        <w:rPr>
          <w:rFonts w:ascii="宋体" w:hAnsi="宋体" w:cs="宋体" w:eastAsia="宋体" w:hint="default"/>
          <w:spacing w:val="-42"/>
        </w:rPr>
        <w:t> </w:t>
      </w:r>
      <w:r>
        <w:rPr>
          <w:rFonts w:ascii="宋体" w:hAnsi="宋体" w:cs="宋体" w:eastAsia="宋体" w:hint="default"/>
        </w:rPr>
        <w:t>615</w:t>
      </w:r>
      <w:r>
        <w:rPr>
          <w:rFonts w:ascii="宋体" w:hAnsi="宋体" w:cs="宋体" w:eastAsia="宋体" w:hint="default"/>
          <w:spacing w:val="-57"/>
        </w:rPr>
        <w:t> </w:t>
      </w:r>
      <w:r>
        <w:rPr/>
        <w:t>号《关于核准福建顶点软件股份有限公司</w:t>
      </w:r>
      <w:r>
        <w:rPr>
          <w:w w:val="100"/>
        </w:rPr>
        <w:t> </w:t>
      </w:r>
      <w:r>
        <w:rPr/>
        <w:t>首次公开发行股票的批复》核准，公司向社会公开发行人民币普通股（</w:t>
      </w:r>
      <w:r>
        <w:rPr>
          <w:rFonts w:ascii="宋体" w:hAnsi="宋体" w:cs="宋体" w:eastAsia="宋体" w:hint="default"/>
        </w:rPr>
        <w:t>A</w:t>
      </w:r>
      <w:r>
        <w:rPr>
          <w:rFonts w:ascii="宋体" w:hAnsi="宋体" w:cs="宋体" w:eastAsia="宋体" w:hint="default"/>
          <w:spacing w:val="-54"/>
        </w:rPr>
        <w:t> </w:t>
      </w:r>
      <w:r>
        <w:rPr/>
        <w:t>股）</w:t>
      </w:r>
      <w:r>
        <w:rPr>
          <w:rFonts w:ascii="宋体" w:hAnsi="宋体" w:cs="宋体" w:eastAsia="宋体" w:hint="default"/>
        </w:rPr>
        <w:t>2,105</w:t>
      </w:r>
      <w:r>
        <w:rPr>
          <w:rFonts w:ascii="宋体" w:hAnsi="宋体" w:cs="宋体" w:eastAsia="宋体" w:hint="default"/>
          <w:spacing w:val="-54"/>
        </w:rPr>
        <w:t> </w:t>
      </w:r>
      <w:r>
        <w:rPr/>
        <w:t>万股，</w:t>
      </w:r>
      <w:r>
        <w:rPr>
          <w:spacing w:val="-4"/>
        </w:rPr>
        <w:t> </w:t>
      </w:r>
      <w:r>
        <w:rPr>
          <w:rFonts w:ascii="宋体" w:hAnsi="宋体" w:cs="宋体" w:eastAsia="宋体" w:hint="default"/>
        </w:rPr>
        <w:t>2017</w:t>
      </w:r>
      <w:r>
        <w:rPr>
          <w:rFonts w:ascii="宋体" w:hAnsi="宋体" w:cs="宋体" w:eastAsia="宋体" w:hint="default"/>
          <w:w w:val="100"/>
        </w:rPr>
        <w:t> </w:t>
      </w:r>
      <w:r>
        <w:rPr/>
        <w:t>年</w:t>
      </w:r>
      <w:r>
        <w:rPr>
          <w:spacing w:val="-53"/>
        </w:rPr>
        <w:t> </w:t>
      </w:r>
      <w:r>
        <w:rPr>
          <w:rFonts w:ascii="宋体" w:hAnsi="宋体" w:cs="宋体" w:eastAsia="宋体" w:hint="default"/>
        </w:rPr>
        <w:t>5</w:t>
      </w:r>
      <w:r>
        <w:rPr>
          <w:rFonts w:ascii="宋体" w:hAnsi="宋体" w:cs="宋体" w:eastAsia="宋体" w:hint="default"/>
          <w:spacing w:val="-55"/>
        </w:rPr>
        <w:t> </w:t>
      </w:r>
      <w:r>
        <w:rPr/>
        <w:t>月</w:t>
      </w:r>
      <w:r>
        <w:rPr>
          <w:spacing w:val="-53"/>
        </w:rPr>
        <w:t> </w:t>
      </w:r>
      <w:r>
        <w:rPr>
          <w:rFonts w:ascii="宋体" w:hAnsi="宋体" w:cs="宋体" w:eastAsia="宋体" w:hint="default"/>
        </w:rPr>
        <w:t>22</w:t>
      </w:r>
      <w:r>
        <w:rPr>
          <w:rFonts w:ascii="宋体" w:hAnsi="宋体" w:cs="宋体" w:eastAsia="宋体" w:hint="default"/>
          <w:spacing w:val="-55"/>
        </w:rPr>
        <w:t> </w:t>
      </w:r>
      <w:r>
        <w:rPr/>
        <w:t>日在上海证券交易所首发上市，发行后总股本由</w:t>
      </w:r>
      <w:r>
        <w:rPr>
          <w:spacing w:val="-53"/>
        </w:rPr>
        <w:t> </w:t>
      </w:r>
      <w:r>
        <w:rPr>
          <w:rFonts w:ascii="宋体" w:hAnsi="宋体" w:cs="宋体" w:eastAsia="宋体" w:hint="default"/>
        </w:rPr>
        <w:t>6,314</w:t>
      </w:r>
      <w:r>
        <w:rPr>
          <w:rFonts w:ascii="宋体" w:hAnsi="宋体" w:cs="宋体" w:eastAsia="宋体" w:hint="default"/>
          <w:spacing w:val="-53"/>
        </w:rPr>
        <w:t> </w:t>
      </w:r>
      <w:r>
        <w:rPr/>
        <w:t>万股变更为</w:t>
      </w:r>
      <w:r>
        <w:rPr>
          <w:spacing w:val="-55"/>
        </w:rPr>
        <w:t> </w:t>
      </w:r>
      <w:r>
        <w:rPr>
          <w:rFonts w:ascii="宋体" w:hAnsi="宋体" w:cs="宋体" w:eastAsia="宋体" w:hint="default"/>
        </w:rPr>
        <w:t>8,419</w:t>
      </w:r>
      <w:r>
        <w:rPr>
          <w:rFonts w:ascii="宋体" w:hAnsi="宋体" w:cs="宋体" w:eastAsia="宋体" w:hint="default"/>
          <w:spacing w:val="-55"/>
        </w:rPr>
        <w:t> </w:t>
      </w:r>
      <w:r>
        <w:rPr/>
        <w:t>万股。</w:t>
      </w:r>
    </w:p>
    <w:p>
      <w:pPr>
        <w:pStyle w:val="BodyText"/>
        <w:spacing w:line="237" w:lineRule="auto"/>
        <w:ind w:right="627" w:firstLine="419"/>
        <w:jc w:val="both"/>
      </w:pPr>
      <w:r>
        <w:rPr>
          <w:spacing w:val="-2"/>
        </w:rPr>
        <w:t>根据公司第七届董事会第一次会议审议通过《关于公司限制性股票激励计划（草案）及其摘</w:t>
      </w:r>
      <w:r>
        <w:rPr>
          <w:w w:val="100"/>
        </w:rPr>
        <w:t> </w:t>
      </w:r>
      <w:r>
        <w:rPr>
          <w:spacing w:val="-2"/>
        </w:rPr>
        <w:t>要的议案》、第七届董事会第二次会议审议通过了《关于调整公司限制性股票激励计划激励对象</w:t>
      </w:r>
      <w:r>
        <w:rPr>
          <w:spacing w:val="-25"/>
        </w:rPr>
        <w:t> </w:t>
      </w:r>
      <w:r>
        <w:rPr>
          <w:spacing w:val="-25"/>
        </w:rPr>
      </w:r>
      <w:r>
        <w:rPr>
          <w:spacing w:val="-3"/>
        </w:rPr>
        <w:t>和授予数量的议案》、《关于向激励对象授予限制性股票的议案》。</w:t>
      </w:r>
      <w:r>
        <w:rPr>
          <w:rFonts w:ascii="宋体" w:hAnsi="宋体" w:cs="宋体" w:eastAsia="宋体" w:hint="default"/>
          <w:spacing w:val="-3"/>
        </w:rPr>
        <w:t>2017</w:t>
      </w:r>
      <w:r>
        <w:rPr>
          <w:rFonts w:ascii="宋体" w:hAnsi="宋体" w:cs="宋体" w:eastAsia="宋体" w:hint="default"/>
          <w:spacing w:val="-38"/>
        </w:rPr>
        <w:t> </w:t>
      </w:r>
      <w:r>
        <w:rPr/>
        <w:t>年</w:t>
      </w:r>
      <w:r>
        <w:rPr>
          <w:spacing w:val="-40"/>
        </w:rPr>
        <w:t> </w:t>
      </w:r>
      <w:r>
        <w:rPr>
          <w:rFonts w:ascii="宋体" w:hAnsi="宋体" w:cs="宋体" w:eastAsia="宋体" w:hint="default"/>
        </w:rPr>
        <w:t>9</w:t>
      </w:r>
      <w:r>
        <w:rPr>
          <w:rFonts w:ascii="宋体" w:hAnsi="宋体" w:cs="宋体" w:eastAsia="宋体" w:hint="default"/>
          <w:spacing w:val="-37"/>
        </w:rPr>
        <w:t> </w:t>
      </w:r>
      <w:r>
        <w:rPr/>
        <w:t>月</w:t>
      </w:r>
      <w:r>
        <w:rPr>
          <w:spacing w:val="-38"/>
        </w:rPr>
        <w:t> </w:t>
      </w:r>
      <w:r>
        <w:rPr>
          <w:rFonts w:ascii="宋体" w:hAnsi="宋体" w:cs="宋体" w:eastAsia="宋体" w:hint="default"/>
        </w:rPr>
        <w:t>5</w:t>
      </w:r>
      <w:r>
        <w:rPr>
          <w:rFonts w:ascii="宋体" w:hAnsi="宋体" w:cs="宋体" w:eastAsia="宋体" w:hint="default"/>
          <w:spacing w:val="-40"/>
        </w:rPr>
        <w:t> </w:t>
      </w:r>
      <w:r>
        <w:rPr>
          <w:spacing w:val="-3"/>
        </w:rPr>
        <w:t>日，公司完成</w:t>
      </w:r>
    </w:p>
    <w:p>
      <w:pPr>
        <w:pStyle w:val="BodyText"/>
        <w:spacing w:line="272" w:lineRule="exact" w:before="26"/>
        <w:ind w:right="520"/>
        <w:jc w:val="left"/>
      </w:pPr>
      <w:r>
        <w:rPr/>
        <w:t>了对</w:t>
      </w:r>
      <w:r>
        <w:rPr>
          <w:spacing w:val="-54"/>
        </w:rPr>
        <w:t> </w:t>
      </w:r>
      <w:r>
        <w:rPr>
          <w:rFonts w:ascii="宋体" w:hAnsi="宋体" w:cs="宋体" w:eastAsia="宋体" w:hint="default"/>
        </w:rPr>
        <w:t>134</w:t>
      </w:r>
      <w:r>
        <w:rPr>
          <w:rFonts w:ascii="宋体" w:hAnsi="宋体" w:cs="宋体" w:eastAsia="宋体" w:hint="default"/>
          <w:spacing w:val="-54"/>
        </w:rPr>
        <w:t> </w:t>
      </w:r>
      <w:r>
        <w:rPr/>
        <w:t>名员工</w:t>
      </w:r>
      <w:r>
        <w:rPr>
          <w:spacing w:val="-54"/>
        </w:rPr>
        <w:t> </w:t>
      </w:r>
      <w:r>
        <w:rPr>
          <w:rFonts w:ascii="宋体" w:hAnsi="宋体" w:cs="宋体" w:eastAsia="宋体" w:hint="default"/>
        </w:rPr>
        <w:t>167.7</w:t>
      </w:r>
      <w:r>
        <w:rPr>
          <w:rFonts w:ascii="宋体" w:hAnsi="宋体" w:cs="宋体" w:eastAsia="宋体" w:hint="default"/>
          <w:spacing w:val="-53"/>
        </w:rPr>
        <w:t> </w:t>
      </w:r>
      <w:r>
        <w:rPr/>
        <w:t>万限制性股票的授予登记工作，公司股本由</w:t>
      </w:r>
      <w:r>
        <w:rPr>
          <w:spacing w:val="-54"/>
        </w:rPr>
        <w:t> </w:t>
      </w:r>
      <w:r>
        <w:rPr>
          <w:rFonts w:ascii="宋体" w:hAnsi="宋体" w:cs="宋体" w:eastAsia="宋体" w:hint="default"/>
        </w:rPr>
        <w:t>8,419</w:t>
      </w:r>
      <w:r>
        <w:rPr>
          <w:rFonts w:ascii="宋体" w:hAnsi="宋体" w:cs="宋体" w:eastAsia="宋体" w:hint="default"/>
          <w:spacing w:val="-54"/>
        </w:rPr>
        <w:t> </w:t>
      </w:r>
      <w:r>
        <w:rPr/>
        <w:t>万股变更为</w:t>
      </w:r>
      <w:r>
        <w:rPr>
          <w:spacing w:val="-53"/>
        </w:rPr>
        <w:t> </w:t>
      </w:r>
      <w:r>
        <w:rPr>
          <w:rFonts w:ascii="宋体" w:hAnsi="宋体" w:cs="宋体" w:eastAsia="宋体" w:hint="default"/>
        </w:rPr>
        <w:t>8,586.7</w:t>
      </w:r>
      <w:r>
        <w:rPr>
          <w:rFonts w:ascii="宋体" w:hAnsi="宋体" w:cs="宋体" w:eastAsia="宋体" w:hint="default"/>
          <w:spacing w:val="-54"/>
        </w:rPr>
        <w:t> </w:t>
      </w:r>
      <w:r>
        <w:rPr/>
        <w:t>万</w:t>
      </w:r>
      <w:r>
        <w:rPr>
          <w:w w:val="100"/>
        </w:rPr>
        <w:t> </w:t>
      </w:r>
      <w:r>
        <w:rPr/>
        <w:t>股。</w:t>
      </w:r>
    </w:p>
    <w:p>
      <w:pPr>
        <w:pStyle w:val="Heading3"/>
        <w:spacing w:line="240" w:lineRule="auto" w:before="34"/>
        <w:ind w:right="520"/>
        <w:jc w:val="left"/>
        <w:rPr>
          <w:b w:val="0"/>
          <w:bCs w:val="0"/>
        </w:rPr>
      </w:pPr>
      <w:r>
        <w:rPr>
          <w:rFonts w:ascii="宋体" w:hAnsi="宋体" w:cs="宋体" w:eastAsia="宋体" w:hint="default"/>
        </w:rPr>
        <w:t>2</w:t>
      </w:r>
      <w:r>
        <w:rPr/>
        <w:t>、</w:t>
      </w:r>
      <w:r>
        <w:rPr>
          <w:spacing w:val="-6"/>
        </w:rPr>
        <w:t> </w:t>
      </w:r>
      <w:r>
        <w:rPr/>
        <w:t>普通股股份变动对最近一年和最近一期每股收益、每股净资产等财务指标的影响（如有）</w:t>
      </w:r>
      <w:r>
        <w:rPr>
          <w:b w:val="0"/>
          <w:bCs w:val="0"/>
        </w:rPr>
      </w:r>
    </w:p>
    <w:p>
      <w:pPr>
        <w:pStyle w:val="BodyText"/>
        <w:tabs>
          <w:tab w:pos="1060" w:val="left" w:leader="none"/>
        </w:tabs>
        <w:spacing w:line="274" w:lineRule="exact" w:before="56"/>
        <w:ind w:right="520"/>
        <w:jc w:val="left"/>
      </w:pPr>
      <w:r>
        <w:rPr>
          <w:spacing w:val="-1"/>
        </w:rPr>
        <w:t>√适用</w:t>
        <w:tab/>
      </w:r>
      <w:r>
        <w:rPr>
          <w:spacing w:val="-2"/>
        </w:rPr>
        <w:t>□不适用</w:t>
      </w:r>
    </w:p>
    <w:p>
      <w:pPr>
        <w:pStyle w:val="BodyText"/>
        <w:spacing w:line="272" w:lineRule="exact"/>
        <w:ind w:right="520"/>
        <w:jc w:val="left"/>
      </w:pPr>
      <w:r>
        <w:rPr>
          <w:spacing w:val="-4"/>
        </w:rPr>
        <w:t>报告期内，公司首次公开发行人民币普通股</w:t>
      </w:r>
      <w:r>
        <w:rPr>
          <w:spacing w:val="-44"/>
        </w:rPr>
        <w:t> </w:t>
      </w:r>
      <w:r>
        <w:rPr>
          <w:rFonts w:ascii="宋体" w:hAnsi="宋体" w:cs="宋体" w:eastAsia="宋体" w:hint="default"/>
        </w:rPr>
        <w:t>2,105</w:t>
      </w:r>
      <w:r>
        <w:rPr>
          <w:rFonts w:ascii="宋体" w:hAnsi="宋体" w:cs="宋体" w:eastAsia="宋体" w:hint="default"/>
          <w:spacing w:val="-46"/>
        </w:rPr>
        <w:t> </w:t>
      </w:r>
      <w:r>
        <w:rPr>
          <w:spacing w:val="-5"/>
        </w:rPr>
        <w:t>万股，发行后公司总股本变为</w:t>
      </w:r>
      <w:r>
        <w:rPr>
          <w:spacing w:val="-42"/>
        </w:rPr>
        <w:t> </w:t>
      </w:r>
      <w:r>
        <w:rPr>
          <w:rFonts w:ascii="宋体" w:hAnsi="宋体" w:cs="宋体" w:eastAsia="宋体" w:hint="default"/>
        </w:rPr>
        <w:t>8,419</w:t>
      </w:r>
      <w:r>
        <w:rPr>
          <w:rFonts w:ascii="宋体" w:hAnsi="宋体" w:cs="宋体" w:eastAsia="宋体" w:hint="default"/>
          <w:spacing w:val="-46"/>
        </w:rPr>
        <w:t> </w:t>
      </w:r>
      <w:r>
        <w:rPr/>
        <w:t>万股</w:t>
      </w:r>
      <w:r>
        <w:rPr>
          <w:rFonts w:ascii="宋体" w:hAnsi="宋体" w:cs="宋体" w:eastAsia="宋体" w:hint="default"/>
        </w:rPr>
        <w:t>,</w:t>
      </w:r>
      <w:r>
        <w:rPr/>
        <w:t>公司</w:t>
      </w:r>
    </w:p>
    <w:p>
      <w:pPr>
        <w:pStyle w:val="BodyText"/>
        <w:spacing w:line="272" w:lineRule="exact"/>
        <w:ind w:right="520"/>
        <w:jc w:val="left"/>
      </w:pPr>
      <w:r>
        <w:rPr/>
        <w:t>股权激励增发</w:t>
      </w:r>
      <w:r>
        <w:rPr>
          <w:spacing w:val="-53"/>
        </w:rPr>
        <w:t> </w:t>
      </w:r>
      <w:r>
        <w:rPr>
          <w:rFonts w:ascii="宋体" w:hAnsi="宋体" w:cs="宋体" w:eastAsia="宋体" w:hint="default"/>
        </w:rPr>
        <w:t>167.7</w:t>
      </w:r>
      <w:r>
        <w:rPr>
          <w:rFonts w:ascii="宋体" w:hAnsi="宋体" w:cs="宋体" w:eastAsia="宋体" w:hint="default"/>
          <w:spacing w:val="-55"/>
        </w:rPr>
        <w:t> </w:t>
      </w:r>
      <w:r>
        <w:rPr/>
        <w:t>万股，实施后公司总股本变为</w:t>
      </w:r>
      <w:r>
        <w:rPr>
          <w:spacing w:val="-55"/>
        </w:rPr>
        <w:t> </w:t>
      </w:r>
      <w:r>
        <w:rPr>
          <w:rFonts w:ascii="宋体" w:hAnsi="宋体" w:cs="宋体" w:eastAsia="宋体" w:hint="default"/>
        </w:rPr>
        <w:t>8,586.7</w:t>
      </w:r>
      <w:r>
        <w:rPr>
          <w:rFonts w:ascii="宋体" w:hAnsi="宋体" w:cs="宋体" w:eastAsia="宋体" w:hint="default"/>
          <w:spacing w:val="-53"/>
        </w:rPr>
        <w:t> </w:t>
      </w:r>
      <w:r>
        <w:rPr/>
        <w:t>万股。</w:t>
      </w:r>
    </w:p>
    <w:p>
      <w:pPr>
        <w:pStyle w:val="BodyText"/>
        <w:spacing w:line="272" w:lineRule="exact" w:before="27"/>
        <w:ind w:right="520"/>
        <w:jc w:val="left"/>
      </w:pPr>
      <w:r>
        <w:rPr/>
        <w:t>公司</w:t>
      </w:r>
      <w:r>
        <w:rPr>
          <w:spacing w:val="6"/>
        </w:rPr>
        <w:t> </w:t>
      </w:r>
      <w:r>
        <w:rPr>
          <w:rFonts w:ascii="宋体" w:hAnsi="宋体" w:cs="宋体" w:eastAsia="宋体" w:hint="default"/>
        </w:rPr>
        <w:t>2017</w:t>
      </w:r>
      <w:r>
        <w:rPr>
          <w:rFonts w:ascii="宋体" w:hAnsi="宋体" w:cs="宋体" w:eastAsia="宋体" w:hint="default"/>
          <w:spacing w:val="3"/>
        </w:rPr>
        <w:t> </w:t>
      </w:r>
      <w:r>
        <w:rPr/>
        <w:t>年度的基本每股收益和每股净资产分别为</w:t>
      </w:r>
      <w:r>
        <w:rPr>
          <w:spacing w:val="-49"/>
        </w:rPr>
        <w:t> </w:t>
      </w:r>
      <w:r>
        <w:rPr>
          <w:rFonts w:ascii="宋体" w:hAnsi="宋体" w:cs="宋体" w:eastAsia="宋体" w:hint="default"/>
        </w:rPr>
        <w:t>1.35</w:t>
      </w:r>
      <w:r>
        <w:rPr>
          <w:rFonts w:ascii="宋体" w:hAnsi="宋体" w:cs="宋体" w:eastAsia="宋体" w:hint="default"/>
          <w:spacing w:val="-51"/>
        </w:rPr>
        <w:t> </w:t>
      </w:r>
      <w:r>
        <w:rPr>
          <w:spacing w:val="-8"/>
        </w:rPr>
        <w:t>元、</w:t>
      </w:r>
      <w:r>
        <w:rPr>
          <w:rFonts w:ascii="宋体" w:hAnsi="宋体" w:cs="宋体" w:eastAsia="宋体" w:hint="default"/>
          <w:spacing w:val="-8"/>
        </w:rPr>
        <w:t>10.92</w:t>
      </w:r>
      <w:r>
        <w:rPr>
          <w:rFonts w:ascii="宋体" w:hAnsi="宋体" w:cs="宋体" w:eastAsia="宋体" w:hint="default"/>
          <w:spacing w:val="3"/>
        </w:rPr>
        <w:t> </w:t>
      </w:r>
      <w:r>
        <w:rPr>
          <w:spacing w:val="-6"/>
        </w:rPr>
        <w:t>元。假设全年按照首次公开</w:t>
      </w:r>
      <w:r>
        <w:rPr>
          <w:spacing w:val="-98"/>
        </w:rPr>
        <w:t> </w:t>
      </w:r>
      <w:r>
        <w:rPr>
          <w:spacing w:val="-98"/>
        </w:rPr>
      </w:r>
      <w:r>
        <w:rPr/>
        <w:t>发行前股本</w:t>
      </w:r>
      <w:r>
        <w:rPr>
          <w:spacing w:val="-45"/>
        </w:rPr>
        <w:t> </w:t>
      </w:r>
      <w:r>
        <w:rPr>
          <w:rFonts w:ascii="宋体" w:hAnsi="宋体" w:cs="宋体" w:eastAsia="宋体" w:hint="default"/>
        </w:rPr>
        <w:t>6,314</w:t>
      </w:r>
      <w:r>
        <w:rPr>
          <w:rFonts w:ascii="宋体" w:hAnsi="宋体" w:cs="宋体" w:eastAsia="宋体" w:hint="default"/>
          <w:spacing w:val="-45"/>
        </w:rPr>
        <w:t> </w:t>
      </w:r>
      <w:r>
        <w:rPr/>
        <w:t>万股计算，</w:t>
      </w:r>
      <w:r>
        <w:rPr>
          <w:rFonts w:ascii="宋体" w:hAnsi="宋体" w:cs="宋体" w:eastAsia="宋体" w:hint="default"/>
        </w:rPr>
        <w:t>2017</w:t>
      </w:r>
      <w:r>
        <w:rPr>
          <w:rFonts w:ascii="宋体" w:hAnsi="宋体" w:cs="宋体" w:eastAsia="宋体" w:hint="default"/>
          <w:spacing w:val="14"/>
        </w:rPr>
        <w:t> </w:t>
      </w:r>
      <w:r>
        <w:rPr/>
        <w:t>年度的基本每股收益和每股净资产分别为</w:t>
      </w:r>
      <w:r>
        <w:rPr>
          <w:spacing w:val="-42"/>
        </w:rPr>
        <w:t> </w:t>
      </w:r>
      <w:r>
        <w:rPr>
          <w:rFonts w:ascii="宋体" w:hAnsi="宋体" w:cs="宋体" w:eastAsia="宋体" w:hint="default"/>
        </w:rPr>
        <w:t>1.61</w:t>
      </w:r>
      <w:r>
        <w:rPr>
          <w:rFonts w:ascii="宋体" w:hAnsi="宋体" w:cs="宋体" w:eastAsia="宋体" w:hint="default"/>
          <w:spacing w:val="-45"/>
        </w:rPr>
        <w:t> </w:t>
      </w:r>
      <w:r>
        <w:rPr/>
        <w:t>元、</w:t>
      </w:r>
      <w:r>
        <w:rPr>
          <w:rFonts w:ascii="宋体" w:hAnsi="宋体" w:cs="宋体" w:eastAsia="宋体" w:hint="default"/>
        </w:rPr>
        <w:t>9.09</w:t>
      </w:r>
      <w:r>
        <w:rPr>
          <w:rFonts w:ascii="宋体" w:hAnsi="宋体" w:cs="宋体" w:eastAsia="宋体" w:hint="default"/>
          <w:spacing w:val="-44"/>
        </w:rPr>
        <w:t> </w:t>
      </w:r>
      <w:r>
        <w:rPr/>
        <w:t>元。</w:t>
      </w:r>
    </w:p>
    <w:p>
      <w:pPr>
        <w:pStyle w:val="Heading3"/>
        <w:spacing w:line="240" w:lineRule="auto" w:before="34"/>
        <w:ind w:right="520"/>
        <w:jc w:val="left"/>
        <w:rPr>
          <w:b w:val="0"/>
          <w:bCs w:val="0"/>
        </w:rPr>
      </w:pPr>
      <w:r>
        <w:rPr>
          <w:rFonts w:ascii="宋体" w:hAnsi="宋体" w:cs="宋体" w:eastAsia="宋体" w:hint="default"/>
        </w:rPr>
        <w:t>3</w:t>
      </w:r>
      <w:r>
        <w:rPr/>
        <w:t>、</w:t>
      </w:r>
      <w:r>
        <w:rPr>
          <w:spacing w:val="-4"/>
        </w:rPr>
        <w:t> </w:t>
      </w:r>
      <w:r>
        <w:rPr/>
        <w:t>公司认为必要或证券监管机构要求披露的其他内容</w:t>
      </w:r>
      <w:r>
        <w:rPr>
          <w:b w:val="0"/>
          <w:bCs w:val="0"/>
        </w:rPr>
      </w:r>
    </w:p>
    <w:p>
      <w:pPr>
        <w:pStyle w:val="BodyText"/>
        <w:tabs>
          <w:tab w:pos="1060" w:val="left" w:leader="none"/>
        </w:tabs>
        <w:spacing w:line="240" w:lineRule="auto" w:before="56"/>
        <w:ind w:right="520"/>
        <w:jc w:val="left"/>
      </w:pPr>
      <w:r>
        <w:rPr>
          <w:spacing w:val="-1"/>
        </w:rPr>
        <w:t>□适用</w:t>
        <w:tab/>
      </w:r>
      <w:r>
        <w:rPr>
          <w:spacing w:val="-2"/>
        </w:rPr>
        <w:t>√不适用</w:t>
      </w:r>
    </w:p>
    <w:p>
      <w:pPr>
        <w:pStyle w:val="Heading3"/>
        <w:tabs>
          <w:tab w:pos="784" w:val="left" w:leader="none"/>
        </w:tabs>
        <w:spacing w:line="240" w:lineRule="auto" w:before="58"/>
        <w:ind w:right="520"/>
        <w:jc w:val="left"/>
        <w:rPr>
          <w:b w:val="0"/>
          <w:bCs w:val="0"/>
        </w:rPr>
      </w:pPr>
      <w:r>
        <w:rPr>
          <w:rFonts w:ascii="Calibri" w:hAnsi="Calibri" w:cs="Calibri" w:eastAsia="Calibri" w:hint="default"/>
        </w:rPr>
        <w:t>(</w:t>
      </w:r>
      <w:r>
        <w:rPr/>
        <w:t>二</w:t>
      </w:r>
      <w:r>
        <w:rPr>
          <w:rFonts w:ascii="Calibri" w:hAnsi="Calibri" w:cs="Calibri" w:eastAsia="Calibri" w:hint="default"/>
        </w:rPr>
        <w:t>)</w:t>
        <w:tab/>
      </w:r>
      <w:r>
        <w:rPr/>
        <w:t>限售股份变动情况</w:t>
      </w:r>
      <w:r>
        <w:rPr>
          <w:b w:val="0"/>
          <w:bCs w:val="0"/>
        </w:rPr>
      </w:r>
    </w:p>
    <w:p>
      <w:pPr>
        <w:pStyle w:val="BodyText"/>
        <w:spacing w:line="240" w:lineRule="auto" w:before="29"/>
        <w:ind w:right="520"/>
        <w:jc w:val="left"/>
      </w:pPr>
      <w:r>
        <w:rPr/>
        <w:t>√适用</w:t>
      </w:r>
      <w:r>
        <w:rPr>
          <w:spacing w:val="-1"/>
        </w:rPr>
        <w:t> </w:t>
      </w:r>
      <w:r>
        <w:rPr/>
        <w:t>□不适用</w:t>
      </w:r>
    </w:p>
    <w:p>
      <w:pPr>
        <w:pStyle w:val="BodyText"/>
        <w:spacing w:line="274" w:lineRule="exact"/>
        <w:ind w:left="0" w:right="630"/>
        <w:jc w:val="right"/>
      </w:pPr>
      <w:r>
        <w:rPr/>
        <w:t>单位</w:t>
      </w:r>
      <w:r>
        <w:rPr>
          <w:rFonts w:ascii="宋体" w:hAnsi="宋体" w:cs="宋体" w:eastAsia="宋体" w:hint="default"/>
        </w:rPr>
        <w:t>:</w:t>
      </w:r>
      <w:r>
        <w:rPr>
          <w:rFonts w:ascii="宋体" w:hAnsi="宋体" w:cs="宋体" w:eastAsia="宋体" w:hint="default"/>
          <w:spacing w:val="2"/>
        </w:rPr>
        <w:t> </w:t>
      </w:r>
      <w:r>
        <w:rPr/>
        <w:t>股</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241"/>
        <w:gridCol w:w="852"/>
        <w:gridCol w:w="1136"/>
        <w:gridCol w:w="1580"/>
        <w:gridCol w:w="1582"/>
        <w:gridCol w:w="1498"/>
        <w:gridCol w:w="1577"/>
      </w:tblGrid>
      <w:tr>
        <w:trPr>
          <w:trHeight w:val="554"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94"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年初限</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售股数</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2" w:right="0"/>
              <w:jc w:val="left"/>
              <w:rPr>
                <w:rFonts w:ascii="宋体" w:hAnsi="宋体" w:cs="宋体" w:eastAsia="宋体" w:hint="default"/>
                <w:sz w:val="21"/>
                <w:szCs w:val="21"/>
              </w:rPr>
            </w:pPr>
            <w:r>
              <w:rPr>
                <w:rFonts w:ascii="宋体" w:hAnsi="宋体" w:cs="宋体" w:eastAsia="宋体" w:hint="default"/>
                <w:sz w:val="21"/>
                <w:szCs w:val="21"/>
              </w:rPr>
              <w:t>本年解除</w:t>
            </w:r>
          </w:p>
          <w:p>
            <w:pPr>
              <w:pStyle w:val="TableParagraph"/>
              <w:spacing w:line="274" w:lineRule="exact"/>
              <w:ind w:left="142" w:right="0"/>
              <w:jc w:val="left"/>
              <w:rPr>
                <w:rFonts w:ascii="宋体" w:hAnsi="宋体" w:cs="宋体" w:eastAsia="宋体" w:hint="default"/>
                <w:sz w:val="21"/>
                <w:szCs w:val="21"/>
              </w:rPr>
            </w:pPr>
            <w:r>
              <w:rPr>
                <w:rFonts w:ascii="宋体" w:hAnsi="宋体" w:cs="宋体" w:eastAsia="宋体" w:hint="default"/>
                <w:sz w:val="21"/>
                <w:szCs w:val="21"/>
              </w:rPr>
              <w:t>限售股数</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本年增加限售</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股数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年末限售股数</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限售原因</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53" w:right="0"/>
              <w:jc w:val="left"/>
              <w:rPr>
                <w:rFonts w:ascii="宋体" w:hAnsi="宋体" w:cs="宋体" w:eastAsia="宋体" w:hint="default"/>
                <w:sz w:val="21"/>
                <w:szCs w:val="21"/>
              </w:rPr>
            </w:pPr>
            <w:r>
              <w:rPr>
                <w:rFonts w:ascii="宋体" w:hAnsi="宋体" w:cs="宋体" w:eastAsia="宋体" w:hint="default"/>
                <w:sz w:val="21"/>
                <w:szCs w:val="21"/>
              </w:rPr>
              <w:t>解除限售日期</w:t>
            </w:r>
          </w:p>
        </w:tc>
      </w:tr>
      <w:tr>
        <w:trPr>
          <w:trHeight w:val="828"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福</w:t>
            </w:r>
            <w:r>
              <w:rPr>
                <w:rFonts w:ascii="宋体" w:hAnsi="宋体" w:cs="宋体" w:eastAsia="宋体" w:hint="default"/>
                <w:spacing w:val="-45"/>
                <w:sz w:val="21"/>
                <w:szCs w:val="21"/>
              </w:rPr>
              <w:t> </w:t>
            </w:r>
            <w:r>
              <w:rPr>
                <w:rFonts w:ascii="宋体" w:hAnsi="宋体" w:cs="宋体" w:eastAsia="宋体" w:hint="default"/>
                <w:sz w:val="21"/>
                <w:szCs w:val="21"/>
              </w:rPr>
              <w:t>州</w:t>
            </w:r>
            <w:r>
              <w:rPr>
                <w:rFonts w:ascii="宋体" w:hAnsi="宋体" w:cs="宋体" w:eastAsia="宋体" w:hint="default"/>
                <w:spacing w:val="-42"/>
                <w:sz w:val="21"/>
                <w:szCs w:val="21"/>
              </w:rPr>
              <w:t> </w:t>
            </w:r>
            <w:r>
              <w:rPr>
                <w:rFonts w:ascii="宋体" w:hAnsi="宋体" w:cs="宋体" w:eastAsia="宋体" w:hint="default"/>
                <w:sz w:val="21"/>
                <w:szCs w:val="21"/>
              </w:rPr>
              <w:t>爱</w:t>
            </w:r>
            <w:r>
              <w:rPr>
                <w:rFonts w:ascii="宋体" w:hAnsi="宋体" w:cs="宋体" w:eastAsia="宋体" w:hint="default"/>
                <w:spacing w:val="-45"/>
                <w:sz w:val="21"/>
                <w:szCs w:val="21"/>
              </w:rPr>
              <w:t> </w:t>
            </w:r>
            <w:r>
              <w:rPr>
                <w:rFonts w:ascii="宋体" w:hAnsi="宋体" w:cs="宋体" w:eastAsia="宋体" w:hint="default"/>
                <w:sz w:val="21"/>
                <w:szCs w:val="21"/>
              </w:rPr>
              <w:t>派</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z w:val="21"/>
                <w:szCs w:val="21"/>
              </w:rPr>
              <w:t>克</w:t>
            </w:r>
            <w:r>
              <w:rPr>
                <w:rFonts w:ascii="宋体" w:hAnsi="宋体" w:cs="宋体" w:eastAsia="宋体" w:hint="default"/>
                <w:spacing w:val="-45"/>
                <w:sz w:val="21"/>
                <w:szCs w:val="21"/>
              </w:rPr>
              <w:t> </w:t>
            </w:r>
            <w:r>
              <w:rPr>
                <w:rFonts w:ascii="宋体" w:hAnsi="宋体" w:cs="宋体" w:eastAsia="宋体" w:hint="default"/>
                <w:sz w:val="21"/>
                <w:szCs w:val="21"/>
              </w:rPr>
              <w:t>电</w:t>
            </w:r>
            <w:r>
              <w:rPr>
                <w:rFonts w:ascii="宋体" w:hAnsi="宋体" w:cs="宋体" w:eastAsia="宋体" w:hint="default"/>
                <w:spacing w:val="-42"/>
                <w:sz w:val="21"/>
                <w:szCs w:val="21"/>
              </w:rPr>
              <w:t> </w:t>
            </w:r>
            <w:r>
              <w:rPr>
                <w:rFonts w:ascii="宋体" w:hAnsi="宋体" w:cs="宋体" w:eastAsia="宋体" w:hint="default"/>
                <w:sz w:val="21"/>
                <w:szCs w:val="21"/>
              </w:rPr>
              <w:t>子</w:t>
            </w:r>
            <w:r>
              <w:rPr>
                <w:rFonts w:ascii="宋体" w:hAnsi="宋体" w:cs="宋体" w:eastAsia="宋体" w:hint="default"/>
                <w:spacing w:val="-45"/>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6"/>
              <w:jc w:val="right"/>
              <w:rPr>
                <w:rFonts w:ascii="宋体" w:hAnsi="宋体" w:cs="宋体" w:eastAsia="宋体" w:hint="default"/>
                <w:sz w:val="21"/>
                <w:szCs w:val="21"/>
              </w:rPr>
            </w:pPr>
            <w:r>
              <w:rPr>
                <w:rFonts w:ascii="宋体"/>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12,240,000.00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12,240,000.00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center"/>
              <w:rPr>
                <w:rFonts w:ascii="宋体" w:hAnsi="宋体" w:cs="宋体" w:eastAsia="宋体" w:hint="default"/>
                <w:sz w:val="21"/>
                <w:szCs w:val="21"/>
              </w:rPr>
            </w:pPr>
            <w:r>
              <w:rPr>
                <w:rFonts w:ascii="宋体" w:hAnsi="宋体" w:cs="宋体" w:eastAsia="宋体" w:hint="default"/>
                <w:sz w:val="21"/>
                <w:szCs w:val="21"/>
              </w:rPr>
              <w:t>首发上市限售</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p>
        </w:tc>
      </w:tr>
      <w:tr>
        <w:trPr>
          <w:trHeight w:val="555"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pacing w:val="-45"/>
                <w:sz w:val="21"/>
                <w:szCs w:val="21"/>
              </w:rPr>
              <w:t> </w:t>
            </w:r>
            <w:r>
              <w:rPr>
                <w:rFonts w:ascii="宋体" w:hAnsi="宋体" w:cs="宋体" w:eastAsia="宋体" w:hint="default"/>
                <w:sz w:val="21"/>
                <w:szCs w:val="21"/>
              </w:rPr>
              <w:t>石</w:t>
            </w:r>
            <w:r>
              <w:rPr>
                <w:rFonts w:ascii="宋体" w:hAnsi="宋体" w:cs="宋体" w:eastAsia="宋体" w:hint="default"/>
                <w:spacing w:val="-42"/>
                <w:sz w:val="21"/>
                <w:szCs w:val="21"/>
              </w:rPr>
              <w:t> </w:t>
            </w:r>
            <w:r>
              <w:rPr>
                <w:rFonts w:ascii="宋体" w:hAnsi="宋体" w:cs="宋体" w:eastAsia="宋体" w:hint="default"/>
                <w:sz w:val="21"/>
                <w:szCs w:val="21"/>
              </w:rPr>
              <w:t>投</w:t>
            </w:r>
            <w:r>
              <w:rPr>
                <w:rFonts w:ascii="宋体" w:hAnsi="宋体" w:cs="宋体" w:eastAsia="宋体" w:hint="default"/>
                <w:spacing w:val="-45"/>
                <w:sz w:val="21"/>
                <w:szCs w:val="21"/>
              </w:rPr>
              <w:t> </w:t>
            </w:r>
            <w:r>
              <w:rPr>
                <w:rFonts w:ascii="宋体" w:hAnsi="宋体" w:cs="宋体" w:eastAsia="宋体" w:hint="default"/>
                <w:sz w:val="21"/>
                <w:szCs w:val="21"/>
              </w:rPr>
              <w:t>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13,140,000.00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13,140,000.00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center"/>
              <w:rPr>
                <w:rFonts w:ascii="宋体" w:hAnsi="宋体" w:cs="宋体" w:eastAsia="宋体" w:hint="default"/>
                <w:sz w:val="21"/>
                <w:szCs w:val="21"/>
              </w:rPr>
            </w:pPr>
            <w:r>
              <w:rPr>
                <w:rFonts w:ascii="宋体" w:hAnsi="宋体" w:cs="宋体" w:eastAsia="宋体" w:hint="default"/>
                <w:sz w:val="21"/>
                <w:szCs w:val="21"/>
              </w:rPr>
              <w:t>首发上市限售</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p>
        </w:tc>
      </w:tr>
      <w:tr>
        <w:trPr>
          <w:trHeight w:val="283"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严孟宇</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18,040,000.00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18,040,000.00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center"/>
              <w:rPr>
                <w:rFonts w:ascii="宋体" w:hAnsi="宋体" w:cs="宋体" w:eastAsia="宋体" w:hint="default"/>
                <w:sz w:val="21"/>
                <w:szCs w:val="21"/>
              </w:rPr>
            </w:pPr>
            <w:r>
              <w:rPr>
                <w:rFonts w:ascii="宋体" w:hAnsi="宋体" w:cs="宋体" w:eastAsia="宋体" w:hint="default"/>
                <w:sz w:val="21"/>
                <w:szCs w:val="21"/>
              </w:rPr>
              <w:t>首发上市限售</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p>
        </w:tc>
      </w:tr>
    </w:tbl>
    <w:p>
      <w:pPr>
        <w:spacing w:after="0" w:line="241" w:lineRule="exact"/>
        <w:jc w:val="left"/>
        <w:rPr>
          <w:rFonts w:ascii="宋体" w:hAnsi="宋体" w:cs="宋体" w:eastAsia="宋体" w:hint="default"/>
          <w:sz w:val="21"/>
          <w:szCs w:val="21"/>
        </w:rPr>
        <w:sectPr>
          <w:pgSz w:w="11910" w:h="16840"/>
          <w:pgMar w:header="855" w:footer="1195" w:top="1280" w:bottom="1380" w:left="1580" w:right="640"/>
        </w:sectPr>
      </w:pPr>
    </w:p>
    <w:p>
      <w:pPr>
        <w:spacing w:line="240" w:lineRule="auto" w:before="11"/>
        <w:rPr>
          <w:rFonts w:ascii="宋体" w:hAnsi="宋体" w:cs="宋体" w:eastAsia="宋体" w:hint="default"/>
          <w:sz w:val="17"/>
          <w:szCs w:val="17"/>
        </w:rPr>
      </w:pPr>
    </w:p>
    <w:tbl>
      <w:tblPr>
        <w:tblW w:w="0" w:type="auto"/>
        <w:jc w:val="left"/>
        <w:tblInd w:w="105" w:type="dxa"/>
        <w:tblLayout w:type="fixed"/>
        <w:tblCellMar>
          <w:top w:w="0" w:type="dxa"/>
          <w:left w:w="0" w:type="dxa"/>
          <w:bottom w:w="0" w:type="dxa"/>
          <w:right w:w="0" w:type="dxa"/>
        </w:tblCellMar>
        <w:tblLook w:val="01E0"/>
      </w:tblPr>
      <w:tblGrid>
        <w:gridCol w:w="1241"/>
        <w:gridCol w:w="852"/>
        <w:gridCol w:w="1136"/>
        <w:gridCol w:w="1580"/>
        <w:gridCol w:w="1582"/>
        <w:gridCol w:w="1498"/>
        <w:gridCol w:w="1577"/>
      </w:tblGrid>
      <w:tr>
        <w:trPr>
          <w:trHeight w:val="284"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tabs>
                <w:tab w:pos="525" w:val="left" w:leader="none"/>
              </w:tabs>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赵</w:t>
              <w:tab/>
              <w:t>伟</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3"/>
              <w:jc w:val="right"/>
              <w:rPr>
                <w:rFonts w:ascii="宋体" w:hAnsi="宋体" w:cs="宋体" w:eastAsia="宋体" w:hint="default"/>
                <w:sz w:val="21"/>
                <w:szCs w:val="21"/>
              </w:rPr>
            </w:pPr>
            <w:r>
              <w:rPr>
                <w:rFonts w:ascii="宋体"/>
                <w:w w:val="100"/>
                <w:sz w:val="21"/>
              </w:rPr>
              <w:t>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6,180,000.00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6,180,000.00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7"/>
              <w:jc w:val="center"/>
              <w:rPr>
                <w:rFonts w:ascii="宋体" w:hAnsi="宋体" w:cs="宋体" w:eastAsia="宋体" w:hint="default"/>
                <w:sz w:val="21"/>
                <w:szCs w:val="21"/>
              </w:rPr>
            </w:pPr>
            <w:r>
              <w:rPr>
                <w:rFonts w:ascii="宋体" w:hAnsi="宋体" w:cs="宋体" w:eastAsia="宋体" w:hint="default"/>
                <w:sz w:val="21"/>
                <w:szCs w:val="21"/>
              </w:rPr>
              <w:t>首发上市限售</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p>
        </w:tc>
      </w:tr>
      <w:tr>
        <w:trPr>
          <w:trHeight w:val="283"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雷世潘</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2,780,000.00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2,780,000.00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center"/>
              <w:rPr>
                <w:rFonts w:ascii="宋体" w:hAnsi="宋体" w:cs="宋体" w:eastAsia="宋体" w:hint="default"/>
                <w:sz w:val="21"/>
                <w:szCs w:val="21"/>
              </w:rPr>
            </w:pPr>
            <w:r>
              <w:rPr>
                <w:rFonts w:ascii="宋体" w:hAnsi="宋体" w:cs="宋体" w:eastAsia="宋体" w:hint="default"/>
                <w:sz w:val="21"/>
                <w:szCs w:val="21"/>
              </w:rPr>
              <w:t>首发上市限售</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p>
        </w:tc>
      </w:tr>
      <w:tr>
        <w:trPr>
          <w:trHeight w:val="281"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tabs>
                <w:tab w:pos="525" w:val="left" w:leader="none"/>
              </w:tabs>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w:t>
              <w:tab/>
              <w:t>莹</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1,800,000.00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1,800,000.00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center"/>
              <w:rPr>
                <w:rFonts w:ascii="宋体" w:hAnsi="宋体" w:cs="宋体" w:eastAsia="宋体" w:hint="default"/>
                <w:sz w:val="21"/>
                <w:szCs w:val="21"/>
              </w:rPr>
            </w:pPr>
            <w:r>
              <w:rPr>
                <w:rFonts w:ascii="宋体" w:hAnsi="宋体" w:cs="宋体" w:eastAsia="宋体" w:hint="default"/>
                <w:sz w:val="21"/>
                <w:szCs w:val="21"/>
              </w:rPr>
              <w:t>首发上市限售</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p>
        </w:tc>
      </w:tr>
      <w:tr>
        <w:trPr>
          <w:trHeight w:val="283"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余养成</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1,740,000.00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1,740,000.00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center"/>
              <w:rPr>
                <w:rFonts w:ascii="宋体" w:hAnsi="宋体" w:cs="宋体" w:eastAsia="宋体" w:hint="default"/>
                <w:sz w:val="21"/>
                <w:szCs w:val="21"/>
              </w:rPr>
            </w:pPr>
            <w:r>
              <w:rPr>
                <w:rFonts w:ascii="宋体" w:hAnsi="宋体" w:cs="宋体" w:eastAsia="宋体" w:hint="default"/>
                <w:sz w:val="21"/>
                <w:szCs w:val="21"/>
              </w:rPr>
              <w:t>首发上市限售</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p>
        </w:tc>
      </w:tr>
      <w:tr>
        <w:trPr>
          <w:trHeight w:val="283"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董南勇</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1,156,000.00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1,156,000.00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center"/>
              <w:rPr>
                <w:rFonts w:ascii="宋体" w:hAnsi="宋体" w:cs="宋体" w:eastAsia="宋体" w:hint="default"/>
                <w:sz w:val="21"/>
                <w:szCs w:val="21"/>
              </w:rPr>
            </w:pPr>
            <w:r>
              <w:rPr>
                <w:rFonts w:ascii="宋体" w:hAnsi="宋体" w:cs="宋体" w:eastAsia="宋体" w:hint="default"/>
                <w:sz w:val="21"/>
                <w:szCs w:val="21"/>
              </w:rPr>
              <w:t>首发上市限售</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p>
        </w:tc>
      </w:tr>
      <w:tr>
        <w:trPr>
          <w:trHeight w:val="281"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戴小戈</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872,000.00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872,000.00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center"/>
              <w:rPr>
                <w:rFonts w:ascii="宋体" w:hAnsi="宋体" w:cs="宋体" w:eastAsia="宋体" w:hint="default"/>
                <w:sz w:val="21"/>
                <w:szCs w:val="21"/>
              </w:rPr>
            </w:pPr>
            <w:r>
              <w:rPr>
                <w:rFonts w:ascii="宋体" w:hAnsi="宋体" w:cs="宋体" w:eastAsia="宋体" w:hint="default"/>
                <w:sz w:val="21"/>
                <w:szCs w:val="21"/>
              </w:rPr>
              <w:t>首发上市限售</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p>
        </w:tc>
      </w:tr>
      <w:tr>
        <w:trPr>
          <w:trHeight w:val="283"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tabs>
                <w:tab w:pos="525" w:val="left" w:leader="none"/>
              </w:tabs>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欧</w:t>
              <w:tab/>
              <w:t>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520,000.00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520,000.00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center"/>
              <w:rPr>
                <w:rFonts w:ascii="宋体" w:hAnsi="宋体" w:cs="宋体" w:eastAsia="宋体" w:hint="default"/>
                <w:sz w:val="21"/>
                <w:szCs w:val="21"/>
              </w:rPr>
            </w:pPr>
            <w:r>
              <w:rPr>
                <w:rFonts w:ascii="宋体" w:hAnsi="宋体" w:cs="宋体" w:eastAsia="宋体" w:hint="default"/>
                <w:sz w:val="21"/>
                <w:szCs w:val="21"/>
              </w:rPr>
              <w:t>首发上市限售</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p>
        </w:tc>
      </w:tr>
      <w:tr>
        <w:trPr>
          <w:trHeight w:val="283"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tabs>
                <w:tab w:pos="525" w:val="left" w:leader="none"/>
              </w:tabs>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w:t>
              <w:tab/>
              <w:t>玉</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510,000.00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510,000.00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center"/>
              <w:rPr>
                <w:rFonts w:ascii="宋体" w:hAnsi="宋体" w:cs="宋体" w:eastAsia="宋体" w:hint="default"/>
                <w:sz w:val="21"/>
                <w:szCs w:val="21"/>
              </w:rPr>
            </w:pPr>
            <w:r>
              <w:rPr>
                <w:rFonts w:ascii="宋体" w:hAnsi="宋体" w:cs="宋体" w:eastAsia="宋体" w:hint="default"/>
                <w:sz w:val="21"/>
                <w:szCs w:val="21"/>
              </w:rPr>
              <w:t>首发上市限售</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p>
        </w:tc>
      </w:tr>
      <w:tr>
        <w:trPr>
          <w:trHeight w:val="281"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刘法先</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510,000.00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510,000.00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center"/>
              <w:rPr>
                <w:rFonts w:ascii="宋体" w:hAnsi="宋体" w:cs="宋体" w:eastAsia="宋体" w:hint="default"/>
                <w:sz w:val="21"/>
                <w:szCs w:val="21"/>
              </w:rPr>
            </w:pPr>
            <w:r>
              <w:rPr>
                <w:rFonts w:ascii="宋体" w:hAnsi="宋体" w:cs="宋体" w:eastAsia="宋体" w:hint="default"/>
                <w:sz w:val="21"/>
                <w:szCs w:val="21"/>
              </w:rPr>
              <w:t>首发上市限售</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p>
        </w:tc>
      </w:tr>
      <w:tr>
        <w:trPr>
          <w:trHeight w:val="283"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林秀红</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412,000.00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412,000.00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center"/>
              <w:rPr>
                <w:rFonts w:ascii="宋体" w:hAnsi="宋体" w:cs="宋体" w:eastAsia="宋体" w:hint="default"/>
                <w:sz w:val="21"/>
                <w:szCs w:val="21"/>
              </w:rPr>
            </w:pPr>
            <w:r>
              <w:rPr>
                <w:rFonts w:ascii="宋体" w:hAnsi="宋体" w:cs="宋体" w:eastAsia="宋体" w:hint="default"/>
                <w:sz w:val="21"/>
                <w:szCs w:val="21"/>
              </w:rPr>
              <w:t>首发上市限售</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p>
        </w:tc>
      </w:tr>
      <w:tr>
        <w:trPr>
          <w:trHeight w:val="281"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徐传秋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412,000.00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412,000.00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center"/>
              <w:rPr>
                <w:rFonts w:ascii="宋体" w:hAnsi="宋体" w:cs="宋体" w:eastAsia="宋体" w:hint="default"/>
                <w:sz w:val="21"/>
                <w:szCs w:val="21"/>
              </w:rPr>
            </w:pPr>
            <w:r>
              <w:rPr>
                <w:rFonts w:ascii="宋体" w:hAnsi="宋体" w:cs="宋体" w:eastAsia="宋体" w:hint="default"/>
                <w:sz w:val="21"/>
                <w:szCs w:val="21"/>
              </w:rPr>
              <w:t>首发上市限售</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p>
        </w:tc>
      </w:tr>
      <w:tr>
        <w:trPr>
          <w:trHeight w:val="284"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邓志强</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412,000.00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412,000.00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center"/>
              <w:rPr>
                <w:rFonts w:ascii="宋体" w:hAnsi="宋体" w:cs="宋体" w:eastAsia="宋体" w:hint="default"/>
                <w:sz w:val="21"/>
                <w:szCs w:val="21"/>
              </w:rPr>
            </w:pPr>
            <w:r>
              <w:rPr>
                <w:rFonts w:ascii="宋体" w:hAnsi="宋体" w:cs="宋体" w:eastAsia="宋体" w:hint="default"/>
                <w:sz w:val="21"/>
                <w:szCs w:val="21"/>
              </w:rPr>
              <w:t>首发上市限售</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p>
        </w:tc>
      </w:tr>
      <w:tr>
        <w:trPr>
          <w:trHeight w:val="283"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王敏航</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412,000.00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412,000.00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center"/>
              <w:rPr>
                <w:rFonts w:ascii="宋体" w:hAnsi="宋体" w:cs="宋体" w:eastAsia="宋体" w:hint="default"/>
                <w:sz w:val="21"/>
                <w:szCs w:val="21"/>
              </w:rPr>
            </w:pPr>
            <w:r>
              <w:rPr>
                <w:rFonts w:ascii="宋体" w:hAnsi="宋体" w:cs="宋体" w:eastAsia="宋体" w:hint="default"/>
                <w:sz w:val="21"/>
                <w:szCs w:val="21"/>
              </w:rPr>
              <w:t>首发上市限售</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p>
        </w:tc>
      </w:tr>
      <w:tr>
        <w:trPr>
          <w:trHeight w:val="281"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郑元通</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470,000.00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470,000.00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center"/>
              <w:rPr>
                <w:rFonts w:ascii="宋体" w:hAnsi="宋体" w:cs="宋体" w:eastAsia="宋体" w:hint="default"/>
                <w:sz w:val="21"/>
                <w:szCs w:val="21"/>
              </w:rPr>
            </w:pPr>
            <w:r>
              <w:rPr>
                <w:rFonts w:ascii="宋体" w:hAnsi="宋体" w:cs="宋体" w:eastAsia="宋体" w:hint="default"/>
                <w:sz w:val="21"/>
                <w:szCs w:val="21"/>
              </w:rPr>
              <w:t>首发上市限售</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p>
        </w:tc>
      </w:tr>
      <w:tr>
        <w:trPr>
          <w:trHeight w:val="283"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张雄金</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398,000.00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398,000.00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center"/>
              <w:rPr>
                <w:rFonts w:ascii="宋体" w:hAnsi="宋体" w:cs="宋体" w:eastAsia="宋体" w:hint="default"/>
                <w:sz w:val="21"/>
                <w:szCs w:val="21"/>
              </w:rPr>
            </w:pPr>
            <w:r>
              <w:rPr>
                <w:rFonts w:ascii="宋体" w:hAnsi="宋体" w:cs="宋体" w:eastAsia="宋体" w:hint="default"/>
                <w:sz w:val="21"/>
                <w:szCs w:val="21"/>
              </w:rPr>
              <w:t>首发上市限售</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p>
        </w:tc>
      </w:tr>
      <w:tr>
        <w:trPr>
          <w:trHeight w:val="283"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鄢继华</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398,000.00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398,000.00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center"/>
              <w:rPr>
                <w:rFonts w:ascii="宋体" w:hAnsi="宋体" w:cs="宋体" w:eastAsia="宋体" w:hint="default"/>
                <w:sz w:val="21"/>
                <w:szCs w:val="21"/>
              </w:rPr>
            </w:pPr>
            <w:r>
              <w:rPr>
                <w:rFonts w:ascii="宋体" w:hAnsi="宋体" w:cs="宋体" w:eastAsia="宋体" w:hint="default"/>
                <w:sz w:val="21"/>
                <w:szCs w:val="21"/>
              </w:rPr>
              <w:t>首发上市限售</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p>
        </w:tc>
      </w:tr>
      <w:tr>
        <w:trPr>
          <w:trHeight w:val="281"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谢淑仁</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330,000.00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330,000.00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center"/>
              <w:rPr>
                <w:rFonts w:ascii="宋体" w:hAnsi="宋体" w:cs="宋体" w:eastAsia="宋体" w:hint="default"/>
                <w:sz w:val="21"/>
                <w:szCs w:val="21"/>
              </w:rPr>
            </w:pPr>
            <w:r>
              <w:rPr>
                <w:rFonts w:ascii="宋体" w:hAnsi="宋体" w:cs="宋体" w:eastAsia="宋体" w:hint="default"/>
                <w:sz w:val="21"/>
                <w:szCs w:val="21"/>
              </w:rPr>
              <w:t>首发上市限售</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p>
        </w:tc>
      </w:tr>
      <w:tr>
        <w:trPr>
          <w:trHeight w:val="283"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陈瑞德</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204,000.00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204,000.00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center"/>
              <w:rPr>
                <w:rFonts w:ascii="宋体" w:hAnsi="宋体" w:cs="宋体" w:eastAsia="宋体" w:hint="default"/>
                <w:sz w:val="21"/>
                <w:szCs w:val="21"/>
              </w:rPr>
            </w:pPr>
            <w:r>
              <w:rPr>
                <w:rFonts w:ascii="宋体" w:hAnsi="宋体" w:cs="宋体" w:eastAsia="宋体" w:hint="default"/>
                <w:sz w:val="21"/>
                <w:szCs w:val="21"/>
              </w:rPr>
              <w:t>首发上市限售</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p>
        </w:tc>
      </w:tr>
      <w:tr>
        <w:trPr>
          <w:trHeight w:val="283"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陈建国</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204,000.00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204,000.00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center"/>
              <w:rPr>
                <w:rFonts w:ascii="宋体" w:hAnsi="宋体" w:cs="宋体" w:eastAsia="宋体" w:hint="default"/>
                <w:sz w:val="21"/>
                <w:szCs w:val="21"/>
              </w:rPr>
            </w:pPr>
            <w:r>
              <w:rPr>
                <w:rFonts w:ascii="宋体" w:hAnsi="宋体" w:cs="宋体" w:eastAsia="宋体" w:hint="default"/>
                <w:sz w:val="21"/>
                <w:szCs w:val="21"/>
              </w:rPr>
              <w:t>首发上市限售</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p>
        </w:tc>
      </w:tr>
      <w:tr>
        <w:trPr>
          <w:trHeight w:val="281"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自然人</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1,677,000.00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1,677,000.00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center"/>
              <w:rPr>
                <w:rFonts w:ascii="宋体" w:hAnsi="宋体" w:cs="宋体" w:eastAsia="宋体" w:hint="default"/>
                <w:sz w:val="21"/>
                <w:szCs w:val="21"/>
              </w:rPr>
            </w:pPr>
            <w:r>
              <w:rPr>
                <w:rFonts w:ascii="宋体" w:hAnsi="宋体" w:cs="宋体" w:eastAsia="宋体" w:hint="default"/>
                <w:sz w:val="21"/>
                <w:szCs w:val="21"/>
              </w:rPr>
              <w:t>股权激励限售</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p>
        </w:tc>
      </w:tr>
      <w:tr>
        <w:trPr>
          <w:trHeight w:val="283"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64,817,000.00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64,817,000.00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pStyle w:val="BodyText"/>
        <w:spacing w:line="248" w:lineRule="exact"/>
        <w:ind w:right="520"/>
        <w:jc w:val="left"/>
      </w:pPr>
      <w:r>
        <w:rPr>
          <w:spacing w:val="-3"/>
        </w:rPr>
        <w:t>注：</w:t>
      </w:r>
      <w:r>
        <w:rPr>
          <w:rFonts w:ascii="Times New Roman" w:hAnsi="Times New Roman" w:cs="Times New Roman" w:eastAsia="Times New Roman" w:hint="default"/>
          <w:spacing w:val="-3"/>
        </w:rPr>
        <w:t>2018  </w:t>
      </w:r>
      <w:r>
        <w:rPr/>
        <w:t>年 </w:t>
      </w:r>
      <w:r>
        <w:rPr>
          <w:rFonts w:ascii="Times New Roman" w:hAnsi="Times New Roman" w:cs="Times New Roman" w:eastAsia="Times New Roman" w:hint="default"/>
        </w:rPr>
        <w:t>9</w:t>
      </w:r>
      <w:r>
        <w:rPr>
          <w:rFonts w:ascii="Times New Roman" w:hAnsi="Times New Roman" w:cs="Times New Roman" w:eastAsia="Times New Roman" w:hint="default"/>
          <w:spacing w:val="-22"/>
        </w:rPr>
        <w:t> </w:t>
      </w:r>
      <w:r>
        <w:rPr>
          <w:spacing w:val="-3"/>
        </w:rPr>
        <w:t>月为股权激励限售股首批解锁时间，剩余股份需按照《福建顶点软件股份有限公司</w:t>
      </w:r>
    </w:p>
    <w:p>
      <w:pPr>
        <w:pStyle w:val="BodyText"/>
        <w:spacing w:line="266" w:lineRule="exact"/>
        <w:ind w:right="520"/>
        <w:jc w:val="left"/>
      </w:pPr>
      <w:r>
        <w:rPr>
          <w:w w:val="100"/>
        </w:rPr>
        <w:t>限制</w:t>
      </w:r>
      <w:r>
        <w:rPr>
          <w:spacing w:val="-3"/>
          <w:w w:val="100"/>
        </w:rPr>
        <w:t>性</w:t>
      </w:r>
      <w:r>
        <w:rPr>
          <w:w w:val="100"/>
        </w:rPr>
        <w:t>股</w:t>
      </w:r>
      <w:r>
        <w:rPr>
          <w:spacing w:val="-3"/>
          <w:w w:val="100"/>
        </w:rPr>
        <w:t>票</w:t>
      </w:r>
      <w:r>
        <w:rPr>
          <w:w w:val="100"/>
        </w:rPr>
        <w:t>激</w:t>
      </w:r>
      <w:r>
        <w:rPr>
          <w:spacing w:val="-3"/>
          <w:w w:val="100"/>
        </w:rPr>
        <w:t>励</w:t>
      </w:r>
      <w:r>
        <w:rPr>
          <w:w w:val="100"/>
        </w:rPr>
        <w:t>计</w:t>
      </w:r>
      <w:r>
        <w:rPr>
          <w:spacing w:val="-3"/>
          <w:w w:val="100"/>
        </w:rPr>
        <w:t>划</w:t>
      </w:r>
      <w:r>
        <w:rPr>
          <w:w w:val="100"/>
        </w:rPr>
        <w:t>（</w:t>
      </w:r>
      <w:r>
        <w:rPr>
          <w:spacing w:val="-3"/>
          <w:w w:val="100"/>
        </w:rPr>
        <w:t>草</w:t>
      </w:r>
      <w:r>
        <w:rPr>
          <w:w w:val="100"/>
        </w:rPr>
        <w:t>案</w:t>
      </w:r>
      <w:r>
        <w:rPr>
          <w:spacing w:val="-106"/>
          <w:w w:val="100"/>
        </w:rPr>
        <w:t>）</w:t>
      </w:r>
      <w:r>
        <w:rPr>
          <w:spacing w:val="-3"/>
          <w:w w:val="100"/>
        </w:rPr>
        <w:t>》</w:t>
      </w:r>
      <w:r>
        <w:rPr>
          <w:w w:val="100"/>
        </w:rPr>
        <w:t>的</w:t>
      </w:r>
      <w:r>
        <w:rPr>
          <w:spacing w:val="-3"/>
          <w:w w:val="100"/>
        </w:rPr>
        <w:t>相</w:t>
      </w:r>
      <w:r>
        <w:rPr>
          <w:w w:val="100"/>
        </w:rPr>
        <w:t>关</w:t>
      </w:r>
      <w:r>
        <w:rPr>
          <w:spacing w:val="-3"/>
          <w:w w:val="100"/>
        </w:rPr>
        <w:t>规</w:t>
      </w:r>
      <w:r>
        <w:rPr>
          <w:w w:val="100"/>
        </w:rPr>
        <w:t>定</w:t>
      </w:r>
      <w:r>
        <w:rPr>
          <w:spacing w:val="-3"/>
          <w:w w:val="100"/>
        </w:rPr>
        <w:t>进</w:t>
      </w:r>
      <w:r>
        <w:rPr>
          <w:w w:val="100"/>
        </w:rPr>
        <w:t>行</w:t>
      </w:r>
      <w:r>
        <w:rPr>
          <w:spacing w:val="-3"/>
          <w:w w:val="100"/>
        </w:rPr>
        <w:t>分批</w:t>
      </w:r>
      <w:r>
        <w:rPr>
          <w:w w:val="100"/>
        </w:rPr>
        <w:t>解锁。</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55" w:footer="1195" w:top="1280" w:bottom="1380" w:left="1580" w:right="640"/>
        </w:sectPr>
      </w:pPr>
    </w:p>
    <w:p>
      <w:pPr>
        <w:pStyle w:val="Heading3"/>
        <w:spacing w:line="290" w:lineRule="auto" w:before="36"/>
        <w:ind w:right="-3"/>
        <w:jc w:val="left"/>
        <w:rPr>
          <w:b w:val="0"/>
          <w:bCs w:val="0"/>
        </w:rPr>
      </w:pPr>
      <w:r>
        <w:rPr/>
        <w:t>二、</w:t>
      </w:r>
      <w:r>
        <w:rPr>
          <w:spacing w:val="-78"/>
        </w:rPr>
        <w:t> </w:t>
      </w:r>
      <w:r>
        <w:rPr/>
        <w:t>证券发行与上市情况</w:t>
      </w:r>
      <w:r>
        <w:rPr>
          <w:spacing w:val="-102"/>
        </w:rPr>
        <w:t> </w:t>
      </w:r>
      <w:r>
        <w:rPr>
          <w:spacing w:val="-102"/>
        </w:rPr>
      </w:r>
      <w:r>
        <w:rPr>
          <w:rFonts w:ascii="宋体" w:hAnsi="宋体" w:cs="宋体" w:eastAsia="宋体" w:hint="default"/>
          <w:spacing w:val="-1"/>
        </w:rPr>
        <w:t>(</w:t>
      </w:r>
      <w:r>
        <w:rPr>
          <w:spacing w:val="-1"/>
        </w:rPr>
        <w:t>一</w:t>
      </w:r>
      <w:r>
        <w:rPr>
          <w:rFonts w:ascii="宋体" w:hAnsi="宋体" w:cs="宋体" w:eastAsia="宋体" w:hint="default"/>
          <w:spacing w:val="-1"/>
        </w:rPr>
        <w:t>)</w:t>
      </w:r>
      <w:r>
        <w:rPr>
          <w:spacing w:val="-1"/>
        </w:rPr>
        <w:t>截至报告期内证券发行情况</w:t>
      </w:r>
      <w:r>
        <w:rPr>
          <w:b w:val="0"/>
          <w:bCs w:val="0"/>
          <w:spacing w:val="-1"/>
        </w:rPr>
      </w:r>
    </w:p>
    <w:p>
      <w:pPr>
        <w:pStyle w:val="BodyText"/>
        <w:spacing w:line="240" w:lineRule="auto" w:before="14"/>
        <w:ind w:right="-3"/>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单位：股</w:t>
        <w:tab/>
      </w:r>
      <w:r>
        <w:rPr>
          <w:spacing w:val="-2"/>
        </w:rPr>
        <w:t>币种：人民币</w:t>
      </w:r>
    </w:p>
    <w:p>
      <w:pPr>
        <w:spacing w:after="0" w:line="240" w:lineRule="auto"/>
        <w:jc w:val="left"/>
        <w:sectPr>
          <w:type w:val="continuous"/>
          <w:pgSz w:w="11910" w:h="16840"/>
          <w:pgMar w:top="1000" w:bottom="280" w:left="1580" w:right="640"/>
          <w:cols w:num="2" w:equalWidth="0">
            <w:col w:w="3173" w:space="3349"/>
            <w:col w:w="31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800"/>
        <w:gridCol w:w="1179"/>
        <w:gridCol w:w="1195"/>
        <w:gridCol w:w="1268"/>
        <w:gridCol w:w="1176"/>
        <w:gridCol w:w="1265"/>
        <w:gridCol w:w="1166"/>
      </w:tblGrid>
      <w:tr>
        <w:trPr>
          <w:trHeight w:val="554"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股票及其衍生</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证券的种类</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63" w:right="0"/>
              <w:jc w:val="left"/>
              <w:rPr>
                <w:rFonts w:ascii="宋体" w:hAnsi="宋体" w:cs="宋体" w:eastAsia="宋体" w:hint="default"/>
                <w:sz w:val="21"/>
                <w:szCs w:val="21"/>
              </w:rPr>
            </w:pPr>
            <w:r>
              <w:rPr>
                <w:rFonts w:ascii="宋体" w:hAnsi="宋体" w:cs="宋体" w:eastAsia="宋体" w:hint="default"/>
                <w:sz w:val="21"/>
                <w:szCs w:val="21"/>
              </w:rPr>
              <w:t>发行日期</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2" w:right="0"/>
              <w:jc w:val="left"/>
              <w:rPr>
                <w:rFonts w:ascii="宋体" w:hAnsi="宋体" w:cs="宋体" w:eastAsia="宋体" w:hint="default"/>
                <w:sz w:val="21"/>
                <w:szCs w:val="21"/>
              </w:rPr>
            </w:pPr>
            <w:r>
              <w:rPr>
                <w:rFonts w:ascii="宋体" w:hAnsi="宋体" w:cs="宋体" w:eastAsia="宋体" w:hint="default"/>
                <w:sz w:val="21"/>
                <w:szCs w:val="21"/>
              </w:rPr>
              <w:t>发行价格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（或利率）</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08" w:right="0"/>
              <w:jc w:val="left"/>
              <w:rPr>
                <w:rFonts w:ascii="宋体" w:hAnsi="宋体" w:cs="宋体" w:eastAsia="宋体" w:hint="default"/>
                <w:sz w:val="21"/>
                <w:szCs w:val="21"/>
              </w:rPr>
            </w:pPr>
            <w:r>
              <w:rPr>
                <w:rFonts w:ascii="宋体" w:hAnsi="宋体" w:cs="宋体" w:eastAsia="宋体" w:hint="default"/>
                <w:sz w:val="21"/>
                <w:szCs w:val="21"/>
              </w:rPr>
              <w:t>发行数量</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60" w:right="0"/>
              <w:jc w:val="left"/>
              <w:rPr>
                <w:rFonts w:ascii="宋体" w:hAnsi="宋体" w:cs="宋体" w:eastAsia="宋体" w:hint="default"/>
                <w:sz w:val="21"/>
                <w:szCs w:val="21"/>
              </w:rPr>
            </w:pPr>
            <w:r>
              <w:rPr>
                <w:rFonts w:ascii="宋体" w:hAnsi="宋体" w:cs="宋体" w:eastAsia="宋体" w:hint="default"/>
                <w:sz w:val="21"/>
                <w:szCs w:val="21"/>
              </w:rPr>
              <w:t>上市日期</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获准上市交</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易数量</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交易终止</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日期</w:t>
            </w:r>
          </w:p>
        </w:tc>
      </w:tr>
      <w:tr>
        <w:trPr>
          <w:trHeight w:val="283"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普通股股票类</w:t>
            </w:r>
          </w:p>
        </w:tc>
      </w:tr>
      <w:tr>
        <w:trPr>
          <w:trHeight w:val="554"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A</w:t>
            </w:r>
            <w:r>
              <w:rPr>
                <w:rFonts w:ascii="宋体" w:hAnsi="宋体" w:cs="宋体" w:eastAsia="宋体" w:hint="default"/>
                <w:spacing w:val="4"/>
                <w:sz w:val="21"/>
                <w:szCs w:val="21"/>
              </w:rPr>
              <w:t> </w:t>
            </w:r>
            <w:r>
              <w:rPr>
                <w:rFonts w:ascii="宋体" w:hAnsi="宋体" w:cs="宋体" w:eastAsia="宋体" w:hint="default"/>
                <w:spacing w:val="-3"/>
                <w:sz w:val="21"/>
                <w:szCs w:val="21"/>
              </w:rPr>
              <w:t>股）</w:t>
            </w:r>
            <w:r>
              <w:rPr>
                <w:rFonts w:ascii="宋体" w:hAnsi="宋体" w:cs="宋体" w:eastAsia="宋体" w:hint="default"/>
                <w:sz w:val="21"/>
                <w:szCs w:val="21"/>
              </w:rPr>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0"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5</w:t>
            </w:r>
          </w:p>
          <w:p>
            <w:pPr>
              <w:pStyle w:val="TableParagraph"/>
              <w:spacing w:line="273" w:lineRule="exact"/>
              <w:ind w:left="226"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19.05</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21,050,000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7"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5</w:t>
            </w:r>
          </w:p>
          <w:p>
            <w:pPr>
              <w:pStyle w:val="TableParagraph"/>
              <w:spacing w:line="273" w:lineRule="exact"/>
              <w:ind w:left="223"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21,050,000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555"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（限制性股票）</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0"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7</w:t>
            </w:r>
          </w:p>
          <w:p>
            <w:pPr>
              <w:pStyle w:val="TableParagraph"/>
              <w:spacing w:line="273" w:lineRule="exact"/>
              <w:ind w:left="226"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22.96</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1,677,000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0"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9</w:t>
            </w:r>
          </w:p>
          <w:p>
            <w:pPr>
              <w:pStyle w:val="TableParagraph"/>
              <w:spacing w:line="273" w:lineRule="exact"/>
              <w:ind w:left="429"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1,677,000</w:t>
            </w:r>
          </w:p>
        </w:tc>
        <w:tc>
          <w:tcPr>
            <w:tcW w:w="116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5"/>
          <w:szCs w:val="15"/>
        </w:rPr>
      </w:pPr>
    </w:p>
    <w:p>
      <w:pPr>
        <w:pStyle w:val="BodyText"/>
        <w:spacing w:line="273" w:lineRule="exact" w:before="36"/>
        <w:ind w:right="520"/>
        <w:jc w:val="left"/>
      </w:pPr>
      <w:r>
        <w:rPr/>
        <w:t>截至报告期内证券发行情况的说明：</w:t>
      </w:r>
    </w:p>
    <w:p>
      <w:pPr>
        <w:pStyle w:val="BodyText"/>
        <w:tabs>
          <w:tab w:pos="1060" w:val="left" w:leader="none"/>
        </w:tabs>
        <w:spacing w:line="272" w:lineRule="exact"/>
        <w:ind w:right="520"/>
        <w:jc w:val="left"/>
      </w:pPr>
      <w:r>
        <w:rPr>
          <w:spacing w:val="-1"/>
        </w:rPr>
        <w:t>√适用</w:t>
        <w:tab/>
      </w:r>
      <w:r>
        <w:rPr>
          <w:spacing w:val="-2"/>
        </w:rPr>
        <w:t>□不适用</w:t>
      </w:r>
    </w:p>
    <w:p>
      <w:pPr>
        <w:pStyle w:val="BodyText"/>
        <w:spacing w:line="272" w:lineRule="exact"/>
        <w:ind w:right="520"/>
        <w:jc w:val="left"/>
      </w:pPr>
      <w:r>
        <w:rPr/>
        <w:t>经中国证券监督管理委员会以证监许可</w:t>
      </w:r>
      <w:r>
        <w:rPr>
          <w:rFonts w:ascii="宋体" w:hAnsi="宋体" w:cs="宋体" w:eastAsia="宋体" w:hint="default"/>
        </w:rPr>
        <w:t>[2017]</w:t>
      </w:r>
      <w:r>
        <w:rPr>
          <w:rFonts w:ascii="宋体" w:hAnsi="宋体" w:cs="宋体" w:eastAsia="宋体" w:hint="default"/>
          <w:spacing w:val="-44"/>
        </w:rPr>
        <w:t> </w:t>
      </w:r>
      <w:r>
        <w:rPr>
          <w:rFonts w:ascii="宋体" w:hAnsi="宋体" w:cs="宋体" w:eastAsia="宋体" w:hint="default"/>
        </w:rPr>
        <w:t>615</w:t>
      </w:r>
      <w:r>
        <w:rPr>
          <w:rFonts w:ascii="宋体" w:hAnsi="宋体" w:cs="宋体" w:eastAsia="宋体" w:hint="default"/>
          <w:spacing w:val="-57"/>
        </w:rPr>
        <w:t> </w:t>
      </w:r>
      <w:r>
        <w:rPr/>
        <w:t>号《关于核准福建顶点软件股份有限公司首次</w:t>
      </w:r>
    </w:p>
    <w:p>
      <w:pPr>
        <w:pStyle w:val="BodyText"/>
        <w:spacing w:line="271" w:lineRule="exact"/>
        <w:ind w:right="520"/>
        <w:jc w:val="left"/>
        <w:rPr>
          <w:rFonts w:ascii="宋体" w:hAnsi="宋体" w:cs="宋体" w:eastAsia="宋体" w:hint="default"/>
        </w:rPr>
      </w:pPr>
      <w:r>
        <w:rPr/>
        <w:t>公开发行股票的批复》核准，公司向社会公开发行人民币普通股（</w:t>
      </w:r>
      <w:r>
        <w:rPr>
          <w:rFonts w:ascii="宋体" w:hAnsi="宋体" w:cs="宋体" w:eastAsia="宋体" w:hint="default"/>
        </w:rPr>
        <w:t>A</w:t>
      </w:r>
      <w:r>
        <w:rPr>
          <w:rFonts w:ascii="宋体" w:hAnsi="宋体" w:cs="宋体" w:eastAsia="宋体" w:hint="default"/>
          <w:spacing w:val="-54"/>
        </w:rPr>
        <w:t> </w:t>
      </w:r>
      <w:r>
        <w:rPr/>
        <w:t>股）</w:t>
      </w:r>
      <w:r>
        <w:rPr>
          <w:rFonts w:ascii="宋体" w:hAnsi="宋体" w:cs="宋体" w:eastAsia="宋体" w:hint="default"/>
        </w:rPr>
        <w:t>2,105</w:t>
      </w:r>
      <w:r>
        <w:rPr>
          <w:rFonts w:ascii="宋体" w:hAnsi="宋体" w:cs="宋体" w:eastAsia="宋体" w:hint="default"/>
          <w:spacing w:val="-53"/>
        </w:rPr>
        <w:t> </w:t>
      </w:r>
      <w:r>
        <w:rPr/>
        <w:t>万股，</w:t>
      </w:r>
      <w:r>
        <w:rPr>
          <w:spacing w:val="-3"/>
        </w:rPr>
        <w:t> </w:t>
      </w:r>
      <w:r>
        <w:rPr>
          <w:rFonts w:ascii="宋体" w:hAnsi="宋体" w:cs="宋体" w:eastAsia="宋体" w:hint="default"/>
        </w:rPr>
        <w:t>2017</w:t>
      </w:r>
      <w:r>
        <w:rPr>
          <w:rFonts w:ascii="宋体" w:hAnsi="宋体" w:cs="宋体" w:eastAsia="宋体" w:hint="default"/>
          <w:spacing w:val="-56"/>
        </w:rPr>
        <w:t> </w:t>
      </w:r>
      <w:r>
        <w:rPr/>
        <w:t>年</w:t>
      </w:r>
      <w:r>
        <w:rPr>
          <w:spacing w:val="-54"/>
        </w:rPr>
        <w:t> </w:t>
      </w:r>
      <w:r>
        <w:rPr>
          <w:rFonts w:ascii="宋体" w:hAnsi="宋体" w:cs="宋体" w:eastAsia="宋体" w:hint="default"/>
        </w:rPr>
        <w:t>5</w:t>
      </w:r>
    </w:p>
    <w:p>
      <w:pPr>
        <w:pStyle w:val="BodyText"/>
        <w:spacing w:line="237" w:lineRule="auto"/>
        <w:ind w:right="626"/>
        <w:jc w:val="left"/>
      </w:pPr>
      <w:r>
        <w:rPr/>
        <w:t>月</w:t>
      </w:r>
      <w:r>
        <w:rPr>
          <w:spacing w:val="-54"/>
        </w:rPr>
        <w:t> </w:t>
      </w:r>
      <w:r>
        <w:rPr>
          <w:rFonts w:ascii="宋体" w:hAnsi="宋体" w:cs="宋体" w:eastAsia="宋体" w:hint="default"/>
        </w:rPr>
        <w:t>22</w:t>
      </w:r>
      <w:r>
        <w:rPr>
          <w:rFonts w:ascii="宋体" w:hAnsi="宋体" w:cs="宋体" w:eastAsia="宋体" w:hint="default"/>
          <w:spacing w:val="-56"/>
        </w:rPr>
        <w:t> </w:t>
      </w:r>
      <w:r>
        <w:rPr/>
        <w:t>日在上海证券交易所首发上市，发行后总股本由</w:t>
      </w:r>
      <w:r>
        <w:rPr>
          <w:spacing w:val="-53"/>
        </w:rPr>
        <w:t> </w:t>
      </w:r>
      <w:r>
        <w:rPr>
          <w:rFonts w:ascii="宋体" w:hAnsi="宋体" w:cs="宋体" w:eastAsia="宋体" w:hint="default"/>
        </w:rPr>
        <w:t>6,314</w:t>
      </w:r>
      <w:r>
        <w:rPr>
          <w:rFonts w:ascii="宋体" w:hAnsi="宋体" w:cs="宋体" w:eastAsia="宋体" w:hint="default"/>
          <w:spacing w:val="-54"/>
        </w:rPr>
        <w:t> </w:t>
      </w:r>
      <w:r>
        <w:rPr/>
        <w:t>万股变更为</w:t>
      </w:r>
      <w:r>
        <w:rPr>
          <w:spacing w:val="-54"/>
        </w:rPr>
        <w:t> </w:t>
      </w:r>
      <w:r>
        <w:rPr>
          <w:rFonts w:ascii="宋体" w:hAnsi="宋体" w:cs="宋体" w:eastAsia="宋体" w:hint="default"/>
        </w:rPr>
        <w:t>8,419</w:t>
      </w:r>
      <w:r>
        <w:rPr>
          <w:rFonts w:ascii="宋体" w:hAnsi="宋体" w:cs="宋体" w:eastAsia="宋体" w:hint="default"/>
          <w:spacing w:val="-53"/>
        </w:rPr>
        <w:t> </w:t>
      </w:r>
      <w:r>
        <w:rPr/>
        <w:t>万股。</w:t>
      </w:r>
      <w:r>
        <w:rPr>
          <w:w w:val="100"/>
        </w:rPr>
        <w:t> </w:t>
      </w:r>
      <w:r>
        <w:rPr>
          <w:spacing w:val="-2"/>
        </w:rPr>
        <w:t>根据公司第七届董事会第一次会议审议通过《关于公司限制性股票激励计划（草案）及其摘要的</w:t>
      </w:r>
      <w:r>
        <w:rPr>
          <w:spacing w:val="-25"/>
        </w:rPr>
        <w:t> </w:t>
      </w:r>
      <w:r>
        <w:rPr>
          <w:spacing w:val="-25"/>
        </w:rPr>
      </w:r>
      <w:r>
        <w:rPr>
          <w:spacing w:val="-2"/>
        </w:rPr>
        <w:t>议案》、第七届董事会第二次会议审议通过了《关于调整公司限制性股票激励计划激励对象和授</w:t>
      </w:r>
      <w:r>
        <w:rPr>
          <w:spacing w:val="-25"/>
        </w:rPr>
        <w:t> </w:t>
      </w:r>
      <w:r>
        <w:rPr>
          <w:spacing w:val="-25"/>
        </w:rPr>
      </w:r>
      <w:r>
        <w:rPr>
          <w:spacing w:val="-3"/>
        </w:rPr>
        <w:t>予数量的议案》、《关于向激励对象授予限制性股票的议案》。</w:t>
      </w:r>
      <w:r>
        <w:rPr>
          <w:rFonts w:ascii="宋体" w:hAnsi="宋体" w:cs="宋体" w:eastAsia="宋体" w:hint="default"/>
          <w:spacing w:val="-3"/>
        </w:rPr>
        <w:t>2017</w:t>
      </w:r>
      <w:r>
        <w:rPr>
          <w:rFonts w:ascii="宋体" w:hAnsi="宋体" w:cs="宋体" w:eastAsia="宋体" w:hint="default"/>
          <w:spacing w:val="-43"/>
        </w:rPr>
        <w:t> </w:t>
      </w:r>
      <w:r>
        <w:rPr/>
        <w:t>年</w:t>
      </w:r>
      <w:r>
        <w:rPr>
          <w:spacing w:val="-45"/>
        </w:rPr>
        <w:t> </w:t>
      </w:r>
      <w:r>
        <w:rPr>
          <w:rFonts w:ascii="宋体" w:hAnsi="宋体" w:cs="宋体" w:eastAsia="宋体" w:hint="default"/>
        </w:rPr>
        <w:t>9</w:t>
      </w:r>
      <w:r>
        <w:rPr>
          <w:rFonts w:ascii="宋体" w:hAnsi="宋体" w:cs="宋体" w:eastAsia="宋体" w:hint="default"/>
          <w:spacing w:val="-43"/>
        </w:rPr>
        <w:t> </w:t>
      </w:r>
      <w:r>
        <w:rPr/>
        <w:t>月</w:t>
      </w:r>
      <w:r>
        <w:rPr>
          <w:spacing w:val="-45"/>
        </w:rPr>
        <w:t> </w:t>
      </w:r>
      <w:r>
        <w:rPr>
          <w:rFonts w:ascii="宋体" w:hAnsi="宋体" w:cs="宋体" w:eastAsia="宋体" w:hint="default"/>
        </w:rPr>
        <w:t>5</w:t>
      </w:r>
      <w:r>
        <w:rPr>
          <w:rFonts w:ascii="宋体" w:hAnsi="宋体" w:cs="宋体" w:eastAsia="宋体" w:hint="default"/>
          <w:spacing w:val="-41"/>
        </w:rPr>
        <w:t> </w:t>
      </w:r>
      <w:r>
        <w:rPr/>
        <w:t>日，公司完成了对</w:t>
      </w:r>
    </w:p>
    <w:p>
      <w:pPr>
        <w:pStyle w:val="BodyText"/>
        <w:spacing w:line="271" w:lineRule="exact"/>
        <w:ind w:right="520"/>
        <w:jc w:val="left"/>
      </w:pPr>
      <w:r>
        <w:rPr>
          <w:rFonts w:ascii="宋体" w:hAnsi="宋体" w:cs="宋体" w:eastAsia="宋体" w:hint="default"/>
        </w:rPr>
        <w:t>134</w:t>
      </w:r>
      <w:r>
        <w:rPr>
          <w:rFonts w:ascii="宋体" w:hAnsi="宋体" w:cs="宋体" w:eastAsia="宋体" w:hint="default"/>
          <w:spacing w:val="-54"/>
        </w:rPr>
        <w:t> </w:t>
      </w:r>
      <w:r>
        <w:rPr/>
        <w:t>名员工</w:t>
      </w:r>
      <w:r>
        <w:rPr>
          <w:spacing w:val="-56"/>
        </w:rPr>
        <w:t> </w:t>
      </w:r>
      <w:r>
        <w:rPr>
          <w:rFonts w:ascii="宋体" w:hAnsi="宋体" w:cs="宋体" w:eastAsia="宋体" w:hint="default"/>
        </w:rPr>
        <w:t>167.7</w:t>
      </w:r>
      <w:r>
        <w:rPr>
          <w:rFonts w:ascii="宋体" w:hAnsi="宋体" w:cs="宋体" w:eastAsia="宋体" w:hint="default"/>
          <w:spacing w:val="-54"/>
        </w:rPr>
        <w:t> </w:t>
      </w:r>
      <w:r>
        <w:rPr/>
        <w:t>万限制性股票的授予登记工作，公司股本由</w:t>
      </w:r>
      <w:r>
        <w:rPr>
          <w:spacing w:val="-53"/>
        </w:rPr>
        <w:t> </w:t>
      </w:r>
      <w:r>
        <w:rPr>
          <w:rFonts w:ascii="宋体" w:hAnsi="宋体" w:cs="宋体" w:eastAsia="宋体" w:hint="default"/>
        </w:rPr>
        <w:t>8,419</w:t>
      </w:r>
      <w:r>
        <w:rPr>
          <w:rFonts w:ascii="宋体" w:hAnsi="宋体" w:cs="宋体" w:eastAsia="宋体" w:hint="default"/>
          <w:spacing w:val="-54"/>
        </w:rPr>
        <w:t> </w:t>
      </w:r>
      <w:r>
        <w:rPr/>
        <w:t>万股变更为</w:t>
      </w:r>
      <w:r>
        <w:rPr>
          <w:spacing w:val="-53"/>
        </w:rPr>
        <w:t> </w:t>
      </w:r>
      <w:r>
        <w:rPr>
          <w:rFonts w:ascii="宋体" w:hAnsi="宋体" w:cs="宋体" w:eastAsia="宋体" w:hint="default"/>
        </w:rPr>
        <w:t>8,586.7</w:t>
      </w:r>
      <w:r>
        <w:rPr>
          <w:rFonts w:ascii="宋体" w:hAnsi="宋体" w:cs="宋体" w:eastAsia="宋体" w:hint="default"/>
          <w:spacing w:val="-54"/>
        </w:rPr>
        <w:t> </w:t>
      </w:r>
      <w:r>
        <w:rPr/>
        <w:t>万股。</w:t>
      </w:r>
    </w:p>
    <w:p>
      <w:pPr>
        <w:spacing w:after="0" w:line="271" w:lineRule="exact"/>
        <w:jc w:val="left"/>
        <w:sectPr>
          <w:type w:val="continuous"/>
          <w:pgSz w:w="11910" w:h="16840"/>
          <w:pgMar w:top="1000" w:bottom="280" w:left="1580" w:right="640"/>
        </w:sectPr>
      </w:pPr>
    </w:p>
    <w:p>
      <w:pPr>
        <w:spacing w:line="240" w:lineRule="auto" w:before="6"/>
        <w:rPr>
          <w:rFonts w:ascii="宋体" w:hAnsi="宋体" w:cs="宋体" w:eastAsia="宋体" w:hint="default"/>
          <w:sz w:val="12"/>
          <w:szCs w:val="12"/>
        </w:rPr>
      </w:pPr>
    </w:p>
    <w:p>
      <w:pPr>
        <w:pStyle w:val="Heading3"/>
        <w:spacing w:line="240" w:lineRule="auto" w:before="36"/>
        <w:ind w:right="0"/>
        <w:jc w:val="both"/>
        <w:rPr>
          <w:b w:val="0"/>
          <w:bCs w:val="0"/>
        </w:rPr>
      </w:pPr>
      <w:r>
        <w:rPr>
          <w:rFonts w:ascii="宋体" w:hAnsi="宋体" w:cs="宋体" w:eastAsia="宋体" w:hint="default"/>
        </w:rPr>
        <w:t>(</w:t>
      </w:r>
      <w:r>
        <w:rPr/>
        <w:t>二</w:t>
      </w:r>
      <w:r>
        <w:rPr>
          <w:rFonts w:ascii="宋体" w:hAnsi="宋体" w:cs="宋体" w:eastAsia="宋体" w:hint="default"/>
        </w:rPr>
        <w:t>)</w:t>
      </w:r>
      <w:r>
        <w:rPr/>
        <w:t>公司普通股股份总数及股东结构变动及公司资产和负债结构的变动情况</w:t>
      </w:r>
      <w:r>
        <w:rPr>
          <w:b w:val="0"/>
          <w:bCs w:val="0"/>
        </w:rPr>
      </w:r>
    </w:p>
    <w:p>
      <w:pPr>
        <w:pStyle w:val="BodyText"/>
        <w:spacing w:line="273" w:lineRule="exact" w:before="58"/>
        <w:ind w:right="0"/>
        <w:jc w:val="both"/>
      </w:pPr>
      <w:r>
        <w:rPr/>
        <w:t>√适用</w:t>
      </w:r>
      <w:r>
        <w:rPr>
          <w:spacing w:val="104"/>
        </w:rPr>
        <w:t> </w:t>
      </w:r>
      <w:r>
        <w:rPr/>
        <w:t>□不适用</w:t>
      </w:r>
    </w:p>
    <w:p>
      <w:pPr>
        <w:pStyle w:val="BodyText"/>
        <w:spacing w:line="272" w:lineRule="exact"/>
        <w:ind w:right="0"/>
        <w:jc w:val="both"/>
      </w:pPr>
      <w:r>
        <w:rPr/>
        <w:t>公司公开发行股票后，公司注册资本由人民币</w:t>
      </w:r>
      <w:r>
        <w:rPr>
          <w:spacing w:val="-55"/>
        </w:rPr>
        <w:t> </w:t>
      </w:r>
      <w:r>
        <w:rPr>
          <w:rFonts w:ascii="宋体" w:hAnsi="宋体" w:cs="宋体" w:eastAsia="宋体" w:hint="default"/>
        </w:rPr>
        <w:t>6,314</w:t>
      </w:r>
      <w:r>
        <w:rPr>
          <w:rFonts w:ascii="宋体" w:hAnsi="宋体" w:cs="宋体" w:eastAsia="宋体" w:hint="default"/>
          <w:spacing w:val="-54"/>
        </w:rPr>
        <w:t> </w:t>
      </w:r>
      <w:r>
        <w:rPr/>
        <w:t>万元增加至人民币</w:t>
      </w:r>
      <w:r>
        <w:rPr>
          <w:spacing w:val="-57"/>
        </w:rPr>
        <w:t> </w:t>
      </w:r>
      <w:r>
        <w:rPr>
          <w:rFonts w:ascii="宋体" w:hAnsi="宋体" w:cs="宋体" w:eastAsia="宋体" w:hint="default"/>
        </w:rPr>
        <w:t>8,419</w:t>
      </w:r>
      <w:r>
        <w:rPr>
          <w:rFonts w:ascii="宋体" w:hAnsi="宋体" w:cs="宋体" w:eastAsia="宋体" w:hint="default"/>
          <w:spacing w:val="-54"/>
        </w:rPr>
        <w:t> </w:t>
      </w:r>
      <w:r>
        <w:rPr/>
        <w:t>万元，公司股份总</w:t>
      </w:r>
    </w:p>
    <w:p>
      <w:pPr>
        <w:pStyle w:val="BodyText"/>
        <w:spacing w:line="272" w:lineRule="exact"/>
        <w:ind w:right="0"/>
        <w:jc w:val="both"/>
      </w:pPr>
      <w:r>
        <w:rPr/>
        <w:t>数由</w:t>
      </w:r>
      <w:r>
        <w:rPr>
          <w:spacing w:val="-55"/>
        </w:rPr>
        <w:t> </w:t>
      </w:r>
      <w:r>
        <w:rPr>
          <w:rFonts w:ascii="宋体" w:hAnsi="宋体" w:cs="宋体" w:eastAsia="宋体" w:hint="default"/>
        </w:rPr>
        <w:t>6,314</w:t>
      </w:r>
      <w:r>
        <w:rPr>
          <w:rFonts w:ascii="宋体" w:hAnsi="宋体" w:cs="宋体" w:eastAsia="宋体" w:hint="default"/>
          <w:spacing w:val="-57"/>
        </w:rPr>
        <w:t> </w:t>
      </w:r>
      <w:r>
        <w:rPr/>
        <w:t>万股增加至</w:t>
      </w:r>
      <w:r>
        <w:rPr>
          <w:spacing w:val="-54"/>
        </w:rPr>
        <w:t> </w:t>
      </w:r>
      <w:r>
        <w:rPr>
          <w:rFonts w:ascii="宋体" w:hAnsi="宋体" w:cs="宋体" w:eastAsia="宋体" w:hint="default"/>
        </w:rPr>
        <w:t>8,419</w:t>
      </w:r>
      <w:r>
        <w:rPr>
          <w:rFonts w:ascii="宋体" w:hAnsi="宋体" w:cs="宋体" w:eastAsia="宋体" w:hint="default"/>
          <w:spacing w:val="-55"/>
        </w:rPr>
        <w:t> </w:t>
      </w:r>
      <w:r>
        <w:rPr/>
        <w:t>万股；报告期内，公司因实施股权激励计划，导致公司股份总数及</w:t>
      </w:r>
    </w:p>
    <w:p>
      <w:pPr>
        <w:pStyle w:val="BodyText"/>
        <w:spacing w:line="237" w:lineRule="auto"/>
        <w:ind w:right="227"/>
        <w:jc w:val="both"/>
      </w:pPr>
      <w:r>
        <w:rPr/>
        <w:t>有限售条件股份数相应增加</w:t>
      </w:r>
      <w:r>
        <w:rPr>
          <w:spacing w:val="-55"/>
        </w:rPr>
        <w:t> </w:t>
      </w:r>
      <w:r>
        <w:rPr>
          <w:rFonts w:ascii="宋体" w:hAnsi="宋体" w:cs="宋体" w:eastAsia="宋体" w:hint="default"/>
        </w:rPr>
        <w:t>167.7</w:t>
      </w:r>
      <w:r>
        <w:rPr>
          <w:rFonts w:ascii="宋体" w:hAnsi="宋体" w:cs="宋体" w:eastAsia="宋体" w:hint="default"/>
          <w:spacing w:val="-55"/>
        </w:rPr>
        <w:t> </w:t>
      </w:r>
      <w:r>
        <w:rPr/>
        <w:t>万股，本次股份变动前后公司实际控制人未发生变化，股份数</w:t>
      </w:r>
      <w:r>
        <w:rPr>
          <w:w w:val="100"/>
        </w:rPr>
        <w:t> </w:t>
      </w:r>
      <w:r>
        <w:rPr/>
        <w:t>量及股东结构的变化详见本节“一、</w:t>
      </w:r>
      <w:r>
        <w:rPr>
          <w:spacing w:val="-9"/>
        </w:rPr>
        <w:t> </w:t>
      </w:r>
      <w:r>
        <w:rPr>
          <w:spacing w:val="-4"/>
        </w:rPr>
        <w:t>普通股股本变动情况”之“普通股股本变动情况表”。报告</w:t>
      </w:r>
      <w:r>
        <w:rPr>
          <w:spacing w:val="-93"/>
        </w:rPr>
        <w:t> </w:t>
      </w:r>
      <w:r>
        <w:rPr>
          <w:spacing w:val="-93"/>
        </w:rPr>
      </w:r>
      <w:r>
        <w:rPr/>
        <w:t>期，公司资产和负债结构的变动情况如下：</w:t>
      </w:r>
      <w:r>
        <w:rPr>
          <w:rFonts w:ascii="宋体" w:hAnsi="宋体" w:cs="宋体" w:eastAsia="宋体" w:hint="default"/>
        </w:rPr>
        <w:t>2016</w:t>
      </w:r>
      <w:r>
        <w:rPr>
          <w:rFonts w:ascii="宋体" w:hAnsi="宋体" w:cs="宋体" w:eastAsia="宋体" w:hint="default"/>
          <w:spacing w:val="-57"/>
        </w:rPr>
        <w:t> </w:t>
      </w:r>
      <w:r>
        <w:rPr/>
        <w:t>年末公司资产负债率为</w:t>
      </w:r>
      <w:r>
        <w:rPr>
          <w:spacing w:val="-55"/>
        </w:rPr>
        <w:t> </w:t>
      </w:r>
      <w:r>
        <w:rPr>
          <w:rFonts w:ascii="宋体" w:hAnsi="宋体" w:cs="宋体" w:eastAsia="宋体" w:hint="default"/>
        </w:rPr>
        <w:t>24.54%</w:t>
      </w:r>
      <w:r>
        <w:rPr/>
        <w:t>，</w:t>
      </w:r>
      <w:r>
        <w:rPr>
          <w:rFonts w:ascii="宋体" w:hAnsi="宋体" w:cs="宋体" w:eastAsia="宋体" w:hint="default"/>
        </w:rPr>
        <w:t>2017</w:t>
      </w:r>
      <w:r>
        <w:rPr>
          <w:rFonts w:ascii="宋体" w:hAnsi="宋体" w:cs="宋体" w:eastAsia="宋体" w:hint="default"/>
          <w:spacing w:val="-57"/>
        </w:rPr>
        <w:t> </w:t>
      </w:r>
      <w:r>
        <w:rPr/>
        <w:t>年末，公</w:t>
      </w:r>
      <w:r>
        <w:rPr>
          <w:w w:val="100"/>
        </w:rPr>
        <w:t> </w:t>
      </w:r>
      <w:r>
        <w:rPr/>
        <w:t>司资产负债率为</w:t>
      </w:r>
      <w:r>
        <w:rPr>
          <w:spacing w:val="-54"/>
        </w:rPr>
        <w:t> </w:t>
      </w:r>
      <w:r>
        <w:rPr>
          <w:rFonts w:ascii="宋体" w:hAnsi="宋体" w:cs="宋体" w:eastAsia="宋体" w:hint="default"/>
        </w:rPr>
        <w:t>18.80%</w:t>
      </w:r>
      <w:r>
        <w:rPr/>
        <w:t>。</w:t>
      </w:r>
    </w:p>
    <w:p>
      <w:pPr>
        <w:spacing w:line="240" w:lineRule="auto" w:before="3"/>
        <w:rPr>
          <w:rFonts w:ascii="宋体" w:hAnsi="宋体" w:cs="宋体" w:eastAsia="宋体" w:hint="default"/>
          <w:sz w:val="25"/>
          <w:szCs w:val="25"/>
        </w:rPr>
      </w:pPr>
    </w:p>
    <w:p>
      <w:pPr>
        <w:pStyle w:val="Heading3"/>
        <w:spacing w:line="240" w:lineRule="auto"/>
        <w:ind w:right="0"/>
        <w:jc w:val="both"/>
        <w:rPr>
          <w:b w:val="0"/>
          <w:bCs w:val="0"/>
        </w:rPr>
      </w:pPr>
      <w:r>
        <w:rPr>
          <w:rFonts w:ascii="宋体" w:hAnsi="宋体" w:cs="宋体" w:eastAsia="宋体" w:hint="default"/>
        </w:rPr>
        <w:t>(</w:t>
      </w:r>
      <w:r>
        <w:rPr/>
        <w:t>三</w:t>
      </w:r>
      <w:r>
        <w:rPr>
          <w:rFonts w:ascii="宋体" w:hAnsi="宋体" w:cs="宋体" w:eastAsia="宋体" w:hint="default"/>
        </w:rPr>
        <w:t>)</w:t>
      </w:r>
      <w:r>
        <w:rPr/>
        <w:t>现存的内部职工股情况</w:t>
      </w:r>
      <w:r>
        <w:rPr>
          <w:b w:val="0"/>
          <w:bCs w:val="0"/>
        </w:rPr>
      </w:r>
    </w:p>
    <w:p>
      <w:pPr>
        <w:pStyle w:val="BodyText"/>
        <w:spacing w:line="240" w:lineRule="auto" w:before="56"/>
        <w:ind w:right="0"/>
        <w:jc w:val="both"/>
      </w:pPr>
      <w:r>
        <w:rPr/>
        <w:t>□适用</w:t>
      </w:r>
      <w:r>
        <w:rPr>
          <w:spacing w:val="-1"/>
        </w:rPr>
        <w:t> </w:t>
      </w:r>
      <w:r>
        <w:rPr/>
        <w:t>√不适用</w:t>
      </w:r>
    </w:p>
    <w:p>
      <w:pPr>
        <w:pStyle w:val="Heading3"/>
        <w:spacing w:line="240" w:lineRule="auto" w:before="59"/>
        <w:ind w:right="0"/>
        <w:jc w:val="both"/>
        <w:rPr>
          <w:b w:val="0"/>
          <w:bCs w:val="0"/>
        </w:rPr>
      </w:pPr>
      <w:r>
        <w:rPr/>
        <w:t>三、</w:t>
      </w:r>
      <w:r>
        <w:rPr>
          <w:spacing w:val="-80"/>
        </w:rPr>
        <w:t> </w:t>
      </w:r>
      <w:r>
        <w:rPr/>
        <w:t>股东和实际控制人情况</w:t>
      </w:r>
      <w:r>
        <w:rPr>
          <w:b w:val="0"/>
          <w:bCs w:val="0"/>
        </w:rPr>
      </w:r>
    </w:p>
    <w:p>
      <w:pPr>
        <w:pStyle w:val="Heading3"/>
        <w:spacing w:line="240" w:lineRule="auto" w:before="56"/>
        <w:ind w:right="0"/>
        <w:jc w:val="both"/>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9"/>
        </w:rPr>
        <w:t> </w:t>
      </w:r>
      <w:r>
        <w:rPr/>
        <w:t>股东总数</w:t>
      </w:r>
      <w:r>
        <w:rPr>
          <w:b w:val="0"/>
          <w:bCs w:val="0"/>
        </w:rPr>
      </w:r>
    </w:p>
    <w:p>
      <w:pPr>
        <w:spacing w:line="240" w:lineRule="auto" w:before="1"/>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截止报告期末普通股股东总数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8,957</w:t>
            </w:r>
          </w:p>
        </w:tc>
      </w:tr>
      <w:tr>
        <w:trPr>
          <w:trHeight w:val="55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年度报告披露日前上一月末的普通股股东总数</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8,928</w:t>
            </w:r>
          </w:p>
        </w:tc>
      </w:tr>
      <w:tr>
        <w:trPr>
          <w:trHeight w:val="55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截止报告期末表决权恢复的优先股股东总数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（户）</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r>
      <w:tr>
        <w:trPr>
          <w:trHeight w:val="557"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年度报告披露日前上一月末表决权恢复的优先</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股股东总数（户）</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r>
    </w:tbl>
    <w:p>
      <w:pPr>
        <w:spacing w:line="240" w:lineRule="auto" w:before="12"/>
        <w:rPr>
          <w:rFonts w:ascii="宋体" w:hAnsi="宋体" w:cs="宋体" w:eastAsia="宋体" w:hint="default"/>
          <w:b/>
          <w:bCs/>
          <w:sz w:val="19"/>
          <w:szCs w:val="19"/>
        </w:rPr>
      </w:pPr>
    </w:p>
    <w:p>
      <w:pPr>
        <w:spacing w:after="0" w:line="240" w:lineRule="auto"/>
        <w:rPr>
          <w:rFonts w:ascii="宋体" w:hAnsi="宋体" w:cs="宋体" w:eastAsia="宋体" w:hint="default"/>
          <w:sz w:val="19"/>
          <w:szCs w:val="19"/>
        </w:rPr>
        <w:sectPr>
          <w:pgSz w:w="11910" w:h="16840"/>
          <w:pgMar w:header="855" w:footer="1195" w:top="1280" w:bottom="1380" w:left="1580" w:right="1040"/>
        </w:sectPr>
      </w:pPr>
    </w:p>
    <w:p>
      <w:pPr>
        <w:pStyle w:val="Heading3"/>
        <w:spacing w:line="240" w:lineRule="auto" w:before="36"/>
        <w:ind w:right="-15"/>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2"/>
        </w:rPr>
        <w:t> </w:t>
      </w:r>
      <w:r>
        <w:rPr/>
        <w:t>截止报告期末前十名股东、前十名流通股东（或无限售条件股东）持股情况表</w:t>
      </w:r>
      <w:r>
        <w:rPr>
          <w:b w:val="0"/>
          <w:bCs w:val="0"/>
        </w:rPr>
      </w:r>
    </w:p>
    <w:p>
      <w:pPr>
        <w:spacing w:line="240" w:lineRule="auto" w:before="4"/>
        <w:rPr>
          <w:rFonts w:ascii="宋体" w:hAnsi="宋体" w:cs="宋体" w:eastAsia="宋体" w:hint="default"/>
          <w:b/>
          <w:bCs/>
          <w:sz w:val="28"/>
          <w:szCs w:val="28"/>
        </w:rPr>
      </w:pPr>
      <w:r>
        <w:rPr/>
        <w:br w:type="column"/>
      </w:r>
      <w:r>
        <w:rPr>
          <w:rFonts w:ascii="宋体"/>
          <w:b/>
          <w:sz w:val="28"/>
        </w:rPr>
      </w:r>
    </w:p>
    <w:p>
      <w:pPr>
        <w:pStyle w:val="BodyText"/>
        <w:spacing w:line="240" w:lineRule="auto"/>
        <w:ind w:right="0"/>
        <w:jc w:val="left"/>
      </w:pPr>
      <w:r>
        <w:rPr/>
        <w:t>单位</w:t>
      </w:r>
      <w:r>
        <w:rPr>
          <w:rFonts w:ascii="宋体" w:hAnsi="宋体" w:cs="宋体" w:eastAsia="宋体" w:hint="default"/>
        </w:rPr>
        <w:t>:</w:t>
      </w:r>
      <w:r>
        <w:rPr/>
        <w:t>股</w:t>
      </w:r>
    </w:p>
    <w:p>
      <w:pPr>
        <w:spacing w:after="0" w:line="240" w:lineRule="auto"/>
        <w:jc w:val="left"/>
        <w:sectPr>
          <w:type w:val="continuous"/>
          <w:pgSz w:w="11910" w:h="16840"/>
          <w:pgMar w:top="1000" w:bottom="280" w:left="1580" w:right="1040"/>
          <w:cols w:num="2" w:equalWidth="0">
            <w:col w:w="7813" w:space="287"/>
            <w:col w:w="1190"/>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102"/>
        <w:gridCol w:w="1275"/>
        <w:gridCol w:w="1277"/>
        <w:gridCol w:w="850"/>
        <w:gridCol w:w="1277"/>
        <w:gridCol w:w="1109"/>
        <w:gridCol w:w="848"/>
        <w:gridCol w:w="1313"/>
      </w:tblGrid>
      <w:tr>
        <w:trPr>
          <w:trHeight w:val="283" w:hRule="exact"/>
        </w:trPr>
        <w:tc>
          <w:tcPr>
            <w:tcW w:w="90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前十名股东持股情况</w:t>
            </w:r>
          </w:p>
        </w:tc>
      </w:tr>
      <w:tr>
        <w:trPr>
          <w:trHeight w:val="281" w:hRule="exact"/>
        </w:trPr>
        <w:tc>
          <w:tcPr>
            <w:tcW w:w="1102" w:type="dxa"/>
            <w:vMerge w:val="restart"/>
            <w:tcBorders>
              <w:top w:val="single" w:sz="4" w:space="0" w:color="000000"/>
              <w:left w:val="single" w:sz="4" w:space="0" w:color="000000"/>
              <w:right w:val="single" w:sz="4" w:space="0" w:color="000000"/>
            </w:tcBorders>
          </w:tcPr>
          <w:p>
            <w:pPr>
              <w:pStyle w:val="TableParagraph"/>
              <w:spacing w:line="273" w:lineRule="exact" w:before="107"/>
              <w:ind w:left="124" w:right="0"/>
              <w:jc w:val="left"/>
              <w:rPr>
                <w:rFonts w:ascii="宋体" w:hAnsi="宋体" w:cs="宋体" w:eastAsia="宋体" w:hint="default"/>
                <w:sz w:val="21"/>
                <w:szCs w:val="21"/>
              </w:rPr>
            </w:pPr>
            <w:r>
              <w:rPr>
                <w:rFonts w:ascii="宋体" w:hAnsi="宋体" w:cs="宋体" w:eastAsia="宋体" w:hint="default"/>
                <w:sz w:val="21"/>
                <w:szCs w:val="21"/>
              </w:rPr>
              <w:t>股东名称</w:t>
            </w:r>
          </w:p>
          <w:p>
            <w:pPr>
              <w:pStyle w:val="TableParagraph"/>
              <w:spacing w:line="273" w:lineRule="exact"/>
              <w:ind w:left="124" w:right="0"/>
              <w:jc w:val="left"/>
              <w:rPr>
                <w:rFonts w:ascii="宋体" w:hAnsi="宋体" w:cs="宋体" w:eastAsia="宋体" w:hint="default"/>
                <w:sz w:val="21"/>
                <w:szCs w:val="21"/>
              </w:rPr>
            </w:pPr>
            <w:r>
              <w:rPr>
                <w:rFonts w:ascii="宋体" w:hAnsi="宋体" w:cs="宋体" w:eastAsia="宋体" w:hint="default"/>
                <w:sz w:val="21"/>
                <w:szCs w:val="21"/>
              </w:rPr>
              <w:t>（全称）</w:t>
            </w:r>
          </w:p>
        </w:tc>
        <w:tc>
          <w:tcPr>
            <w:tcW w:w="1275" w:type="dxa"/>
            <w:vMerge w:val="restart"/>
            <w:tcBorders>
              <w:top w:val="single" w:sz="4" w:space="0" w:color="000000"/>
              <w:left w:val="single" w:sz="4" w:space="0" w:color="000000"/>
              <w:right w:val="single" w:sz="4" w:space="0" w:color="000000"/>
            </w:tcBorders>
          </w:tcPr>
          <w:p>
            <w:pPr>
              <w:pStyle w:val="TableParagraph"/>
              <w:spacing w:line="272" w:lineRule="exact" w:before="135"/>
              <w:ind w:left="523" w:right="106" w:hanging="420"/>
              <w:jc w:val="left"/>
              <w:rPr>
                <w:rFonts w:ascii="宋体" w:hAnsi="宋体" w:cs="宋体" w:eastAsia="宋体" w:hint="default"/>
                <w:sz w:val="21"/>
                <w:szCs w:val="21"/>
              </w:rPr>
            </w:pPr>
            <w:r>
              <w:rPr>
                <w:rFonts w:ascii="宋体" w:hAnsi="宋体" w:cs="宋体" w:eastAsia="宋体" w:hint="default"/>
                <w:sz w:val="21"/>
                <w:szCs w:val="21"/>
              </w:rPr>
              <w:t>报告期内增</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减</w:t>
            </w:r>
          </w:p>
        </w:tc>
        <w:tc>
          <w:tcPr>
            <w:tcW w:w="1277" w:type="dxa"/>
            <w:vMerge w:val="restart"/>
            <w:tcBorders>
              <w:top w:val="single" w:sz="4" w:space="0" w:color="000000"/>
              <w:left w:val="single" w:sz="4" w:space="0" w:color="000000"/>
              <w:right w:val="single" w:sz="4" w:space="0" w:color="000000"/>
            </w:tcBorders>
          </w:tcPr>
          <w:p>
            <w:pPr>
              <w:pStyle w:val="TableParagraph"/>
              <w:spacing w:line="272" w:lineRule="exact" w:before="135"/>
              <w:ind w:left="527" w:right="103" w:hanging="420"/>
              <w:jc w:val="left"/>
              <w:rPr>
                <w:rFonts w:ascii="宋体" w:hAnsi="宋体" w:cs="宋体" w:eastAsia="宋体" w:hint="default"/>
                <w:sz w:val="21"/>
                <w:szCs w:val="21"/>
              </w:rPr>
            </w:pPr>
            <w:r>
              <w:rPr>
                <w:rFonts w:ascii="宋体" w:hAnsi="宋体" w:cs="宋体" w:eastAsia="宋体" w:hint="default"/>
                <w:sz w:val="21"/>
                <w:szCs w:val="21"/>
              </w:rPr>
              <w:t>期末持股数</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量</w:t>
            </w:r>
          </w:p>
        </w:tc>
        <w:tc>
          <w:tcPr>
            <w:tcW w:w="850" w:type="dxa"/>
            <w:vMerge w:val="restart"/>
            <w:tcBorders>
              <w:top w:val="single" w:sz="4" w:space="0" w:color="000000"/>
              <w:left w:val="single" w:sz="4" w:space="0" w:color="000000"/>
              <w:right w:val="single" w:sz="4" w:space="0" w:color="000000"/>
            </w:tcBorders>
          </w:tcPr>
          <w:p>
            <w:pPr>
              <w:pStyle w:val="TableParagraph"/>
              <w:spacing w:line="272" w:lineRule="exact" w:before="135"/>
              <w:ind w:left="261" w:right="206"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277" w:type="dxa"/>
            <w:vMerge w:val="restart"/>
            <w:tcBorders>
              <w:top w:val="single" w:sz="4" w:space="0" w:color="000000"/>
              <w:left w:val="single" w:sz="4" w:space="0" w:color="000000"/>
              <w:right w:val="single" w:sz="4" w:space="0" w:color="000000"/>
            </w:tcBorders>
          </w:tcPr>
          <w:p>
            <w:pPr>
              <w:pStyle w:val="TableParagraph"/>
              <w:spacing w:line="245" w:lineRule="exact"/>
              <w:ind w:left="105" w:right="0"/>
              <w:jc w:val="left"/>
              <w:rPr>
                <w:rFonts w:ascii="宋体" w:hAnsi="宋体" w:cs="宋体" w:eastAsia="宋体" w:hint="default"/>
                <w:sz w:val="21"/>
                <w:szCs w:val="21"/>
              </w:rPr>
            </w:pPr>
            <w:r>
              <w:rPr>
                <w:rFonts w:ascii="宋体" w:hAnsi="宋体" w:cs="宋体" w:eastAsia="宋体" w:hint="default"/>
                <w:sz w:val="21"/>
                <w:szCs w:val="21"/>
              </w:rPr>
              <w:t>持有有限售</w:t>
            </w:r>
          </w:p>
          <w:p>
            <w:pPr>
              <w:pStyle w:val="TableParagraph"/>
              <w:spacing w:line="272" w:lineRule="exact" w:before="27"/>
              <w:ind w:left="525" w:right="106" w:hanging="421"/>
              <w:jc w:val="left"/>
              <w:rPr>
                <w:rFonts w:ascii="宋体" w:hAnsi="宋体" w:cs="宋体" w:eastAsia="宋体" w:hint="default"/>
                <w:sz w:val="21"/>
                <w:szCs w:val="21"/>
              </w:rPr>
            </w:pPr>
            <w:r>
              <w:rPr>
                <w:rFonts w:ascii="宋体" w:hAnsi="宋体" w:cs="宋体" w:eastAsia="宋体" w:hint="default"/>
                <w:sz w:val="21"/>
                <w:szCs w:val="21"/>
              </w:rPr>
              <w:t>条件股份数</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量</w:t>
            </w:r>
          </w:p>
        </w:tc>
        <w:tc>
          <w:tcPr>
            <w:tcW w:w="19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质押或冻结情况</w:t>
            </w:r>
          </w:p>
        </w:tc>
        <w:tc>
          <w:tcPr>
            <w:tcW w:w="1313" w:type="dxa"/>
            <w:vMerge w:val="restart"/>
            <w:tcBorders>
              <w:top w:val="single" w:sz="4" w:space="0" w:color="000000"/>
              <w:left w:val="single" w:sz="4" w:space="0" w:color="000000"/>
              <w:right w:val="single" w:sz="4" w:space="0" w:color="000000"/>
            </w:tcBorders>
          </w:tcPr>
          <w:p>
            <w:pPr>
              <w:pStyle w:val="TableParagraph"/>
              <w:spacing w:line="272" w:lineRule="exact" w:before="135"/>
              <w:ind w:left="439" w:right="439"/>
              <w:jc w:val="center"/>
              <w:rPr>
                <w:rFonts w:ascii="宋体" w:hAnsi="宋体" w:cs="宋体" w:eastAsia="宋体" w:hint="default"/>
                <w:sz w:val="21"/>
                <w:szCs w:val="21"/>
              </w:rPr>
            </w:pPr>
            <w:r>
              <w:rPr>
                <w:rFonts w:ascii="宋体" w:hAnsi="宋体" w:cs="宋体" w:eastAsia="宋体" w:hint="default"/>
                <w:sz w:val="21"/>
                <w:szCs w:val="21"/>
              </w:rPr>
              <w:t>股东</w:t>
            </w:r>
            <w:r>
              <w:rPr>
                <w:rFonts w:ascii="宋体" w:hAnsi="宋体" w:cs="宋体" w:eastAsia="宋体" w:hint="default"/>
                <w:w w:val="100"/>
                <w:sz w:val="21"/>
                <w:szCs w:val="21"/>
              </w:rPr>
              <w:t> </w:t>
            </w:r>
            <w:r>
              <w:rPr>
                <w:rFonts w:ascii="宋体" w:hAnsi="宋体" w:cs="宋体" w:eastAsia="宋体" w:hint="default"/>
                <w:sz w:val="21"/>
                <w:szCs w:val="21"/>
              </w:rPr>
              <w:t>性质</w:t>
            </w:r>
          </w:p>
        </w:tc>
      </w:tr>
      <w:tr>
        <w:trPr>
          <w:trHeight w:val="557" w:hRule="exact"/>
        </w:trPr>
        <w:tc>
          <w:tcPr>
            <w:tcW w:w="1102" w:type="dxa"/>
            <w:vMerge/>
            <w:tcBorders>
              <w:left w:val="single" w:sz="4" w:space="0" w:color="000000"/>
              <w:bottom w:val="single" w:sz="4" w:space="0" w:color="000000"/>
              <w:right w:val="single" w:sz="4" w:space="0" w:color="000000"/>
            </w:tcBorders>
          </w:tcPr>
          <w:p>
            <w:pPr/>
          </w:p>
        </w:tc>
        <w:tc>
          <w:tcPr>
            <w:tcW w:w="1275"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5" w:right="0"/>
              <w:jc w:val="left"/>
              <w:rPr>
                <w:rFonts w:ascii="宋体" w:hAnsi="宋体" w:cs="宋体" w:eastAsia="宋体" w:hint="default"/>
                <w:sz w:val="21"/>
                <w:szCs w:val="21"/>
              </w:rPr>
            </w:pPr>
            <w:r>
              <w:rPr>
                <w:rFonts w:ascii="宋体" w:hAnsi="宋体" w:cs="宋体" w:eastAsia="宋体" w:hint="default"/>
                <w:sz w:val="21"/>
                <w:szCs w:val="21"/>
              </w:rPr>
              <w:t>股份</w:t>
            </w:r>
          </w:p>
          <w:p>
            <w:pPr>
              <w:pStyle w:val="TableParagraph"/>
              <w:spacing w:line="273" w:lineRule="exact"/>
              <w:ind w:left="335" w:right="0"/>
              <w:jc w:val="left"/>
              <w:rPr>
                <w:rFonts w:ascii="宋体" w:hAnsi="宋体" w:cs="宋体" w:eastAsia="宋体" w:hint="default"/>
                <w:sz w:val="21"/>
                <w:szCs w:val="21"/>
              </w:rPr>
            </w:pPr>
            <w:r>
              <w:rPr>
                <w:rFonts w:ascii="宋体" w:hAnsi="宋体" w:cs="宋体" w:eastAsia="宋体" w:hint="default"/>
                <w:sz w:val="21"/>
                <w:szCs w:val="21"/>
              </w:rPr>
              <w:t>状态</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08"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1313" w:type="dxa"/>
            <w:vMerge/>
            <w:tcBorders>
              <w:left w:val="single" w:sz="4" w:space="0" w:color="000000"/>
              <w:bottom w:val="single" w:sz="4" w:space="0" w:color="000000"/>
              <w:right w:val="single" w:sz="4" w:space="0" w:color="000000"/>
            </w:tcBorders>
          </w:tcPr>
          <w:p>
            <w:pPr/>
          </w:p>
        </w:tc>
      </w:tr>
      <w:tr>
        <w:trPr>
          <w:trHeight w:val="281"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严孟宇</w:t>
            </w: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18,040,000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21.01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18,040,000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境内自然人</w:t>
            </w:r>
          </w:p>
        </w:tc>
      </w:tr>
      <w:tr>
        <w:trPr>
          <w:trHeight w:val="55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金石投资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13,140,000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15.30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13,140,000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境内非国有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法人</w:t>
            </w:r>
          </w:p>
        </w:tc>
      </w:tr>
      <w:tr>
        <w:trPr>
          <w:trHeight w:val="828"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福州爱派</w:t>
            </w:r>
          </w:p>
          <w:p>
            <w:pPr>
              <w:pStyle w:val="TableParagraph"/>
              <w:spacing w:line="240" w:lineRule="auto"/>
              <w:ind w:left="103" w:right="144"/>
              <w:jc w:val="left"/>
              <w:rPr>
                <w:rFonts w:ascii="宋体" w:hAnsi="宋体" w:cs="宋体" w:eastAsia="宋体" w:hint="default"/>
                <w:sz w:val="21"/>
                <w:szCs w:val="21"/>
              </w:rPr>
            </w:pPr>
            <w:r>
              <w:rPr>
                <w:rFonts w:ascii="宋体" w:hAnsi="宋体" w:cs="宋体" w:eastAsia="宋体" w:hint="default"/>
                <w:sz w:val="21"/>
                <w:szCs w:val="21"/>
              </w:rPr>
              <w:t>克电子有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12,240,000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14.25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12,240,000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境内非国有</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法人</w:t>
            </w:r>
          </w:p>
        </w:tc>
      </w:tr>
      <w:tr>
        <w:trPr>
          <w:trHeight w:val="28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赵伟</w:t>
            </w: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6,180,000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7.20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6,180,000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境内自然人</w:t>
            </w:r>
          </w:p>
        </w:tc>
      </w:tr>
      <w:tr>
        <w:trPr>
          <w:trHeight w:val="281"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雷世潘</w:t>
            </w: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2,780,000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3.24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2,780,000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境内自然人</w:t>
            </w: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赵莹</w:t>
            </w: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2.10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1,800,000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境内自然人</w:t>
            </w: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余养成</w:t>
            </w: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1,740,000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1,740,000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185000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境内自然人</w:t>
            </w:r>
          </w:p>
        </w:tc>
      </w:tr>
      <w:tr>
        <w:trPr>
          <w:trHeight w:val="2460"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中信信托</w:t>
            </w:r>
          </w:p>
          <w:p>
            <w:pPr>
              <w:pStyle w:val="TableParagraph"/>
              <w:spacing w:line="237" w:lineRule="auto"/>
              <w:ind w:left="103" w:right="144"/>
              <w:jc w:val="both"/>
              <w:rPr>
                <w:rFonts w:ascii="宋体" w:hAnsi="宋体" w:cs="宋体" w:eastAsia="宋体" w:hint="default"/>
                <w:sz w:val="21"/>
                <w:szCs w:val="21"/>
              </w:rPr>
            </w:pPr>
            <w:r>
              <w:rPr>
                <w:rFonts w:ascii="宋体" w:hAnsi="宋体" w:cs="宋体" w:eastAsia="宋体" w:hint="default"/>
                <w:sz w:val="21"/>
                <w:szCs w:val="21"/>
              </w:rPr>
              <w:t>有限责任</w:t>
            </w:r>
            <w:r>
              <w:rPr>
                <w:rFonts w:ascii="宋体" w:hAnsi="宋体" w:cs="宋体" w:eastAsia="宋体" w:hint="default"/>
                <w:w w:val="100"/>
                <w:sz w:val="21"/>
                <w:szCs w:val="21"/>
              </w:rPr>
              <w:t> </w:t>
            </w:r>
            <w:r>
              <w:rPr>
                <w:rFonts w:ascii="宋体" w:hAnsi="宋体" w:cs="宋体" w:eastAsia="宋体" w:hint="default"/>
                <w:sz w:val="21"/>
                <w:szCs w:val="21"/>
              </w:rPr>
              <w:t>公司－中</w:t>
            </w:r>
            <w:r>
              <w:rPr>
                <w:rFonts w:ascii="宋体" w:hAnsi="宋体" w:cs="宋体" w:eastAsia="宋体" w:hint="default"/>
                <w:w w:val="100"/>
                <w:sz w:val="21"/>
                <w:szCs w:val="21"/>
              </w:rPr>
              <w:t> </w:t>
            </w:r>
            <w:r>
              <w:rPr>
                <w:rFonts w:ascii="宋体" w:hAnsi="宋体" w:cs="宋体" w:eastAsia="宋体" w:hint="default"/>
                <w:sz w:val="21"/>
                <w:szCs w:val="21"/>
              </w:rPr>
              <w:t>信信托成</w:t>
            </w:r>
            <w:r>
              <w:rPr>
                <w:rFonts w:ascii="宋体" w:hAnsi="宋体" w:cs="宋体" w:eastAsia="宋体" w:hint="default"/>
                <w:w w:val="100"/>
                <w:sz w:val="21"/>
                <w:szCs w:val="21"/>
              </w:rPr>
              <w:t> </w:t>
            </w:r>
            <w:r>
              <w:rPr>
                <w:rFonts w:ascii="宋体" w:hAnsi="宋体" w:cs="宋体" w:eastAsia="宋体" w:hint="default"/>
                <w:sz w:val="21"/>
                <w:szCs w:val="21"/>
              </w:rPr>
              <w:t>泉汇涌八</w:t>
            </w:r>
            <w:r>
              <w:rPr>
                <w:rFonts w:ascii="宋体" w:hAnsi="宋体" w:cs="宋体" w:eastAsia="宋体" w:hint="default"/>
                <w:w w:val="100"/>
                <w:sz w:val="21"/>
                <w:szCs w:val="21"/>
              </w:rPr>
              <w:t> </w:t>
            </w:r>
            <w:r>
              <w:rPr>
                <w:rFonts w:ascii="宋体" w:hAnsi="宋体" w:cs="宋体" w:eastAsia="宋体" w:hint="default"/>
                <w:sz w:val="21"/>
                <w:szCs w:val="21"/>
              </w:rPr>
              <w:t>期金融投</w:t>
            </w:r>
            <w:r>
              <w:rPr>
                <w:rFonts w:ascii="宋体" w:hAnsi="宋体" w:cs="宋体" w:eastAsia="宋体" w:hint="default"/>
                <w:w w:val="100"/>
                <w:sz w:val="21"/>
                <w:szCs w:val="21"/>
              </w:rPr>
              <w:t> </w:t>
            </w:r>
            <w:r>
              <w:rPr>
                <w:rFonts w:ascii="宋体" w:hAnsi="宋体" w:cs="宋体" w:eastAsia="宋体" w:hint="default"/>
                <w:sz w:val="21"/>
                <w:szCs w:val="21"/>
              </w:rPr>
              <w:t>资集合资</w:t>
            </w:r>
            <w:r>
              <w:rPr>
                <w:rFonts w:ascii="宋体" w:hAnsi="宋体" w:cs="宋体" w:eastAsia="宋体" w:hint="default"/>
                <w:w w:val="100"/>
                <w:sz w:val="21"/>
                <w:szCs w:val="21"/>
              </w:rPr>
              <w:t> </w:t>
            </w:r>
            <w:r>
              <w:rPr>
                <w:rFonts w:ascii="宋体" w:hAnsi="宋体" w:cs="宋体" w:eastAsia="宋体" w:hint="default"/>
                <w:sz w:val="21"/>
                <w:szCs w:val="21"/>
              </w:rPr>
              <w:t>金信托计</w:t>
            </w:r>
            <w:r>
              <w:rPr>
                <w:rFonts w:ascii="宋体" w:hAnsi="宋体" w:cs="宋体" w:eastAsia="宋体" w:hint="default"/>
                <w:w w:val="100"/>
                <w:sz w:val="21"/>
                <w:szCs w:val="21"/>
              </w:rPr>
              <w:t> </w:t>
            </w:r>
            <w:r>
              <w:rPr>
                <w:rFonts w:ascii="宋体" w:hAnsi="宋体" w:cs="宋体" w:eastAsia="宋体" w:hint="default"/>
                <w:sz w:val="21"/>
                <w:szCs w:val="21"/>
              </w:rPr>
              <w:t>划</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59"/>
              <w:jc w:val="right"/>
              <w:rPr>
                <w:rFonts w:ascii="宋体" w:hAnsi="宋体" w:cs="宋体" w:eastAsia="宋体" w:hint="default"/>
                <w:sz w:val="21"/>
                <w:szCs w:val="21"/>
              </w:rPr>
            </w:pPr>
            <w:r>
              <w:rPr>
                <w:rFonts w:ascii="宋体"/>
                <w:spacing w:val="-1"/>
                <w:sz w:val="21"/>
              </w:rPr>
              <w:t>1,675,573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1,675,573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98"/>
              <w:jc w:val="right"/>
              <w:rPr>
                <w:rFonts w:ascii="宋体" w:hAnsi="宋体" w:cs="宋体" w:eastAsia="宋体" w:hint="default"/>
                <w:sz w:val="21"/>
                <w:szCs w:val="21"/>
              </w:rPr>
            </w:pPr>
            <w:r>
              <w:rPr>
                <w:rFonts w:ascii="宋体"/>
                <w:sz w:val="21"/>
              </w:rPr>
              <w:t>1.95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03"/>
              <w:jc w:val="right"/>
              <w:rPr>
                <w:rFonts w:ascii="宋体" w:hAnsi="宋体" w:cs="宋体" w:eastAsia="宋体" w:hint="default"/>
                <w:sz w:val="21"/>
                <w:szCs w:val="21"/>
              </w:rPr>
            </w:pPr>
            <w:r>
              <w:rPr>
                <w:rFonts w:ascii="宋体"/>
                <w:w w:val="100"/>
                <w:sz w:val="21"/>
              </w:rPr>
              <w:t>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未知</w:t>
            </w:r>
          </w:p>
        </w:tc>
        <w:tc>
          <w:tcPr>
            <w:tcW w:w="84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李春香</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1,490,992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1,490,992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1.74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未知</w:t>
            </w:r>
          </w:p>
        </w:tc>
        <w:tc>
          <w:tcPr>
            <w:tcW w:w="84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境内自然人</w:t>
            </w:r>
          </w:p>
        </w:tc>
      </w:tr>
      <w:tr>
        <w:trPr>
          <w:trHeight w:val="281"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董南勇</w:t>
            </w: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1,156,000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1,156,000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境内自然人</w:t>
            </w:r>
          </w:p>
        </w:tc>
      </w:tr>
    </w:tbl>
    <w:p>
      <w:pPr>
        <w:spacing w:after="0" w:line="241" w:lineRule="exact"/>
        <w:jc w:val="left"/>
        <w:rPr>
          <w:rFonts w:ascii="宋体" w:hAnsi="宋体" w:cs="宋体" w:eastAsia="宋体" w:hint="default"/>
          <w:sz w:val="21"/>
          <w:szCs w:val="21"/>
        </w:rPr>
        <w:sectPr>
          <w:type w:val="continuous"/>
          <w:pgSz w:w="11910" w:h="16840"/>
          <w:pgMar w:top="1000" w:bottom="280" w:left="1580" w:right="1040"/>
        </w:sectPr>
      </w:pPr>
    </w:p>
    <w:p>
      <w:pPr>
        <w:spacing w:line="240" w:lineRule="auto" w:before="11"/>
        <w:rPr>
          <w:rFonts w:ascii="宋体" w:hAnsi="宋体" w:cs="宋体" w:eastAsia="宋体" w:hint="default"/>
          <w:sz w:val="17"/>
          <w:szCs w:val="17"/>
        </w:rPr>
      </w:pPr>
    </w:p>
    <w:tbl>
      <w:tblPr>
        <w:tblW w:w="0" w:type="auto"/>
        <w:jc w:val="left"/>
        <w:tblInd w:w="105" w:type="dxa"/>
        <w:tblLayout w:type="fixed"/>
        <w:tblCellMar>
          <w:top w:w="0" w:type="dxa"/>
          <w:left w:w="0" w:type="dxa"/>
          <w:bottom w:w="0" w:type="dxa"/>
          <w:right w:w="0" w:type="dxa"/>
        </w:tblCellMar>
        <w:tblLook w:val="01E0"/>
      </w:tblPr>
      <w:tblGrid>
        <w:gridCol w:w="2377"/>
        <w:gridCol w:w="3404"/>
        <w:gridCol w:w="1532"/>
        <w:gridCol w:w="1738"/>
      </w:tblGrid>
      <w:tr>
        <w:trPr>
          <w:trHeight w:val="284"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 w:right="0"/>
              <w:jc w:val="center"/>
              <w:rPr>
                <w:rFonts w:ascii="宋体" w:hAnsi="宋体" w:cs="宋体" w:eastAsia="宋体" w:hint="default"/>
                <w:sz w:val="21"/>
                <w:szCs w:val="21"/>
              </w:rPr>
            </w:pPr>
            <w:r>
              <w:rPr>
                <w:rFonts w:ascii="宋体" w:hAnsi="宋体" w:cs="宋体" w:eastAsia="宋体" w:hint="default"/>
                <w:sz w:val="21"/>
                <w:szCs w:val="21"/>
              </w:rPr>
              <w:t>前十名无限售条件股东持股情况</w:t>
            </w:r>
          </w:p>
        </w:tc>
      </w:tr>
      <w:tr>
        <w:trPr>
          <w:trHeight w:val="283" w:hRule="exact"/>
        </w:trPr>
        <w:tc>
          <w:tcPr>
            <w:tcW w:w="2377" w:type="dxa"/>
            <w:vMerge w:val="restart"/>
            <w:tcBorders>
              <w:top w:val="single" w:sz="4" w:space="0" w:color="000000"/>
              <w:left w:val="single" w:sz="4" w:space="0" w:color="000000"/>
              <w:right w:val="single" w:sz="4" w:space="0" w:color="000000"/>
            </w:tcBorders>
          </w:tcPr>
          <w:p>
            <w:pPr>
              <w:pStyle w:val="TableParagraph"/>
              <w:spacing w:line="240" w:lineRule="auto" w:before="107"/>
              <w:ind w:left="763"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3404" w:type="dxa"/>
            <w:vMerge w:val="restart"/>
            <w:tcBorders>
              <w:top w:val="single" w:sz="4" w:space="0" w:color="000000"/>
              <w:left w:val="single" w:sz="4" w:space="0" w:color="000000"/>
              <w:right w:val="single" w:sz="4" w:space="0" w:color="000000"/>
            </w:tcBorders>
          </w:tcPr>
          <w:p>
            <w:pPr>
              <w:pStyle w:val="TableParagraph"/>
              <w:spacing w:line="240" w:lineRule="auto" w:before="107"/>
              <w:ind w:left="331" w:right="0"/>
              <w:jc w:val="left"/>
              <w:rPr>
                <w:rFonts w:ascii="宋体" w:hAnsi="宋体" w:cs="宋体" w:eastAsia="宋体" w:hint="default"/>
                <w:sz w:val="21"/>
                <w:szCs w:val="21"/>
              </w:rPr>
            </w:pPr>
            <w:r>
              <w:rPr>
                <w:rFonts w:ascii="宋体" w:hAnsi="宋体" w:cs="宋体" w:eastAsia="宋体" w:hint="default"/>
                <w:sz w:val="21"/>
                <w:szCs w:val="21"/>
              </w:rPr>
              <w:t>持有无限售条件流通股的数量</w:t>
            </w:r>
          </w:p>
        </w:tc>
        <w:tc>
          <w:tcPr>
            <w:tcW w:w="32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2" w:right="0"/>
              <w:jc w:val="left"/>
              <w:rPr>
                <w:rFonts w:ascii="宋体" w:hAnsi="宋体" w:cs="宋体" w:eastAsia="宋体" w:hint="default"/>
                <w:sz w:val="21"/>
                <w:szCs w:val="21"/>
              </w:rPr>
            </w:pPr>
            <w:r>
              <w:rPr>
                <w:rFonts w:ascii="宋体" w:hAnsi="宋体" w:cs="宋体" w:eastAsia="宋体" w:hint="default"/>
                <w:sz w:val="21"/>
                <w:szCs w:val="21"/>
              </w:rPr>
              <w:t>股份种类及数量</w:t>
            </w:r>
          </w:p>
        </w:tc>
      </w:tr>
      <w:tr>
        <w:trPr>
          <w:trHeight w:val="281" w:hRule="exact"/>
        </w:trPr>
        <w:tc>
          <w:tcPr>
            <w:tcW w:w="2377" w:type="dxa"/>
            <w:vMerge/>
            <w:tcBorders>
              <w:left w:val="single" w:sz="4" w:space="0" w:color="000000"/>
              <w:bottom w:val="single" w:sz="4" w:space="0" w:color="000000"/>
              <w:right w:val="single" w:sz="4" w:space="0" w:color="000000"/>
            </w:tcBorders>
          </w:tcPr>
          <w:p>
            <w:pPr/>
          </w:p>
        </w:tc>
        <w:tc>
          <w:tcPr>
            <w:tcW w:w="3404" w:type="dxa"/>
            <w:vMerge/>
            <w:tcBorders>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数量</w:t>
            </w:r>
          </w:p>
        </w:tc>
      </w:tr>
      <w:tr>
        <w:trPr>
          <w:trHeight w:val="1099"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中信信托有限责任公司</w:t>
            </w:r>
          </w:p>
          <w:p>
            <w:pPr>
              <w:pStyle w:val="TableParagraph"/>
              <w:spacing w:line="237" w:lineRule="auto"/>
              <w:ind w:left="103" w:right="159"/>
              <w:jc w:val="both"/>
              <w:rPr>
                <w:rFonts w:ascii="宋体" w:hAnsi="宋体" w:cs="宋体" w:eastAsia="宋体" w:hint="default"/>
                <w:sz w:val="21"/>
                <w:szCs w:val="21"/>
              </w:rPr>
            </w:pPr>
            <w:r>
              <w:rPr>
                <w:rFonts w:ascii="宋体" w:hAnsi="宋体" w:cs="宋体" w:eastAsia="宋体" w:hint="default"/>
                <w:spacing w:val="-2"/>
                <w:sz w:val="21"/>
                <w:szCs w:val="21"/>
              </w:rPr>
              <w:t>－中信信托成泉汇涌八</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期金融投资集合资金信</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托计划</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1,675,573</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1,675,573</w:t>
            </w:r>
          </w:p>
        </w:tc>
      </w:tr>
      <w:tr>
        <w:trPr>
          <w:trHeight w:val="283"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李春香</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1,490,992</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1,490,992</w:t>
            </w:r>
          </w:p>
        </w:tc>
      </w:tr>
      <w:tr>
        <w:trPr>
          <w:trHeight w:val="283"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何岸林</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534,292</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534,292</w:t>
            </w:r>
          </w:p>
        </w:tc>
      </w:tr>
      <w:tr>
        <w:trPr>
          <w:trHeight w:val="281"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孙元元</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376,446</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376,446</w:t>
            </w:r>
          </w:p>
        </w:tc>
      </w:tr>
      <w:tr>
        <w:trPr>
          <w:trHeight w:val="283"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刘翠兰</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279,000</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279,000</w:t>
            </w:r>
          </w:p>
        </w:tc>
      </w:tr>
      <w:tr>
        <w:trPr>
          <w:trHeight w:val="284"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刘长虹</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200,048</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200,048</w:t>
            </w:r>
          </w:p>
        </w:tc>
      </w:tr>
      <w:tr>
        <w:trPr>
          <w:trHeight w:val="281"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沈荣林</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181,300</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181,300</w:t>
            </w:r>
          </w:p>
        </w:tc>
      </w:tr>
      <w:tr>
        <w:trPr>
          <w:trHeight w:val="283"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郭文敏</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111,000</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111,000</w:t>
            </w:r>
          </w:p>
        </w:tc>
      </w:tr>
      <w:tr>
        <w:trPr>
          <w:trHeight w:val="828"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广东天贝合资产管理有</w:t>
            </w:r>
          </w:p>
          <w:p>
            <w:pPr>
              <w:pStyle w:val="TableParagraph"/>
              <w:spacing w:line="272" w:lineRule="exact" w:before="27"/>
              <w:ind w:left="103" w:right="159"/>
              <w:jc w:val="left"/>
              <w:rPr>
                <w:rFonts w:ascii="宋体" w:hAnsi="宋体" w:cs="宋体" w:eastAsia="宋体" w:hint="default"/>
                <w:sz w:val="21"/>
                <w:szCs w:val="21"/>
              </w:rPr>
            </w:pPr>
            <w:r>
              <w:rPr>
                <w:rFonts w:ascii="宋体" w:hAnsi="宋体" w:cs="宋体" w:eastAsia="宋体" w:hint="default"/>
                <w:spacing w:val="-2"/>
                <w:sz w:val="21"/>
                <w:szCs w:val="21"/>
              </w:rPr>
              <w:t>限公司－天贝合复兴号</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私募投资基金</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106,800</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106,800</w:t>
            </w:r>
          </w:p>
        </w:tc>
      </w:tr>
      <w:tr>
        <w:trPr>
          <w:trHeight w:val="281"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黄荔清</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103,300</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103,300</w:t>
            </w:r>
          </w:p>
        </w:tc>
      </w:tr>
      <w:tr>
        <w:trPr>
          <w:trHeight w:val="554"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上述股东关联关系或一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致行动的说明</w:t>
            </w:r>
          </w:p>
        </w:tc>
        <w:tc>
          <w:tcPr>
            <w:tcW w:w="667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公司未知上述股东之间是否存在关联关系或一致行动的情形</w:t>
            </w:r>
          </w:p>
        </w:tc>
      </w:tr>
      <w:tr>
        <w:trPr>
          <w:trHeight w:val="557"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表决权恢复的优先股股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东及持股数量的说明</w:t>
            </w:r>
          </w:p>
        </w:tc>
        <w:tc>
          <w:tcPr>
            <w:tcW w:w="667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5"/>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855" w:footer="1195" w:top="1280" w:bottom="1380" w:left="1580" w:right="920"/>
        </w:sectPr>
      </w:pPr>
    </w:p>
    <w:p>
      <w:pPr>
        <w:pStyle w:val="BodyText"/>
        <w:spacing w:line="274" w:lineRule="exact" w:before="36"/>
        <w:ind w:right="0"/>
        <w:jc w:val="left"/>
      </w:pPr>
      <w:r>
        <w:rPr>
          <w:spacing w:val="-2"/>
        </w:rPr>
        <w:t>前十名有限售条件股东持股数量及限售条件</w:t>
      </w:r>
    </w:p>
    <w:p>
      <w:pPr>
        <w:pStyle w:val="BodyText"/>
        <w:spacing w:line="274" w:lineRule="exact"/>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spacing w:line="240" w:lineRule="auto"/>
        <w:ind w:right="0"/>
        <w:jc w:val="left"/>
      </w:pPr>
      <w:r>
        <w:rPr/>
        <w:t>单位：股</w:t>
      </w:r>
    </w:p>
    <w:p>
      <w:pPr>
        <w:spacing w:after="0" w:line="240" w:lineRule="auto"/>
        <w:jc w:val="left"/>
        <w:sectPr>
          <w:type w:val="continuous"/>
          <w:pgSz w:w="11910" w:h="16840"/>
          <w:pgMar w:top="1000" w:bottom="280" w:left="1580" w:right="920"/>
          <w:cols w:num="2" w:equalWidth="0">
            <w:col w:w="4213" w:space="3781"/>
            <w:col w:w="1416"/>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653"/>
        <w:gridCol w:w="2720"/>
        <w:gridCol w:w="1414"/>
        <w:gridCol w:w="1843"/>
        <w:gridCol w:w="997"/>
        <w:gridCol w:w="1555"/>
      </w:tblGrid>
      <w:tr>
        <w:trPr>
          <w:trHeight w:val="557" w:hRule="exact"/>
        </w:trPr>
        <w:tc>
          <w:tcPr>
            <w:tcW w:w="65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27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405" w:right="0"/>
              <w:jc w:val="left"/>
              <w:rPr>
                <w:rFonts w:ascii="宋体" w:hAnsi="宋体" w:cs="宋体" w:eastAsia="宋体" w:hint="default"/>
                <w:sz w:val="21"/>
                <w:szCs w:val="21"/>
              </w:rPr>
            </w:pPr>
            <w:r>
              <w:rPr>
                <w:rFonts w:ascii="宋体" w:hAnsi="宋体" w:cs="宋体" w:eastAsia="宋体" w:hint="default"/>
                <w:sz w:val="21"/>
                <w:szCs w:val="21"/>
              </w:rPr>
              <w:t>有限售条件股东名称</w:t>
            </w:r>
          </w:p>
        </w:tc>
        <w:tc>
          <w:tcPr>
            <w:tcW w:w="1414"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37" w:lineRule="auto"/>
              <w:ind w:left="175" w:right="173"/>
              <w:jc w:val="center"/>
              <w:rPr>
                <w:rFonts w:ascii="宋体" w:hAnsi="宋体" w:cs="宋体" w:eastAsia="宋体" w:hint="default"/>
                <w:sz w:val="21"/>
                <w:szCs w:val="21"/>
              </w:rPr>
            </w:pPr>
            <w:r>
              <w:rPr>
                <w:rFonts w:ascii="宋体" w:hAnsi="宋体" w:cs="宋体" w:eastAsia="宋体" w:hint="default"/>
                <w:sz w:val="21"/>
                <w:szCs w:val="21"/>
              </w:rPr>
              <w:t>持有的有限</w:t>
            </w:r>
            <w:r>
              <w:rPr>
                <w:rFonts w:ascii="宋体" w:hAnsi="宋体" w:cs="宋体" w:eastAsia="宋体" w:hint="default"/>
                <w:w w:val="100"/>
                <w:sz w:val="21"/>
                <w:szCs w:val="21"/>
              </w:rPr>
              <w:t> </w:t>
            </w:r>
            <w:r>
              <w:rPr>
                <w:rFonts w:ascii="宋体" w:hAnsi="宋体" w:cs="宋体" w:eastAsia="宋体" w:hint="default"/>
                <w:sz w:val="21"/>
                <w:szCs w:val="21"/>
              </w:rPr>
              <w:t>售条件股份</w:t>
            </w:r>
            <w:r>
              <w:rPr>
                <w:rFonts w:ascii="宋体" w:hAnsi="宋体" w:cs="宋体" w:eastAsia="宋体" w:hint="default"/>
                <w:w w:val="100"/>
                <w:sz w:val="21"/>
                <w:szCs w:val="21"/>
              </w:rPr>
              <w:t> </w:t>
            </w:r>
            <w:r>
              <w:rPr>
                <w:rFonts w:ascii="宋体" w:hAnsi="宋体" w:cs="宋体" w:eastAsia="宋体" w:hint="default"/>
                <w:sz w:val="21"/>
                <w:szCs w:val="21"/>
              </w:rPr>
              <w:t>数量</w:t>
            </w:r>
          </w:p>
        </w:tc>
        <w:tc>
          <w:tcPr>
            <w:tcW w:w="28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有限售条件股份可上市交易</w:t>
            </w:r>
          </w:p>
          <w:p>
            <w:pPr>
              <w:pStyle w:val="TableParagraph"/>
              <w:spacing w:line="273" w:lineRule="exact"/>
              <w:ind w:left="1" w:right="0"/>
              <w:jc w:val="center"/>
              <w:rPr>
                <w:rFonts w:ascii="宋体" w:hAnsi="宋体" w:cs="宋体" w:eastAsia="宋体" w:hint="default"/>
                <w:sz w:val="21"/>
                <w:szCs w:val="21"/>
              </w:rPr>
            </w:pPr>
            <w:r>
              <w:rPr>
                <w:rFonts w:ascii="宋体" w:hAnsi="宋体" w:cs="宋体" w:eastAsia="宋体" w:hint="default"/>
                <w:sz w:val="21"/>
                <w:szCs w:val="21"/>
              </w:rPr>
              <w:t>情况</w:t>
            </w:r>
          </w:p>
        </w:tc>
        <w:tc>
          <w:tcPr>
            <w:tcW w:w="155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350" w:right="0"/>
              <w:jc w:val="left"/>
              <w:rPr>
                <w:rFonts w:ascii="宋体" w:hAnsi="宋体" w:cs="宋体" w:eastAsia="宋体" w:hint="default"/>
                <w:sz w:val="21"/>
                <w:szCs w:val="21"/>
              </w:rPr>
            </w:pPr>
            <w:r>
              <w:rPr>
                <w:rFonts w:ascii="宋体" w:hAnsi="宋体" w:cs="宋体" w:eastAsia="宋体" w:hint="default"/>
                <w:sz w:val="21"/>
                <w:szCs w:val="21"/>
              </w:rPr>
              <w:t>限售条件</w:t>
            </w:r>
          </w:p>
        </w:tc>
      </w:tr>
      <w:tr>
        <w:trPr>
          <w:trHeight w:val="1099" w:hRule="exact"/>
        </w:trPr>
        <w:tc>
          <w:tcPr>
            <w:tcW w:w="653" w:type="dxa"/>
            <w:vMerge/>
            <w:tcBorders>
              <w:left w:val="single" w:sz="4" w:space="0" w:color="000000"/>
              <w:bottom w:val="single" w:sz="4" w:space="0" w:color="000000"/>
              <w:right w:val="single" w:sz="4" w:space="0" w:color="000000"/>
            </w:tcBorders>
          </w:tcPr>
          <w:p>
            <w:pPr/>
          </w:p>
        </w:tc>
        <w:tc>
          <w:tcPr>
            <w:tcW w:w="2720" w:type="dxa"/>
            <w:vMerge/>
            <w:tcBorders>
              <w:left w:val="single" w:sz="4" w:space="0" w:color="000000"/>
              <w:bottom w:val="single" w:sz="4" w:space="0" w:color="000000"/>
              <w:right w:val="single" w:sz="4" w:space="0" w:color="000000"/>
            </w:tcBorders>
          </w:tcPr>
          <w:p>
            <w:pPr/>
          </w:p>
        </w:tc>
        <w:tc>
          <w:tcPr>
            <w:tcW w:w="1414" w:type="dxa"/>
            <w:vMerge/>
            <w:tcBorders>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可上市交易时间</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7" w:right="0"/>
              <w:jc w:val="both"/>
              <w:rPr>
                <w:rFonts w:ascii="宋体" w:hAnsi="宋体" w:cs="宋体" w:eastAsia="宋体" w:hint="default"/>
                <w:sz w:val="21"/>
                <w:szCs w:val="21"/>
              </w:rPr>
            </w:pPr>
            <w:r>
              <w:rPr>
                <w:rFonts w:ascii="宋体" w:hAnsi="宋体" w:cs="宋体" w:eastAsia="宋体" w:hint="default"/>
                <w:sz w:val="21"/>
                <w:szCs w:val="21"/>
              </w:rPr>
              <w:t>新增可</w:t>
            </w:r>
          </w:p>
          <w:p>
            <w:pPr>
              <w:pStyle w:val="TableParagraph"/>
              <w:spacing w:line="237" w:lineRule="auto"/>
              <w:ind w:left="177" w:right="173"/>
              <w:jc w:val="both"/>
              <w:rPr>
                <w:rFonts w:ascii="宋体" w:hAnsi="宋体" w:cs="宋体" w:eastAsia="宋体" w:hint="default"/>
                <w:sz w:val="21"/>
                <w:szCs w:val="21"/>
              </w:rPr>
            </w:pPr>
            <w:r>
              <w:rPr>
                <w:rFonts w:ascii="宋体" w:hAnsi="宋体" w:cs="宋体" w:eastAsia="宋体" w:hint="default"/>
                <w:sz w:val="21"/>
                <w:szCs w:val="21"/>
              </w:rPr>
              <w:t>上市交</w:t>
            </w:r>
            <w:r>
              <w:rPr>
                <w:rFonts w:ascii="宋体" w:hAnsi="宋体" w:cs="宋体" w:eastAsia="宋体" w:hint="default"/>
                <w:spacing w:val="-102"/>
                <w:sz w:val="21"/>
                <w:szCs w:val="21"/>
              </w:rPr>
              <w:t> </w:t>
            </w:r>
            <w:r>
              <w:rPr>
                <w:rFonts w:ascii="宋体" w:hAnsi="宋体" w:cs="宋体" w:eastAsia="宋体" w:hint="default"/>
                <w:sz w:val="21"/>
                <w:szCs w:val="21"/>
              </w:rPr>
              <w:t>易股份</w:t>
            </w:r>
            <w:r>
              <w:rPr>
                <w:rFonts w:ascii="宋体" w:hAnsi="宋体" w:cs="宋体" w:eastAsia="宋体" w:hint="default"/>
                <w:spacing w:val="-102"/>
                <w:sz w:val="21"/>
                <w:szCs w:val="21"/>
              </w:rPr>
              <w:t> </w:t>
            </w:r>
            <w:r>
              <w:rPr>
                <w:rFonts w:ascii="宋体" w:hAnsi="宋体" w:cs="宋体" w:eastAsia="宋体" w:hint="default"/>
                <w:sz w:val="21"/>
                <w:szCs w:val="21"/>
              </w:rPr>
              <w:t>数量</w:t>
            </w:r>
          </w:p>
        </w:tc>
        <w:tc>
          <w:tcPr>
            <w:tcW w:w="1555" w:type="dxa"/>
            <w:vMerge/>
            <w:tcBorders>
              <w:left w:val="single" w:sz="4" w:space="0" w:color="000000"/>
              <w:bottom w:val="single" w:sz="4" w:space="0" w:color="000000"/>
              <w:right w:val="single" w:sz="4" w:space="0" w:color="000000"/>
            </w:tcBorders>
          </w:tcPr>
          <w:p>
            <w:pPr/>
          </w:p>
        </w:tc>
      </w:tr>
      <w:tr>
        <w:trPr>
          <w:trHeight w:val="355"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1</w:t>
            </w:r>
          </w:p>
        </w:tc>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严孟宇</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18,040,000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9"/>
              <w:jc w:val="center"/>
              <w:rPr>
                <w:rFonts w:ascii="宋体" w:hAnsi="宋体" w:cs="宋体" w:eastAsia="宋体" w:hint="default"/>
                <w:sz w:val="21"/>
                <w:szCs w:val="21"/>
              </w:rPr>
            </w:pPr>
            <w:r>
              <w:rPr>
                <w:rFonts w:ascii="宋体" w:hAnsi="宋体" w:cs="宋体" w:eastAsia="宋体" w:hint="default"/>
                <w:sz w:val="21"/>
                <w:szCs w:val="21"/>
              </w:rPr>
              <w:t>首发上市限售</w:t>
            </w:r>
          </w:p>
        </w:tc>
      </w:tr>
      <w:tr>
        <w:trPr>
          <w:trHeight w:val="355"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2</w:t>
            </w:r>
          </w:p>
        </w:tc>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金石投资有限公司</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13,140,000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9"/>
              <w:jc w:val="center"/>
              <w:rPr>
                <w:rFonts w:ascii="宋体" w:hAnsi="宋体" w:cs="宋体" w:eastAsia="宋体" w:hint="default"/>
                <w:sz w:val="21"/>
                <w:szCs w:val="21"/>
              </w:rPr>
            </w:pPr>
            <w:r>
              <w:rPr>
                <w:rFonts w:ascii="宋体" w:hAnsi="宋体" w:cs="宋体" w:eastAsia="宋体" w:hint="default"/>
                <w:sz w:val="21"/>
                <w:szCs w:val="21"/>
              </w:rPr>
              <w:t>首发上市限售</w:t>
            </w:r>
          </w:p>
        </w:tc>
      </w:tr>
      <w:tr>
        <w:trPr>
          <w:trHeight w:val="353"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3</w:t>
            </w:r>
          </w:p>
        </w:tc>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福州爱派克电子有限公司</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12,240,000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9"/>
              <w:jc w:val="center"/>
              <w:rPr>
                <w:rFonts w:ascii="宋体" w:hAnsi="宋体" w:cs="宋体" w:eastAsia="宋体" w:hint="default"/>
                <w:sz w:val="21"/>
                <w:szCs w:val="21"/>
              </w:rPr>
            </w:pPr>
            <w:r>
              <w:rPr>
                <w:rFonts w:ascii="宋体" w:hAnsi="宋体" w:cs="宋体" w:eastAsia="宋体" w:hint="default"/>
                <w:sz w:val="21"/>
                <w:szCs w:val="21"/>
              </w:rPr>
              <w:t>首发上市限售</w:t>
            </w:r>
          </w:p>
        </w:tc>
      </w:tr>
      <w:tr>
        <w:trPr>
          <w:trHeight w:val="355"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4</w:t>
            </w:r>
          </w:p>
        </w:tc>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赵伟</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6,180,000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9"/>
              <w:jc w:val="center"/>
              <w:rPr>
                <w:rFonts w:ascii="宋体" w:hAnsi="宋体" w:cs="宋体" w:eastAsia="宋体" w:hint="default"/>
                <w:sz w:val="21"/>
                <w:szCs w:val="21"/>
              </w:rPr>
            </w:pPr>
            <w:r>
              <w:rPr>
                <w:rFonts w:ascii="宋体" w:hAnsi="宋体" w:cs="宋体" w:eastAsia="宋体" w:hint="default"/>
                <w:sz w:val="21"/>
                <w:szCs w:val="21"/>
              </w:rPr>
              <w:t>首发上市限售</w:t>
            </w:r>
          </w:p>
        </w:tc>
      </w:tr>
      <w:tr>
        <w:trPr>
          <w:trHeight w:val="355"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5</w:t>
            </w:r>
          </w:p>
        </w:tc>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雷世潘</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2,780,000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9"/>
              <w:jc w:val="center"/>
              <w:rPr>
                <w:rFonts w:ascii="宋体" w:hAnsi="宋体" w:cs="宋体" w:eastAsia="宋体" w:hint="default"/>
                <w:sz w:val="21"/>
                <w:szCs w:val="21"/>
              </w:rPr>
            </w:pPr>
            <w:r>
              <w:rPr>
                <w:rFonts w:ascii="宋体" w:hAnsi="宋体" w:cs="宋体" w:eastAsia="宋体" w:hint="default"/>
                <w:sz w:val="21"/>
                <w:szCs w:val="21"/>
              </w:rPr>
              <w:t>首发上市限售</w:t>
            </w:r>
          </w:p>
        </w:tc>
      </w:tr>
      <w:tr>
        <w:trPr>
          <w:trHeight w:val="355"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6</w:t>
            </w:r>
          </w:p>
        </w:tc>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赵莹</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9"/>
              <w:jc w:val="center"/>
              <w:rPr>
                <w:rFonts w:ascii="宋体" w:hAnsi="宋体" w:cs="宋体" w:eastAsia="宋体" w:hint="default"/>
                <w:sz w:val="21"/>
                <w:szCs w:val="21"/>
              </w:rPr>
            </w:pPr>
            <w:r>
              <w:rPr>
                <w:rFonts w:ascii="宋体" w:hAnsi="宋体" w:cs="宋体" w:eastAsia="宋体" w:hint="default"/>
                <w:sz w:val="21"/>
                <w:szCs w:val="21"/>
              </w:rPr>
              <w:t>首发上市限售</w:t>
            </w:r>
          </w:p>
        </w:tc>
      </w:tr>
      <w:tr>
        <w:trPr>
          <w:trHeight w:val="355"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7</w:t>
            </w:r>
          </w:p>
        </w:tc>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余养成</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1,740,000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9"/>
              <w:jc w:val="center"/>
              <w:rPr>
                <w:rFonts w:ascii="宋体" w:hAnsi="宋体" w:cs="宋体" w:eastAsia="宋体" w:hint="default"/>
                <w:sz w:val="21"/>
                <w:szCs w:val="21"/>
              </w:rPr>
            </w:pPr>
            <w:r>
              <w:rPr>
                <w:rFonts w:ascii="宋体" w:hAnsi="宋体" w:cs="宋体" w:eastAsia="宋体" w:hint="default"/>
                <w:sz w:val="21"/>
                <w:szCs w:val="21"/>
              </w:rPr>
              <w:t>首发上市限售</w:t>
            </w:r>
          </w:p>
        </w:tc>
      </w:tr>
      <w:tr>
        <w:trPr>
          <w:trHeight w:val="355"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8</w:t>
            </w:r>
          </w:p>
        </w:tc>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董南勇</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1,156,000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9"/>
              <w:jc w:val="center"/>
              <w:rPr>
                <w:rFonts w:ascii="宋体" w:hAnsi="宋体" w:cs="宋体" w:eastAsia="宋体" w:hint="default"/>
                <w:sz w:val="21"/>
                <w:szCs w:val="21"/>
              </w:rPr>
            </w:pPr>
            <w:r>
              <w:rPr>
                <w:rFonts w:ascii="宋体" w:hAnsi="宋体" w:cs="宋体" w:eastAsia="宋体" w:hint="default"/>
                <w:sz w:val="21"/>
                <w:szCs w:val="21"/>
              </w:rPr>
              <w:t>首发上市限售</w:t>
            </w:r>
          </w:p>
        </w:tc>
      </w:tr>
      <w:tr>
        <w:trPr>
          <w:trHeight w:val="828"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9</w:t>
            </w:r>
          </w:p>
        </w:tc>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戴小戈（注）</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947,000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首发上市限</w:t>
            </w:r>
          </w:p>
          <w:p>
            <w:pPr>
              <w:pStyle w:val="TableParagraph"/>
              <w:spacing w:line="272" w:lineRule="exact" w:before="27"/>
              <w:ind w:left="100" w:right="180"/>
              <w:jc w:val="left"/>
              <w:rPr>
                <w:rFonts w:ascii="宋体" w:hAnsi="宋体" w:cs="宋体" w:eastAsia="宋体" w:hint="default"/>
                <w:sz w:val="21"/>
                <w:szCs w:val="21"/>
              </w:rPr>
            </w:pPr>
            <w:r>
              <w:rPr>
                <w:rFonts w:ascii="宋体" w:hAnsi="宋体" w:cs="宋体" w:eastAsia="宋体" w:hint="default"/>
                <w:sz w:val="21"/>
                <w:szCs w:val="21"/>
              </w:rPr>
              <w:t>售、股权激励</w:t>
            </w:r>
            <w:r>
              <w:rPr>
                <w:rFonts w:ascii="宋体" w:hAnsi="宋体" w:cs="宋体" w:eastAsia="宋体" w:hint="default"/>
                <w:w w:val="100"/>
                <w:sz w:val="21"/>
                <w:szCs w:val="21"/>
              </w:rPr>
              <w:t> </w:t>
            </w:r>
            <w:r>
              <w:rPr>
                <w:rFonts w:ascii="宋体" w:hAnsi="宋体" w:cs="宋体" w:eastAsia="宋体" w:hint="default"/>
                <w:sz w:val="21"/>
                <w:szCs w:val="21"/>
              </w:rPr>
              <w:t>限售</w:t>
            </w:r>
          </w:p>
        </w:tc>
      </w:tr>
      <w:tr>
        <w:trPr>
          <w:trHeight w:val="355"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10</w:t>
            </w:r>
          </w:p>
        </w:tc>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欧永</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520,000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997"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9"/>
              <w:jc w:val="center"/>
              <w:rPr>
                <w:rFonts w:ascii="宋体" w:hAnsi="宋体" w:cs="宋体" w:eastAsia="宋体" w:hint="default"/>
                <w:sz w:val="21"/>
                <w:szCs w:val="21"/>
              </w:rPr>
            </w:pPr>
            <w:r>
              <w:rPr>
                <w:rFonts w:ascii="宋体" w:hAnsi="宋体" w:cs="宋体" w:eastAsia="宋体" w:hint="default"/>
                <w:sz w:val="21"/>
                <w:szCs w:val="21"/>
              </w:rPr>
              <w:t>首发上市限售</w:t>
            </w:r>
          </w:p>
        </w:tc>
      </w:tr>
      <w:tr>
        <w:trPr>
          <w:trHeight w:val="826" w:hRule="exact"/>
        </w:trPr>
        <w:tc>
          <w:tcPr>
            <w:tcW w:w="3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上述股东关联关系或一致行动的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说明</w:t>
            </w:r>
          </w:p>
        </w:tc>
        <w:tc>
          <w:tcPr>
            <w:tcW w:w="5809" w:type="dxa"/>
            <w:gridSpan w:val="4"/>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爱派克法定代表人林永正先生系公司实际控制人严孟宇之岳</w:t>
            </w:r>
          </w:p>
          <w:p>
            <w:pPr>
              <w:pStyle w:val="TableParagraph"/>
              <w:spacing w:line="240" w:lineRule="auto"/>
              <w:ind w:left="100" w:right="99"/>
              <w:jc w:val="left"/>
              <w:rPr>
                <w:rFonts w:ascii="宋体" w:hAnsi="宋体" w:cs="宋体" w:eastAsia="宋体" w:hint="default"/>
                <w:sz w:val="21"/>
                <w:szCs w:val="21"/>
              </w:rPr>
            </w:pPr>
            <w:r>
              <w:rPr>
                <w:rFonts w:ascii="宋体" w:hAnsi="宋体" w:cs="宋体" w:eastAsia="宋体" w:hint="default"/>
                <w:spacing w:val="-5"/>
                <w:sz w:val="21"/>
                <w:szCs w:val="21"/>
              </w:rPr>
              <w:t>父，除上述关联外，公司其他股东之间不存在关联关系或一致</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z w:val="21"/>
                <w:szCs w:val="21"/>
              </w:rPr>
              <w:t>行动关系。</w:t>
            </w:r>
          </w:p>
        </w:tc>
      </w:tr>
    </w:tbl>
    <w:p>
      <w:pPr>
        <w:spacing w:after="0" w:line="240" w:lineRule="auto"/>
        <w:jc w:val="left"/>
        <w:rPr>
          <w:rFonts w:ascii="宋体" w:hAnsi="宋体" w:cs="宋体" w:eastAsia="宋体" w:hint="default"/>
          <w:sz w:val="21"/>
          <w:szCs w:val="21"/>
        </w:rPr>
        <w:sectPr>
          <w:type w:val="continuous"/>
          <w:pgSz w:w="11910" w:h="16840"/>
          <w:pgMar w:top="1000" w:bottom="280" w:left="1580" w:right="920"/>
        </w:sectPr>
      </w:pPr>
    </w:p>
    <w:p>
      <w:pPr>
        <w:spacing w:line="240" w:lineRule="auto" w:before="6"/>
        <w:rPr>
          <w:rFonts w:ascii="宋体" w:hAnsi="宋体" w:cs="宋体" w:eastAsia="宋体" w:hint="default"/>
          <w:sz w:val="12"/>
          <w:szCs w:val="12"/>
        </w:rPr>
      </w:pPr>
    </w:p>
    <w:p>
      <w:pPr>
        <w:pStyle w:val="BodyText"/>
        <w:spacing w:line="274" w:lineRule="exact" w:before="36"/>
        <w:ind w:right="0"/>
        <w:jc w:val="left"/>
      </w:pPr>
      <w:r>
        <w:rPr>
          <w:spacing w:val="-11"/>
        </w:rPr>
        <w:t>（注）：戴小戈在报告期内增加的</w:t>
      </w:r>
      <w:r>
        <w:rPr>
          <w:spacing w:val="-44"/>
        </w:rPr>
        <w:t> </w:t>
      </w:r>
      <w:r>
        <w:rPr>
          <w:rFonts w:ascii="宋体" w:hAnsi="宋体" w:cs="宋体" w:eastAsia="宋体" w:hint="default"/>
        </w:rPr>
        <w:t>947,000</w:t>
      </w:r>
      <w:r>
        <w:rPr>
          <w:rFonts w:ascii="宋体" w:hAnsi="宋体" w:cs="宋体" w:eastAsia="宋体" w:hint="default"/>
          <w:spacing w:val="-47"/>
        </w:rPr>
        <w:t> </w:t>
      </w:r>
      <w:r>
        <w:rPr>
          <w:spacing w:val="-11"/>
        </w:rPr>
        <w:t>股限售股，其中</w:t>
      </w:r>
      <w:r>
        <w:rPr>
          <w:spacing w:val="-43"/>
        </w:rPr>
        <w:t> </w:t>
      </w:r>
      <w:r>
        <w:rPr>
          <w:rFonts w:ascii="宋体" w:hAnsi="宋体" w:cs="宋体" w:eastAsia="宋体" w:hint="default"/>
        </w:rPr>
        <w:t>872,000</w:t>
      </w:r>
      <w:r>
        <w:rPr>
          <w:rFonts w:ascii="宋体" w:hAnsi="宋体" w:cs="宋体" w:eastAsia="宋体" w:hint="default"/>
          <w:spacing w:val="-44"/>
        </w:rPr>
        <w:t> </w:t>
      </w:r>
      <w:r>
        <w:rPr/>
        <w:t>股属于公司首发上市限售股，</w:t>
      </w:r>
    </w:p>
    <w:p>
      <w:pPr>
        <w:pStyle w:val="BodyText"/>
        <w:spacing w:line="272" w:lineRule="exact"/>
        <w:ind w:right="0"/>
        <w:jc w:val="left"/>
      </w:pPr>
      <w:r>
        <w:rPr/>
        <w:t>剩余</w:t>
      </w:r>
      <w:r>
        <w:rPr>
          <w:spacing w:val="-48"/>
        </w:rPr>
        <w:t> </w:t>
      </w:r>
      <w:r>
        <w:rPr>
          <w:rFonts w:ascii="宋体" w:hAnsi="宋体" w:cs="宋体" w:eastAsia="宋体" w:hint="default"/>
        </w:rPr>
        <w:t>75,000</w:t>
      </w:r>
      <w:r>
        <w:rPr>
          <w:rFonts w:ascii="宋体" w:hAnsi="宋体" w:cs="宋体" w:eastAsia="宋体" w:hint="default"/>
          <w:spacing w:val="-48"/>
        </w:rPr>
        <w:t> </w:t>
      </w:r>
      <w:r>
        <w:rPr/>
        <w:t>股系公司</w:t>
      </w:r>
      <w:r>
        <w:rPr>
          <w:spacing w:val="11"/>
        </w:rPr>
        <w:t> </w:t>
      </w:r>
      <w:r>
        <w:rPr>
          <w:rFonts w:ascii="宋体" w:hAnsi="宋体" w:cs="宋体" w:eastAsia="宋体" w:hint="default"/>
        </w:rPr>
        <w:t>2017</w:t>
      </w:r>
      <w:r>
        <w:rPr>
          <w:rFonts w:ascii="宋体" w:hAnsi="宋体" w:cs="宋体" w:eastAsia="宋体" w:hint="default"/>
          <w:spacing w:val="-48"/>
        </w:rPr>
        <w:t> </w:t>
      </w:r>
      <w:r>
        <w:rPr/>
        <w:t>年</w:t>
      </w:r>
      <w:r>
        <w:rPr>
          <w:spacing w:val="-48"/>
        </w:rPr>
        <w:t> </w:t>
      </w:r>
      <w:r>
        <w:rPr>
          <w:rFonts w:ascii="宋体" w:hAnsi="宋体" w:cs="宋体" w:eastAsia="宋体" w:hint="default"/>
        </w:rPr>
        <w:t>7</w:t>
      </w:r>
      <w:r>
        <w:rPr>
          <w:rFonts w:ascii="宋体" w:hAnsi="宋体" w:cs="宋体" w:eastAsia="宋体" w:hint="default"/>
          <w:spacing w:val="-50"/>
        </w:rPr>
        <w:t> </w:t>
      </w:r>
      <w:r>
        <w:rPr>
          <w:spacing w:val="-3"/>
        </w:rPr>
        <w:t>月实施的限制性股票激励计划所得，其持有的限制性股票需按照</w:t>
      </w:r>
    </w:p>
    <w:p>
      <w:pPr>
        <w:pStyle w:val="BodyText"/>
        <w:spacing w:line="273" w:lineRule="exact"/>
        <w:ind w:right="0"/>
        <w:jc w:val="left"/>
      </w:pPr>
      <w:r>
        <w:rPr/>
        <w:t>《福建顶点软件股份有限公司限制性股票激励计划（草案）》的相关规定进行分批解锁。</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3"/>
        <w:tabs>
          <w:tab w:pos="784" w:val="left" w:leader="none"/>
        </w:tabs>
        <w:spacing w:line="240" w:lineRule="auto"/>
        <w:ind w:right="2757"/>
        <w:jc w:val="left"/>
        <w:rPr>
          <w:b w:val="0"/>
          <w:bCs w:val="0"/>
        </w:rPr>
      </w:pPr>
      <w:r>
        <w:rPr>
          <w:rFonts w:ascii="Calibri" w:hAnsi="Calibri" w:cs="Calibri" w:eastAsia="Calibri" w:hint="default"/>
        </w:rPr>
        <w:t>(</w:t>
      </w:r>
      <w:r>
        <w:rPr/>
        <w:t>三</w:t>
      </w:r>
      <w:r>
        <w:rPr>
          <w:rFonts w:ascii="Calibri" w:hAnsi="Calibri" w:cs="Calibri" w:eastAsia="Calibri" w:hint="default"/>
        </w:rPr>
        <w:t>)</w:t>
        <w:tab/>
      </w:r>
      <w:r>
        <w:rPr/>
        <w:t>战略投资者或一般法人因配售新股成为前</w:t>
      </w:r>
      <w:r>
        <w:rPr>
          <w:spacing w:val="-53"/>
        </w:rPr>
        <w:t> </w:t>
      </w:r>
      <w:r>
        <w:rPr>
          <w:rFonts w:ascii="Calibri" w:hAnsi="Calibri" w:cs="Calibri" w:eastAsia="Calibri" w:hint="default"/>
        </w:rPr>
        <w:t>10</w:t>
      </w:r>
      <w:r>
        <w:rPr>
          <w:rFonts w:ascii="Calibri" w:hAnsi="Calibri" w:cs="Calibri" w:eastAsia="Calibri" w:hint="default"/>
          <w:spacing w:val="4"/>
        </w:rPr>
        <w:t> </w:t>
      </w:r>
      <w:r>
        <w:rPr/>
        <w:t>名股东</w:t>
      </w:r>
      <w:r>
        <w:rPr>
          <w:b w:val="0"/>
          <w:bCs w:val="0"/>
        </w:rPr>
      </w:r>
    </w:p>
    <w:p>
      <w:pPr>
        <w:pStyle w:val="BodyText"/>
        <w:spacing w:line="240" w:lineRule="auto" w:before="29"/>
        <w:ind w:right="2757"/>
        <w:jc w:val="left"/>
      </w:pPr>
      <w:r>
        <w:rPr/>
        <w:t>□适用</w:t>
      </w:r>
      <w:r>
        <w:rPr>
          <w:spacing w:val="-1"/>
        </w:rPr>
        <w:t> </w:t>
      </w:r>
      <w:r>
        <w:rPr/>
        <w:t>√不适用</w:t>
      </w:r>
    </w:p>
    <w:p>
      <w:pPr>
        <w:pStyle w:val="Heading3"/>
        <w:spacing w:line="240" w:lineRule="auto" w:before="58"/>
        <w:ind w:right="2757"/>
        <w:jc w:val="left"/>
        <w:rPr>
          <w:b w:val="0"/>
          <w:bCs w:val="0"/>
        </w:rPr>
      </w:pPr>
      <w:r>
        <w:rPr/>
        <w:t>四、</w:t>
      </w:r>
      <w:r>
        <w:rPr>
          <w:spacing w:val="-79"/>
        </w:rPr>
        <w:t> </w:t>
      </w:r>
      <w:r>
        <w:rPr/>
        <w:t>控股股东及实际控制人情况</w:t>
      </w:r>
      <w:r>
        <w:rPr>
          <w:b w:val="0"/>
          <w:bCs w:val="0"/>
        </w:rPr>
      </w:r>
    </w:p>
    <w:p>
      <w:pPr>
        <w:pStyle w:val="Heading3"/>
        <w:tabs>
          <w:tab w:pos="637" w:val="left" w:leader="none"/>
        </w:tabs>
        <w:spacing w:line="266" w:lineRule="auto" w:before="56"/>
        <w:ind w:right="7379"/>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控股股东情况</w:t>
      </w:r>
      <w:r>
        <w:rPr>
          <w:w w:val="100"/>
        </w:rPr>
        <w:t> </w:t>
      </w:r>
      <w:r>
        <w:rPr>
          <w:rFonts w:ascii="宋体" w:hAnsi="宋体" w:cs="宋体" w:eastAsia="宋体" w:hint="default"/>
          <w:w w:val="95"/>
        </w:rPr>
        <w:t>1</w:t>
        <w:tab/>
      </w:r>
      <w:r>
        <w:rPr/>
        <w:t>法人</w:t>
      </w:r>
      <w:r>
        <w:rPr>
          <w:b w:val="0"/>
          <w:bCs w:val="0"/>
        </w:rPr>
      </w:r>
    </w:p>
    <w:p>
      <w:pPr>
        <w:tabs>
          <w:tab w:pos="637" w:val="left" w:leader="none"/>
        </w:tabs>
        <w:spacing w:line="292" w:lineRule="auto" w:before="33"/>
        <w:ind w:left="218" w:right="748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w w:val="95"/>
          <w:sz w:val="21"/>
          <w:szCs w:val="21"/>
        </w:rPr>
        <w:t>2</w:t>
        <w:tab/>
      </w:r>
      <w:r>
        <w:rPr>
          <w:rFonts w:ascii="宋体" w:hAnsi="宋体" w:cs="宋体" w:eastAsia="宋体" w:hint="default"/>
          <w:b/>
          <w:bCs/>
          <w:sz w:val="21"/>
          <w:szCs w:val="21"/>
        </w:rPr>
        <w:t>自然人</w:t>
      </w:r>
      <w:r>
        <w:rPr>
          <w:rFonts w:ascii="宋体" w:hAnsi="宋体" w:cs="宋体" w:eastAsia="宋体" w:hint="default"/>
          <w:sz w:val="21"/>
          <w:szCs w:val="21"/>
        </w:rPr>
      </w:r>
    </w:p>
    <w:p>
      <w:pPr>
        <w:pStyle w:val="BodyText"/>
        <w:spacing w:line="240" w:lineRule="auto" w:before="10"/>
        <w:ind w:right="2757"/>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70"/>
        <w:gridCol w:w="5679"/>
      </w:tblGrid>
      <w:tr>
        <w:trPr>
          <w:trHeight w:val="28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严孟宇</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国籍</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是否取得其他国家或地区居留权</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主要职业及职务</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公司董事长兼总经理</w:t>
            </w:r>
          </w:p>
        </w:tc>
      </w:tr>
    </w:tbl>
    <w:p>
      <w:pPr>
        <w:spacing w:line="240" w:lineRule="auto" w:before="2"/>
        <w:rPr>
          <w:rFonts w:ascii="宋体" w:hAnsi="宋体" w:cs="宋体" w:eastAsia="宋体" w:hint="default"/>
          <w:sz w:val="20"/>
          <w:szCs w:val="20"/>
        </w:rPr>
      </w:pPr>
    </w:p>
    <w:p>
      <w:pPr>
        <w:pStyle w:val="Heading3"/>
        <w:tabs>
          <w:tab w:pos="637" w:val="left" w:leader="none"/>
        </w:tabs>
        <w:spacing w:line="240" w:lineRule="auto" w:before="36"/>
        <w:ind w:right="2757"/>
        <w:jc w:val="left"/>
        <w:rPr>
          <w:b w:val="0"/>
          <w:bCs w:val="0"/>
        </w:rPr>
      </w:pPr>
      <w:r>
        <w:rPr>
          <w:rFonts w:ascii="宋体" w:hAnsi="宋体" w:cs="宋体" w:eastAsia="宋体" w:hint="default"/>
          <w:w w:val="95"/>
        </w:rPr>
        <w:t>3</w:t>
        <w:tab/>
      </w:r>
      <w:r>
        <w:rPr/>
        <w:t>公司不存在控股股东情况的特别说明</w:t>
      </w:r>
      <w:r>
        <w:rPr>
          <w:b w:val="0"/>
          <w:bCs w:val="0"/>
        </w:rPr>
      </w:r>
    </w:p>
    <w:p>
      <w:pPr>
        <w:pStyle w:val="BodyText"/>
        <w:tabs>
          <w:tab w:pos="1060" w:val="left" w:leader="none"/>
        </w:tabs>
        <w:spacing w:line="240" w:lineRule="auto" w:before="56"/>
        <w:ind w:right="2757"/>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3"/>
        <w:tabs>
          <w:tab w:pos="637" w:val="left" w:leader="none"/>
        </w:tabs>
        <w:spacing w:line="240" w:lineRule="auto"/>
        <w:ind w:right="2757"/>
        <w:jc w:val="left"/>
        <w:rPr>
          <w:b w:val="0"/>
          <w:bCs w:val="0"/>
        </w:rPr>
      </w:pPr>
      <w:r>
        <w:rPr>
          <w:rFonts w:ascii="宋体" w:hAnsi="宋体" w:cs="宋体" w:eastAsia="宋体" w:hint="default"/>
          <w:w w:val="95"/>
        </w:rPr>
        <w:t>4</w:t>
        <w:tab/>
      </w:r>
      <w:r>
        <w:rPr/>
        <w:t>报告期内控股股东变更情况索引及日期</w:t>
      </w:r>
      <w:r>
        <w:rPr>
          <w:b w:val="0"/>
          <w:bCs w:val="0"/>
        </w:rPr>
      </w:r>
    </w:p>
    <w:p>
      <w:pPr>
        <w:pStyle w:val="BodyText"/>
        <w:tabs>
          <w:tab w:pos="1060" w:val="left" w:leader="none"/>
        </w:tabs>
        <w:spacing w:line="240" w:lineRule="auto" w:before="58"/>
        <w:ind w:right="2757"/>
        <w:jc w:val="left"/>
      </w:pPr>
      <w:r>
        <w:rPr>
          <w:spacing w:val="-1"/>
        </w:rPr>
        <w:t>□适用</w:t>
        <w:tab/>
      </w:r>
      <w:r>
        <w:rPr>
          <w:spacing w:val="-2"/>
        </w:rPr>
        <w:t>√不适用</w:t>
      </w:r>
    </w:p>
    <w:p>
      <w:pPr>
        <w:pStyle w:val="Heading3"/>
        <w:tabs>
          <w:tab w:pos="637" w:val="left" w:leader="none"/>
        </w:tabs>
        <w:spacing w:line="240" w:lineRule="auto" w:before="56"/>
        <w:ind w:right="2757"/>
        <w:jc w:val="left"/>
        <w:rPr>
          <w:b w:val="0"/>
          <w:bCs w:val="0"/>
        </w:rPr>
      </w:pPr>
      <w:r>
        <w:rPr>
          <w:rFonts w:ascii="宋体" w:hAnsi="宋体" w:cs="宋体" w:eastAsia="宋体" w:hint="default"/>
          <w:w w:val="95"/>
        </w:rPr>
        <w:t>5</w:t>
        <w:tab/>
      </w:r>
      <w:r>
        <w:rPr/>
        <w:t>公司与控股股东之间的产权及控制关系的方框图</w:t>
      </w:r>
      <w:r>
        <w:rPr>
          <w:b w:val="0"/>
          <w:bCs w:val="0"/>
        </w:rPr>
      </w:r>
    </w:p>
    <w:p>
      <w:pPr>
        <w:pStyle w:val="BodyText"/>
        <w:tabs>
          <w:tab w:pos="1060" w:val="left" w:leader="none"/>
        </w:tabs>
        <w:spacing w:line="240" w:lineRule="auto" w:before="58"/>
        <w:ind w:right="2757"/>
        <w:jc w:val="left"/>
      </w:pPr>
      <w:r>
        <w:rPr>
          <w:spacing w:val="-1"/>
        </w:rPr>
        <w:t>√适用</w:t>
        <w:tab/>
      </w:r>
      <w:r>
        <w:rPr>
          <w:spacing w:val="-2"/>
        </w:rPr>
        <w:t>□不适用</w:t>
      </w:r>
    </w:p>
    <w:p>
      <w:pPr>
        <w:spacing w:line="240" w:lineRule="auto" w:before="3"/>
        <w:rPr>
          <w:rFonts w:ascii="宋体" w:hAnsi="宋体" w:cs="宋体" w:eastAsia="宋体" w:hint="default"/>
          <w:sz w:val="2"/>
          <w:szCs w:val="2"/>
        </w:rPr>
      </w:pPr>
    </w:p>
    <w:p>
      <w:pPr>
        <w:spacing w:line="3339" w:lineRule="exact"/>
        <w:ind w:left="217" w:right="0" w:firstLine="0"/>
        <w:rPr>
          <w:rFonts w:ascii="宋体" w:hAnsi="宋体" w:cs="宋体" w:eastAsia="宋体" w:hint="default"/>
          <w:sz w:val="20"/>
          <w:szCs w:val="20"/>
        </w:rPr>
      </w:pPr>
      <w:r>
        <w:rPr>
          <w:rFonts w:ascii="宋体" w:hAnsi="宋体" w:cs="宋体" w:eastAsia="宋体" w:hint="default"/>
          <w:position w:val="-66"/>
          <w:sz w:val="20"/>
          <w:szCs w:val="20"/>
        </w:rPr>
        <w:drawing>
          <wp:inline distT="0" distB="0" distL="0" distR="0">
            <wp:extent cx="4390276" cy="2120646"/>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20" cstate="print"/>
                    <a:stretch>
                      <a:fillRect/>
                    </a:stretch>
                  </pic:blipFill>
                  <pic:spPr>
                    <a:xfrm>
                      <a:off x="0" y="0"/>
                      <a:ext cx="4390276" cy="2120646"/>
                    </a:xfrm>
                    <a:prstGeom prst="rect">
                      <a:avLst/>
                    </a:prstGeom>
                  </pic:spPr>
                </pic:pic>
              </a:graphicData>
            </a:graphic>
          </wp:inline>
        </w:drawing>
      </w:r>
      <w:r>
        <w:rPr>
          <w:rFonts w:ascii="宋体" w:hAnsi="宋体" w:cs="宋体" w:eastAsia="宋体" w:hint="default"/>
          <w:position w:val="-66"/>
          <w:sz w:val="20"/>
          <w:szCs w:val="20"/>
        </w:rPr>
      </w:r>
    </w:p>
    <w:p>
      <w:pPr>
        <w:spacing w:line="240" w:lineRule="auto" w:before="4"/>
        <w:rPr>
          <w:rFonts w:ascii="宋体" w:hAnsi="宋体" w:cs="宋体" w:eastAsia="宋体" w:hint="default"/>
          <w:sz w:val="23"/>
          <w:szCs w:val="23"/>
        </w:rPr>
      </w:pPr>
    </w:p>
    <w:p>
      <w:pPr>
        <w:pStyle w:val="Heading3"/>
        <w:tabs>
          <w:tab w:pos="642" w:val="left" w:leader="none"/>
        </w:tabs>
        <w:spacing w:line="266" w:lineRule="auto"/>
        <w:ind w:right="7168"/>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1"/>
        </w:rPr>
        <w:t> </w:t>
      </w:r>
      <w:r>
        <w:rPr/>
        <w:t>实际控制人情况</w:t>
      </w:r>
      <w:r>
        <w:rPr>
          <w:w w:val="100"/>
        </w:rPr>
        <w:t> </w:t>
      </w:r>
      <w:r>
        <w:rPr>
          <w:rFonts w:ascii="宋体" w:hAnsi="宋体" w:cs="宋体" w:eastAsia="宋体" w:hint="default"/>
          <w:w w:val="95"/>
        </w:rPr>
        <w:t>1</w:t>
        <w:tab/>
      </w:r>
      <w:r>
        <w:rPr/>
        <w:t>法人</w:t>
      </w:r>
      <w:r>
        <w:rPr>
          <w:b w:val="0"/>
          <w:bCs w:val="0"/>
        </w:rPr>
      </w:r>
    </w:p>
    <w:p>
      <w:pPr>
        <w:tabs>
          <w:tab w:pos="642" w:val="left" w:leader="none"/>
        </w:tabs>
        <w:spacing w:line="290" w:lineRule="auto" w:before="33"/>
        <w:ind w:left="218" w:right="748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w w:val="95"/>
          <w:sz w:val="21"/>
          <w:szCs w:val="21"/>
        </w:rPr>
        <w:t>2</w:t>
        <w:tab/>
      </w:r>
      <w:r>
        <w:rPr>
          <w:rFonts w:ascii="宋体" w:hAnsi="宋体" w:cs="宋体" w:eastAsia="宋体" w:hint="default"/>
          <w:b/>
          <w:bCs/>
          <w:sz w:val="21"/>
          <w:szCs w:val="21"/>
        </w:rPr>
        <w:t>自然人</w:t>
      </w:r>
      <w:r>
        <w:rPr>
          <w:rFonts w:ascii="宋体" w:hAnsi="宋体" w:cs="宋体" w:eastAsia="宋体" w:hint="default"/>
          <w:sz w:val="21"/>
          <w:szCs w:val="21"/>
        </w:rPr>
      </w:r>
    </w:p>
    <w:p>
      <w:pPr>
        <w:pStyle w:val="BodyText"/>
        <w:spacing w:line="240" w:lineRule="auto" w:before="12"/>
        <w:ind w:right="2757"/>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2"/>
        <w:gridCol w:w="5658"/>
      </w:tblGrid>
      <w:tr>
        <w:trPr>
          <w:trHeight w:val="281"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严孟宇</w:t>
            </w:r>
          </w:p>
        </w:tc>
      </w:tr>
      <w:tr>
        <w:trPr>
          <w:trHeight w:val="283"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国籍</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w:t>
            </w:r>
          </w:p>
        </w:tc>
      </w:tr>
      <w:tr>
        <w:trPr>
          <w:trHeight w:val="283"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是否取得其他国家或地区居留权</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41" w:lineRule="exact"/>
        <w:jc w:val="left"/>
        <w:rPr>
          <w:rFonts w:ascii="宋体" w:hAnsi="宋体" w:cs="宋体" w:eastAsia="宋体" w:hint="default"/>
          <w:sz w:val="21"/>
          <w:szCs w:val="21"/>
        </w:rPr>
        <w:sectPr>
          <w:pgSz w:w="11910" w:h="16840"/>
          <w:pgMar w:header="855" w:footer="1195" w:top="1280" w:bottom="1380" w:left="1580" w:right="1040"/>
        </w:sectPr>
      </w:pPr>
    </w:p>
    <w:p>
      <w:pPr>
        <w:spacing w:line="240" w:lineRule="auto" w:before="11"/>
        <w:rPr>
          <w:rFonts w:ascii="宋体" w:hAnsi="宋体" w:cs="宋体" w:eastAsia="宋体" w:hint="default"/>
          <w:sz w:val="17"/>
          <w:szCs w:val="17"/>
        </w:rPr>
      </w:pPr>
    </w:p>
    <w:tbl>
      <w:tblPr>
        <w:tblW w:w="0" w:type="auto"/>
        <w:jc w:val="left"/>
        <w:tblInd w:w="105" w:type="dxa"/>
        <w:tblLayout w:type="fixed"/>
        <w:tblCellMar>
          <w:top w:w="0" w:type="dxa"/>
          <w:left w:w="0" w:type="dxa"/>
          <w:bottom w:w="0" w:type="dxa"/>
          <w:right w:w="0" w:type="dxa"/>
        </w:tblCellMar>
        <w:tblLook w:val="01E0"/>
      </w:tblPr>
      <w:tblGrid>
        <w:gridCol w:w="3392"/>
        <w:gridCol w:w="5658"/>
      </w:tblGrid>
      <w:tr>
        <w:trPr>
          <w:trHeight w:val="312"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主要职业及职务</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公司董事长兼总经理</w:t>
            </w:r>
          </w:p>
        </w:tc>
      </w:tr>
      <w:tr>
        <w:trPr>
          <w:trHeight w:val="554"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过去 </w:t>
            </w:r>
            <w:r>
              <w:rPr>
                <w:rFonts w:ascii="宋体" w:hAnsi="宋体" w:cs="宋体" w:eastAsia="宋体" w:hint="default"/>
                <w:sz w:val="21"/>
                <w:szCs w:val="21"/>
              </w:rPr>
              <w:t>10</w:t>
            </w:r>
            <w:r>
              <w:rPr>
                <w:rFonts w:ascii="宋体" w:hAnsi="宋体" w:cs="宋体" w:eastAsia="宋体" w:hint="default"/>
                <w:spacing w:val="22"/>
                <w:sz w:val="21"/>
                <w:szCs w:val="21"/>
              </w:rPr>
              <w:t> </w:t>
            </w:r>
            <w:r>
              <w:rPr>
                <w:rFonts w:ascii="宋体" w:hAnsi="宋体" w:cs="宋体" w:eastAsia="宋体" w:hint="default"/>
                <w:sz w:val="21"/>
                <w:szCs w:val="21"/>
              </w:rPr>
              <w:t>年曾控股的境内外上市公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司情况</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3"/>
        <w:tabs>
          <w:tab w:pos="642" w:val="left" w:leader="none"/>
        </w:tabs>
        <w:spacing w:line="240" w:lineRule="auto" w:before="36"/>
        <w:ind w:right="2757"/>
        <w:jc w:val="left"/>
        <w:rPr>
          <w:b w:val="0"/>
          <w:bCs w:val="0"/>
        </w:rPr>
      </w:pPr>
      <w:r>
        <w:rPr>
          <w:rFonts w:ascii="宋体" w:hAnsi="宋体" w:cs="宋体" w:eastAsia="宋体" w:hint="default"/>
          <w:w w:val="95"/>
        </w:rPr>
        <w:t>3</w:t>
        <w:tab/>
      </w:r>
      <w:r>
        <w:rPr/>
        <w:t>公司不存在实际控制人情况的特别说明</w:t>
      </w:r>
      <w:r>
        <w:rPr>
          <w:b w:val="0"/>
          <w:bCs w:val="0"/>
        </w:rPr>
      </w:r>
    </w:p>
    <w:p>
      <w:pPr>
        <w:pStyle w:val="BodyText"/>
        <w:tabs>
          <w:tab w:pos="1060" w:val="left" w:leader="none"/>
        </w:tabs>
        <w:spacing w:line="240" w:lineRule="auto" w:before="56"/>
        <w:ind w:right="2757"/>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3"/>
        <w:tabs>
          <w:tab w:pos="642" w:val="left" w:leader="none"/>
        </w:tabs>
        <w:spacing w:line="240" w:lineRule="auto"/>
        <w:ind w:right="2757"/>
        <w:jc w:val="left"/>
        <w:rPr>
          <w:b w:val="0"/>
          <w:bCs w:val="0"/>
        </w:rPr>
      </w:pPr>
      <w:r>
        <w:rPr>
          <w:rFonts w:ascii="宋体" w:hAnsi="宋体" w:cs="宋体" w:eastAsia="宋体" w:hint="default"/>
          <w:w w:val="95"/>
        </w:rPr>
        <w:t>4</w:t>
        <w:tab/>
      </w:r>
      <w:r>
        <w:rPr/>
        <w:t>报告期内实际控制人变更情况索引及日期</w:t>
      </w:r>
      <w:r>
        <w:rPr>
          <w:b w:val="0"/>
          <w:bCs w:val="0"/>
        </w:rPr>
      </w:r>
    </w:p>
    <w:p>
      <w:pPr>
        <w:pStyle w:val="BodyText"/>
        <w:tabs>
          <w:tab w:pos="1060" w:val="left" w:leader="none"/>
        </w:tabs>
        <w:spacing w:line="240" w:lineRule="auto" w:before="58"/>
        <w:ind w:right="2757"/>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3"/>
        <w:tabs>
          <w:tab w:pos="642" w:val="left" w:leader="none"/>
        </w:tabs>
        <w:spacing w:line="240" w:lineRule="auto"/>
        <w:ind w:right="2757"/>
        <w:jc w:val="left"/>
        <w:rPr>
          <w:b w:val="0"/>
          <w:bCs w:val="0"/>
        </w:rPr>
      </w:pPr>
      <w:r>
        <w:rPr>
          <w:rFonts w:ascii="宋体" w:hAnsi="宋体" w:cs="宋体" w:eastAsia="宋体" w:hint="default"/>
          <w:w w:val="95"/>
        </w:rPr>
        <w:t>5</w:t>
        <w:tab/>
      </w:r>
      <w:r>
        <w:rPr/>
        <w:t>公司与实际控制人之间的产权及控制关系的方框图</w:t>
      </w:r>
      <w:r>
        <w:rPr>
          <w:b w:val="0"/>
          <w:bCs w:val="0"/>
        </w:rPr>
      </w:r>
    </w:p>
    <w:p>
      <w:pPr>
        <w:pStyle w:val="BodyText"/>
        <w:tabs>
          <w:tab w:pos="1060" w:val="left" w:leader="none"/>
        </w:tabs>
        <w:spacing w:line="240" w:lineRule="auto" w:before="56"/>
        <w:ind w:right="2757"/>
        <w:jc w:val="left"/>
      </w:pPr>
      <w:r>
        <w:rPr>
          <w:spacing w:val="-1"/>
        </w:rPr>
        <w:t>√适用</w:t>
        <w:tab/>
      </w:r>
      <w:r>
        <w:rPr>
          <w:spacing w:val="-2"/>
        </w:rPr>
        <w:t>□不适用</w:t>
      </w:r>
    </w:p>
    <w:p>
      <w:pPr>
        <w:spacing w:line="240" w:lineRule="auto" w:before="6"/>
        <w:rPr>
          <w:rFonts w:ascii="宋体" w:hAnsi="宋体" w:cs="宋体" w:eastAsia="宋体" w:hint="default"/>
          <w:sz w:val="2"/>
          <w:szCs w:val="2"/>
        </w:rPr>
      </w:pPr>
    </w:p>
    <w:p>
      <w:pPr>
        <w:spacing w:line="3267" w:lineRule="exact"/>
        <w:ind w:left="217" w:right="0" w:firstLine="0"/>
        <w:rPr>
          <w:rFonts w:ascii="宋体" w:hAnsi="宋体" w:cs="宋体" w:eastAsia="宋体" w:hint="default"/>
          <w:sz w:val="20"/>
          <w:szCs w:val="20"/>
        </w:rPr>
      </w:pPr>
      <w:r>
        <w:rPr>
          <w:rFonts w:ascii="宋体" w:hAnsi="宋体" w:cs="宋体" w:eastAsia="宋体" w:hint="default"/>
          <w:position w:val="-64"/>
          <w:sz w:val="20"/>
          <w:szCs w:val="20"/>
        </w:rPr>
        <w:drawing>
          <wp:inline distT="0" distB="0" distL="0" distR="0">
            <wp:extent cx="4295841" cy="2074545"/>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20" cstate="print"/>
                    <a:stretch>
                      <a:fillRect/>
                    </a:stretch>
                  </pic:blipFill>
                  <pic:spPr>
                    <a:xfrm>
                      <a:off x="0" y="0"/>
                      <a:ext cx="4295841" cy="2074545"/>
                    </a:xfrm>
                    <a:prstGeom prst="rect">
                      <a:avLst/>
                    </a:prstGeom>
                  </pic:spPr>
                </pic:pic>
              </a:graphicData>
            </a:graphic>
          </wp:inline>
        </w:drawing>
      </w:r>
      <w:r>
        <w:rPr>
          <w:rFonts w:ascii="宋体" w:hAnsi="宋体" w:cs="宋体" w:eastAsia="宋体" w:hint="default"/>
          <w:position w:val="-64"/>
          <w:sz w:val="20"/>
          <w:szCs w:val="20"/>
        </w:rPr>
      </w:r>
    </w:p>
    <w:p>
      <w:pPr>
        <w:spacing w:line="240" w:lineRule="auto" w:before="11"/>
        <w:rPr>
          <w:rFonts w:ascii="宋体" w:hAnsi="宋体" w:cs="宋体" w:eastAsia="宋体" w:hint="default"/>
          <w:sz w:val="21"/>
          <w:szCs w:val="21"/>
        </w:rPr>
      </w:pPr>
    </w:p>
    <w:p>
      <w:pPr>
        <w:pStyle w:val="Heading3"/>
        <w:tabs>
          <w:tab w:pos="642" w:val="left" w:leader="none"/>
        </w:tabs>
        <w:spacing w:line="240" w:lineRule="auto"/>
        <w:ind w:right="2757"/>
        <w:jc w:val="left"/>
        <w:rPr>
          <w:b w:val="0"/>
          <w:bCs w:val="0"/>
        </w:rPr>
      </w:pPr>
      <w:r>
        <w:rPr>
          <w:rFonts w:ascii="宋体" w:hAnsi="宋体" w:cs="宋体" w:eastAsia="宋体" w:hint="default"/>
          <w:w w:val="95"/>
        </w:rPr>
        <w:t>6</w:t>
        <w:tab/>
      </w:r>
      <w:r>
        <w:rPr/>
        <w:t>实际控制人通过信托或其他资产管理方式控制公司</w:t>
      </w:r>
      <w:r>
        <w:rPr>
          <w:b w:val="0"/>
          <w:bCs w:val="0"/>
        </w:rPr>
      </w:r>
    </w:p>
    <w:p>
      <w:pPr>
        <w:pStyle w:val="BodyText"/>
        <w:tabs>
          <w:tab w:pos="1060" w:val="left" w:leader="none"/>
        </w:tabs>
        <w:spacing w:line="240" w:lineRule="auto" w:before="58"/>
        <w:ind w:right="2757"/>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3"/>
        <w:spacing w:line="240" w:lineRule="auto"/>
        <w:ind w:right="2757"/>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9"/>
        </w:rPr>
        <w:t> </w:t>
      </w:r>
      <w:r>
        <w:rPr/>
        <w:t>控股股东及实际控制人其他情况介绍</w:t>
      </w:r>
      <w:r>
        <w:rPr>
          <w:b w:val="0"/>
          <w:bCs w:val="0"/>
        </w:rPr>
      </w:r>
    </w:p>
    <w:p>
      <w:pPr>
        <w:pStyle w:val="BodyText"/>
        <w:tabs>
          <w:tab w:pos="1060" w:val="left" w:leader="none"/>
        </w:tabs>
        <w:spacing w:line="240" w:lineRule="auto" w:before="29"/>
        <w:ind w:right="2757"/>
        <w:jc w:val="left"/>
      </w:pPr>
      <w:r>
        <w:rPr>
          <w:spacing w:val="-1"/>
        </w:rPr>
        <w:t>□适用</w:t>
        <w:tab/>
      </w:r>
      <w:r>
        <w:rPr>
          <w:spacing w:val="-2"/>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55" w:footer="1195" w:top="1280" w:bottom="1380" w:left="1580" w:right="1040"/>
        </w:sectPr>
      </w:pPr>
    </w:p>
    <w:p>
      <w:pPr>
        <w:pStyle w:val="Heading3"/>
        <w:spacing w:line="240" w:lineRule="auto" w:before="36"/>
        <w:ind w:right="-17"/>
        <w:jc w:val="left"/>
        <w:rPr>
          <w:b w:val="0"/>
          <w:bCs w:val="0"/>
        </w:rPr>
      </w:pPr>
      <w:r>
        <w:rPr/>
        <w:t>五、</w:t>
      </w:r>
      <w:r>
        <w:rPr>
          <w:spacing w:val="-78"/>
        </w:rPr>
        <w:t> </w:t>
      </w:r>
      <w:r>
        <w:rPr/>
        <w:t>其他持股在百分之十以上的法人股东</w:t>
      </w:r>
      <w:r>
        <w:rPr>
          <w:b w:val="0"/>
          <w:bCs w:val="0"/>
        </w:rPr>
      </w:r>
    </w:p>
    <w:p>
      <w:pPr>
        <w:pStyle w:val="BodyText"/>
        <w:spacing w:line="240" w:lineRule="auto" w:before="59"/>
        <w:ind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000" w:bottom="280" w:left="1580" w:right="1040"/>
          <w:cols w:num="2" w:equalWidth="0">
            <w:col w:w="4044" w:space="2477"/>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421"/>
        <w:gridCol w:w="1311"/>
        <w:gridCol w:w="1265"/>
        <w:gridCol w:w="2108"/>
        <w:gridCol w:w="1585"/>
        <w:gridCol w:w="1361"/>
      </w:tblGrid>
      <w:tr>
        <w:trPr>
          <w:trHeight w:val="826"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599" w:right="175" w:hanging="420"/>
              <w:jc w:val="left"/>
              <w:rPr>
                <w:rFonts w:ascii="宋体" w:hAnsi="宋体" w:cs="宋体" w:eastAsia="宋体" w:hint="default"/>
                <w:sz w:val="21"/>
                <w:szCs w:val="21"/>
              </w:rPr>
            </w:pPr>
            <w:r>
              <w:rPr>
                <w:rFonts w:ascii="宋体" w:hAnsi="宋体" w:cs="宋体" w:eastAsia="宋体" w:hint="default"/>
                <w:sz w:val="21"/>
                <w:szCs w:val="21"/>
              </w:rPr>
              <w:t>法人股东名</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称</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z w:val="21"/>
                <w:szCs w:val="21"/>
              </w:rPr>
              <w:t>单位负责人</w:t>
            </w:r>
          </w:p>
          <w:p>
            <w:pPr>
              <w:pStyle w:val="TableParagraph"/>
              <w:spacing w:line="240" w:lineRule="auto"/>
              <w:ind w:left="542" w:right="123" w:hanging="420"/>
              <w:jc w:val="left"/>
              <w:rPr>
                <w:rFonts w:ascii="宋体" w:hAnsi="宋体" w:cs="宋体" w:eastAsia="宋体" w:hint="default"/>
                <w:sz w:val="21"/>
                <w:szCs w:val="21"/>
              </w:rPr>
            </w:pPr>
            <w:r>
              <w:rPr>
                <w:rFonts w:ascii="宋体" w:hAnsi="宋体" w:cs="宋体" w:eastAsia="宋体" w:hint="default"/>
                <w:sz w:val="21"/>
                <w:szCs w:val="21"/>
              </w:rPr>
              <w:t>或法定代表</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人</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成立日期</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838" w:right="624" w:hanging="210"/>
              <w:jc w:val="left"/>
              <w:rPr>
                <w:rFonts w:ascii="宋体" w:hAnsi="宋体" w:cs="宋体" w:eastAsia="宋体" w:hint="default"/>
                <w:sz w:val="21"/>
                <w:szCs w:val="21"/>
              </w:rPr>
            </w:pPr>
            <w:r>
              <w:rPr>
                <w:rFonts w:ascii="宋体" w:hAnsi="宋体" w:cs="宋体" w:eastAsia="宋体" w:hint="default"/>
                <w:sz w:val="21"/>
                <w:szCs w:val="21"/>
              </w:rPr>
              <w:t>组织机构</w:t>
            </w:r>
            <w:r>
              <w:rPr>
                <w:rFonts w:ascii="宋体" w:hAnsi="宋体" w:cs="宋体" w:eastAsia="宋体" w:hint="default"/>
                <w:w w:val="100"/>
                <w:sz w:val="21"/>
                <w:szCs w:val="21"/>
              </w:rPr>
              <w:t> </w:t>
            </w:r>
            <w:r>
              <w:rPr>
                <w:rFonts w:ascii="宋体" w:hAnsi="宋体" w:cs="宋体" w:eastAsia="宋体" w:hint="default"/>
                <w:sz w:val="21"/>
                <w:szCs w:val="21"/>
              </w:rPr>
              <w:t>代码</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64"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8" w:right="0"/>
              <w:jc w:val="left"/>
              <w:rPr>
                <w:rFonts w:ascii="宋体" w:hAnsi="宋体" w:cs="宋体" w:eastAsia="宋体" w:hint="default"/>
                <w:sz w:val="21"/>
                <w:szCs w:val="21"/>
              </w:rPr>
            </w:pPr>
            <w:r>
              <w:rPr>
                <w:rFonts w:ascii="宋体" w:hAnsi="宋体" w:cs="宋体" w:eastAsia="宋体" w:hint="default"/>
                <w:sz w:val="21"/>
                <w:szCs w:val="21"/>
              </w:rPr>
              <w:t>主要经营业</w:t>
            </w:r>
          </w:p>
          <w:p>
            <w:pPr>
              <w:pStyle w:val="TableParagraph"/>
              <w:spacing w:line="240" w:lineRule="auto"/>
              <w:ind w:left="254" w:right="146" w:hanging="106"/>
              <w:jc w:val="left"/>
              <w:rPr>
                <w:rFonts w:ascii="宋体" w:hAnsi="宋体" w:cs="宋体" w:eastAsia="宋体" w:hint="default"/>
                <w:sz w:val="21"/>
                <w:szCs w:val="21"/>
              </w:rPr>
            </w:pPr>
            <w:r>
              <w:rPr>
                <w:rFonts w:ascii="宋体" w:hAnsi="宋体" w:cs="宋体" w:eastAsia="宋体" w:hint="default"/>
                <w:sz w:val="21"/>
                <w:szCs w:val="21"/>
              </w:rPr>
              <w:t>务或管理活</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动等情况</w:t>
            </w:r>
          </w:p>
        </w:tc>
      </w:tr>
      <w:tr>
        <w:trPr>
          <w:trHeight w:val="828"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pacing w:val="-66"/>
                <w:sz w:val="21"/>
                <w:szCs w:val="21"/>
              </w:rPr>
              <w:t> </w:t>
            </w:r>
            <w:r>
              <w:rPr>
                <w:rFonts w:ascii="宋体" w:hAnsi="宋体" w:cs="宋体" w:eastAsia="宋体" w:hint="default"/>
                <w:sz w:val="21"/>
                <w:szCs w:val="21"/>
              </w:rPr>
              <w:t>石</w:t>
            </w:r>
            <w:r>
              <w:rPr>
                <w:rFonts w:ascii="宋体" w:hAnsi="宋体" w:cs="宋体" w:eastAsia="宋体" w:hint="default"/>
                <w:spacing w:val="-66"/>
                <w:sz w:val="21"/>
                <w:szCs w:val="21"/>
              </w:rPr>
              <w:t> </w:t>
            </w:r>
            <w:r>
              <w:rPr>
                <w:rFonts w:ascii="宋体" w:hAnsi="宋体" w:cs="宋体" w:eastAsia="宋体" w:hint="default"/>
                <w:sz w:val="21"/>
                <w:szCs w:val="21"/>
              </w:rPr>
              <w:t>投</w:t>
            </w:r>
            <w:r>
              <w:rPr>
                <w:rFonts w:ascii="宋体" w:hAnsi="宋体" w:cs="宋体" w:eastAsia="宋体" w:hint="default"/>
                <w:spacing w:val="-69"/>
                <w:sz w:val="21"/>
                <w:szCs w:val="21"/>
              </w:rPr>
              <w:t> </w:t>
            </w:r>
            <w:r>
              <w:rPr>
                <w:rFonts w:ascii="宋体" w:hAnsi="宋体" w:cs="宋体" w:eastAsia="宋体" w:hint="default"/>
                <w:sz w:val="21"/>
                <w:szCs w:val="21"/>
              </w:rPr>
              <w:t>资</w:t>
            </w:r>
            <w:r>
              <w:rPr>
                <w:rFonts w:ascii="宋体" w:hAnsi="宋体" w:cs="宋体" w:eastAsia="宋体" w:hint="default"/>
                <w:spacing w:val="-66"/>
                <w:sz w:val="21"/>
                <w:szCs w:val="21"/>
              </w:rPr>
              <w:t> </w:t>
            </w:r>
            <w:r>
              <w:rPr>
                <w:rFonts w:ascii="宋体" w:hAnsi="宋体" w:cs="宋体" w:eastAsia="宋体" w:hint="default"/>
                <w:sz w:val="21"/>
                <w:szCs w:val="21"/>
              </w:rPr>
              <w:t>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color w:val="212121"/>
                <w:sz w:val="21"/>
                <w:szCs w:val="21"/>
              </w:rPr>
              <w:t>张佑君</w:t>
            </w:r>
            <w:r>
              <w:rPr>
                <w:rFonts w:ascii="宋体" w:hAnsi="宋体" w:cs="宋体" w:eastAsia="宋体" w:hint="default"/>
                <w:sz w:val="21"/>
                <w:szCs w:val="21"/>
              </w:rPr>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color w:val="212121"/>
                <w:sz w:val="21"/>
              </w:rPr>
              <w:t>2007-10-11</w:t>
            </w:r>
            <w:r>
              <w:rPr>
                <w:rFonts w:ascii="宋体"/>
                <w:sz w:val="21"/>
              </w:rPr>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color w:val="212121"/>
                <w:sz w:val="21"/>
              </w:rPr>
              <w:t>91110000710935134P</w:t>
            </w:r>
            <w:r>
              <w:rPr>
                <w:rFonts w:ascii="宋体"/>
                <w:sz w:val="21"/>
              </w:rPr>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color w:val="212121"/>
                <w:spacing w:val="-1"/>
                <w:sz w:val="21"/>
              </w:rPr>
              <w:t>3,000,000,000</w:t>
            </w:r>
            <w:r>
              <w:rPr>
                <w:rFonts w:ascii="宋体"/>
                <w:spacing w:val="-1"/>
                <w:sz w:val="21"/>
              </w:rPr>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color w:val="212121"/>
                <w:sz w:val="21"/>
                <w:szCs w:val="21"/>
              </w:rPr>
              <w:t>实</w:t>
            </w:r>
            <w:r>
              <w:rPr>
                <w:rFonts w:ascii="宋体" w:hAnsi="宋体" w:cs="宋体" w:eastAsia="宋体" w:hint="default"/>
                <w:color w:val="212121"/>
                <w:spacing w:val="-54"/>
                <w:sz w:val="21"/>
                <w:szCs w:val="21"/>
              </w:rPr>
              <w:t> </w:t>
            </w:r>
            <w:r>
              <w:rPr>
                <w:rFonts w:ascii="宋体" w:hAnsi="宋体" w:cs="宋体" w:eastAsia="宋体" w:hint="default"/>
                <w:color w:val="212121"/>
                <w:sz w:val="21"/>
                <w:szCs w:val="21"/>
              </w:rPr>
              <w:t>业</w:t>
            </w:r>
            <w:r>
              <w:rPr>
                <w:rFonts w:ascii="宋体" w:hAnsi="宋体" w:cs="宋体" w:eastAsia="宋体" w:hint="default"/>
                <w:color w:val="212121"/>
                <w:spacing w:val="-54"/>
                <w:sz w:val="21"/>
                <w:szCs w:val="21"/>
              </w:rPr>
              <w:t> </w:t>
            </w:r>
            <w:r>
              <w:rPr>
                <w:rFonts w:ascii="宋体" w:hAnsi="宋体" w:cs="宋体" w:eastAsia="宋体" w:hint="default"/>
                <w:color w:val="212121"/>
                <w:sz w:val="21"/>
                <w:szCs w:val="21"/>
              </w:rPr>
              <w:t>投</w:t>
            </w:r>
            <w:r>
              <w:rPr>
                <w:rFonts w:ascii="宋体" w:hAnsi="宋体" w:cs="宋体" w:eastAsia="宋体" w:hint="default"/>
                <w:color w:val="212121"/>
                <w:spacing w:val="-57"/>
                <w:sz w:val="21"/>
                <w:szCs w:val="21"/>
              </w:rPr>
              <w:t> </w:t>
            </w:r>
            <w:r>
              <w:rPr>
                <w:rFonts w:ascii="宋体" w:hAnsi="宋体" w:cs="宋体" w:eastAsia="宋体" w:hint="default"/>
                <w:color w:val="212121"/>
                <w:sz w:val="21"/>
                <w:szCs w:val="21"/>
              </w:rPr>
              <w:t>资</w:t>
            </w:r>
            <w:r>
              <w:rPr>
                <w:rFonts w:ascii="宋体" w:hAnsi="宋体" w:cs="宋体" w:eastAsia="宋体" w:hint="default"/>
                <w:color w:val="212121"/>
                <w:spacing w:val="-54"/>
                <w:sz w:val="21"/>
                <w:szCs w:val="21"/>
              </w:rPr>
              <w:t> </w:t>
            </w:r>
            <w:r>
              <w:rPr>
                <w:rFonts w:ascii="宋体" w:hAnsi="宋体" w:cs="宋体" w:eastAsia="宋体" w:hint="default"/>
                <w:color w:val="212121"/>
                <w:sz w:val="21"/>
                <w:szCs w:val="21"/>
              </w:rPr>
              <w:t>;</w:t>
            </w:r>
            <w:r>
              <w:rPr>
                <w:rFonts w:ascii="宋体" w:hAnsi="宋体" w:cs="宋体" w:eastAsia="宋体" w:hint="default"/>
                <w:sz w:val="21"/>
                <w:szCs w:val="21"/>
              </w:rPr>
            </w:r>
          </w:p>
          <w:p>
            <w:pPr>
              <w:pStyle w:val="TableParagraph"/>
              <w:spacing w:line="272" w:lineRule="exact" w:before="27"/>
              <w:ind w:left="100" w:right="99"/>
              <w:jc w:val="left"/>
              <w:rPr>
                <w:rFonts w:ascii="宋体" w:hAnsi="宋体" w:cs="宋体" w:eastAsia="宋体" w:hint="default"/>
                <w:sz w:val="21"/>
                <w:szCs w:val="21"/>
              </w:rPr>
            </w:pPr>
            <w:r>
              <w:rPr>
                <w:rFonts w:ascii="宋体" w:hAnsi="宋体" w:cs="宋体" w:eastAsia="宋体" w:hint="default"/>
                <w:color w:val="212121"/>
                <w:spacing w:val="17"/>
                <w:sz w:val="21"/>
                <w:szCs w:val="21"/>
              </w:rPr>
              <w:t>投资咨询、</w:t>
            </w:r>
            <w:r>
              <w:rPr>
                <w:rFonts w:ascii="宋体" w:hAnsi="宋体" w:cs="宋体" w:eastAsia="宋体" w:hint="default"/>
                <w:color w:val="212121"/>
                <w:spacing w:val="-95"/>
                <w:sz w:val="21"/>
                <w:szCs w:val="21"/>
              </w:rPr>
              <w:t> </w:t>
            </w:r>
            <w:r>
              <w:rPr>
                <w:rFonts w:ascii="宋体" w:hAnsi="宋体" w:cs="宋体" w:eastAsia="宋体" w:hint="default"/>
                <w:color w:val="212121"/>
                <w:spacing w:val="-95"/>
                <w:sz w:val="21"/>
                <w:szCs w:val="21"/>
              </w:rPr>
            </w:r>
            <w:r>
              <w:rPr>
                <w:rFonts w:ascii="宋体" w:hAnsi="宋体" w:cs="宋体" w:eastAsia="宋体" w:hint="default"/>
                <w:color w:val="212121"/>
                <w:sz w:val="21"/>
                <w:szCs w:val="21"/>
              </w:rPr>
              <w:t>管理。</w:t>
            </w:r>
            <w:r>
              <w:rPr>
                <w:rFonts w:ascii="宋体" w:hAnsi="宋体" w:cs="宋体" w:eastAsia="宋体" w:hint="default"/>
                <w:sz w:val="21"/>
                <w:szCs w:val="21"/>
              </w:rPr>
            </w:r>
          </w:p>
        </w:tc>
      </w:tr>
      <w:tr>
        <w:trPr>
          <w:trHeight w:val="1099"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福</w:t>
            </w:r>
            <w:r>
              <w:rPr>
                <w:rFonts w:ascii="宋体" w:hAnsi="宋体" w:cs="宋体" w:eastAsia="宋体" w:hint="default"/>
                <w:spacing w:val="-66"/>
                <w:sz w:val="21"/>
                <w:szCs w:val="21"/>
              </w:rPr>
              <w:t> </w:t>
            </w:r>
            <w:r>
              <w:rPr>
                <w:rFonts w:ascii="宋体" w:hAnsi="宋体" w:cs="宋体" w:eastAsia="宋体" w:hint="default"/>
                <w:sz w:val="21"/>
                <w:szCs w:val="21"/>
              </w:rPr>
              <w:t>州</w:t>
            </w:r>
            <w:r>
              <w:rPr>
                <w:rFonts w:ascii="宋体" w:hAnsi="宋体" w:cs="宋体" w:eastAsia="宋体" w:hint="default"/>
                <w:spacing w:val="-66"/>
                <w:sz w:val="21"/>
                <w:szCs w:val="21"/>
              </w:rPr>
              <w:t> </w:t>
            </w:r>
            <w:r>
              <w:rPr>
                <w:rFonts w:ascii="宋体" w:hAnsi="宋体" w:cs="宋体" w:eastAsia="宋体" w:hint="default"/>
                <w:sz w:val="21"/>
                <w:szCs w:val="21"/>
              </w:rPr>
              <w:t>爱</w:t>
            </w:r>
            <w:r>
              <w:rPr>
                <w:rFonts w:ascii="宋体" w:hAnsi="宋体" w:cs="宋体" w:eastAsia="宋体" w:hint="default"/>
                <w:spacing w:val="-69"/>
                <w:sz w:val="21"/>
                <w:szCs w:val="21"/>
              </w:rPr>
              <w:t> </w:t>
            </w:r>
            <w:r>
              <w:rPr>
                <w:rFonts w:ascii="宋体" w:hAnsi="宋体" w:cs="宋体" w:eastAsia="宋体" w:hint="default"/>
                <w:sz w:val="21"/>
                <w:szCs w:val="21"/>
              </w:rPr>
              <w:t>派</w:t>
            </w:r>
            <w:r>
              <w:rPr>
                <w:rFonts w:ascii="宋体" w:hAnsi="宋体" w:cs="宋体" w:eastAsia="宋体" w:hint="default"/>
                <w:spacing w:val="-66"/>
                <w:sz w:val="21"/>
                <w:szCs w:val="21"/>
              </w:rPr>
              <w:t> </w:t>
            </w:r>
            <w:r>
              <w:rPr>
                <w:rFonts w:ascii="宋体" w:hAnsi="宋体" w:cs="宋体" w:eastAsia="宋体" w:hint="default"/>
                <w:sz w:val="21"/>
                <w:szCs w:val="21"/>
              </w:rPr>
              <w:t>克</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z w:val="21"/>
                <w:szCs w:val="21"/>
              </w:rPr>
              <w:t>电</w:t>
            </w:r>
            <w:r>
              <w:rPr>
                <w:rFonts w:ascii="宋体" w:hAnsi="宋体" w:cs="宋体" w:eastAsia="宋体" w:hint="default"/>
                <w:spacing w:val="-66"/>
                <w:sz w:val="21"/>
                <w:szCs w:val="21"/>
              </w:rPr>
              <w:t> </w:t>
            </w:r>
            <w:r>
              <w:rPr>
                <w:rFonts w:ascii="宋体" w:hAnsi="宋体" w:cs="宋体" w:eastAsia="宋体" w:hint="default"/>
                <w:sz w:val="21"/>
                <w:szCs w:val="21"/>
              </w:rPr>
              <w:t>子</w:t>
            </w:r>
            <w:r>
              <w:rPr>
                <w:rFonts w:ascii="宋体" w:hAnsi="宋体" w:cs="宋体" w:eastAsia="宋体" w:hint="default"/>
                <w:spacing w:val="-66"/>
                <w:sz w:val="21"/>
                <w:szCs w:val="21"/>
              </w:rPr>
              <w:t> </w:t>
            </w:r>
            <w:r>
              <w:rPr>
                <w:rFonts w:ascii="宋体" w:hAnsi="宋体" w:cs="宋体" w:eastAsia="宋体" w:hint="default"/>
                <w:sz w:val="21"/>
                <w:szCs w:val="21"/>
              </w:rPr>
              <w:t>有</w:t>
            </w:r>
            <w:r>
              <w:rPr>
                <w:rFonts w:ascii="宋体" w:hAnsi="宋体" w:cs="宋体" w:eastAsia="宋体" w:hint="default"/>
                <w:spacing w:val="-69"/>
                <w:sz w:val="21"/>
                <w:szCs w:val="21"/>
              </w:rPr>
              <w:t> </w:t>
            </w:r>
            <w:r>
              <w:rPr>
                <w:rFonts w:ascii="宋体" w:hAnsi="宋体" w:cs="宋体" w:eastAsia="宋体" w:hint="default"/>
                <w:sz w:val="21"/>
                <w:szCs w:val="21"/>
              </w:rPr>
              <w:t>限</w:t>
            </w:r>
            <w:r>
              <w:rPr>
                <w:rFonts w:ascii="宋体" w:hAnsi="宋体" w:cs="宋体" w:eastAsia="宋体" w:hint="default"/>
                <w:spacing w:val="-66"/>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林永正</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color w:val="212121"/>
                <w:sz w:val="21"/>
              </w:rPr>
              <w:t>2004-06-15</w:t>
            </w:r>
            <w:r>
              <w:rPr>
                <w:rFonts w:ascii="宋体"/>
                <w:sz w:val="21"/>
              </w:rPr>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color w:val="212121"/>
                <w:sz w:val="21"/>
              </w:rPr>
              <w:t>913501057617955494</w:t>
            </w:r>
            <w:r>
              <w:rPr>
                <w:rFonts w:ascii="宋体"/>
                <w:sz w:val="21"/>
              </w:rPr>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color w:val="212121"/>
                <w:spacing w:val="-1"/>
                <w:sz w:val="21"/>
              </w:rPr>
              <w:t>10,000,000</w:t>
            </w:r>
            <w:r>
              <w:rPr>
                <w:rFonts w:ascii="宋体"/>
                <w:spacing w:val="-1"/>
                <w:sz w:val="21"/>
              </w:rPr>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电子原器件</w:t>
            </w:r>
          </w:p>
          <w:p>
            <w:pPr>
              <w:pStyle w:val="TableParagraph"/>
              <w:spacing w:line="237" w:lineRule="auto"/>
              <w:ind w:left="148" w:right="146"/>
              <w:jc w:val="center"/>
              <w:rPr>
                <w:rFonts w:ascii="宋体" w:hAnsi="宋体" w:cs="宋体" w:eastAsia="宋体" w:hint="default"/>
                <w:sz w:val="21"/>
                <w:szCs w:val="21"/>
              </w:rPr>
            </w:pPr>
            <w:r>
              <w:rPr>
                <w:rFonts w:ascii="宋体" w:hAnsi="宋体" w:cs="宋体" w:eastAsia="宋体" w:hint="default"/>
                <w:sz w:val="21"/>
                <w:szCs w:val="21"/>
              </w:rPr>
              <w:t>批发及相关</w:t>
            </w:r>
            <w:r>
              <w:rPr>
                <w:rFonts w:ascii="宋体" w:hAnsi="宋体" w:cs="宋体" w:eastAsia="宋体" w:hint="default"/>
                <w:w w:val="100"/>
                <w:sz w:val="21"/>
                <w:szCs w:val="21"/>
              </w:rPr>
              <w:t> </w:t>
            </w:r>
            <w:r>
              <w:rPr>
                <w:rFonts w:ascii="宋体" w:hAnsi="宋体" w:cs="宋体" w:eastAsia="宋体" w:hint="default"/>
                <w:sz w:val="21"/>
                <w:szCs w:val="21"/>
              </w:rPr>
              <w:t>业务的咨询</w:t>
            </w:r>
            <w:r>
              <w:rPr>
                <w:rFonts w:ascii="宋体" w:hAnsi="宋体" w:cs="宋体" w:eastAsia="宋体" w:hint="default"/>
                <w:w w:val="100"/>
                <w:sz w:val="21"/>
                <w:szCs w:val="21"/>
              </w:rPr>
              <w:t> </w:t>
            </w:r>
            <w:r>
              <w:rPr>
                <w:rFonts w:ascii="宋体" w:hAnsi="宋体" w:cs="宋体" w:eastAsia="宋体" w:hint="default"/>
                <w:sz w:val="21"/>
                <w:szCs w:val="21"/>
              </w:rPr>
              <w:t>服务</w:t>
            </w:r>
          </w:p>
        </w:tc>
      </w:tr>
    </w:tbl>
    <w:p>
      <w:pPr>
        <w:spacing w:after="0" w:line="237" w:lineRule="auto"/>
        <w:jc w:val="center"/>
        <w:rPr>
          <w:rFonts w:ascii="宋体" w:hAnsi="宋体" w:cs="宋体" w:eastAsia="宋体" w:hint="default"/>
          <w:sz w:val="21"/>
          <w:szCs w:val="21"/>
        </w:rPr>
        <w:sectPr>
          <w:type w:val="continuous"/>
          <w:pgSz w:w="11910" w:h="16840"/>
          <w:pgMar w:top="1000" w:bottom="280" w:left="1580" w:right="1040"/>
        </w:sectPr>
      </w:pPr>
    </w:p>
    <w:p>
      <w:pPr>
        <w:spacing w:line="240" w:lineRule="auto" w:before="6"/>
        <w:rPr>
          <w:rFonts w:ascii="宋体" w:hAnsi="宋体" w:cs="宋体" w:eastAsia="宋体" w:hint="default"/>
          <w:sz w:val="12"/>
          <w:szCs w:val="12"/>
        </w:rPr>
      </w:pPr>
    </w:p>
    <w:p>
      <w:pPr>
        <w:pStyle w:val="Heading3"/>
        <w:spacing w:line="240" w:lineRule="auto" w:before="36"/>
        <w:ind w:left="138" w:right="0"/>
        <w:jc w:val="left"/>
        <w:rPr>
          <w:b w:val="0"/>
          <w:bCs w:val="0"/>
        </w:rPr>
      </w:pPr>
      <w:r>
        <w:rPr/>
        <w:t>六、</w:t>
      </w:r>
      <w:r>
        <w:rPr>
          <w:spacing w:val="-77"/>
        </w:rPr>
        <w:t> </w:t>
      </w:r>
      <w:r>
        <w:rPr/>
        <w:t>股份限制减持情况说明</w:t>
      </w:r>
      <w:r>
        <w:rPr>
          <w:b w:val="0"/>
          <w:bCs w:val="0"/>
        </w:rPr>
      </w:r>
    </w:p>
    <w:p>
      <w:pPr>
        <w:pStyle w:val="BodyText"/>
        <w:spacing w:line="272" w:lineRule="exact" w:before="86"/>
        <w:ind w:left="243" w:right="1400" w:hanging="106"/>
        <w:jc w:val="left"/>
      </w:pPr>
      <w:r>
        <w:rPr/>
        <w:t>√适用</w:t>
      </w:r>
      <w:r>
        <w:rPr>
          <w:spacing w:val="-2"/>
        </w:rPr>
        <w:t> </w:t>
      </w:r>
      <w:r>
        <w:rPr/>
        <w:t>□不适用</w:t>
      </w:r>
      <w:r>
        <w:rPr>
          <w:w w:val="100"/>
        </w:rPr>
        <w:t> </w:t>
      </w:r>
      <w:r>
        <w:rPr>
          <w:spacing w:val="-2"/>
        </w:rPr>
        <w:t>具体内容详见本报告第五节重要事项“二、承诺事项履行情况（一）”。</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Heading1"/>
        <w:tabs>
          <w:tab w:pos="4199" w:val="left" w:leader="none"/>
        </w:tabs>
        <w:spacing w:line="240" w:lineRule="auto"/>
        <w:ind w:left="2939" w:right="0"/>
        <w:jc w:val="left"/>
        <w:rPr>
          <w:b w:val="0"/>
          <w:bCs w:val="0"/>
        </w:rPr>
      </w:pPr>
      <w:bookmarkStart w:name="_TOC_250005" w:id="7"/>
      <w:r>
        <w:rPr>
          <w:w w:val="95"/>
        </w:rPr>
        <w:t>第七节</w:t>
        <w:tab/>
      </w:r>
      <w:r>
        <w:rPr/>
        <w:t>优先股相关情况</w:t>
      </w:r>
      <w:bookmarkEnd w:id="7"/>
      <w:r>
        <w:rPr>
          <w:b w:val="0"/>
          <w:bCs w:val="0"/>
        </w:rPr>
      </w:r>
    </w:p>
    <w:p>
      <w:pPr>
        <w:spacing w:line="240" w:lineRule="auto" w:before="4"/>
        <w:rPr>
          <w:rFonts w:ascii="黑体" w:hAnsi="黑体" w:cs="黑体" w:eastAsia="黑体" w:hint="default"/>
          <w:b/>
          <w:bCs/>
          <w:sz w:val="19"/>
          <w:szCs w:val="19"/>
        </w:rPr>
      </w:pPr>
    </w:p>
    <w:p>
      <w:pPr>
        <w:pStyle w:val="BodyText"/>
        <w:spacing w:line="240" w:lineRule="auto"/>
        <w:ind w:left="138" w:right="0"/>
        <w:jc w:val="left"/>
      </w:pPr>
      <w:r>
        <w:rPr/>
        <w:t>□适用</w:t>
      </w:r>
      <w:r>
        <w:rPr>
          <w:spacing w:val="-1"/>
        </w:rPr>
        <w:t> </w:t>
      </w:r>
      <w:r>
        <w:rPr/>
        <w:t>√不适用</w:t>
      </w:r>
    </w:p>
    <w:p>
      <w:pPr>
        <w:spacing w:after="0" w:line="240" w:lineRule="auto"/>
        <w:jc w:val="left"/>
        <w:sectPr>
          <w:pgSz w:w="11910" w:h="16840"/>
          <w:pgMar w:header="855" w:footer="1195" w:top="1280" w:bottom="1380" w:left="1660" w:right="1140"/>
        </w:sectPr>
      </w:pPr>
    </w:p>
    <w:p>
      <w:pPr>
        <w:pStyle w:val="Heading1"/>
        <w:tabs>
          <w:tab w:pos="5401" w:val="left" w:leader="none"/>
        </w:tabs>
        <w:spacing w:line="362" w:lineRule="exact"/>
        <w:ind w:left="4141" w:right="0"/>
        <w:jc w:val="left"/>
        <w:rPr>
          <w:b w:val="0"/>
          <w:bCs w:val="0"/>
        </w:rPr>
      </w:pPr>
      <w:r>
        <w:rPr/>
        <w:pict>
          <v:group style="position:absolute;margin-left:74.760002pt;margin-top:1.85pt;width:695.65pt;height:.1pt;mso-position-horizontal-relative:page;mso-position-vertical-relative:paragraph;z-index:-664312" coordorigin="1495,37" coordsize="13913,2">
            <v:shape style="position:absolute;left:1495;top:37;width:13913;height:2" coordorigin="1495,37" coordsize="13913,0" path="m1495,37l15408,37e" filled="false" stroked="true" strokeweight=".72pt" strokecolor="#000000">
              <v:path arrowok="t"/>
            </v:shape>
            <w10:wrap type="none"/>
          </v:group>
        </w:pict>
      </w:r>
      <w:bookmarkStart w:name="_TOC_250004" w:id="8"/>
      <w:r>
        <w:rPr>
          <w:w w:val="95"/>
        </w:rPr>
        <w:t>第八节</w:t>
        <w:tab/>
      </w:r>
      <w:r>
        <w:rPr/>
        <w:t>董事、监事、高级管理人员和员工情况</w:t>
      </w:r>
      <w:bookmarkEnd w:id="8"/>
      <w:r>
        <w:rPr>
          <w:b w:val="0"/>
          <w:bCs w:val="0"/>
        </w:rPr>
      </w:r>
    </w:p>
    <w:p>
      <w:pPr>
        <w:spacing w:line="240" w:lineRule="auto" w:before="7"/>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headerReference w:type="default" r:id="rId21"/>
          <w:footerReference w:type="default" r:id="rId22"/>
          <w:pgSz w:w="16840" w:h="11910" w:orient="landscape"/>
          <w:pgMar w:header="855" w:footer="1195" w:top="1280" w:bottom="1380" w:left="1300" w:right="1200"/>
          <w:pgNumType w:start="50"/>
        </w:sectPr>
      </w:pPr>
    </w:p>
    <w:p>
      <w:pPr>
        <w:pStyle w:val="Heading3"/>
        <w:spacing w:line="240" w:lineRule="auto" w:before="36"/>
        <w:ind w:left="224" w:right="-15"/>
        <w:jc w:val="left"/>
        <w:rPr>
          <w:b w:val="0"/>
          <w:bCs w:val="0"/>
        </w:rPr>
      </w:pPr>
      <w:r>
        <w:rPr/>
        <w:t>一、持股变动情况及报酬情况</w:t>
      </w:r>
      <w:r>
        <w:rPr>
          <w:b w:val="0"/>
          <w:bCs w:val="0"/>
        </w:rPr>
      </w:r>
    </w:p>
    <w:p>
      <w:pPr>
        <w:pStyle w:val="Heading3"/>
        <w:spacing w:line="240" w:lineRule="auto" w:before="56"/>
        <w:ind w:left="224" w:right="-1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现任及报告期内离任董事、监事和高级管理人员持股变动及报酬情况</w:t>
      </w:r>
      <w:r>
        <w:rPr>
          <w:b w:val="0"/>
          <w:bCs w:val="0"/>
        </w:rPr>
      </w:r>
    </w:p>
    <w:p>
      <w:pPr>
        <w:pStyle w:val="BodyText"/>
        <w:spacing w:line="240" w:lineRule="auto" w:before="32"/>
        <w:ind w:left="224"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224" w:right="0"/>
        <w:jc w:val="left"/>
      </w:pPr>
      <w:r>
        <w:rPr/>
        <w:t>单位：股</w:t>
      </w:r>
    </w:p>
    <w:p>
      <w:pPr>
        <w:spacing w:after="0" w:line="240" w:lineRule="auto"/>
        <w:jc w:val="left"/>
        <w:sectPr>
          <w:type w:val="continuous"/>
          <w:pgSz w:w="16840" w:h="11910" w:orient="landscape"/>
          <w:pgMar w:top="1000" w:bottom="280" w:left="1300" w:right="1200"/>
          <w:cols w:num="2" w:equalWidth="0">
            <w:col w:w="6972" w:space="6062"/>
            <w:col w:w="1306"/>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960"/>
        <w:gridCol w:w="1226"/>
        <w:gridCol w:w="828"/>
        <w:gridCol w:w="829"/>
        <w:gridCol w:w="1265"/>
        <w:gridCol w:w="1267"/>
        <w:gridCol w:w="1265"/>
        <w:gridCol w:w="1267"/>
        <w:gridCol w:w="1313"/>
        <w:gridCol w:w="1128"/>
        <w:gridCol w:w="1368"/>
        <w:gridCol w:w="1380"/>
      </w:tblGrid>
      <w:tr>
        <w:trPr>
          <w:trHeight w:val="1100"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87" w:right="0"/>
              <w:jc w:val="left"/>
              <w:rPr>
                <w:rFonts w:ascii="宋体" w:hAnsi="宋体" w:cs="宋体" w:eastAsia="宋体" w:hint="default"/>
                <w:sz w:val="21"/>
                <w:szCs w:val="21"/>
              </w:rPr>
            </w:pPr>
            <w:r>
              <w:rPr>
                <w:rFonts w:ascii="宋体" w:hAnsi="宋体" w:cs="宋体" w:eastAsia="宋体" w:hint="default"/>
                <w:sz w:val="21"/>
                <w:szCs w:val="21"/>
              </w:rPr>
              <w:t>职务</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性别</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年龄</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523" w:right="96" w:hanging="420"/>
              <w:jc w:val="left"/>
              <w:rPr>
                <w:rFonts w:ascii="宋体" w:hAnsi="宋体" w:cs="宋体" w:eastAsia="宋体" w:hint="default"/>
                <w:sz w:val="21"/>
                <w:szCs w:val="21"/>
              </w:rPr>
            </w:pPr>
            <w:r>
              <w:rPr>
                <w:rFonts w:ascii="宋体" w:hAnsi="宋体" w:cs="宋体" w:eastAsia="宋体" w:hint="default"/>
                <w:sz w:val="21"/>
                <w:szCs w:val="21"/>
              </w:rPr>
              <w:t>任期起始日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期</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525" w:right="96" w:hanging="420"/>
              <w:jc w:val="left"/>
              <w:rPr>
                <w:rFonts w:ascii="宋体" w:hAnsi="宋体" w:cs="宋体" w:eastAsia="宋体" w:hint="default"/>
                <w:sz w:val="21"/>
                <w:szCs w:val="21"/>
              </w:rPr>
            </w:pPr>
            <w:r>
              <w:rPr>
                <w:rFonts w:ascii="宋体" w:hAnsi="宋体" w:cs="宋体" w:eastAsia="宋体" w:hint="default"/>
                <w:sz w:val="21"/>
                <w:szCs w:val="21"/>
              </w:rPr>
              <w:t>任期终止日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期</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年初持股数</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年末持股数</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24" w:right="123"/>
              <w:jc w:val="left"/>
              <w:rPr>
                <w:rFonts w:ascii="宋体" w:hAnsi="宋体" w:cs="宋体" w:eastAsia="宋体" w:hint="default"/>
                <w:sz w:val="21"/>
                <w:szCs w:val="21"/>
              </w:rPr>
            </w:pPr>
            <w:r>
              <w:rPr>
                <w:rFonts w:ascii="宋体" w:hAnsi="宋体" w:cs="宋体" w:eastAsia="宋体" w:hint="default"/>
                <w:sz w:val="21"/>
                <w:szCs w:val="21"/>
              </w:rPr>
              <w:t>年度内股份</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增减变动量</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348" w:right="134" w:hanging="209"/>
              <w:jc w:val="left"/>
              <w:rPr>
                <w:rFonts w:ascii="宋体" w:hAnsi="宋体" w:cs="宋体" w:eastAsia="宋体" w:hint="default"/>
                <w:sz w:val="21"/>
                <w:szCs w:val="21"/>
              </w:rPr>
            </w:pPr>
            <w:r>
              <w:rPr>
                <w:rFonts w:ascii="宋体" w:hAnsi="宋体" w:cs="宋体" w:eastAsia="宋体" w:hint="default"/>
                <w:sz w:val="21"/>
                <w:szCs w:val="21"/>
              </w:rPr>
              <w:t>增减变动</w:t>
            </w:r>
            <w:r>
              <w:rPr>
                <w:rFonts w:ascii="宋体" w:hAnsi="宋体" w:cs="宋体" w:eastAsia="宋体" w:hint="default"/>
                <w:w w:val="100"/>
                <w:sz w:val="21"/>
                <w:szCs w:val="21"/>
              </w:rPr>
              <w:t> </w:t>
            </w:r>
            <w:r>
              <w:rPr>
                <w:rFonts w:ascii="宋体" w:hAnsi="宋体" w:cs="宋体" w:eastAsia="宋体" w:hint="default"/>
                <w:sz w:val="21"/>
                <w:szCs w:val="21"/>
              </w:rPr>
              <w:t>原因</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3" w:right="0"/>
              <w:jc w:val="both"/>
              <w:rPr>
                <w:rFonts w:ascii="宋体" w:hAnsi="宋体" w:cs="宋体" w:eastAsia="宋体" w:hint="default"/>
                <w:sz w:val="21"/>
                <w:szCs w:val="21"/>
              </w:rPr>
            </w:pPr>
            <w:r>
              <w:rPr>
                <w:rFonts w:ascii="宋体" w:hAnsi="宋体" w:cs="宋体" w:eastAsia="宋体" w:hint="default"/>
                <w:sz w:val="21"/>
                <w:szCs w:val="21"/>
              </w:rPr>
              <w:t>报告期内从</w:t>
            </w:r>
          </w:p>
          <w:p>
            <w:pPr>
              <w:pStyle w:val="TableParagraph"/>
              <w:spacing w:line="237" w:lineRule="auto" w:before="2"/>
              <w:ind w:left="153" w:right="149"/>
              <w:jc w:val="both"/>
              <w:rPr>
                <w:rFonts w:ascii="宋体" w:hAnsi="宋体" w:cs="宋体" w:eastAsia="宋体" w:hint="default"/>
                <w:sz w:val="21"/>
                <w:szCs w:val="21"/>
              </w:rPr>
            </w:pPr>
            <w:r>
              <w:rPr>
                <w:rFonts w:ascii="宋体" w:hAnsi="宋体" w:cs="宋体" w:eastAsia="宋体" w:hint="default"/>
                <w:sz w:val="21"/>
                <w:szCs w:val="21"/>
              </w:rPr>
              <w:t>公司获得的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税前报酬总</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额（万元）</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0" w:right="0"/>
              <w:jc w:val="left"/>
              <w:rPr>
                <w:rFonts w:ascii="宋体" w:hAnsi="宋体" w:cs="宋体" w:eastAsia="宋体" w:hint="default"/>
                <w:sz w:val="21"/>
                <w:szCs w:val="21"/>
              </w:rPr>
            </w:pPr>
            <w:r>
              <w:rPr>
                <w:rFonts w:ascii="宋体" w:hAnsi="宋体" w:cs="宋体" w:eastAsia="宋体" w:hint="default"/>
                <w:sz w:val="21"/>
                <w:szCs w:val="21"/>
              </w:rPr>
              <w:t>是否在公司</w:t>
            </w:r>
          </w:p>
          <w:p>
            <w:pPr>
              <w:pStyle w:val="TableParagraph"/>
              <w:spacing w:line="272" w:lineRule="exact" w:before="27"/>
              <w:ind w:left="475" w:right="154" w:hanging="315"/>
              <w:jc w:val="left"/>
              <w:rPr>
                <w:rFonts w:ascii="宋体" w:hAnsi="宋体" w:cs="宋体" w:eastAsia="宋体" w:hint="default"/>
                <w:sz w:val="21"/>
                <w:szCs w:val="21"/>
              </w:rPr>
            </w:pPr>
            <w:r>
              <w:rPr>
                <w:rFonts w:ascii="宋体" w:hAnsi="宋体" w:cs="宋体" w:eastAsia="宋体" w:hint="default"/>
                <w:sz w:val="21"/>
                <w:szCs w:val="21"/>
              </w:rPr>
              <w:t>关联方获取</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报酬</w:t>
            </w:r>
          </w:p>
        </w:tc>
      </w:tr>
      <w:tr>
        <w:trPr>
          <w:trHeight w:val="55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严孟宇</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董事长、总</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经理</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sz w:val="21"/>
              </w:rPr>
              <w:t>49</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2017-06-26</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 w:right="0"/>
              <w:jc w:val="center"/>
              <w:rPr>
                <w:rFonts w:ascii="宋体" w:hAnsi="宋体" w:cs="宋体" w:eastAsia="宋体" w:hint="default"/>
                <w:sz w:val="21"/>
                <w:szCs w:val="21"/>
              </w:rPr>
            </w:pPr>
            <w:r>
              <w:rPr>
                <w:rFonts w:ascii="宋体"/>
                <w:sz w:val="21"/>
              </w:rPr>
              <w:t>2020-06-25</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sz w:val="21"/>
              </w:rPr>
              <w:t>18,040,000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 w:right="0"/>
              <w:jc w:val="center"/>
              <w:rPr>
                <w:rFonts w:ascii="宋体" w:hAnsi="宋体" w:cs="宋体" w:eastAsia="宋体" w:hint="default"/>
                <w:sz w:val="21"/>
                <w:szCs w:val="21"/>
              </w:rPr>
            </w:pPr>
            <w:r>
              <w:rPr>
                <w:rFonts w:ascii="宋体"/>
                <w:sz w:val="21"/>
              </w:rPr>
              <w:t>18,040,000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w w:val="100"/>
                <w:sz w:val="21"/>
              </w:rPr>
              <w:t>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57.45</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1099"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tabs>
                <w:tab w:pos="422" w:val="left" w:leader="none"/>
              </w:tabs>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赵</w:t>
              <w:tab/>
              <w:t>伟</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副董事长、</w:t>
            </w:r>
          </w:p>
          <w:p>
            <w:pPr>
              <w:pStyle w:val="TableParagraph"/>
              <w:spacing w:line="237" w:lineRule="auto" w:before="2"/>
              <w:ind w:left="103" w:right="60"/>
              <w:jc w:val="both"/>
              <w:rPr>
                <w:rFonts w:ascii="宋体" w:hAnsi="宋体" w:cs="宋体" w:eastAsia="宋体" w:hint="default"/>
                <w:sz w:val="21"/>
                <w:szCs w:val="21"/>
              </w:rPr>
            </w:pPr>
            <w:r>
              <w:rPr>
                <w:rFonts w:ascii="宋体" w:hAnsi="宋体" w:cs="宋体" w:eastAsia="宋体" w:hint="default"/>
                <w:sz w:val="21"/>
                <w:szCs w:val="21"/>
              </w:rPr>
              <w:t>副总经理、</w:t>
            </w:r>
            <w:r>
              <w:rPr>
                <w:rFonts w:ascii="宋体" w:hAnsi="宋体" w:cs="宋体" w:eastAsia="宋体" w:hint="default"/>
                <w:w w:val="100"/>
                <w:sz w:val="21"/>
                <w:szCs w:val="21"/>
              </w:rPr>
              <w:t> </w:t>
            </w:r>
            <w:r>
              <w:rPr>
                <w:rFonts w:ascii="宋体" w:hAnsi="宋体" w:cs="宋体" w:eastAsia="宋体" w:hint="default"/>
                <w:sz w:val="21"/>
                <w:szCs w:val="21"/>
              </w:rPr>
              <w:t>董</w:t>
            </w:r>
            <w:r>
              <w:rPr>
                <w:rFonts w:ascii="宋体" w:hAnsi="宋体" w:cs="宋体" w:eastAsia="宋体" w:hint="default"/>
                <w:spacing w:val="-47"/>
                <w:sz w:val="21"/>
                <w:szCs w:val="21"/>
              </w:rPr>
              <w:t> </w:t>
            </w:r>
            <w:r>
              <w:rPr>
                <w:rFonts w:ascii="宋体" w:hAnsi="宋体" w:cs="宋体" w:eastAsia="宋体" w:hint="default"/>
                <w:sz w:val="21"/>
                <w:szCs w:val="21"/>
              </w:rPr>
              <w:t>事</w:t>
            </w:r>
            <w:r>
              <w:rPr>
                <w:rFonts w:ascii="宋体" w:hAnsi="宋体" w:cs="宋体" w:eastAsia="宋体" w:hint="default"/>
                <w:spacing w:val="-50"/>
                <w:sz w:val="21"/>
                <w:szCs w:val="21"/>
              </w:rPr>
              <w:t> </w:t>
            </w:r>
            <w:r>
              <w:rPr>
                <w:rFonts w:ascii="宋体" w:hAnsi="宋体" w:cs="宋体" w:eastAsia="宋体" w:hint="default"/>
                <w:sz w:val="21"/>
                <w:szCs w:val="21"/>
              </w:rPr>
              <w:t>会</w:t>
            </w:r>
            <w:r>
              <w:rPr>
                <w:rFonts w:ascii="宋体" w:hAnsi="宋体" w:cs="宋体" w:eastAsia="宋体" w:hint="default"/>
                <w:spacing w:val="-50"/>
                <w:sz w:val="21"/>
                <w:szCs w:val="21"/>
              </w:rPr>
              <w:t> </w:t>
            </w:r>
            <w:r>
              <w:rPr>
                <w:rFonts w:ascii="宋体" w:hAnsi="宋体" w:cs="宋体" w:eastAsia="宋体" w:hint="default"/>
                <w:sz w:val="21"/>
                <w:szCs w:val="21"/>
              </w:rPr>
              <w:t>秘</w:t>
            </w:r>
            <w:r>
              <w:rPr>
                <w:rFonts w:ascii="宋体" w:hAnsi="宋体" w:cs="宋体" w:eastAsia="宋体" w:hint="default"/>
                <w:w w:val="100"/>
                <w:sz w:val="21"/>
                <w:szCs w:val="21"/>
              </w:rPr>
              <w:t> </w:t>
            </w:r>
            <w:r>
              <w:rPr>
                <w:rFonts w:ascii="宋体" w:hAnsi="宋体" w:cs="宋体" w:eastAsia="宋体" w:hint="default"/>
                <w:sz w:val="21"/>
                <w:szCs w:val="21"/>
              </w:rPr>
              <w:t>书</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
              <w:jc w:val="center"/>
              <w:rPr>
                <w:rFonts w:ascii="宋体" w:hAnsi="宋体" w:cs="宋体" w:eastAsia="宋体" w:hint="default"/>
                <w:sz w:val="21"/>
                <w:szCs w:val="21"/>
              </w:rPr>
            </w:pPr>
            <w:r>
              <w:rPr>
                <w:rFonts w:ascii="宋体"/>
                <w:sz w:val="21"/>
              </w:rPr>
              <w:t>46</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sz w:val="21"/>
              </w:rPr>
              <w:t>2017-06-26</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7" w:right="0"/>
              <w:jc w:val="center"/>
              <w:rPr>
                <w:rFonts w:ascii="宋体" w:hAnsi="宋体" w:cs="宋体" w:eastAsia="宋体" w:hint="default"/>
                <w:sz w:val="21"/>
                <w:szCs w:val="21"/>
              </w:rPr>
            </w:pPr>
            <w:r>
              <w:rPr>
                <w:rFonts w:ascii="宋体"/>
                <w:sz w:val="21"/>
              </w:rPr>
              <w:t>2020-06-25</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 w:right="0"/>
              <w:jc w:val="center"/>
              <w:rPr>
                <w:rFonts w:ascii="宋体" w:hAnsi="宋体" w:cs="宋体" w:eastAsia="宋体" w:hint="default"/>
                <w:sz w:val="21"/>
                <w:szCs w:val="21"/>
              </w:rPr>
            </w:pPr>
            <w:r>
              <w:rPr>
                <w:rFonts w:ascii="宋体"/>
                <w:sz w:val="21"/>
              </w:rPr>
              <w:t>6,180,000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7" w:right="0"/>
              <w:jc w:val="center"/>
              <w:rPr>
                <w:rFonts w:ascii="宋体" w:hAnsi="宋体" w:cs="宋体" w:eastAsia="宋体" w:hint="default"/>
                <w:sz w:val="21"/>
                <w:szCs w:val="21"/>
              </w:rPr>
            </w:pPr>
            <w:r>
              <w:rPr>
                <w:rFonts w:ascii="宋体"/>
                <w:sz w:val="21"/>
              </w:rPr>
              <w:t>6,180,000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
              <w:jc w:val="center"/>
              <w:rPr>
                <w:rFonts w:ascii="宋体" w:hAnsi="宋体" w:cs="宋体" w:eastAsia="宋体" w:hint="default"/>
                <w:sz w:val="21"/>
                <w:szCs w:val="21"/>
              </w:rPr>
            </w:pPr>
            <w:r>
              <w:rPr>
                <w:rFonts w:ascii="宋体"/>
                <w:w w:val="100"/>
                <w:sz w:val="21"/>
              </w:rPr>
              <w:t>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w w:val="100"/>
                <w:sz w:val="21"/>
              </w:rPr>
              <w:t>-</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sz w:val="21"/>
              </w:rPr>
              <w:t>50.48</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5"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雷世潘</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董事、副总</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经理</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sz w:val="21"/>
              </w:rPr>
              <w:t>49</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2017-06-26</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 w:right="0"/>
              <w:jc w:val="center"/>
              <w:rPr>
                <w:rFonts w:ascii="宋体" w:hAnsi="宋体" w:cs="宋体" w:eastAsia="宋体" w:hint="default"/>
                <w:sz w:val="21"/>
                <w:szCs w:val="21"/>
              </w:rPr>
            </w:pPr>
            <w:r>
              <w:rPr>
                <w:rFonts w:ascii="宋体"/>
                <w:sz w:val="21"/>
              </w:rPr>
              <w:t>2020-06-25</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sz w:val="21"/>
              </w:rPr>
              <w:t>2,780,000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 w:right="0"/>
              <w:jc w:val="center"/>
              <w:rPr>
                <w:rFonts w:ascii="宋体" w:hAnsi="宋体" w:cs="宋体" w:eastAsia="宋体" w:hint="default"/>
                <w:sz w:val="21"/>
                <w:szCs w:val="21"/>
              </w:rPr>
            </w:pPr>
            <w:r>
              <w:rPr>
                <w:rFonts w:ascii="宋体"/>
                <w:sz w:val="21"/>
              </w:rPr>
              <w:t>2,780,000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w w:val="100"/>
                <w:sz w:val="21"/>
              </w:rPr>
              <w:t>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52.03</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黄义青</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48</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2017-06-26</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2020-06-25</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w w:val="100"/>
                <w:sz w:val="21"/>
              </w:rPr>
              <w:t>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49.12</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李</w:t>
              <w:tab/>
              <w:t>军</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51</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2017-06-26</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2020-06-25</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w w:val="100"/>
                <w:sz w:val="21"/>
              </w:rPr>
              <w:t>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1"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徐</w:t>
              <w:tab/>
              <w:t>青</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44</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2017-06-26</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2020-06-25</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w w:val="100"/>
                <w:sz w:val="21"/>
              </w:rPr>
              <w:t>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5</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齐</w:t>
              <w:tab/>
              <w:t>伟</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41</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2017-06-26</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2020-06-25</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w w:val="100"/>
                <w:sz w:val="21"/>
              </w:rPr>
              <w:t>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5</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叶东毅</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54</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2017-06-26</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2020-06-25</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w w:val="100"/>
                <w:sz w:val="21"/>
              </w:rPr>
              <w:t>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5</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7"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欧</w:t>
              <w:tab/>
              <w:t>永</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w:t>
            </w:r>
            <w:r>
              <w:rPr>
                <w:rFonts w:ascii="宋体" w:hAnsi="宋体" w:cs="宋体" w:eastAsia="宋体" w:hint="default"/>
                <w:spacing w:val="-47"/>
                <w:sz w:val="21"/>
                <w:szCs w:val="21"/>
              </w:rPr>
              <w:t> </w:t>
            </w:r>
            <w:r>
              <w:rPr>
                <w:rFonts w:ascii="宋体" w:hAnsi="宋体" w:cs="宋体" w:eastAsia="宋体" w:hint="default"/>
                <w:sz w:val="21"/>
                <w:szCs w:val="21"/>
              </w:rPr>
              <w:t>事</w:t>
            </w:r>
            <w:r>
              <w:rPr>
                <w:rFonts w:ascii="宋体" w:hAnsi="宋体" w:cs="宋体" w:eastAsia="宋体" w:hint="default"/>
                <w:spacing w:val="-50"/>
                <w:sz w:val="21"/>
                <w:szCs w:val="21"/>
              </w:rPr>
              <w:t> </w:t>
            </w:r>
            <w:r>
              <w:rPr>
                <w:rFonts w:ascii="宋体" w:hAnsi="宋体" w:cs="宋体" w:eastAsia="宋体" w:hint="default"/>
                <w:sz w:val="21"/>
                <w:szCs w:val="21"/>
              </w:rPr>
              <w:t>会</w:t>
            </w:r>
            <w:r>
              <w:rPr>
                <w:rFonts w:ascii="宋体" w:hAnsi="宋体" w:cs="宋体" w:eastAsia="宋体" w:hint="default"/>
                <w:spacing w:val="-50"/>
                <w:sz w:val="21"/>
                <w:szCs w:val="21"/>
              </w:rPr>
              <w:t> </w:t>
            </w:r>
            <w:r>
              <w:rPr>
                <w:rFonts w:ascii="宋体" w:hAnsi="宋体" w:cs="宋体" w:eastAsia="宋体" w:hint="default"/>
                <w:sz w:val="21"/>
                <w:szCs w:val="21"/>
              </w:rPr>
              <w:t>主</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席</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sz w:val="21"/>
              </w:rPr>
              <w:t>47</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2017-06-26</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 w:right="0"/>
              <w:jc w:val="center"/>
              <w:rPr>
                <w:rFonts w:ascii="宋体" w:hAnsi="宋体" w:cs="宋体" w:eastAsia="宋体" w:hint="default"/>
                <w:sz w:val="21"/>
                <w:szCs w:val="21"/>
              </w:rPr>
            </w:pPr>
            <w:r>
              <w:rPr>
                <w:rFonts w:ascii="宋体"/>
                <w:sz w:val="21"/>
              </w:rPr>
              <w:t>2020-06-25</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sz w:val="21"/>
              </w:rPr>
              <w:t>520,000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 w:right="0"/>
              <w:jc w:val="center"/>
              <w:rPr>
                <w:rFonts w:ascii="宋体" w:hAnsi="宋体" w:cs="宋体" w:eastAsia="宋体" w:hint="default"/>
                <w:sz w:val="21"/>
                <w:szCs w:val="21"/>
              </w:rPr>
            </w:pPr>
            <w:r>
              <w:rPr>
                <w:rFonts w:ascii="宋体"/>
                <w:sz w:val="21"/>
              </w:rPr>
              <w:t>520,000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w w:val="100"/>
                <w:sz w:val="21"/>
              </w:rPr>
              <w:t>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49.28</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郑元通</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43</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2017-06-06</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2020-06-25</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470,000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470,000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37.58</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萧锦峰</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41</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2017-06-26</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2020-06-25</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w w:val="100"/>
                <w:sz w:val="21"/>
              </w:rPr>
              <w:t>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21.67</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董凤良</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财务总监</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sz w:val="21"/>
              </w:rPr>
              <w:t>42</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2017-07-10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 w:right="0"/>
              <w:jc w:val="center"/>
              <w:rPr>
                <w:rFonts w:ascii="宋体" w:hAnsi="宋体" w:cs="宋体" w:eastAsia="宋体" w:hint="default"/>
                <w:sz w:val="21"/>
                <w:szCs w:val="21"/>
              </w:rPr>
            </w:pPr>
            <w:r>
              <w:rPr>
                <w:rFonts w:ascii="宋体"/>
                <w:sz w:val="21"/>
              </w:rPr>
              <w:t>2020-06-25</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w w:val="100"/>
                <w:sz w:val="21"/>
              </w:rPr>
              <w:t>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sz w:val="21"/>
              </w:rPr>
              <w:t>50,000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sz w:val="21"/>
              </w:rPr>
              <w:t>50,000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限制性股</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票认购</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25.75</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张家荣</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63"/>
              <w:jc w:val="center"/>
              <w:rPr>
                <w:rFonts w:ascii="宋体" w:hAnsi="宋体" w:cs="宋体" w:eastAsia="宋体" w:hint="default"/>
                <w:sz w:val="21"/>
                <w:szCs w:val="21"/>
              </w:rPr>
            </w:pPr>
            <w:r>
              <w:rPr>
                <w:rFonts w:ascii="宋体" w:hAnsi="宋体" w:cs="宋体" w:eastAsia="宋体" w:hint="default"/>
                <w:sz w:val="21"/>
                <w:szCs w:val="21"/>
              </w:rPr>
              <w:t>监事</w:t>
            </w:r>
          </w:p>
          <w:p>
            <w:pPr>
              <w:pStyle w:val="TableParagraph"/>
              <w:spacing w:line="274" w:lineRule="exact"/>
              <w:ind w:right="165"/>
              <w:jc w:val="center"/>
              <w:rPr>
                <w:rFonts w:ascii="宋体" w:hAnsi="宋体" w:cs="宋体" w:eastAsia="宋体" w:hint="default"/>
                <w:sz w:val="21"/>
                <w:szCs w:val="21"/>
              </w:rPr>
            </w:pPr>
            <w:r>
              <w:rPr>
                <w:rFonts w:ascii="宋体" w:hAnsi="宋体" w:cs="宋体" w:eastAsia="宋体" w:hint="default"/>
                <w:sz w:val="21"/>
                <w:szCs w:val="21"/>
              </w:rPr>
              <w:t>（离任）</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sz w:val="21"/>
              </w:rPr>
              <w:t>37</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2015-06-29</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 w:right="0"/>
              <w:jc w:val="center"/>
              <w:rPr>
                <w:rFonts w:ascii="宋体" w:hAnsi="宋体" w:cs="宋体" w:eastAsia="宋体" w:hint="default"/>
                <w:sz w:val="21"/>
                <w:szCs w:val="21"/>
              </w:rPr>
            </w:pPr>
            <w:r>
              <w:rPr>
                <w:rFonts w:ascii="宋体"/>
                <w:sz w:val="21"/>
              </w:rPr>
              <w:t>2017-06-26</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w w:val="100"/>
                <w:sz w:val="21"/>
              </w:rPr>
              <w:t>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w w:val="100"/>
                <w:sz w:val="21"/>
              </w:rPr>
              <w:t>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w w:val="100"/>
                <w:sz w:val="21"/>
              </w:rPr>
              <w:t>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bl>
    <w:p>
      <w:pPr>
        <w:spacing w:after="0" w:line="240" w:lineRule="auto"/>
        <w:jc w:val="center"/>
        <w:rPr>
          <w:rFonts w:ascii="宋体" w:hAnsi="宋体" w:cs="宋体" w:eastAsia="宋体" w:hint="default"/>
          <w:sz w:val="21"/>
          <w:szCs w:val="21"/>
        </w:rPr>
        <w:sectPr>
          <w:type w:val="continuous"/>
          <w:pgSz w:w="16840" w:h="11910" w:orient="landscape"/>
          <w:pgMar w:top="1000" w:bottom="280" w:left="1300" w:right="1200"/>
        </w:sectPr>
      </w:pPr>
    </w:p>
    <w:p>
      <w:pPr>
        <w:spacing w:line="240" w:lineRule="auto" w:before="2"/>
        <w:rPr>
          <w:rFonts w:ascii="Times New Roman" w:hAnsi="Times New Roman" w:cs="Times New Roman" w:eastAsia="Times New Roman"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960"/>
        <w:gridCol w:w="1226"/>
        <w:gridCol w:w="828"/>
        <w:gridCol w:w="829"/>
        <w:gridCol w:w="1265"/>
        <w:gridCol w:w="1267"/>
        <w:gridCol w:w="1265"/>
        <w:gridCol w:w="1267"/>
        <w:gridCol w:w="1313"/>
        <w:gridCol w:w="1128"/>
        <w:gridCol w:w="1368"/>
        <w:gridCol w:w="1380"/>
      </w:tblGrid>
      <w:tr>
        <w:trPr>
          <w:trHeight w:val="295" w:hRule="exact"/>
        </w:trPr>
        <w:tc>
          <w:tcPr>
            <w:tcW w:w="960" w:type="dxa"/>
            <w:tcBorders>
              <w:top w:val="single" w:sz="10" w:space="0" w:color="000000"/>
              <w:left w:val="single" w:sz="4" w:space="0" w:color="000000"/>
              <w:bottom w:val="single" w:sz="4" w:space="0" w:color="000000"/>
              <w:right w:val="single" w:sz="4" w:space="0" w:color="000000"/>
            </w:tcBorders>
          </w:tcPr>
          <w:p>
            <w:pPr>
              <w:pStyle w:val="TableParagraph"/>
              <w:spacing w:line="246" w:lineRule="exact"/>
              <w:ind w:left="26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26" w:type="dxa"/>
            <w:tcBorders>
              <w:top w:val="single" w:sz="10"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w w:val="100"/>
                <w:sz w:val="21"/>
              </w:rPr>
              <w:t>/</w:t>
            </w:r>
          </w:p>
        </w:tc>
        <w:tc>
          <w:tcPr>
            <w:tcW w:w="828" w:type="dxa"/>
            <w:tcBorders>
              <w:top w:val="single" w:sz="10"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w w:val="100"/>
                <w:sz w:val="21"/>
              </w:rPr>
              <w:t>/</w:t>
            </w:r>
          </w:p>
        </w:tc>
        <w:tc>
          <w:tcPr>
            <w:tcW w:w="829" w:type="dxa"/>
            <w:tcBorders>
              <w:top w:val="single" w:sz="10" w:space="0" w:color="000000"/>
              <w:left w:val="single" w:sz="4" w:space="0" w:color="000000"/>
              <w:bottom w:val="single" w:sz="4" w:space="0" w:color="000000"/>
              <w:right w:val="single" w:sz="4" w:space="0" w:color="000000"/>
            </w:tcBorders>
          </w:tcPr>
          <w:p>
            <w:pPr>
              <w:pStyle w:val="TableParagraph"/>
              <w:spacing w:line="246" w:lineRule="exact"/>
              <w:ind w:right="2"/>
              <w:jc w:val="center"/>
              <w:rPr>
                <w:rFonts w:ascii="宋体" w:hAnsi="宋体" w:cs="宋体" w:eastAsia="宋体" w:hint="default"/>
                <w:sz w:val="21"/>
                <w:szCs w:val="21"/>
              </w:rPr>
            </w:pPr>
            <w:r>
              <w:rPr>
                <w:rFonts w:ascii="宋体"/>
                <w:w w:val="100"/>
                <w:sz w:val="21"/>
              </w:rPr>
              <w:t>/</w:t>
            </w:r>
          </w:p>
        </w:tc>
        <w:tc>
          <w:tcPr>
            <w:tcW w:w="1265" w:type="dxa"/>
            <w:tcBorders>
              <w:top w:val="single" w:sz="10" w:space="0" w:color="000000"/>
              <w:left w:val="single" w:sz="4" w:space="0" w:color="000000"/>
              <w:bottom w:val="single" w:sz="4" w:space="0" w:color="000000"/>
              <w:right w:val="single" w:sz="4" w:space="0" w:color="000000"/>
            </w:tcBorders>
          </w:tcPr>
          <w:p>
            <w:pPr>
              <w:pStyle w:val="TableParagraph"/>
              <w:spacing w:line="246" w:lineRule="exact"/>
              <w:ind w:left="2" w:right="0"/>
              <w:jc w:val="center"/>
              <w:rPr>
                <w:rFonts w:ascii="宋体" w:hAnsi="宋体" w:cs="宋体" w:eastAsia="宋体" w:hint="default"/>
                <w:sz w:val="21"/>
                <w:szCs w:val="21"/>
              </w:rPr>
            </w:pPr>
            <w:r>
              <w:rPr>
                <w:rFonts w:ascii="宋体"/>
                <w:w w:val="100"/>
                <w:sz w:val="21"/>
              </w:rPr>
              <w:t>/</w:t>
            </w:r>
          </w:p>
        </w:tc>
        <w:tc>
          <w:tcPr>
            <w:tcW w:w="1267" w:type="dxa"/>
            <w:tcBorders>
              <w:top w:val="single" w:sz="10" w:space="0" w:color="000000"/>
              <w:left w:val="single" w:sz="4" w:space="0" w:color="000000"/>
              <w:bottom w:val="single" w:sz="4" w:space="0" w:color="000000"/>
              <w:right w:val="single" w:sz="4" w:space="0" w:color="000000"/>
            </w:tcBorders>
          </w:tcPr>
          <w:p>
            <w:pPr>
              <w:pStyle w:val="TableParagraph"/>
              <w:spacing w:line="246" w:lineRule="exact"/>
              <w:ind w:left="4" w:right="0"/>
              <w:jc w:val="center"/>
              <w:rPr>
                <w:rFonts w:ascii="宋体" w:hAnsi="宋体" w:cs="宋体" w:eastAsia="宋体" w:hint="default"/>
                <w:sz w:val="21"/>
                <w:szCs w:val="21"/>
              </w:rPr>
            </w:pPr>
            <w:r>
              <w:rPr>
                <w:rFonts w:ascii="宋体"/>
                <w:w w:val="100"/>
                <w:sz w:val="21"/>
              </w:rPr>
              <w:t>/</w:t>
            </w:r>
          </w:p>
        </w:tc>
        <w:tc>
          <w:tcPr>
            <w:tcW w:w="1265" w:type="dxa"/>
            <w:tcBorders>
              <w:top w:val="single" w:sz="10"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sz w:val="21"/>
              </w:rPr>
              <w:t>27,990,000</w:t>
            </w:r>
          </w:p>
        </w:tc>
        <w:tc>
          <w:tcPr>
            <w:tcW w:w="1267" w:type="dxa"/>
            <w:tcBorders>
              <w:top w:val="single" w:sz="10" w:space="0" w:color="000000"/>
              <w:left w:val="single" w:sz="4" w:space="0" w:color="000000"/>
              <w:bottom w:val="single" w:sz="4" w:space="0" w:color="000000"/>
              <w:right w:val="single" w:sz="4" w:space="0" w:color="000000"/>
            </w:tcBorders>
          </w:tcPr>
          <w:p>
            <w:pPr>
              <w:pStyle w:val="TableParagraph"/>
              <w:spacing w:line="246" w:lineRule="exact"/>
              <w:ind w:left="105" w:right="0"/>
              <w:jc w:val="left"/>
              <w:rPr>
                <w:rFonts w:ascii="宋体" w:hAnsi="宋体" w:cs="宋体" w:eastAsia="宋体" w:hint="default"/>
                <w:sz w:val="21"/>
                <w:szCs w:val="21"/>
              </w:rPr>
            </w:pPr>
            <w:r>
              <w:rPr>
                <w:rFonts w:ascii="宋体"/>
                <w:sz w:val="21"/>
              </w:rPr>
              <w:t>28,040,000</w:t>
            </w:r>
          </w:p>
        </w:tc>
        <w:tc>
          <w:tcPr>
            <w:tcW w:w="1313" w:type="dxa"/>
            <w:tcBorders>
              <w:top w:val="single" w:sz="10" w:space="0" w:color="000000"/>
              <w:left w:val="single" w:sz="4" w:space="0" w:color="000000"/>
              <w:bottom w:val="single" w:sz="4" w:space="0" w:color="000000"/>
              <w:right w:val="single" w:sz="4" w:space="0" w:color="000000"/>
            </w:tcBorders>
          </w:tcPr>
          <w:p>
            <w:pPr>
              <w:pStyle w:val="TableParagraph"/>
              <w:spacing w:line="246" w:lineRule="exact"/>
              <w:ind w:left="568" w:right="0"/>
              <w:jc w:val="left"/>
              <w:rPr>
                <w:rFonts w:ascii="宋体" w:hAnsi="宋体" w:cs="宋体" w:eastAsia="宋体" w:hint="default"/>
                <w:sz w:val="21"/>
                <w:szCs w:val="21"/>
              </w:rPr>
            </w:pPr>
            <w:r>
              <w:rPr>
                <w:rFonts w:ascii="宋体"/>
                <w:sz w:val="21"/>
              </w:rPr>
              <w:t>50,000</w:t>
            </w:r>
          </w:p>
        </w:tc>
        <w:tc>
          <w:tcPr>
            <w:tcW w:w="1128" w:type="dxa"/>
            <w:tcBorders>
              <w:top w:val="single" w:sz="10"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w w:val="100"/>
                <w:sz w:val="21"/>
              </w:rPr>
              <w:t>/</w:t>
            </w:r>
          </w:p>
        </w:tc>
        <w:tc>
          <w:tcPr>
            <w:tcW w:w="1368" w:type="dxa"/>
            <w:tcBorders>
              <w:top w:val="single" w:sz="10" w:space="0" w:color="000000"/>
              <w:left w:val="single" w:sz="4" w:space="0" w:color="000000"/>
              <w:bottom w:val="single" w:sz="4" w:space="0" w:color="000000"/>
              <w:right w:val="single" w:sz="4" w:space="0" w:color="000000"/>
            </w:tcBorders>
          </w:tcPr>
          <w:p>
            <w:pPr>
              <w:pStyle w:val="TableParagraph"/>
              <w:spacing w:line="246" w:lineRule="exact"/>
              <w:ind w:left="623" w:right="0"/>
              <w:jc w:val="left"/>
              <w:rPr>
                <w:rFonts w:ascii="宋体" w:hAnsi="宋体" w:cs="宋体" w:eastAsia="宋体" w:hint="default"/>
                <w:sz w:val="21"/>
                <w:szCs w:val="21"/>
              </w:rPr>
            </w:pPr>
            <w:r>
              <w:rPr>
                <w:rFonts w:ascii="宋体"/>
                <w:sz w:val="21"/>
              </w:rPr>
              <w:t>358.36</w:t>
            </w:r>
          </w:p>
        </w:tc>
        <w:tc>
          <w:tcPr>
            <w:tcW w:w="1380" w:type="dxa"/>
            <w:tcBorders>
              <w:top w:val="single" w:sz="10" w:space="0" w:color="000000"/>
              <w:left w:val="single" w:sz="4" w:space="0" w:color="000000"/>
              <w:bottom w:val="single" w:sz="4" w:space="0" w:color="000000"/>
              <w:right w:val="single" w:sz="4" w:space="0" w:color="000000"/>
            </w:tcBorders>
          </w:tcPr>
          <w:p>
            <w:pPr>
              <w:pStyle w:val="TableParagraph"/>
              <w:spacing w:line="246" w:lineRule="exact"/>
              <w:ind w:left="2" w:right="0"/>
              <w:jc w:val="center"/>
              <w:rPr>
                <w:rFonts w:ascii="宋体" w:hAnsi="宋体" w:cs="宋体" w:eastAsia="宋体" w:hint="default"/>
                <w:sz w:val="21"/>
                <w:szCs w:val="21"/>
              </w:rPr>
            </w:pPr>
            <w:r>
              <w:rPr>
                <w:rFonts w:ascii="宋体"/>
                <w:w w:val="100"/>
                <w:sz w:val="21"/>
              </w:rPr>
              <w:t>/</w:t>
            </w:r>
          </w:p>
        </w:tc>
      </w:tr>
    </w:tbl>
    <w:p>
      <w:pPr>
        <w:spacing w:line="240" w:lineRule="auto" w:before="7"/>
        <w:rPr>
          <w:rFonts w:ascii="Times New Roman" w:hAnsi="Times New Roman" w:cs="Times New Roman" w:eastAsia="Times New Roman" w:hint="default"/>
          <w:sz w:val="23"/>
          <w:szCs w:val="23"/>
        </w:rPr>
      </w:pPr>
    </w:p>
    <w:tbl>
      <w:tblPr>
        <w:tblW w:w="0" w:type="auto"/>
        <w:jc w:val="left"/>
        <w:tblInd w:w="111" w:type="dxa"/>
        <w:tblLayout w:type="fixed"/>
        <w:tblCellMar>
          <w:top w:w="0" w:type="dxa"/>
          <w:left w:w="0" w:type="dxa"/>
          <w:bottom w:w="0" w:type="dxa"/>
          <w:right w:w="0" w:type="dxa"/>
        </w:tblCellMar>
        <w:tblLook w:val="01E0"/>
      </w:tblPr>
      <w:tblGrid>
        <w:gridCol w:w="1385"/>
        <w:gridCol w:w="12705"/>
      </w:tblGrid>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主要工作经历</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严孟宇</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现任公司董事长，中国国籍，无境外永久居留权，</w:t>
            </w:r>
            <w:r>
              <w:rPr>
                <w:rFonts w:ascii="宋体" w:hAnsi="宋体" w:cs="宋体" w:eastAsia="宋体" w:hint="default"/>
                <w:sz w:val="21"/>
                <w:szCs w:val="21"/>
              </w:rPr>
              <w:t>1969</w:t>
            </w:r>
            <w:r>
              <w:rPr>
                <w:rFonts w:ascii="宋体" w:hAnsi="宋体" w:cs="宋体" w:eastAsia="宋体" w:hint="default"/>
                <w:spacing w:val="-58"/>
                <w:sz w:val="21"/>
                <w:szCs w:val="21"/>
              </w:rPr>
              <w:t> </w:t>
            </w:r>
            <w:r>
              <w:rPr>
                <w:rFonts w:ascii="宋体" w:hAnsi="宋体" w:cs="宋体" w:eastAsia="宋体" w:hint="default"/>
                <w:sz w:val="21"/>
                <w:szCs w:val="21"/>
              </w:rPr>
              <w:t>年生，毕业于北京理工大学机械设计与制造专业，工学学士。</w:t>
            </w:r>
            <w:r>
              <w:rPr>
                <w:rFonts w:ascii="宋体" w:hAnsi="宋体" w:cs="宋体" w:eastAsia="宋体" w:hint="default"/>
                <w:sz w:val="21"/>
                <w:szCs w:val="21"/>
              </w:rPr>
              <w:t>1996</w:t>
            </w:r>
            <w:r>
              <w:rPr>
                <w:rFonts w:ascii="宋体" w:hAnsi="宋体" w:cs="宋体" w:eastAsia="宋体" w:hint="default"/>
                <w:spacing w:val="-60"/>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宋体" w:hAnsi="宋体" w:cs="宋体" w:eastAsia="宋体" w:hint="default"/>
                <w:sz w:val="21"/>
                <w:szCs w:val="21"/>
              </w:rPr>
              <w:t>7</w:t>
            </w:r>
            <w:r>
              <w:rPr>
                <w:rFonts w:ascii="宋体" w:hAnsi="宋体" w:cs="宋体" w:eastAsia="宋体" w:hint="default"/>
                <w:spacing w:val="-60"/>
                <w:sz w:val="21"/>
                <w:szCs w:val="21"/>
              </w:rPr>
              <w:t> </w:t>
            </w:r>
            <w:r>
              <w:rPr>
                <w:rFonts w:ascii="宋体" w:hAnsi="宋体" w:cs="宋体" w:eastAsia="宋体" w:hint="default"/>
                <w:sz w:val="21"/>
                <w:szCs w:val="21"/>
              </w:rPr>
              <w:t>月参与创</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立顶点有限。全面负责公司的运营管理工作。</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tabs>
                <w:tab w:pos="525" w:val="left" w:leader="none"/>
              </w:tabs>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w:t>
              <w:tab/>
              <w:t>伟</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现任公司副董事长、副总经理董事会秘书，中国国籍，无境外永久居留权，</w:t>
            </w:r>
            <w:r>
              <w:rPr>
                <w:rFonts w:ascii="宋体" w:hAnsi="宋体" w:cs="宋体" w:eastAsia="宋体" w:hint="default"/>
                <w:spacing w:val="-2"/>
                <w:sz w:val="21"/>
                <w:szCs w:val="21"/>
              </w:rPr>
              <w:t>1972</w:t>
            </w:r>
            <w:r>
              <w:rPr>
                <w:rFonts w:ascii="宋体" w:hAnsi="宋体" w:cs="宋体" w:eastAsia="宋体" w:hint="default"/>
                <w:sz w:val="21"/>
                <w:szCs w:val="21"/>
              </w:rPr>
              <w:t>  </w:t>
            </w:r>
            <w:r>
              <w:rPr>
                <w:rFonts w:ascii="宋体" w:hAnsi="宋体" w:cs="宋体" w:eastAsia="宋体" w:hint="default"/>
                <w:spacing w:val="-2"/>
                <w:sz w:val="21"/>
                <w:szCs w:val="21"/>
              </w:rPr>
              <w:t>年生，理学学士，清华大学计算机技术工程硕士，中欧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国际工商管理学院</w:t>
            </w:r>
            <w:r>
              <w:rPr>
                <w:rFonts w:ascii="宋体" w:hAnsi="宋体" w:cs="宋体" w:eastAsia="宋体" w:hint="default"/>
                <w:spacing w:val="-54"/>
                <w:sz w:val="21"/>
                <w:szCs w:val="21"/>
              </w:rPr>
              <w:t> </w:t>
            </w:r>
            <w:r>
              <w:rPr>
                <w:rFonts w:ascii="宋体" w:hAnsi="宋体" w:cs="宋体" w:eastAsia="宋体" w:hint="default"/>
                <w:sz w:val="21"/>
                <w:szCs w:val="21"/>
              </w:rPr>
              <w:t>EMBA</w:t>
            </w:r>
            <w:r>
              <w:rPr>
                <w:rFonts w:ascii="宋体" w:hAnsi="宋体" w:cs="宋体" w:eastAsia="宋体" w:hint="default"/>
                <w:sz w:val="21"/>
                <w:szCs w:val="21"/>
              </w:rPr>
              <w:t>。</w:t>
            </w:r>
            <w:r>
              <w:rPr>
                <w:rFonts w:ascii="宋体" w:hAnsi="宋体" w:cs="宋体" w:eastAsia="宋体" w:hint="default"/>
                <w:sz w:val="21"/>
                <w:szCs w:val="21"/>
              </w:rPr>
              <w:t>1996</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6"/>
                <w:sz w:val="21"/>
                <w:szCs w:val="21"/>
              </w:rPr>
              <w:t> </w:t>
            </w:r>
            <w:r>
              <w:rPr>
                <w:rFonts w:ascii="宋体" w:hAnsi="宋体" w:cs="宋体" w:eastAsia="宋体" w:hint="default"/>
                <w:sz w:val="21"/>
                <w:szCs w:val="21"/>
              </w:rPr>
              <w:t>月参与创立顶点有限。分管董事会办公室等事务。</w:t>
            </w:r>
          </w:p>
        </w:tc>
      </w:tr>
      <w:tr>
        <w:trPr>
          <w:trHeight w:val="55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雷世潘</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现任公司董事、副总经理，中国国籍，无境外永久居留权，</w:t>
            </w:r>
            <w:r>
              <w:rPr>
                <w:rFonts w:ascii="宋体" w:hAnsi="宋体" w:cs="宋体" w:eastAsia="宋体" w:hint="default"/>
                <w:spacing w:val="-2"/>
                <w:sz w:val="21"/>
                <w:szCs w:val="21"/>
              </w:rPr>
              <w:t>1969</w:t>
            </w:r>
            <w:r>
              <w:rPr>
                <w:rFonts w:ascii="宋体" w:hAnsi="宋体" w:cs="宋体" w:eastAsia="宋体" w:hint="default"/>
                <w:spacing w:val="104"/>
                <w:sz w:val="21"/>
                <w:szCs w:val="21"/>
              </w:rPr>
              <w:t> </w:t>
            </w:r>
            <w:r>
              <w:rPr>
                <w:rFonts w:ascii="宋体" w:hAnsi="宋体" w:cs="宋体" w:eastAsia="宋体" w:hint="default"/>
                <w:spacing w:val="-2"/>
                <w:sz w:val="21"/>
                <w:szCs w:val="21"/>
              </w:rPr>
              <w:t>年生，毕业于中南民族学院电子技术专业。分管公司市场营销及软件开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发业务。</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黄义青</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18" w:lineRule="auto"/>
              <w:ind w:left="103" w:right="94"/>
              <w:jc w:val="left"/>
              <w:rPr>
                <w:rFonts w:ascii="宋体" w:hAnsi="宋体" w:cs="宋体" w:eastAsia="宋体" w:hint="default"/>
                <w:sz w:val="21"/>
                <w:szCs w:val="21"/>
              </w:rPr>
            </w:pPr>
            <w:r>
              <w:rPr>
                <w:rFonts w:ascii="宋体" w:hAnsi="宋体" w:cs="宋体" w:eastAsia="宋体" w:hint="default"/>
                <w:spacing w:val="-2"/>
                <w:sz w:val="21"/>
                <w:szCs w:val="21"/>
              </w:rPr>
              <w:t>现任董事，中国国籍，无境外永久居留权，</w:t>
            </w:r>
            <w:r>
              <w:rPr>
                <w:rFonts w:ascii="Calibri" w:hAnsi="Calibri" w:cs="Calibri" w:eastAsia="Calibri" w:hint="default"/>
                <w:spacing w:val="-2"/>
                <w:sz w:val="21"/>
                <w:szCs w:val="21"/>
              </w:rPr>
              <w:t>1970</w:t>
            </w:r>
            <w:r>
              <w:rPr>
                <w:rFonts w:ascii="Calibri" w:hAnsi="Calibri" w:cs="Calibri" w:eastAsia="Calibri" w:hint="default"/>
                <w:sz w:val="21"/>
                <w:szCs w:val="21"/>
              </w:rPr>
              <w:t> </w:t>
            </w:r>
            <w:r>
              <w:rPr>
                <w:rFonts w:ascii="宋体" w:hAnsi="宋体" w:cs="宋体" w:eastAsia="宋体" w:hint="default"/>
                <w:spacing w:val="-2"/>
                <w:sz w:val="21"/>
                <w:szCs w:val="21"/>
              </w:rPr>
              <w:t>年生，毕业于北方工业大学工业自动化仪表专业，工学学士，新加坡南洋理工大学高级</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2"/>
                <w:sz w:val="21"/>
                <w:szCs w:val="21"/>
              </w:rPr>
              <w:t>工商管理硕士学位。</w:t>
            </w:r>
            <w:r>
              <w:rPr>
                <w:rFonts w:ascii="Calibri" w:hAnsi="Calibri" w:cs="Calibri" w:eastAsia="Calibri" w:hint="default"/>
                <w:spacing w:val="-2"/>
                <w:sz w:val="21"/>
                <w:szCs w:val="21"/>
              </w:rPr>
              <w:t>2002</w:t>
            </w:r>
            <w:r>
              <w:rPr>
                <w:rFonts w:ascii="Calibri" w:hAnsi="Calibri" w:cs="Calibri" w:eastAsia="Calibri" w:hint="default"/>
                <w:sz w:val="21"/>
                <w:szCs w:val="21"/>
              </w:rPr>
              <w:t> </w:t>
            </w:r>
            <w:r>
              <w:rPr>
                <w:rFonts w:ascii="Calibri" w:hAnsi="Calibri" w:cs="Calibri" w:eastAsia="Calibri" w:hint="default"/>
                <w:spacing w:val="43"/>
                <w:sz w:val="21"/>
                <w:szCs w:val="21"/>
              </w:rPr>
              <w:t> </w:t>
            </w:r>
            <w:r>
              <w:rPr>
                <w:rFonts w:ascii="宋体" w:hAnsi="宋体" w:cs="宋体" w:eastAsia="宋体" w:hint="default"/>
                <w:spacing w:val="-2"/>
                <w:sz w:val="21"/>
                <w:szCs w:val="21"/>
              </w:rPr>
              <w:t>年任福建顶点软件股份有限公司市场总监。主持公司证券行业市场营销工作。</w:t>
            </w:r>
          </w:p>
        </w:tc>
      </w:tr>
      <w:tr>
        <w:trPr>
          <w:trHeight w:val="557"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tabs>
                <w:tab w:pos="525" w:val="left" w:leader="none"/>
              </w:tabs>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李</w:t>
              <w:tab/>
              <w:t>军</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
                <w:sz w:val="21"/>
                <w:szCs w:val="21"/>
              </w:rPr>
              <w:t>中国国籍，无境外永久居留权，</w:t>
            </w:r>
            <w:r>
              <w:rPr>
                <w:rFonts w:ascii="宋体" w:hAnsi="宋体" w:cs="宋体" w:eastAsia="宋体" w:hint="default"/>
                <w:spacing w:val="-1"/>
                <w:sz w:val="21"/>
                <w:szCs w:val="21"/>
              </w:rPr>
              <w:t>1967</w:t>
            </w:r>
            <w:r>
              <w:rPr>
                <w:rFonts w:ascii="宋体" w:hAnsi="宋体" w:cs="宋体" w:eastAsia="宋体" w:hint="default"/>
                <w:spacing w:val="88"/>
                <w:sz w:val="21"/>
                <w:szCs w:val="21"/>
              </w:rPr>
              <w:t> </w:t>
            </w:r>
            <w:r>
              <w:rPr>
                <w:rFonts w:ascii="宋体" w:hAnsi="宋体" w:cs="宋体" w:eastAsia="宋体" w:hint="default"/>
                <w:spacing w:val="-2"/>
                <w:sz w:val="21"/>
                <w:szCs w:val="21"/>
              </w:rPr>
              <w:t>年生，研究生学历，毕业于电子科技大学。曾任职于湖南省衡阳市南华大学、深圳华彤科技公司、</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国泰君安证券股份有限公司，</w:t>
            </w:r>
            <w:r>
              <w:rPr>
                <w:rFonts w:ascii="宋体" w:hAnsi="宋体" w:cs="宋体" w:eastAsia="宋体" w:hint="default"/>
                <w:spacing w:val="-2"/>
                <w:sz w:val="21"/>
                <w:szCs w:val="21"/>
              </w:rPr>
              <w:t>2000</w:t>
            </w:r>
            <w:r>
              <w:rPr>
                <w:rFonts w:ascii="宋体" w:hAnsi="宋体" w:cs="宋体" w:eastAsia="宋体" w:hint="default"/>
                <w:spacing w:val="31"/>
                <w:sz w:val="21"/>
                <w:szCs w:val="21"/>
              </w:rPr>
              <w:t> </w:t>
            </w:r>
            <w:r>
              <w:rPr>
                <w:rFonts w:ascii="宋体" w:hAnsi="宋体" w:cs="宋体" w:eastAsia="宋体" w:hint="default"/>
                <w:spacing w:val="-2"/>
                <w:sz w:val="21"/>
                <w:szCs w:val="21"/>
              </w:rPr>
              <w:t>年起就职于中信证券。现任公司董事及中信证券执行总经理（</w:t>
            </w:r>
            <w:r>
              <w:rPr>
                <w:rFonts w:ascii="宋体" w:hAnsi="宋体" w:cs="宋体" w:eastAsia="宋体" w:hint="default"/>
                <w:spacing w:val="-2"/>
                <w:sz w:val="21"/>
                <w:szCs w:val="21"/>
              </w:rPr>
              <w:t>ED</w:t>
            </w:r>
            <w:r>
              <w:rPr>
                <w:rFonts w:ascii="宋体" w:hAnsi="宋体" w:cs="宋体" w:eastAsia="宋体" w:hint="default"/>
                <w:spacing w:val="-2"/>
                <w:sz w:val="21"/>
                <w:szCs w:val="21"/>
              </w:rPr>
              <w:t>）。</w:t>
            </w:r>
            <w:r>
              <w:rPr>
                <w:rFonts w:ascii="宋体" w:hAnsi="宋体" w:cs="宋体" w:eastAsia="宋体" w:hint="default"/>
                <w:sz w:val="21"/>
                <w:szCs w:val="21"/>
              </w:rPr>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tabs>
                <w:tab w:pos="525" w:val="left" w:leader="none"/>
              </w:tabs>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徐</w:t>
              <w:tab/>
              <w:t>青</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中国国籍，无境外永久居留权，</w:t>
            </w:r>
            <w:r>
              <w:rPr>
                <w:rFonts w:ascii="宋体" w:hAnsi="宋体" w:cs="宋体" w:eastAsia="宋体" w:hint="default"/>
                <w:spacing w:val="-2"/>
                <w:sz w:val="21"/>
                <w:szCs w:val="21"/>
              </w:rPr>
              <w:t>1974</w:t>
            </w:r>
            <w:r>
              <w:rPr>
                <w:rFonts w:ascii="宋体" w:hAnsi="宋体" w:cs="宋体" w:eastAsia="宋体" w:hint="default"/>
                <w:sz w:val="21"/>
                <w:szCs w:val="21"/>
              </w:rPr>
              <w:t> </w:t>
            </w:r>
            <w:r>
              <w:rPr>
                <w:rFonts w:ascii="宋体" w:hAnsi="宋体" w:cs="宋体" w:eastAsia="宋体" w:hint="default"/>
                <w:spacing w:val="-2"/>
                <w:sz w:val="21"/>
                <w:szCs w:val="21"/>
              </w:rPr>
              <w:t>年生，研究生学历，毕业于江苏大学，中国注册会计师、注册税务师。</w:t>
            </w:r>
            <w:r>
              <w:rPr>
                <w:rFonts w:ascii="宋体" w:hAnsi="宋体" w:cs="宋体" w:eastAsia="宋体" w:hint="default"/>
                <w:spacing w:val="-2"/>
                <w:sz w:val="21"/>
                <w:szCs w:val="21"/>
              </w:rPr>
              <w:t>2004</w:t>
            </w:r>
            <w:r>
              <w:rPr>
                <w:rFonts w:ascii="宋体" w:hAnsi="宋体" w:cs="宋体" w:eastAsia="宋体" w:hint="default"/>
                <w:spacing w:val="-3"/>
                <w:sz w:val="21"/>
                <w:szCs w:val="21"/>
              </w:rPr>
              <w:t> </w:t>
            </w:r>
            <w:r>
              <w:rPr>
                <w:rFonts w:ascii="宋体" w:hAnsi="宋体" w:cs="宋体" w:eastAsia="宋体" w:hint="default"/>
                <w:spacing w:val="-2"/>
                <w:sz w:val="21"/>
                <w:szCs w:val="21"/>
              </w:rPr>
              <w:t>年至今，任教于福建江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夏学院，现任会计学院副教授。</w:t>
            </w:r>
          </w:p>
        </w:tc>
      </w:tr>
      <w:tr>
        <w:trPr>
          <w:trHeight w:val="826"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tabs>
                <w:tab w:pos="525" w:val="left" w:leader="none"/>
              </w:tabs>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齐</w:t>
              <w:tab/>
              <w:t>伟</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中国国籍，无境外永久居留权，</w:t>
            </w:r>
            <w:r>
              <w:rPr>
                <w:rFonts w:ascii="宋体" w:hAnsi="宋体" w:cs="宋体" w:eastAsia="宋体" w:hint="default"/>
                <w:spacing w:val="-6"/>
                <w:sz w:val="21"/>
                <w:szCs w:val="21"/>
              </w:rPr>
              <w:t>1977 </w:t>
            </w:r>
            <w:r>
              <w:rPr>
                <w:rFonts w:ascii="宋体" w:hAnsi="宋体" w:cs="宋体" w:eastAsia="宋体" w:hint="default"/>
                <w:spacing w:val="-5"/>
                <w:sz w:val="21"/>
                <w:szCs w:val="21"/>
              </w:rPr>
              <w:t>年生，上海华东政法学院刑事司法专业毕业，具有律师执业资格。</w:t>
            </w:r>
            <w:r>
              <w:rPr>
                <w:rFonts w:ascii="宋体" w:hAnsi="宋体" w:cs="宋体" w:eastAsia="宋体" w:hint="default"/>
                <w:spacing w:val="-5"/>
                <w:sz w:val="21"/>
                <w:szCs w:val="21"/>
              </w:rPr>
              <w:t>2000</w:t>
            </w:r>
            <w:r>
              <w:rPr>
                <w:rFonts w:ascii="宋体" w:hAnsi="宋体" w:cs="宋体" w:eastAsia="宋体" w:hint="default"/>
                <w:spacing w:val="3"/>
                <w:sz w:val="21"/>
                <w:szCs w:val="21"/>
              </w:rPr>
              <w:t> </w:t>
            </w:r>
            <w:r>
              <w:rPr>
                <w:rFonts w:ascii="宋体" w:hAnsi="宋体" w:cs="宋体" w:eastAsia="宋体" w:hint="default"/>
                <w:spacing w:val="-4"/>
                <w:sz w:val="21"/>
                <w:szCs w:val="21"/>
              </w:rPr>
              <w:t>年加入创元律师事务所，</w:t>
            </w:r>
            <w:r>
              <w:rPr>
                <w:rFonts w:ascii="宋体" w:hAnsi="宋体" w:cs="宋体" w:eastAsia="宋体" w:hint="default"/>
                <w:spacing w:val="-4"/>
                <w:sz w:val="21"/>
                <w:szCs w:val="21"/>
              </w:rPr>
              <w:t>2005</w:t>
            </w:r>
          </w:p>
          <w:p>
            <w:pPr>
              <w:pStyle w:val="TableParagraph"/>
              <w:spacing w:line="240" w:lineRule="auto"/>
              <w:ind w:left="103" w:right="93"/>
              <w:jc w:val="left"/>
              <w:rPr>
                <w:rFonts w:ascii="宋体" w:hAnsi="宋体" w:cs="宋体" w:eastAsia="宋体" w:hint="default"/>
                <w:sz w:val="21"/>
                <w:szCs w:val="21"/>
              </w:rPr>
            </w:pPr>
            <w:r>
              <w:rPr>
                <w:rFonts w:ascii="宋体" w:hAnsi="宋体" w:cs="宋体" w:eastAsia="宋体" w:hint="default"/>
                <w:sz w:val="21"/>
                <w:szCs w:val="21"/>
              </w:rPr>
              <w:t>年成为创元律师事务所合伙人，</w:t>
            </w:r>
            <w:r>
              <w:rPr>
                <w:rFonts w:ascii="宋体" w:hAnsi="宋体" w:cs="宋体" w:eastAsia="宋体" w:hint="default"/>
                <w:sz w:val="21"/>
                <w:szCs w:val="21"/>
              </w:rPr>
              <w:t>2013</w:t>
            </w:r>
            <w:r>
              <w:rPr>
                <w:rFonts w:ascii="宋体" w:hAnsi="宋体" w:cs="宋体" w:eastAsia="宋体" w:hint="default"/>
                <w:spacing w:val="-56"/>
                <w:sz w:val="21"/>
                <w:szCs w:val="21"/>
              </w:rPr>
              <w:t> </w:t>
            </w:r>
            <w:r>
              <w:rPr>
                <w:rFonts w:ascii="宋体" w:hAnsi="宋体" w:cs="宋体" w:eastAsia="宋体" w:hint="default"/>
                <w:sz w:val="21"/>
                <w:szCs w:val="21"/>
              </w:rPr>
              <w:t>年至</w:t>
            </w:r>
            <w:r>
              <w:rPr>
                <w:rFonts w:ascii="宋体" w:hAnsi="宋体" w:cs="宋体" w:eastAsia="宋体" w:hint="default"/>
                <w:spacing w:val="-54"/>
                <w:sz w:val="21"/>
                <w:szCs w:val="21"/>
              </w:rPr>
              <w:t> </w:t>
            </w:r>
            <w:r>
              <w:rPr>
                <w:rFonts w:ascii="宋体" w:hAnsi="宋体" w:cs="宋体" w:eastAsia="宋体" w:hint="default"/>
                <w:sz w:val="21"/>
                <w:szCs w:val="21"/>
              </w:rPr>
              <w:t>2015</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月担任创元律师事务所主任，</w:t>
            </w:r>
            <w:r>
              <w:rPr>
                <w:rFonts w:ascii="宋体" w:hAnsi="宋体" w:cs="宋体" w:eastAsia="宋体" w:hint="default"/>
                <w:sz w:val="21"/>
                <w:szCs w:val="21"/>
              </w:rPr>
              <w:t>2015</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5"/>
                <w:sz w:val="21"/>
                <w:szCs w:val="21"/>
              </w:rPr>
              <w:t> </w:t>
            </w:r>
            <w:r>
              <w:rPr>
                <w:rFonts w:ascii="宋体" w:hAnsi="宋体" w:cs="宋体" w:eastAsia="宋体" w:hint="default"/>
                <w:sz w:val="21"/>
                <w:szCs w:val="21"/>
              </w:rPr>
              <w:t>月加入北京大成（福州）律师事务所，现任</w:t>
            </w:r>
            <w:r>
              <w:rPr>
                <w:rFonts w:ascii="宋体" w:hAnsi="宋体" w:cs="宋体" w:eastAsia="宋体" w:hint="default"/>
                <w:w w:val="100"/>
                <w:sz w:val="21"/>
                <w:szCs w:val="21"/>
              </w:rPr>
              <w:t> </w:t>
            </w:r>
            <w:r>
              <w:rPr>
                <w:rFonts w:ascii="宋体" w:hAnsi="宋体" w:cs="宋体" w:eastAsia="宋体" w:hint="default"/>
                <w:sz w:val="21"/>
                <w:szCs w:val="21"/>
              </w:rPr>
              <w:t>高级合伙人并担任事务所管理委员会执行委员。</w:t>
            </w:r>
          </w:p>
        </w:tc>
      </w:tr>
      <w:tr>
        <w:trPr>
          <w:trHeight w:val="1099"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叶东毅</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1"/>
                <w:sz w:val="21"/>
                <w:szCs w:val="21"/>
              </w:rPr>
              <w:t>中国国籍，无境外永久居留权，</w:t>
            </w:r>
            <w:r>
              <w:rPr>
                <w:rFonts w:ascii="宋体" w:hAnsi="宋体" w:cs="宋体" w:eastAsia="宋体" w:hint="default"/>
                <w:spacing w:val="-1"/>
                <w:sz w:val="21"/>
                <w:szCs w:val="21"/>
              </w:rPr>
              <w:t>1964</w:t>
            </w:r>
            <w:r>
              <w:rPr>
                <w:rFonts w:ascii="宋体" w:hAnsi="宋体" w:cs="宋体" w:eastAsia="宋体" w:hint="default"/>
                <w:spacing w:val="88"/>
                <w:sz w:val="21"/>
                <w:szCs w:val="21"/>
              </w:rPr>
              <w:t> </w:t>
            </w:r>
            <w:r>
              <w:rPr>
                <w:rFonts w:ascii="宋体" w:hAnsi="宋体" w:cs="宋体" w:eastAsia="宋体" w:hint="default"/>
                <w:spacing w:val="-2"/>
                <w:sz w:val="21"/>
                <w:szCs w:val="21"/>
              </w:rPr>
              <w:t>年生，法国图卢兹大学毕业，博士学位，研究生学历，福州大学数学与计算机科学学院教授、博士</w:t>
            </w:r>
          </w:p>
          <w:p>
            <w:pPr>
              <w:pStyle w:val="TableParagraph"/>
              <w:spacing w:line="237" w:lineRule="auto" w:before="2"/>
              <w:ind w:left="103" w:right="100"/>
              <w:jc w:val="both"/>
              <w:rPr>
                <w:rFonts w:ascii="宋体" w:hAnsi="宋体" w:cs="宋体" w:eastAsia="宋体" w:hint="default"/>
                <w:sz w:val="21"/>
                <w:szCs w:val="21"/>
              </w:rPr>
            </w:pPr>
            <w:r>
              <w:rPr>
                <w:rFonts w:ascii="宋体" w:hAnsi="宋体" w:cs="宋体" w:eastAsia="宋体" w:hint="default"/>
                <w:sz w:val="21"/>
                <w:szCs w:val="21"/>
              </w:rPr>
              <w:t>生导师，福建省信息产业专家委员会委员，福建省计算机学会副理事长，福建省人工智能学会常务理事，福建省软件行业协会理事，主</w:t>
            </w:r>
            <w:r>
              <w:rPr>
                <w:rFonts w:ascii="宋体" w:hAnsi="宋体" w:cs="宋体" w:eastAsia="宋体" w:hint="default"/>
                <w:spacing w:val="-7"/>
                <w:sz w:val="21"/>
                <w:szCs w:val="21"/>
              </w:rPr>
              <w:t> </w:t>
            </w:r>
            <w:r>
              <w:rPr>
                <w:rFonts w:ascii="宋体" w:hAnsi="宋体" w:cs="宋体" w:eastAsia="宋体" w:hint="default"/>
                <w:spacing w:val="-7"/>
                <w:sz w:val="21"/>
                <w:szCs w:val="21"/>
              </w:rPr>
            </w:r>
            <w:r>
              <w:rPr>
                <w:rFonts w:ascii="宋体" w:hAnsi="宋体" w:cs="宋体" w:eastAsia="宋体" w:hint="default"/>
                <w:sz w:val="21"/>
                <w:szCs w:val="21"/>
              </w:rPr>
              <w:t>要从事计算智能与数据挖掘等领域的教学与科研工作，研究成果分别获得国家科技进步二等奖、福建省科学技术三等奖、二等奖。叶东</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毅同时是福建星网锐捷通讯股份有限公司、福建博思软件股份有限公司独立董事。</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tabs>
                <w:tab w:pos="525" w:val="left" w:leader="none"/>
              </w:tabs>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欧</w:t>
              <w:tab/>
              <w:t>永</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中国国籍，无境外永久居留权，</w:t>
            </w:r>
            <w:r>
              <w:rPr>
                <w:rFonts w:ascii="宋体" w:hAnsi="宋体" w:cs="宋体" w:eastAsia="宋体" w:hint="default"/>
                <w:spacing w:val="-3"/>
                <w:sz w:val="21"/>
                <w:szCs w:val="21"/>
              </w:rPr>
              <w:t>1971 </w:t>
            </w:r>
            <w:r>
              <w:rPr>
                <w:rFonts w:ascii="宋体" w:hAnsi="宋体" w:cs="宋体" w:eastAsia="宋体" w:hint="default"/>
                <w:spacing w:val="-3"/>
                <w:sz w:val="21"/>
                <w:szCs w:val="21"/>
              </w:rPr>
              <w:t>年生，中专学历。曾担任公司业务经理</w:t>
            </w:r>
            <w:r>
              <w:rPr>
                <w:rFonts w:ascii="宋体" w:hAnsi="宋体" w:cs="宋体" w:eastAsia="宋体" w:hint="default"/>
                <w:spacing w:val="-3"/>
                <w:sz w:val="21"/>
                <w:szCs w:val="21"/>
              </w:rPr>
              <w:t>,</w:t>
            </w:r>
            <w:r>
              <w:rPr>
                <w:rFonts w:ascii="宋体" w:hAnsi="宋体" w:cs="宋体" w:eastAsia="宋体" w:hint="default"/>
                <w:spacing w:val="-3"/>
                <w:sz w:val="21"/>
                <w:szCs w:val="21"/>
              </w:rPr>
              <w:t>现任公司 </w:t>
            </w:r>
            <w:r>
              <w:rPr>
                <w:rFonts w:ascii="宋体" w:hAnsi="宋体" w:cs="宋体" w:eastAsia="宋体" w:hint="default"/>
                <w:sz w:val="21"/>
                <w:szCs w:val="21"/>
              </w:rPr>
              <w:t>BPM</w:t>
            </w:r>
            <w:r>
              <w:rPr>
                <w:rFonts w:ascii="宋体" w:hAnsi="宋体" w:cs="宋体" w:eastAsia="宋体" w:hint="default"/>
                <w:spacing w:val="-49"/>
                <w:sz w:val="21"/>
                <w:szCs w:val="21"/>
              </w:rPr>
              <w:t> </w:t>
            </w:r>
            <w:r>
              <w:rPr>
                <w:rFonts w:ascii="宋体" w:hAnsi="宋体" w:cs="宋体" w:eastAsia="宋体" w:hint="default"/>
                <w:spacing w:val="-3"/>
                <w:sz w:val="21"/>
                <w:szCs w:val="21"/>
              </w:rPr>
              <w:t>发展事业部总经理、监事会主席，主持公司证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券以外市场营销工作。</w:t>
            </w:r>
          </w:p>
        </w:tc>
      </w:tr>
      <w:tr>
        <w:trPr>
          <w:trHeight w:val="557"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郑元通</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
                <w:sz w:val="21"/>
                <w:szCs w:val="21"/>
              </w:rPr>
              <w:t>中国国籍，无境外永久居留权，</w:t>
            </w:r>
            <w:r>
              <w:rPr>
                <w:rFonts w:ascii="宋体" w:hAnsi="宋体" w:cs="宋体" w:eastAsia="宋体" w:hint="default"/>
                <w:spacing w:val="-1"/>
                <w:sz w:val="21"/>
                <w:szCs w:val="21"/>
              </w:rPr>
              <w:t>1975</w:t>
            </w:r>
            <w:r>
              <w:rPr>
                <w:rFonts w:ascii="宋体" w:hAnsi="宋体" w:cs="宋体" w:eastAsia="宋体" w:hint="default"/>
                <w:spacing w:val="88"/>
                <w:sz w:val="21"/>
                <w:szCs w:val="21"/>
              </w:rPr>
              <w:t> </w:t>
            </w:r>
            <w:r>
              <w:rPr>
                <w:rFonts w:ascii="宋体" w:hAnsi="宋体" w:cs="宋体" w:eastAsia="宋体" w:hint="default"/>
                <w:spacing w:val="-2"/>
                <w:sz w:val="21"/>
                <w:szCs w:val="21"/>
              </w:rPr>
              <w:t>年生，毕业于福州大学技术软件及应用专业。曾担任公司软件开发工程师、开发经理、证券事业部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技术总监。现任公司职工监事，同时担任公司金融证券事业部技术总监，负责证券行业的软件开发业务。</w:t>
            </w:r>
          </w:p>
        </w:tc>
      </w:tr>
      <w:tr>
        <w:trPr>
          <w:trHeight w:val="55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萧锦峰</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中国国籍</w:t>
            </w:r>
            <w:r>
              <w:rPr>
                <w:rFonts w:ascii="宋体" w:hAnsi="宋体" w:cs="宋体" w:eastAsia="宋体" w:hint="default"/>
                <w:sz w:val="21"/>
                <w:szCs w:val="21"/>
              </w:rPr>
              <w:t>,</w:t>
            </w:r>
            <w:r>
              <w:rPr>
                <w:rFonts w:ascii="宋体" w:hAnsi="宋体" w:cs="宋体" w:eastAsia="宋体" w:hint="default"/>
                <w:sz w:val="21"/>
                <w:szCs w:val="21"/>
              </w:rPr>
              <w:t>无境外永久居留权。</w:t>
            </w:r>
            <w:r>
              <w:rPr>
                <w:rFonts w:ascii="宋体" w:hAnsi="宋体" w:cs="宋体" w:eastAsia="宋体" w:hint="default"/>
                <w:sz w:val="21"/>
                <w:szCs w:val="21"/>
              </w:rPr>
              <w:t>1977</w:t>
            </w:r>
            <w:r>
              <w:rPr>
                <w:rFonts w:ascii="宋体" w:hAnsi="宋体" w:cs="宋体" w:eastAsia="宋体" w:hint="default"/>
                <w:spacing w:val="-31"/>
                <w:sz w:val="21"/>
                <w:szCs w:val="21"/>
              </w:rPr>
              <w:t> </w:t>
            </w:r>
            <w:r>
              <w:rPr>
                <w:rFonts w:ascii="宋体" w:hAnsi="宋体" w:cs="宋体" w:eastAsia="宋体" w:hint="default"/>
                <w:sz w:val="21"/>
                <w:szCs w:val="21"/>
              </w:rPr>
              <w:t>年生，福州大学管理学院研究生，硕士学位。</w:t>
            </w:r>
            <w:r>
              <w:rPr>
                <w:rFonts w:ascii="宋体" w:hAnsi="宋体" w:cs="宋体" w:eastAsia="宋体" w:hint="default"/>
                <w:sz w:val="21"/>
                <w:szCs w:val="21"/>
              </w:rPr>
              <w:t>2000</w:t>
            </w:r>
            <w:r>
              <w:rPr>
                <w:rFonts w:ascii="宋体" w:hAnsi="宋体" w:cs="宋体" w:eastAsia="宋体" w:hint="default"/>
                <w:spacing w:val="-31"/>
                <w:sz w:val="21"/>
                <w:szCs w:val="21"/>
              </w:rPr>
              <w:t> </w:t>
            </w:r>
            <w:r>
              <w:rPr>
                <w:rFonts w:ascii="宋体" w:hAnsi="宋体" w:cs="宋体" w:eastAsia="宋体" w:hint="default"/>
                <w:sz w:val="21"/>
                <w:szCs w:val="21"/>
              </w:rPr>
              <w:t>年</w:t>
            </w:r>
            <w:r>
              <w:rPr>
                <w:rFonts w:ascii="宋体" w:hAnsi="宋体" w:cs="宋体" w:eastAsia="宋体" w:hint="default"/>
                <w:spacing w:val="-31"/>
                <w:sz w:val="21"/>
                <w:szCs w:val="21"/>
              </w:rPr>
              <w:t> </w:t>
            </w:r>
            <w:r>
              <w:rPr>
                <w:rFonts w:ascii="宋体" w:hAnsi="宋体" w:cs="宋体" w:eastAsia="宋体" w:hint="default"/>
                <w:sz w:val="21"/>
                <w:szCs w:val="21"/>
              </w:rPr>
              <w:t>7</w:t>
            </w:r>
            <w:r>
              <w:rPr>
                <w:rFonts w:ascii="宋体" w:hAnsi="宋体" w:cs="宋体" w:eastAsia="宋体" w:hint="default"/>
                <w:spacing w:val="-32"/>
                <w:sz w:val="21"/>
                <w:szCs w:val="21"/>
              </w:rPr>
              <w:t> </w:t>
            </w:r>
            <w:r>
              <w:rPr>
                <w:rFonts w:ascii="宋体" w:hAnsi="宋体" w:cs="宋体" w:eastAsia="宋体" w:hint="default"/>
                <w:sz w:val="21"/>
                <w:szCs w:val="21"/>
              </w:rPr>
              <w:t>月加入顶点软件公司，曾任上海顶点软件技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术副总，现任福建顶点软件股份有限公司证券交付中心总经理。</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董凤良</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1976 </w:t>
            </w:r>
            <w:r>
              <w:rPr>
                <w:rFonts w:ascii="宋体" w:hAnsi="宋体" w:cs="宋体" w:eastAsia="宋体" w:hint="default"/>
                <w:spacing w:val="-2"/>
                <w:sz w:val="21"/>
                <w:szCs w:val="21"/>
              </w:rPr>
              <w:t>年生，毕业于武汉理工大学会计专业，专科，中国注册会计师，曾任国脉科技股份有限公司财务部总经理等职，</w:t>
            </w:r>
            <w:r>
              <w:rPr>
                <w:rFonts w:ascii="宋体" w:hAnsi="宋体" w:cs="宋体" w:eastAsia="宋体" w:hint="default"/>
                <w:spacing w:val="-2"/>
                <w:sz w:val="21"/>
                <w:szCs w:val="21"/>
              </w:rPr>
              <w:t>2010</w:t>
            </w:r>
            <w:r>
              <w:rPr>
                <w:rFonts w:ascii="宋体" w:hAnsi="宋体" w:cs="宋体" w:eastAsia="宋体" w:hint="default"/>
                <w:spacing w:val="-4"/>
                <w:sz w:val="21"/>
                <w:szCs w:val="21"/>
              </w:rPr>
              <w:t> </w:t>
            </w:r>
            <w:r>
              <w:rPr>
                <w:rFonts w:ascii="宋体" w:hAnsi="宋体" w:cs="宋体" w:eastAsia="宋体" w:hint="default"/>
                <w:spacing w:val="-1"/>
                <w:sz w:val="21"/>
                <w:szCs w:val="21"/>
              </w:rPr>
              <w:t>年加入公司，</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历任公司财务部经理，现担任公司财务总监。</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张家荣</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原公司监事，现已离任。</w:t>
            </w:r>
          </w:p>
        </w:tc>
      </w:tr>
    </w:tbl>
    <w:p>
      <w:pPr>
        <w:spacing w:after="0" w:line="241" w:lineRule="exact"/>
        <w:jc w:val="left"/>
        <w:rPr>
          <w:rFonts w:ascii="宋体" w:hAnsi="宋体" w:cs="宋体" w:eastAsia="宋体" w:hint="default"/>
          <w:sz w:val="21"/>
          <w:szCs w:val="21"/>
        </w:rPr>
        <w:sectPr>
          <w:pgSz w:w="16840" w:h="11910" w:orient="landscape"/>
          <w:pgMar w:header="855" w:footer="1195" w:top="1280" w:bottom="1380" w:left="1300" w:right="1200"/>
        </w:sectPr>
      </w:pPr>
    </w:p>
    <w:p>
      <w:pPr>
        <w:spacing w:line="240" w:lineRule="auto" w:before="7"/>
        <w:rPr>
          <w:rFonts w:ascii="Times New Roman" w:hAnsi="Times New Roman" w:cs="Times New Roman" w:eastAsia="Times New Roman" w:hint="default"/>
          <w:sz w:val="2"/>
          <w:szCs w:val="2"/>
        </w:rPr>
      </w:pPr>
    </w:p>
    <w:p>
      <w:pPr>
        <w:spacing w:line="20" w:lineRule="exact"/>
        <w:ind w:left="188"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11"/>
        <w:rPr>
          <w:rFonts w:ascii="Times New Roman" w:hAnsi="Times New Roman" w:cs="Times New Roman" w:eastAsia="Times New Roman" w:hint="default"/>
          <w:sz w:val="16"/>
          <w:szCs w:val="16"/>
        </w:rPr>
      </w:pPr>
    </w:p>
    <w:p>
      <w:pPr>
        <w:pStyle w:val="BodyText"/>
        <w:spacing w:line="274" w:lineRule="exact" w:before="36"/>
        <w:ind w:left="224" w:right="0"/>
        <w:jc w:val="left"/>
      </w:pPr>
      <w:r>
        <w:rPr/>
        <w:t>其它情况说明</w:t>
      </w:r>
    </w:p>
    <w:p>
      <w:pPr>
        <w:pStyle w:val="BodyText"/>
        <w:spacing w:line="272" w:lineRule="exact"/>
        <w:ind w:left="224" w:right="0"/>
        <w:jc w:val="left"/>
      </w:pPr>
      <w:r>
        <w:rPr/>
        <w:t>√适用 □不适用</w:t>
      </w:r>
    </w:p>
    <w:p>
      <w:pPr>
        <w:pStyle w:val="BodyText"/>
        <w:spacing w:line="274" w:lineRule="exact" w:before="24"/>
        <w:ind w:left="584" w:right="0" w:hanging="361"/>
        <w:jc w:val="left"/>
      </w:pPr>
      <w:r>
        <w:rPr>
          <w:rFonts w:ascii="Calibri" w:hAnsi="Calibri" w:cs="Calibri" w:eastAsia="Calibri" w:hint="default"/>
        </w:rPr>
        <w:t>1</w:t>
      </w:r>
      <w:r>
        <w:rPr/>
        <w:t>、</w:t>
      </w:r>
      <w:r>
        <w:rPr>
          <w:spacing w:val="-66"/>
        </w:rPr>
        <w:t> </w:t>
      </w:r>
      <w:r>
        <w:rPr/>
        <w:t>经公司第六届董事会第二十二次会议、</w:t>
      </w:r>
      <w:r>
        <w:rPr>
          <w:rFonts w:ascii="Calibri" w:hAnsi="Calibri" w:cs="Calibri" w:eastAsia="Calibri" w:hint="default"/>
        </w:rPr>
        <w:t>2017</w:t>
      </w:r>
      <w:r>
        <w:rPr>
          <w:rFonts w:ascii="Calibri" w:hAnsi="Calibri" w:cs="Calibri" w:eastAsia="Calibri" w:hint="default"/>
          <w:spacing w:val="9"/>
        </w:rPr>
        <w:t> </w:t>
      </w:r>
      <w:r>
        <w:rPr/>
        <w:t>年第二次临时股东大会审议，顺利完成公司第六届董事会、监事会成员换届事宜。</w:t>
      </w:r>
      <w:r>
        <w:rPr>
          <w:rFonts w:ascii="Calibri" w:hAnsi="Calibri" w:cs="Calibri" w:eastAsia="Calibri" w:hint="default"/>
        </w:rPr>
        <w:t>2017</w:t>
      </w:r>
      <w:r>
        <w:rPr>
          <w:rFonts w:ascii="Calibri" w:hAnsi="Calibri" w:cs="Calibri" w:eastAsia="Calibri" w:hint="default"/>
          <w:spacing w:val="7"/>
        </w:rPr>
        <w:t> </w:t>
      </w:r>
      <w:r>
        <w:rPr/>
        <w:t>年</w:t>
      </w:r>
      <w:r>
        <w:rPr>
          <w:spacing w:val="-46"/>
        </w:rPr>
        <w:t> </w:t>
      </w:r>
      <w:r>
        <w:rPr>
          <w:rFonts w:ascii="Calibri" w:hAnsi="Calibri" w:cs="Calibri" w:eastAsia="Calibri" w:hint="default"/>
        </w:rPr>
        <w:t>7</w:t>
      </w:r>
      <w:r>
        <w:rPr>
          <w:rFonts w:ascii="Calibri" w:hAnsi="Calibri" w:cs="Calibri" w:eastAsia="Calibri" w:hint="default"/>
          <w:spacing w:val="7"/>
        </w:rPr>
        <w:t> </w:t>
      </w:r>
      <w:r>
        <w:rPr>
          <w:spacing w:val="-3"/>
        </w:rPr>
        <w:t>月，公司</w:t>
      </w:r>
      <w:r>
        <w:rPr>
          <w:spacing w:val="-3"/>
          <w:w w:val="100"/>
        </w:rPr>
        <w:t> </w:t>
      </w:r>
      <w:r>
        <w:rPr/>
        <w:t>第七届董事会聘任新一届高管人员。</w:t>
      </w:r>
    </w:p>
    <w:p>
      <w:pPr>
        <w:pStyle w:val="BodyText"/>
        <w:spacing w:line="273" w:lineRule="exact"/>
        <w:ind w:left="224" w:right="0"/>
        <w:jc w:val="left"/>
      </w:pPr>
      <w:r>
        <w:rPr>
          <w:rFonts w:ascii="Calibri" w:hAnsi="Calibri" w:cs="Calibri" w:eastAsia="Calibri" w:hint="default"/>
        </w:rPr>
        <w:t>2</w:t>
      </w:r>
      <w:r>
        <w:rPr/>
        <w:t>、</w:t>
      </w:r>
      <w:r>
        <w:rPr>
          <w:spacing w:val="-67"/>
        </w:rPr>
        <w:t> </w:t>
      </w:r>
      <w:r>
        <w:rPr>
          <w:rFonts w:ascii="Calibri" w:hAnsi="Calibri" w:cs="Calibri" w:eastAsia="Calibri" w:hint="default"/>
        </w:rPr>
        <w:t>2017</w:t>
      </w:r>
      <w:r>
        <w:rPr>
          <w:rFonts w:ascii="Calibri" w:hAnsi="Calibri" w:cs="Calibri" w:eastAsia="Calibri" w:hint="default"/>
          <w:spacing w:val="4"/>
        </w:rPr>
        <w:t> </w:t>
      </w:r>
      <w:r>
        <w:rPr/>
        <w:t>年</w:t>
      </w:r>
      <w:r>
        <w:rPr>
          <w:spacing w:val="-57"/>
        </w:rPr>
        <w:t> </w:t>
      </w:r>
      <w:r>
        <w:rPr>
          <w:rFonts w:ascii="Calibri" w:hAnsi="Calibri" w:cs="Calibri" w:eastAsia="Calibri" w:hint="default"/>
        </w:rPr>
        <w:t>7</w:t>
      </w:r>
      <w:r>
        <w:rPr>
          <w:rFonts w:ascii="Calibri" w:hAnsi="Calibri" w:cs="Calibri" w:eastAsia="Calibri" w:hint="default"/>
          <w:spacing w:val="1"/>
        </w:rPr>
        <w:t> </w:t>
      </w:r>
      <w:r>
        <w:rPr/>
        <w:t>月董凤良先生被聘任为公司财务总监，报告期内董凤良先生担任公司财务总监前，由副董事长赵伟先生兼任。</w:t>
      </w:r>
    </w:p>
    <w:p>
      <w:pPr>
        <w:spacing w:line="240" w:lineRule="auto" w:before="2"/>
        <w:rPr>
          <w:rFonts w:ascii="宋体" w:hAnsi="宋体" w:cs="宋体" w:eastAsia="宋体" w:hint="default"/>
          <w:sz w:val="23"/>
          <w:szCs w:val="23"/>
        </w:rPr>
      </w:pPr>
    </w:p>
    <w:p>
      <w:pPr>
        <w:pStyle w:val="Heading3"/>
        <w:spacing w:line="240" w:lineRule="auto"/>
        <w:ind w:left="224"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董事、高级管理人员报告期内被授予的股权激励情况</w:t>
      </w:r>
      <w:r>
        <w:rPr>
          <w:b w:val="0"/>
          <w:bCs w:val="0"/>
        </w:rPr>
      </w:r>
    </w:p>
    <w:p>
      <w:pPr>
        <w:pStyle w:val="BodyText"/>
        <w:spacing w:line="240" w:lineRule="auto" w:before="32"/>
        <w:ind w:left="224" w:right="0"/>
        <w:jc w:val="left"/>
      </w:pPr>
      <w:r>
        <w:rPr/>
        <w:t>√适用 □不适用</w:t>
      </w:r>
    </w:p>
    <w:p>
      <w:pPr>
        <w:spacing w:line="240" w:lineRule="auto" w:before="8"/>
        <w:rPr>
          <w:rFonts w:ascii="宋体" w:hAnsi="宋体" w:cs="宋体" w:eastAsia="宋体" w:hint="default"/>
          <w:sz w:val="20"/>
          <w:szCs w:val="20"/>
        </w:rPr>
      </w:pPr>
    </w:p>
    <w:p>
      <w:pPr>
        <w:pStyle w:val="BodyText"/>
        <w:spacing w:line="240" w:lineRule="auto"/>
        <w:ind w:left="0" w:right="215"/>
        <w:jc w:val="right"/>
      </w:pPr>
      <w:r>
        <w:rPr>
          <w:spacing w:val="-1"/>
        </w:rPr>
        <w:t>单位</w:t>
      </w:r>
      <w:r>
        <w:rPr>
          <w:rFonts w:ascii="宋体" w:hAnsi="宋体" w:cs="宋体" w:eastAsia="宋体" w:hint="default"/>
          <w:spacing w:val="-1"/>
        </w:rPr>
        <w:t>:</w:t>
      </w:r>
      <w:r>
        <w:rPr>
          <w:spacing w:val="-1"/>
        </w:rPr>
        <w:t>股</w:t>
      </w: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244"/>
        <w:gridCol w:w="1416"/>
        <w:gridCol w:w="1705"/>
        <w:gridCol w:w="1697"/>
        <w:gridCol w:w="1560"/>
        <w:gridCol w:w="1702"/>
        <w:gridCol w:w="1702"/>
        <w:gridCol w:w="1558"/>
        <w:gridCol w:w="1508"/>
      </w:tblGrid>
      <w:tr>
        <w:trPr>
          <w:trHeight w:val="828"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403"/>
              <w:jc w:val="right"/>
              <w:rPr>
                <w:rFonts w:ascii="宋体" w:hAnsi="宋体" w:cs="宋体" w:eastAsia="宋体" w:hint="default"/>
                <w:sz w:val="21"/>
                <w:szCs w:val="21"/>
              </w:rPr>
            </w:pPr>
            <w:r>
              <w:rPr>
                <w:rFonts w:ascii="宋体" w:hAnsi="宋体" w:cs="宋体" w:eastAsia="宋体" w:hint="default"/>
                <w:sz w:val="21"/>
                <w:szCs w:val="21"/>
              </w:rPr>
              <w:t>姓名</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491"/>
              <w:jc w:val="right"/>
              <w:rPr>
                <w:rFonts w:ascii="宋体" w:hAnsi="宋体" w:cs="宋体" w:eastAsia="宋体" w:hint="default"/>
                <w:sz w:val="21"/>
                <w:szCs w:val="21"/>
              </w:rPr>
            </w:pPr>
            <w:r>
              <w:rPr>
                <w:rFonts w:ascii="宋体" w:hAnsi="宋体" w:cs="宋体" w:eastAsia="宋体" w:hint="default"/>
                <w:sz w:val="21"/>
                <w:szCs w:val="21"/>
              </w:rPr>
              <w:t>职务</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27" w:right="106" w:hanging="315"/>
              <w:jc w:val="left"/>
              <w:rPr>
                <w:rFonts w:ascii="宋体" w:hAnsi="宋体" w:cs="宋体" w:eastAsia="宋体" w:hint="default"/>
                <w:sz w:val="21"/>
                <w:szCs w:val="21"/>
              </w:rPr>
            </w:pPr>
            <w:r>
              <w:rPr>
                <w:rFonts w:ascii="宋体" w:hAnsi="宋体" w:cs="宋体" w:eastAsia="宋体" w:hint="default"/>
                <w:sz w:val="21"/>
                <w:szCs w:val="21"/>
              </w:rPr>
              <w:t>年初持有限制性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股票数量</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3" w:right="103" w:hanging="106"/>
              <w:jc w:val="left"/>
              <w:rPr>
                <w:rFonts w:ascii="宋体" w:hAnsi="宋体" w:cs="宋体" w:eastAsia="宋体" w:hint="default"/>
                <w:sz w:val="21"/>
                <w:szCs w:val="21"/>
              </w:rPr>
            </w:pPr>
            <w:r>
              <w:rPr>
                <w:rFonts w:ascii="宋体" w:hAnsi="宋体" w:cs="宋体" w:eastAsia="宋体" w:hint="default"/>
                <w:sz w:val="21"/>
                <w:szCs w:val="21"/>
              </w:rPr>
              <w:t>报告期新授予限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制性股票数量</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限制性股票的</w:t>
            </w:r>
          </w:p>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授予价格</w:t>
            </w:r>
          </w:p>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sz w:val="21"/>
                <w:szCs w:val="21"/>
              </w:rPr>
              <w:t>（元）</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19" w:right="0"/>
              <w:jc w:val="left"/>
              <w:rPr>
                <w:rFonts w:ascii="宋体" w:hAnsi="宋体" w:cs="宋体" w:eastAsia="宋体" w:hint="default"/>
                <w:sz w:val="21"/>
                <w:szCs w:val="21"/>
              </w:rPr>
            </w:pPr>
            <w:r>
              <w:rPr>
                <w:rFonts w:ascii="宋体" w:hAnsi="宋体" w:cs="宋体" w:eastAsia="宋体" w:hint="default"/>
                <w:sz w:val="21"/>
                <w:szCs w:val="21"/>
              </w:rPr>
              <w:t>已解锁股份</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19" w:right="0"/>
              <w:jc w:val="left"/>
              <w:rPr>
                <w:rFonts w:ascii="宋体" w:hAnsi="宋体" w:cs="宋体" w:eastAsia="宋体" w:hint="default"/>
                <w:sz w:val="21"/>
                <w:szCs w:val="21"/>
              </w:rPr>
            </w:pPr>
            <w:r>
              <w:rPr>
                <w:rFonts w:ascii="宋体" w:hAnsi="宋体" w:cs="宋体" w:eastAsia="宋体" w:hint="default"/>
                <w:sz w:val="21"/>
                <w:szCs w:val="21"/>
              </w:rPr>
              <w:t>未解锁股份</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7" w:right="139" w:hanging="104"/>
              <w:jc w:val="left"/>
              <w:rPr>
                <w:rFonts w:ascii="宋体" w:hAnsi="宋体" w:cs="宋体" w:eastAsia="宋体" w:hint="default"/>
                <w:sz w:val="21"/>
                <w:szCs w:val="21"/>
              </w:rPr>
            </w:pPr>
            <w:r>
              <w:rPr>
                <w:rFonts w:ascii="宋体" w:hAnsi="宋体" w:cs="宋体" w:eastAsia="宋体" w:hint="default"/>
                <w:sz w:val="21"/>
                <w:szCs w:val="21"/>
              </w:rPr>
              <w:t>期末持有限制</w:t>
            </w:r>
            <w:r>
              <w:rPr>
                <w:rFonts w:ascii="宋体" w:hAnsi="宋体" w:cs="宋体" w:eastAsia="宋体" w:hint="default"/>
                <w:w w:val="100"/>
                <w:sz w:val="21"/>
                <w:szCs w:val="21"/>
              </w:rPr>
              <w:t> </w:t>
            </w:r>
            <w:r>
              <w:rPr>
                <w:rFonts w:ascii="宋体" w:hAnsi="宋体" w:cs="宋体" w:eastAsia="宋体" w:hint="default"/>
                <w:sz w:val="21"/>
                <w:szCs w:val="21"/>
              </w:rPr>
              <w:t>性股票数量</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2"/>
              <w:ind w:right="0"/>
              <w:jc w:val="center"/>
              <w:rPr>
                <w:rFonts w:ascii="宋体" w:hAnsi="宋体" w:cs="宋体" w:eastAsia="宋体" w:hint="default"/>
                <w:sz w:val="21"/>
                <w:szCs w:val="21"/>
              </w:rPr>
            </w:pPr>
            <w:r>
              <w:rPr>
                <w:rFonts w:ascii="宋体" w:hAnsi="宋体" w:cs="宋体" w:eastAsia="宋体" w:hint="default"/>
                <w:sz w:val="21"/>
                <w:szCs w:val="21"/>
              </w:rPr>
              <w:t>报告期末市价</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（元）</w:t>
            </w:r>
          </w:p>
        </w:tc>
      </w:tr>
      <w:tr>
        <w:trPr>
          <w:trHeight w:val="281"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董凤良</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58"/>
              <w:jc w:val="right"/>
              <w:rPr>
                <w:rFonts w:ascii="宋体" w:hAnsi="宋体" w:cs="宋体" w:eastAsia="宋体" w:hint="default"/>
                <w:sz w:val="21"/>
                <w:szCs w:val="21"/>
              </w:rPr>
            </w:pPr>
            <w:r>
              <w:rPr>
                <w:rFonts w:ascii="宋体" w:hAnsi="宋体" w:cs="宋体" w:eastAsia="宋体" w:hint="default"/>
                <w:spacing w:val="-1"/>
                <w:sz w:val="21"/>
                <w:szCs w:val="21"/>
              </w:rPr>
              <w:t>财务总监</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50,000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21" w:right="0"/>
              <w:jc w:val="left"/>
              <w:rPr>
                <w:rFonts w:ascii="宋体" w:hAnsi="宋体" w:cs="宋体" w:eastAsia="宋体" w:hint="default"/>
                <w:sz w:val="21"/>
                <w:szCs w:val="21"/>
              </w:rPr>
            </w:pPr>
            <w:r>
              <w:rPr>
                <w:rFonts w:ascii="宋体"/>
                <w:sz w:val="21"/>
              </w:rPr>
              <w:t>22.96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50,000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69" w:right="0"/>
              <w:jc w:val="left"/>
              <w:rPr>
                <w:rFonts w:ascii="宋体" w:hAnsi="宋体" w:cs="宋体" w:eastAsia="宋体" w:hint="default"/>
                <w:sz w:val="21"/>
                <w:szCs w:val="21"/>
              </w:rPr>
            </w:pPr>
            <w:r>
              <w:rPr>
                <w:rFonts w:ascii="宋体"/>
                <w:sz w:val="21"/>
              </w:rPr>
              <w:t>44.99</w:t>
            </w:r>
          </w:p>
        </w:tc>
      </w:tr>
      <w:tr>
        <w:trPr>
          <w:trHeight w:val="283"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03"/>
              <w:jc w:val="right"/>
              <w:rPr>
                <w:rFonts w:ascii="宋体" w:hAnsi="宋体" w:cs="宋体" w:eastAsia="宋体" w:hint="default"/>
                <w:sz w:val="21"/>
                <w:szCs w:val="21"/>
              </w:rPr>
            </w:pPr>
            <w:r>
              <w:rPr>
                <w:rFonts w:ascii="宋体" w:hAnsi="宋体" w:cs="宋体" w:eastAsia="宋体" w:hint="default"/>
                <w:sz w:val="21"/>
                <w:szCs w:val="21"/>
              </w:rPr>
              <w:t>合计</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w:t>
            </w:r>
          </w:p>
        </w:tc>
        <w:tc>
          <w:tcPr>
            <w:tcW w:w="1705"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50,000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50,000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50,000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2"/>
        <w:rPr>
          <w:rFonts w:ascii="宋体" w:hAnsi="宋体" w:cs="宋体" w:eastAsia="宋体" w:hint="default"/>
          <w:sz w:val="20"/>
          <w:szCs w:val="20"/>
        </w:rPr>
      </w:pPr>
    </w:p>
    <w:p>
      <w:pPr>
        <w:pStyle w:val="Heading3"/>
        <w:spacing w:line="240" w:lineRule="auto" w:before="36"/>
        <w:ind w:left="224" w:right="0"/>
        <w:jc w:val="left"/>
        <w:rPr>
          <w:b w:val="0"/>
          <w:bCs w:val="0"/>
        </w:rPr>
      </w:pPr>
      <w:r>
        <w:rPr/>
        <w:t>二、现任及报告期内离任董事、监事和高级管理人员的任职情况</w:t>
      </w:r>
      <w:r>
        <w:rPr>
          <w:b w:val="0"/>
          <w:bCs w:val="0"/>
        </w:rPr>
      </w:r>
    </w:p>
    <w:p>
      <w:pPr>
        <w:pStyle w:val="Heading3"/>
        <w:spacing w:line="240" w:lineRule="auto" w:before="56"/>
        <w:ind w:left="224"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8"/>
        </w:rPr>
        <w:t> </w:t>
      </w:r>
      <w:r>
        <w:rPr/>
        <w:t>在股东单位任职情况</w:t>
      </w:r>
      <w:r>
        <w:rPr>
          <w:b w:val="0"/>
          <w:bCs w:val="0"/>
        </w:rPr>
      </w:r>
    </w:p>
    <w:p>
      <w:pPr>
        <w:pStyle w:val="BodyText"/>
        <w:spacing w:line="240" w:lineRule="auto" w:before="32"/>
        <w:ind w:left="224" w:right="0"/>
        <w:jc w:val="left"/>
      </w:pPr>
      <w:r>
        <w:rPr/>
        <w:t>√适用 □不适用</w:t>
      </w: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804"/>
        <w:gridCol w:w="3685"/>
        <w:gridCol w:w="2835"/>
        <w:gridCol w:w="2391"/>
        <w:gridCol w:w="2376"/>
      </w:tblGrid>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5"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股东单位名称</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在股东单位担任的职务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任期起始日期</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1"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张家荣</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金石投资有限公司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法律合规部副总裁</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在股东单位任职情况的说明</w:t>
            </w:r>
          </w:p>
        </w:tc>
        <w:tc>
          <w:tcPr>
            <w:tcW w:w="1128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2"/>
        <w:rPr>
          <w:rFonts w:ascii="宋体" w:hAnsi="宋体" w:cs="宋体" w:eastAsia="宋体" w:hint="default"/>
          <w:sz w:val="20"/>
          <w:szCs w:val="20"/>
        </w:rPr>
      </w:pPr>
    </w:p>
    <w:p>
      <w:pPr>
        <w:pStyle w:val="Heading3"/>
        <w:spacing w:line="240" w:lineRule="auto" w:before="36"/>
        <w:ind w:left="224"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7"/>
        </w:rPr>
        <w:t> </w:t>
      </w:r>
      <w:r>
        <w:rPr/>
        <w:t>在其他单位任职情况</w:t>
      </w:r>
      <w:r>
        <w:rPr>
          <w:b w:val="0"/>
          <w:bCs w:val="0"/>
        </w:rPr>
      </w:r>
    </w:p>
    <w:p>
      <w:pPr>
        <w:pStyle w:val="BodyText"/>
        <w:spacing w:line="240" w:lineRule="auto" w:before="29"/>
        <w:ind w:left="224" w:right="0"/>
        <w:jc w:val="left"/>
      </w:pPr>
      <w:r>
        <w:rPr/>
        <w:t>√适用 □不适用</w:t>
      </w: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818"/>
        <w:gridCol w:w="3670"/>
        <w:gridCol w:w="2835"/>
        <w:gridCol w:w="2377"/>
        <w:gridCol w:w="2391"/>
      </w:tblGrid>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3"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0" w:right="0"/>
              <w:jc w:val="left"/>
              <w:rPr>
                <w:rFonts w:ascii="宋体" w:hAnsi="宋体" w:cs="宋体" w:eastAsia="宋体" w:hint="default"/>
                <w:sz w:val="21"/>
                <w:szCs w:val="21"/>
              </w:rPr>
            </w:pPr>
            <w:r>
              <w:rPr>
                <w:rFonts w:ascii="宋体" w:hAnsi="宋体" w:cs="宋体" w:eastAsia="宋体" w:hint="default"/>
                <w:sz w:val="21"/>
                <w:szCs w:val="21"/>
              </w:rPr>
              <w:t>其他单位名称</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2" w:right="0"/>
              <w:jc w:val="left"/>
              <w:rPr>
                <w:rFonts w:ascii="宋体" w:hAnsi="宋体" w:cs="宋体" w:eastAsia="宋体" w:hint="default"/>
                <w:sz w:val="21"/>
                <w:szCs w:val="21"/>
              </w:rPr>
            </w:pPr>
            <w:r>
              <w:rPr>
                <w:rFonts w:ascii="宋体" w:hAnsi="宋体" w:cs="宋体" w:eastAsia="宋体" w:hint="default"/>
                <w:sz w:val="21"/>
                <w:szCs w:val="21"/>
              </w:rPr>
              <w:t>在其他单位担任的职务</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4"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1"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李军</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中信证券股份有限公司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证券执行总经理（</w:t>
            </w:r>
            <w:r>
              <w:rPr>
                <w:rFonts w:ascii="宋体" w:hAnsi="宋体" w:cs="宋体" w:eastAsia="宋体" w:hint="default"/>
                <w:sz w:val="21"/>
                <w:szCs w:val="21"/>
              </w:rPr>
              <w:t>ED</w:t>
            </w:r>
            <w:r>
              <w:rPr>
                <w:rFonts w:ascii="宋体" w:hAnsi="宋体" w:cs="宋体" w:eastAsia="宋体" w:hint="default"/>
                <w:sz w:val="21"/>
                <w:szCs w:val="21"/>
              </w:rPr>
              <w:t>）</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sz w:val="21"/>
              </w:rPr>
              <w:t>2000</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叶东毅</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福州大学数学与计算机科学学院</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教授</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1998.07</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叶东毅</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福建星网锐捷通讯股份有限公司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2015.03.06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2018.03.05</w:t>
            </w:r>
          </w:p>
        </w:tc>
      </w:tr>
    </w:tbl>
    <w:p>
      <w:pPr>
        <w:spacing w:after="0" w:line="241" w:lineRule="exact"/>
        <w:jc w:val="left"/>
        <w:rPr>
          <w:rFonts w:ascii="宋体" w:hAnsi="宋体" w:cs="宋体" w:eastAsia="宋体" w:hint="default"/>
          <w:sz w:val="21"/>
          <w:szCs w:val="21"/>
        </w:rPr>
        <w:sectPr>
          <w:pgSz w:w="16840" w:h="11910" w:orient="landscape"/>
          <w:pgMar w:header="855" w:footer="1195" w:top="1280" w:bottom="1380" w:left="1300" w:right="1220"/>
        </w:sectPr>
      </w:pPr>
    </w:p>
    <w:p>
      <w:pPr>
        <w:spacing w:line="240" w:lineRule="auto" w:before="0"/>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818"/>
        <w:gridCol w:w="3670"/>
        <w:gridCol w:w="2835"/>
        <w:gridCol w:w="2377"/>
        <w:gridCol w:w="2391"/>
      </w:tblGrid>
      <w:tr>
        <w:trPr>
          <w:trHeight w:val="295" w:hRule="exact"/>
        </w:trPr>
        <w:tc>
          <w:tcPr>
            <w:tcW w:w="2818" w:type="dxa"/>
            <w:tcBorders>
              <w:top w:val="single" w:sz="10"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叶东毅</w:t>
            </w:r>
          </w:p>
        </w:tc>
        <w:tc>
          <w:tcPr>
            <w:tcW w:w="3670" w:type="dxa"/>
            <w:tcBorders>
              <w:top w:val="single" w:sz="10"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福建博思软件股份有限公司</w:t>
            </w:r>
          </w:p>
        </w:tc>
        <w:tc>
          <w:tcPr>
            <w:tcW w:w="2835" w:type="dxa"/>
            <w:tcBorders>
              <w:top w:val="single" w:sz="10"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377" w:type="dxa"/>
            <w:tcBorders>
              <w:top w:val="single" w:sz="10" w:space="0" w:color="000000"/>
              <w:left w:val="single" w:sz="4" w:space="0" w:color="000000"/>
              <w:bottom w:val="single" w:sz="4" w:space="0" w:color="000000"/>
              <w:right w:val="single" w:sz="4" w:space="0" w:color="000000"/>
            </w:tcBorders>
          </w:tcPr>
          <w:p>
            <w:pPr>
              <w:pStyle w:val="TableParagraph"/>
              <w:spacing w:line="246" w:lineRule="exact"/>
              <w:ind w:left="105" w:right="0"/>
              <w:jc w:val="left"/>
              <w:rPr>
                <w:rFonts w:ascii="宋体" w:hAnsi="宋体" w:cs="宋体" w:eastAsia="宋体" w:hint="default"/>
                <w:sz w:val="21"/>
                <w:szCs w:val="21"/>
              </w:rPr>
            </w:pPr>
            <w:r>
              <w:rPr>
                <w:rFonts w:ascii="宋体"/>
                <w:sz w:val="21"/>
              </w:rPr>
              <w:t>2015.06.20</w:t>
            </w:r>
          </w:p>
        </w:tc>
        <w:tc>
          <w:tcPr>
            <w:tcW w:w="2391" w:type="dxa"/>
            <w:tcBorders>
              <w:top w:val="single" w:sz="10" w:space="0" w:color="000000"/>
              <w:left w:val="single" w:sz="4" w:space="0" w:color="000000"/>
              <w:bottom w:val="single" w:sz="4" w:space="0" w:color="000000"/>
              <w:right w:val="single" w:sz="4" w:space="0" w:color="000000"/>
            </w:tcBorders>
          </w:tcPr>
          <w:p>
            <w:pPr>
              <w:pStyle w:val="TableParagraph"/>
              <w:spacing w:line="246" w:lineRule="exact"/>
              <w:ind w:left="105" w:right="0"/>
              <w:jc w:val="left"/>
              <w:rPr>
                <w:rFonts w:ascii="宋体" w:hAnsi="宋体" w:cs="宋体" w:eastAsia="宋体" w:hint="default"/>
                <w:sz w:val="21"/>
                <w:szCs w:val="21"/>
              </w:rPr>
            </w:pPr>
            <w:r>
              <w:rPr>
                <w:rFonts w:ascii="宋体"/>
                <w:sz w:val="21"/>
              </w:rPr>
              <w:t>2018.06.19</w:t>
            </w: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徐青</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福建江夏学院会计学院</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副教授</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2004.06</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齐伟</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北京大成</w:t>
            </w:r>
            <w:r>
              <w:rPr>
                <w:rFonts w:ascii="宋体" w:hAnsi="宋体" w:cs="宋体" w:eastAsia="宋体" w:hint="default"/>
                <w:sz w:val="21"/>
                <w:szCs w:val="21"/>
              </w:rPr>
              <w:t>(</w:t>
            </w:r>
            <w:r>
              <w:rPr>
                <w:rFonts w:ascii="宋体" w:hAnsi="宋体" w:cs="宋体" w:eastAsia="宋体" w:hint="default"/>
                <w:sz w:val="21"/>
                <w:szCs w:val="21"/>
              </w:rPr>
              <w:t>福州</w:t>
            </w:r>
            <w:r>
              <w:rPr>
                <w:rFonts w:ascii="宋体" w:hAnsi="宋体" w:cs="宋体" w:eastAsia="宋体" w:hint="default"/>
                <w:sz w:val="21"/>
                <w:szCs w:val="21"/>
              </w:rPr>
              <w:t>)</w:t>
            </w:r>
            <w:r>
              <w:rPr>
                <w:rFonts w:ascii="宋体" w:hAnsi="宋体" w:cs="宋体" w:eastAsia="宋体" w:hint="default"/>
                <w:sz w:val="21"/>
                <w:szCs w:val="21"/>
              </w:rPr>
              <w:t>律师事务所</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资本市场部高级合伙人</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2016.02</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在其他单位任职情况的说明</w:t>
            </w:r>
          </w:p>
        </w:tc>
        <w:tc>
          <w:tcPr>
            <w:tcW w:w="1127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详见本报告“董事、监事和高级管理人员主要工作经历”</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Heading3"/>
        <w:spacing w:line="240" w:lineRule="auto" w:before="36"/>
        <w:ind w:left="644" w:right="0"/>
        <w:jc w:val="left"/>
        <w:rPr>
          <w:b w:val="0"/>
          <w:bCs w:val="0"/>
        </w:rPr>
      </w:pPr>
      <w:r>
        <w:rPr/>
        <w:t>董事、监事、高级管理人员报酬情况</w:t>
      </w:r>
      <w:r>
        <w:rPr>
          <w:b w:val="0"/>
          <w:bCs w:val="0"/>
        </w:rPr>
      </w:r>
    </w:p>
    <w:p>
      <w:pPr>
        <w:pStyle w:val="BodyText"/>
        <w:spacing w:line="240" w:lineRule="auto" w:before="56"/>
        <w:ind w:left="224" w:right="0"/>
        <w:jc w:val="left"/>
      </w:pPr>
      <w:r>
        <w:rPr/>
        <w:t>√适用 □不适用</w:t>
      </w: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4362"/>
        <w:gridCol w:w="9729"/>
      </w:tblGrid>
      <w:tr>
        <w:trPr>
          <w:trHeight w:val="555"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董事、监事、高级管理人员报酬的决策程序</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公司股东大会负责审议董事、监事的薪酬，公司董事会负责审议公司高级管理人员的薪酬，独立董事应</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当对公司董事、高级管理人员的薪酬发表独立意见。</w:t>
            </w:r>
          </w:p>
        </w:tc>
      </w:tr>
      <w:tr>
        <w:trPr>
          <w:trHeight w:val="826"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董事、监事、高级管理人员报酬确定依据</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在公司经营管理岗位任职的董事，按照在公司任职的职务与岗位责任确定薪酬标准；在公司经营管理岗</w:t>
            </w: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z w:val="21"/>
                <w:szCs w:val="21"/>
              </w:rPr>
              <w:t>位任职的监事，按照在公司任职的职务与岗位责任确定薪酬标准；独立董事实行津贴制度，津贴按月发</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放；公司高级管理人员的薪酬由基本薪酬和绩效薪酬组成。</w:t>
            </w:r>
          </w:p>
        </w:tc>
      </w:tr>
      <w:tr>
        <w:trPr>
          <w:trHeight w:val="554"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董事、监事和高级管理人员报酬的实际支付情</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况</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报告期内，公司董事、监事和高级管理人员的薪酬均按规定获得，详见“现任及报告期内离任董事、监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事和高级管理人员持股变动及报酬情况”。</w:t>
            </w:r>
          </w:p>
        </w:tc>
      </w:tr>
      <w:tr>
        <w:trPr>
          <w:trHeight w:val="557"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报告期末全体董事、监事和高级管理人员实际</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获得的报酬合计</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报告期末，公司董事、监事和高级管理人员从公司实际获得的报酬合计 </w:t>
            </w:r>
            <w:r>
              <w:rPr>
                <w:rFonts w:ascii="宋体" w:hAnsi="宋体" w:cs="宋体" w:eastAsia="宋体" w:hint="default"/>
                <w:sz w:val="21"/>
                <w:szCs w:val="21"/>
              </w:rPr>
              <w:t>358.36</w:t>
            </w:r>
            <w:r>
              <w:rPr>
                <w:rFonts w:ascii="宋体" w:hAnsi="宋体" w:cs="宋体" w:eastAsia="宋体" w:hint="default"/>
                <w:spacing w:val="58"/>
                <w:sz w:val="21"/>
                <w:szCs w:val="21"/>
              </w:rPr>
              <w:t> </w:t>
            </w:r>
            <w:r>
              <w:rPr>
                <w:rFonts w:ascii="宋体" w:hAnsi="宋体" w:cs="宋体" w:eastAsia="宋体" w:hint="default"/>
                <w:sz w:val="21"/>
                <w:szCs w:val="21"/>
              </w:rPr>
              <w:t>万元，详见“现任及报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告期内离任董事、监事和高级管理人员持股变动及报酬情况”。</w:t>
            </w:r>
          </w:p>
        </w:tc>
      </w:tr>
    </w:tbl>
    <w:p>
      <w:pPr>
        <w:spacing w:line="240" w:lineRule="auto" w:before="13"/>
        <w:rPr>
          <w:rFonts w:ascii="宋体" w:hAnsi="宋体" w:cs="宋体" w:eastAsia="宋体" w:hint="default"/>
          <w:sz w:val="19"/>
          <w:szCs w:val="19"/>
        </w:rPr>
      </w:pPr>
    </w:p>
    <w:p>
      <w:pPr>
        <w:pStyle w:val="Heading3"/>
        <w:spacing w:line="240" w:lineRule="auto" w:before="36"/>
        <w:ind w:left="224" w:right="0"/>
        <w:jc w:val="left"/>
        <w:rPr>
          <w:b w:val="0"/>
          <w:bCs w:val="0"/>
        </w:rPr>
      </w:pPr>
      <w:r>
        <w:rPr/>
        <w:t>三、公司董事、监事、高级管理人员变动情况</w:t>
      </w:r>
      <w:r>
        <w:rPr>
          <w:b w:val="0"/>
          <w:bCs w:val="0"/>
        </w:rPr>
      </w:r>
    </w:p>
    <w:p>
      <w:pPr>
        <w:pStyle w:val="BodyText"/>
        <w:spacing w:line="240" w:lineRule="auto" w:before="58"/>
        <w:ind w:left="224" w:right="0"/>
        <w:jc w:val="left"/>
      </w:pPr>
      <w:r>
        <w:rPr/>
        <w:t>√适用 □不适用</w:t>
      </w: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3524"/>
        <w:gridCol w:w="3521"/>
        <w:gridCol w:w="3524"/>
        <w:gridCol w:w="3521"/>
      </w:tblGrid>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担任的职务</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变动情形</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变动原因</w:t>
            </w:r>
          </w:p>
        </w:tc>
      </w:tr>
      <w:tr>
        <w:trPr>
          <w:trHeight w:val="28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张家荣</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原监事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任期届满</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萧锦峰</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股东大会选举、监事会选举</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赵伟</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原财务总监</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任期届满</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董凤良</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财务总监</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董事会聘任</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p>
      <w:pPr>
        <w:pStyle w:val="Heading3"/>
        <w:spacing w:line="240" w:lineRule="auto" w:before="36"/>
        <w:ind w:left="224" w:right="0"/>
        <w:jc w:val="left"/>
        <w:rPr>
          <w:b w:val="0"/>
          <w:bCs w:val="0"/>
        </w:rPr>
      </w:pPr>
      <w:r>
        <w:rPr/>
        <w:t>四、近三年受证券监管机构处罚的情况说明</w:t>
      </w:r>
      <w:r>
        <w:rPr>
          <w:b w:val="0"/>
          <w:bCs w:val="0"/>
        </w:rPr>
      </w:r>
    </w:p>
    <w:p>
      <w:pPr>
        <w:pStyle w:val="BodyText"/>
        <w:spacing w:line="240" w:lineRule="auto" w:before="58"/>
        <w:ind w:left="224" w:right="0"/>
        <w:jc w:val="left"/>
      </w:pPr>
      <w:r>
        <w:rPr/>
        <w:t>□适用 √不适用</w:t>
      </w:r>
    </w:p>
    <w:p>
      <w:pPr>
        <w:spacing w:after="0" w:line="240" w:lineRule="auto"/>
        <w:jc w:val="left"/>
        <w:sectPr>
          <w:pgSz w:w="16840" w:h="11910" w:orient="landscape"/>
          <w:pgMar w:header="855" w:footer="1195" w:top="1280" w:bottom="1380" w:left="1300" w:right="122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Heading3"/>
        <w:spacing w:line="240" w:lineRule="auto" w:before="36"/>
        <w:ind w:right="2757"/>
        <w:jc w:val="left"/>
        <w:rPr>
          <w:b w:val="0"/>
          <w:bCs w:val="0"/>
        </w:rPr>
      </w:pPr>
      <w:r>
        <w:rPr/>
        <w:t>五、母公司和主要子公司的员工情况</w:t>
      </w:r>
      <w:r>
        <w:rPr>
          <w:b w:val="0"/>
          <w:bCs w:val="0"/>
        </w:rPr>
      </w:r>
    </w:p>
    <w:p>
      <w:pPr>
        <w:pStyle w:val="Heading3"/>
        <w:spacing w:line="240" w:lineRule="auto" w:before="56"/>
        <w:ind w:right="2757"/>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6"/>
        </w:rPr>
        <w:t> </w:t>
      </w:r>
      <w:r>
        <w:rPr/>
        <w:t>员工情况</w:t>
      </w:r>
      <w:r>
        <w:rPr>
          <w:b w:val="0"/>
          <w:bCs w:val="0"/>
        </w:rPr>
      </w:r>
    </w:p>
    <w:p>
      <w:pPr>
        <w:spacing w:line="240" w:lineRule="auto" w:before="1"/>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母公司在职员工的数量</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495</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344</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在职员工的数量合计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839</w:t>
            </w:r>
          </w:p>
        </w:tc>
      </w:tr>
      <w:tr>
        <w:trPr>
          <w:trHeight w:val="55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母公司及主要子公司需承担费用的离退休职工</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人数</w:t>
            </w:r>
          </w:p>
        </w:tc>
        <w:tc>
          <w:tcPr>
            <w:tcW w:w="452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23"/>
              <w:jc w:val="right"/>
              <w:rPr>
                <w:rFonts w:ascii="宋体" w:hAnsi="宋体" w:cs="宋体" w:eastAsia="宋体" w:hint="default"/>
                <w:sz w:val="21"/>
                <w:szCs w:val="21"/>
              </w:rPr>
            </w:pPr>
            <w:r>
              <w:rPr>
                <w:rFonts w:ascii="宋体" w:hAnsi="宋体" w:cs="宋体" w:eastAsia="宋体" w:hint="default"/>
                <w:spacing w:val="-1"/>
                <w:sz w:val="21"/>
                <w:szCs w:val="21"/>
              </w:rPr>
              <w:t>专业构成类别</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专业构成人数</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72</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700</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20</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行政人员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39</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管理人员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8</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839</w:t>
            </w: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教育程度</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23"/>
              <w:jc w:val="right"/>
              <w:rPr>
                <w:rFonts w:ascii="宋体" w:hAnsi="宋体" w:cs="宋体" w:eastAsia="宋体" w:hint="default"/>
                <w:sz w:val="21"/>
                <w:szCs w:val="21"/>
              </w:rPr>
            </w:pPr>
            <w:r>
              <w:rPr>
                <w:rFonts w:ascii="宋体" w:hAnsi="宋体" w:cs="宋体" w:eastAsia="宋体" w:hint="default"/>
                <w:spacing w:val="-1"/>
                <w:sz w:val="21"/>
                <w:szCs w:val="21"/>
              </w:rPr>
              <w:t>教育程度类别</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数量（人）</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硕士</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22</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本科</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696</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专科</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114</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专科以下</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7</w:t>
            </w:r>
          </w:p>
        </w:tc>
      </w:tr>
      <w:tr>
        <w:trPr>
          <w:trHeight w:val="28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839</w:t>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0"/>
          <w:szCs w:val="20"/>
        </w:rPr>
      </w:pPr>
    </w:p>
    <w:p>
      <w:pPr>
        <w:pStyle w:val="Heading3"/>
        <w:spacing w:line="240" w:lineRule="auto" w:before="36"/>
        <w:ind w:right="2757"/>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6"/>
        </w:rPr>
        <w:t> </w:t>
      </w:r>
      <w:r>
        <w:rPr/>
        <w:t>薪酬政策</w:t>
      </w:r>
      <w:r>
        <w:rPr>
          <w:b w:val="0"/>
          <w:bCs w:val="0"/>
        </w:rPr>
      </w:r>
    </w:p>
    <w:p>
      <w:pPr>
        <w:pStyle w:val="BodyText"/>
        <w:tabs>
          <w:tab w:pos="1060" w:val="left" w:leader="none"/>
        </w:tabs>
        <w:spacing w:line="237" w:lineRule="auto" w:before="32"/>
        <w:ind w:right="227"/>
        <w:jc w:val="left"/>
      </w:pPr>
      <w:r>
        <w:rPr>
          <w:spacing w:val="-1"/>
        </w:rPr>
        <w:t>√适用</w:t>
        <w:tab/>
      </w:r>
      <w:r>
        <w:rPr>
          <w:spacing w:val="-2"/>
        </w:rPr>
        <w:t>□不适用</w:t>
      </w:r>
      <w:r>
        <w:rPr>
          <w:spacing w:val="-99"/>
        </w:rPr>
        <w:t> </w:t>
      </w:r>
      <w:r>
        <w:rPr>
          <w:spacing w:val="-99"/>
        </w:rPr>
      </w:r>
      <w:r>
        <w:rPr>
          <w:spacing w:val="-2"/>
        </w:rPr>
        <w:t>公司严格按照《中华人民共和国劳动法》等相关法律法规，与公司员工签订《劳动合同》，并向</w:t>
      </w:r>
      <w:r>
        <w:rPr>
          <w:spacing w:val="-25"/>
        </w:rPr>
        <w:t> </w:t>
      </w:r>
      <w:r>
        <w:rPr>
          <w:spacing w:val="-25"/>
        </w:rPr>
      </w:r>
      <w:r>
        <w:rPr>
          <w:spacing w:val="-3"/>
        </w:rPr>
        <w:t>员工提供在行业内具有竞争力的薪酬，充分发挥和调动员工的积极性、创造性。</w:t>
      </w:r>
      <w:r>
        <w:rPr>
          <w:spacing w:val="27"/>
        </w:rPr>
        <w:t> </w:t>
      </w:r>
      <w:r>
        <w:rPr>
          <w:spacing w:val="-5"/>
        </w:rPr>
        <w:t>同时，公司按照</w:t>
      </w:r>
      <w:r>
        <w:rPr>
          <w:spacing w:val="-93"/>
        </w:rPr>
        <w:t> </w:t>
      </w:r>
      <w:r>
        <w:rPr>
          <w:spacing w:val="-93"/>
        </w:rPr>
      </w:r>
      <w:r>
        <w:rPr>
          <w:spacing w:val="-2"/>
        </w:rPr>
        <w:t>国家法律法规的有关规定，为员工缴纳养老保险、医疗保险、失业保险、工伤保险和生育保险以</w:t>
      </w:r>
      <w:r>
        <w:rPr>
          <w:spacing w:val="-25"/>
        </w:rPr>
        <w:t> </w:t>
      </w:r>
      <w:r>
        <w:rPr>
          <w:spacing w:val="-25"/>
        </w:rPr>
      </w:r>
      <w:r>
        <w:rPr/>
        <w:t>及住房公积金。</w:t>
      </w:r>
    </w:p>
    <w:p>
      <w:pPr>
        <w:spacing w:line="240" w:lineRule="auto" w:before="3"/>
        <w:rPr>
          <w:rFonts w:ascii="宋体" w:hAnsi="宋体" w:cs="宋体" w:eastAsia="宋体" w:hint="default"/>
          <w:sz w:val="25"/>
          <w:szCs w:val="25"/>
        </w:rPr>
      </w:pPr>
    </w:p>
    <w:p>
      <w:pPr>
        <w:pStyle w:val="Heading3"/>
        <w:spacing w:line="240" w:lineRule="auto"/>
        <w:ind w:right="2757"/>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6"/>
        </w:rPr>
        <w:t> </w:t>
      </w:r>
      <w:r>
        <w:rPr/>
        <w:t>培训计划</w:t>
      </w:r>
      <w:r>
        <w:rPr>
          <w:b w:val="0"/>
          <w:bCs w:val="0"/>
        </w:rPr>
      </w:r>
    </w:p>
    <w:p>
      <w:pPr>
        <w:pStyle w:val="BodyText"/>
        <w:tabs>
          <w:tab w:pos="1060" w:val="left" w:leader="none"/>
        </w:tabs>
        <w:spacing w:line="237" w:lineRule="auto" w:before="32"/>
        <w:ind w:right="237"/>
        <w:jc w:val="left"/>
      </w:pPr>
      <w:r>
        <w:rPr>
          <w:spacing w:val="-1"/>
        </w:rPr>
        <w:t>√适用</w:t>
        <w:tab/>
      </w:r>
      <w:r>
        <w:rPr>
          <w:spacing w:val="-2"/>
        </w:rPr>
        <w:t>□不适用</w:t>
      </w:r>
      <w:r>
        <w:rPr>
          <w:spacing w:val="-99"/>
        </w:rPr>
        <w:t> </w:t>
      </w:r>
      <w:r>
        <w:rPr>
          <w:spacing w:val="-99"/>
        </w:rPr>
      </w:r>
      <w:r>
        <w:rPr>
          <w:spacing w:val="-2"/>
        </w:rPr>
        <w:t>公司对新进员工到岗进行基础技能培训；根据工作需要组织员工参与岗位所需的相关职业技能培</w:t>
      </w:r>
      <w:r>
        <w:rPr>
          <w:spacing w:val="-25"/>
        </w:rPr>
        <w:t> </w:t>
      </w:r>
      <w:r>
        <w:rPr>
          <w:spacing w:val="-25"/>
        </w:rPr>
      </w:r>
      <w:r>
        <w:rPr/>
        <w:t>训和知识更新培训。</w:t>
      </w:r>
    </w:p>
    <w:p>
      <w:pPr>
        <w:spacing w:line="240" w:lineRule="auto" w:before="3"/>
        <w:rPr>
          <w:rFonts w:ascii="宋体" w:hAnsi="宋体" w:cs="宋体" w:eastAsia="宋体" w:hint="default"/>
          <w:sz w:val="25"/>
          <w:szCs w:val="25"/>
        </w:rPr>
      </w:pPr>
    </w:p>
    <w:p>
      <w:pPr>
        <w:pStyle w:val="Heading3"/>
        <w:spacing w:line="240" w:lineRule="auto"/>
        <w:ind w:right="2757"/>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6"/>
        </w:rPr>
        <w:t> </w:t>
      </w:r>
      <w:r>
        <w:rPr/>
        <w:t>劳务外包情况</w:t>
      </w:r>
      <w:r>
        <w:rPr>
          <w:b w:val="0"/>
          <w:bCs w:val="0"/>
        </w:rPr>
      </w:r>
    </w:p>
    <w:p>
      <w:pPr>
        <w:spacing w:line="290" w:lineRule="auto" w:before="32"/>
        <w:ind w:left="218" w:right="747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六、其他</w:t>
      </w:r>
      <w:r>
        <w:rPr>
          <w:rFonts w:ascii="宋体" w:hAnsi="宋体" w:cs="宋体" w:eastAsia="宋体" w:hint="default"/>
          <w:sz w:val="21"/>
          <w:szCs w:val="21"/>
        </w:rPr>
      </w:r>
    </w:p>
    <w:p>
      <w:pPr>
        <w:pStyle w:val="BodyText"/>
        <w:tabs>
          <w:tab w:pos="1060" w:val="left" w:leader="none"/>
        </w:tabs>
        <w:spacing w:line="240" w:lineRule="auto" w:before="14"/>
        <w:ind w:right="2757"/>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tabs>
          <w:tab w:pos="1259" w:val="left" w:leader="none"/>
        </w:tabs>
        <w:spacing w:line="240" w:lineRule="auto"/>
        <w:ind w:right="15"/>
        <w:jc w:val="center"/>
        <w:rPr>
          <w:b w:val="0"/>
          <w:bCs w:val="0"/>
        </w:rPr>
      </w:pPr>
      <w:bookmarkStart w:name="_TOC_250003" w:id="9"/>
      <w:r>
        <w:rPr>
          <w:w w:val="95"/>
        </w:rPr>
        <w:t>第九节</w:t>
        <w:tab/>
      </w:r>
      <w:r>
        <w:rPr/>
        <w:t>公司治理</w:t>
      </w:r>
      <w:bookmarkEnd w:id="9"/>
      <w:r>
        <w:rPr>
          <w:b w:val="0"/>
          <w:bCs w:val="0"/>
        </w:rPr>
      </w:r>
    </w:p>
    <w:p>
      <w:pPr>
        <w:spacing w:line="240" w:lineRule="auto" w:before="5"/>
        <w:rPr>
          <w:rFonts w:ascii="黑体" w:hAnsi="黑体" w:cs="黑体" w:eastAsia="黑体" w:hint="default"/>
          <w:b/>
          <w:bCs/>
          <w:sz w:val="19"/>
          <w:szCs w:val="19"/>
        </w:rPr>
      </w:pPr>
    </w:p>
    <w:p>
      <w:pPr>
        <w:pStyle w:val="Heading3"/>
        <w:spacing w:line="240" w:lineRule="auto"/>
        <w:ind w:right="2757"/>
        <w:jc w:val="left"/>
        <w:rPr>
          <w:b w:val="0"/>
          <w:bCs w:val="0"/>
        </w:rPr>
      </w:pPr>
      <w:r>
        <w:rPr/>
        <w:t>一、公司治理相关情况说明</w:t>
      </w:r>
      <w:r>
        <w:rPr>
          <w:b w:val="0"/>
          <w:bCs w:val="0"/>
        </w:rPr>
      </w:r>
    </w:p>
    <w:p>
      <w:pPr>
        <w:pStyle w:val="BodyText"/>
        <w:tabs>
          <w:tab w:pos="1060" w:val="left" w:leader="none"/>
        </w:tabs>
        <w:spacing w:line="240" w:lineRule="auto" w:before="58"/>
        <w:ind w:right="2757"/>
        <w:jc w:val="left"/>
      </w:pPr>
      <w:r>
        <w:rPr>
          <w:spacing w:val="-1"/>
        </w:rPr>
        <w:t>√适用</w:t>
        <w:tab/>
      </w:r>
      <w:r>
        <w:rPr>
          <w:spacing w:val="-2"/>
        </w:rPr>
        <w:t>□不适用</w:t>
      </w:r>
    </w:p>
    <w:p>
      <w:pPr>
        <w:spacing w:after="0" w:line="240" w:lineRule="auto"/>
        <w:jc w:val="left"/>
        <w:sectPr>
          <w:headerReference w:type="default" r:id="rId23"/>
          <w:footerReference w:type="default" r:id="rId24"/>
          <w:pgSz w:w="11910" w:h="16840"/>
          <w:pgMar w:header="857" w:footer="1195" w:top="1320" w:bottom="1380" w:left="1580" w:right="1040"/>
          <w:pgNumType w:start="54"/>
        </w:sectPr>
      </w:pPr>
    </w:p>
    <w:p>
      <w:pPr>
        <w:spacing w:line="240" w:lineRule="auto" w:before="4"/>
        <w:rPr>
          <w:rFonts w:ascii="宋体" w:hAnsi="宋体" w:cs="宋体" w:eastAsia="宋体" w:hint="default"/>
          <w:sz w:val="9"/>
          <w:szCs w:val="9"/>
        </w:rPr>
      </w:pPr>
    </w:p>
    <w:p>
      <w:pPr>
        <w:pStyle w:val="BodyText"/>
        <w:spacing w:line="237" w:lineRule="auto" w:before="38"/>
        <w:ind w:right="237" w:firstLine="419"/>
        <w:jc w:val="both"/>
      </w:pPr>
      <w:r>
        <w:rPr>
          <w:spacing w:val="-2"/>
        </w:rPr>
        <w:t>报告期内，公司严格按照《公司法》、《证券法》、《上市公司治理准则》和《上海证券交</w:t>
      </w:r>
      <w:r>
        <w:rPr>
          <w:w w:val="100"/>
        </w:rPr>
        <w:t> </w:t>
      </w:r>
      <w:r>
        <w:rPr>
          <w:spacing w:val="-2"/>
        </w:rPr>
        <w:t>易所股票上市规则》等有关法律法规以及证券监管部门的相关要求，结合公司实际，不断完善公</w:t>
      </w:r>
      <w:r>
        <w:rPr>
          <w:spacing w:val="-25"/>
        </w:rPr>
        <w:t> </w:t>
      </w:r>
      <w:r>
        <w:rPr>
          <w:spacing w:val="-25"/>
        </w:rPr>
      </w:r>
      <w:r>
        <w:rPr/>
        <w:t>司的法人治理结构，加强信息披露工作，规范公司运作，提升公司治理水平。具体内容如下：</w:t>
      </w:r>
    </w:p>
    <w:p>
      <w:pPr>
        <w:pStyle w:val="BodyText"/>
        <w:spacing w:line="272" w:lineRule="exact" w:before="26"/>
        <w:ind w:left="849" w:right="0" w:hanging="212"/>
        <w:jc w:val="left"/>
      </w:pPr>
      <w:r>
        <w:rPr/>
        <w:t>（一）关于股东和股东大会</w:t>
      </w:r>
      <w:r>
        <w:rPr>
          <w:w w:val="100"/>
        </w:rPr>
        <w:t> </w:t>
      </w:r>
      <w:r>
        <w:rPr>
          <w:spacing w:val="-2"/>
        </w:rPr>
        <w:t>公司依照《公司法》、《公司章程》以及公司制定的《股东大会议事规则》等规定，充分</w:t>
      </w:r>
    </w:p>
    <w:p>
      <w:pPr>
        <w:pStyle w:val="BodyText"/>
        <w:spacing w:line="272" w:lineRule="exact" w:before="1"/>
        <w:ind w:right="0"/>
        <w:jc w:val="left"/>
      </w:pPr>
      <w:r>
        <w:rPr>
          <w:spacing w:val="-2"/>
        </w:rPr>
        <w:t>保障所有股东，尤其是中小股东的平等权利，保障所有股东能够切实行使各自的权利并按照相关</w:t>
      </w:r>
      <w:r>
        <w:rPr>
          <w:spacing w:val="-25"/>
        </w:rPr>
        <w:t> </w:t>
      </w:r>
      <w:r>
        <w:rPr>
          <w:spacing w:val="-25"/>
        </w:rPr>
      </w:r>
      <w:r>
        <w:rPr/>
        <w:t>法律法规和《公司章程》的要求召集、召开股东大会。</w:t>
      </w:r>
    </w:p>
    <w:p>
      <w:pPr>
        <w:pStyle w:val="BodyText"/>
        <w:spacing w:line="272" w:lineRule="exact" w:before="1"/>
        <w:ind w:left="638" w:right="0"/>
        <w:jc w:val="left"/>
      </w:pPr>
      <w:r>
        <w:rPr/>
        <w:t>（二）控股股东与上市公司</w:t>
      </w:r>
      <w:r>
        <w:rPr>
          <w:w w:val="100"/>
        </w:rPr>
        <w:t> </w:t>
      </w:r>
      <w:r>
        <w:rPr>
          <w:spacing w:val="-2"/>
        </w:rPr>
        <w:t>公司控股股东严格规范自己的行为，依法通过股东大会行使出资人的权利，没有超越股东大</w:t>
      </w:r>
    </w:p>
    <w:p>
      <w:pPr>
        <w:pStyle w:val="BodyText"/>
        <w:spacing w:line="272" w:lineRule="exact" w:before="1"/>
        <w:ind w:right="0"/>
        <w:jc w:val="left"/>
      </w:pPr>
      <w:r>
        <w:rPr>
          <w:spacing w:val="-2"/>
        </w:rPr>
        <w:t>会直接或间接干预公司的决策和经营活动，控股股东在业务、人员、资产、机构、财务等方面独</w:t>
      </w:r>
      <w:r>
        <w:rPr>
          <w:spacing w:val="-26"/>
        </w:rPr>
        <w:t> </w:t>
      </w:r>
      <w:r>
        <w:rPr>
          <w:spacing w:val="-26"/>
        </w:rPr>
      </w:r>
      <w:r>
        <w:rPr/>
        <w:t>立于公司。</w:t>
      </w:r>
    </w:p>
    <w:p>
      <w:pPr>
        <w:pStyle w:val="BodyText"/>
        <w:spacing w:line="272" w:lineRule="exact" w:before="1"/>
        <w:ind w:left="849" w:right="226" w:hanging="212"/>
        <w:jc w:val="left"/>
      </w:pPr>
      <w:r>
        <w:rPr/>
        <w:t>（三）董事与董事会</w:t>
      </w:r>
      <w:r>
        <w:rPr>
          <w:w w:val="100"/>
        </w:rPr>
        <w:t> </w:t>
      </w:r>
      <w:r>
        <w:rPr>
          <w:spacing w:val="-3"/>
        </w:rPr>
        <w:t>公司严格按照《公司法》、《公司章程》规定的选聘程序选举董事；公司董事会由 </w:t>
      </w:r>
      <w:r>
        <w:rPr>
          <w:rFonts w:ascii="宋体" w:hAnsi="宋体" w:cs="宋体" w:eastAsia="宋体" w:hint="default"/>
        </w:rPr>
        <w:t>8</w:t>
      </w:r>
      <w:r>
        <w:rPr>
          <w:rFonts w:ascii="宋体" w:hAnsi="宋体" w:cs="宋体" w:eastAsia="宋体" w:hint="default"/>
          <w:spacing w:val="13"/>
        </w:rPr>
        <w:t> </w:t>
      </w:r>
      <w:r>
        <w:rPr>
          <w:spacing w:val="-3"/>
        </w:rPr>
        <w:t>名董</w:t>
      </w:r>
      <w:r>
        <w:rPr/>
      </w:r>
    </w:p>
    <w:p>
      <w:pPr>
        <w:pStyle w:val="BodyText"/>
        <w:spacing w:line="272" w:lineRule="exact" w:before="1"/>
        <w:ind w:right="0"/>
        <w:jc w:val="left"/>
      </w:pPr>
      <w:r>
        <w:rPr>
          <w:spacing w:val="-4"/>
        </w:rPr>
        <w:t>事组成，其中独立董事</w:t>
      </w:r>
      <w:r>
        <w:rPr>
          <w:spacing w:val="29"/>
        </w:rPr>
        <w:t> </w:t>
      </w:r>
      <w:r>
        <w:rPr>
          <w:rFonts w:ascii="宋体" w:hAnsi="宋体" w:cs="宋体" w:eastAsia="宋体" w:hint="default"/>
        </w:rPr>
        <w:t>3</w:t>
      </w:r>
      <w:r>
        <w:rPr>
          <w:rFonts w:ascii="宋体" w:hAnsi="宋体" w:cs="宋体" w:eastAsia="宋体" w:hint="default"/>
          <w:spacing w:val="27"/>
        </w:rPr>
        <w:t> </w:t>
      </w:r>
      <w:r>
        <w:rPr>
          <w:spacing w:val="-4"/>
        </w:rPr>
        <w:t>名，人数和人员构成符合法律、法规要求。报告期内，各位董事均能按</w:t>
      </w:r>
      <w:r>
        <w:rPr>
          <w:spacing w:val="-100"/>
        </w:rPr>
        <w:t> </w:t>
      </w:r>
      <w:r>
        <w:rPr>
          <w:spacing w:val="-100"/>
        </w:rPr>
      </w:r>
      <w:r>
        <w:rPr>
          <w:spacing w:val="-2"/>
        </w:rPr>
        <w:t>照《公司章程》、《董事会议事规则》的规定，认真履行职责，正确行使权力，以认真负责的态</w:t>
      </w:r>
    </w:p>
    <w:p>
      <w:pPr>
        <w:pStyle w:val="BodyText"/>
        <w:spacing w:line="272" w:lineRule="exact" w:before="1"/>
        <w:ind w:right="224"/>
        <w:jc w:val="left"/>
      </w:pPr>
      <w:r>
        <w:rPr>
          <w:spacing w:val="-6"/>
          <w:w w:val="100"/>
        </w:rPr>
        <w:t>度出席公司董事会和股东大会，并能够严格执行和落实股东大会的各项决议；公司董事会的召集、</w:t>
      </w:r>
      <w:r>
        <w:rPr>
          <w:w w:val="100"/>
        </w:rPr>
        <w:t> </w:t>
      </w:r>
      <w:r>
        <w:rPr>
          <w:spacing w:val="-2"/>
        </w:rPr>
        <w:t>召开、议事程序符合《公司章程》、《董事会议事规则》的规定。董事诚信、勤勉地履行职责，</w:t>
      </w:r>
    </w:p>
    <w:p>
      <w:pPr>
        <w:pStyle w:val="BodyText"/>
        <w:spacing w:line="247" w:lineRule="exact"/>
        <w:ind w:right="2757"/>
        <w:jc w:val="left"/>
      </w:pPr>
      <w:r>
        <w:rPr/>
        <w:t>确保了董事会运作的规范性，切实维护了公司全体股东的利益。</w:t>
      </w:r>
    </w:p>
    <w:p>
      <w:pPr>
        <w:pStyle w:val="BodyText"/>
        <w:spacing w:line="272" w:lineRule="exact" w:before="26"/>
        <w:ind w:left="638" w:right="226"/>
        <w:jc w:val="left"/>
      </w:pPr>
      <w:r>
        <w:rPr/>
        <w:t>（四）监事与监事会</w:t>
      </w:r>
      <w:r>
        <w:rPr>
          <w:w w:val="100"/>
        </w:rPr>
        <w:t> </w:t>
      </w:r>
      <w:r>
        <w:rPr>
          <w:spacing w:val="-4"/>
        </w:rPr>
        <w:t>公司严格按照《公司法》、《公司章程》规定的选聘程序选举监事，公司监事会由 </w:t>
      </w:r>
      <w:r>
        <w:rPr>
          <w:rFonts w:ascii="宋体" w:hAnsi="宋体" w:cs="宋体" w:eastAsia="宋体" w:hint="default"/>
        </w:rPr>
        <w:t>3</w:t>
      </w:r>
      <w:r>
        <w:rPr>
          <w:rFonts w:ascii="宋体" w:hAnsi="宋体" w:cs="宋体" w:eastAsia="宋体" w:hint="default"/>
          <w:spacing w:val="45"/>
        </w:rPr>
        <w:t> </w:t>
      </w:r>
      <w:r>
        <w:rPr/>
        <w:t>名监事</w:t>
      </w:r>
    </w:p>
    <w:p>
      <w:pPr>
        <w:pStyle w:val="BodyText"/>
        <w:spacing w:line="272" w:lineRule="exact" w:before="1"/>
        <w:ind w:right="0"/>
        <w:jc w:val="left"/>
      </w:pPr>
      <w:r>
        <w:rPr>
          <w:spacing w:val="-7"/>
        </w:rPr>
        <w:t>组成，其中</w:t>
      </w:r>
      <w:r>
        <w:rPr>
          <w:spacing w:val="34"/>
        </w:rPr>
        <w:t> </w:t>
      </w:r>
      <w:r>
        <w:rPr>
          <w:rFonts w:ascii="宋体" w:hAnsi="宋体" w:cs="宋体" w:eastAsia="宋体" w:hint="default"/>
        </w:rPr>
        <w:t>1</w:t>
      </w:r>
      <w:r>
        <w:rPr>
          <w:rFonts w:ascii="宋体" w:hAnsi="宋体" w:cs="宋体" w:eastAsia="宋体" w:hint="default"/>
          <w:spacing w:val="37"/>
        </w:rPr>
        <w:t> </w:t>
      </w:r>
      <w:r>
        <w:rPr>
          <w:spacing w:val="-4"/>
        </w:rPr>
        <w:t>名为职工代表监事公司监事的人数和人员构成符合法律、法规的要求，公司监事会</w:t>
      </w:r>
      <w:r>
        <w:rPr>
          <w:spacing w:val="-99"/>
        </w:rPr>
        <w:t> </w:t>
      </w:r>
      <w:r>
        <w:rPr>
          <w:spacing w:val="-99"/>
        </w:rPr>
      </w:r>
      <w:r>
        <w:rPr>
          <w:spacing w:val="-2"/>
        </w:rPr>
        <w:t>严格按照《公司章程》、《监事会议事规则》的规定，认真的履行职责，本着从股东利益出发的</w:t>
      </w:r>
    </w:p>
    <w:p>
      <w:pPr>
        <w:pStyle w:val="BodyText"/>
        <w:spacing w:line="272" w:lineRule="exact" w:before="1"/>
        <w:ind w:right="0"/>
        <w:jc w:val="left"/>
      </w:pPr>
      <w:r>
        <w:rPr>
          <w:spacing w:val="-2"/>
        </w:rPr>
        <w:t>原则，认真审议各项议案，对公司董事会、高级管理人员履行职责的合法合规性进行监督，对重</w:t>
      </w:r>
      <w:r>
        <w:rPr>
          <w:spacing w:val="-25"/>
        </w:rPr>
        <w:t> </w:t>
      </w:r>
      <w:r>
        <w:rPr>
          <w:spacing w:val="-25"/>
        </w:rPr>
      </w:r>
      <w:r>
        <w:rPr/>
        <w:t>大事项发表意见。</w:t>
      </w:r>
    </w:p>
    <w:p>
      <w:pPr>
        <w:pStyle w:val="BodyText"/>
        <w:spacing w:line="272" w:lineRule="exact" w:before="2"/>
        <w:ind w:left="638" w:right="0"/>
        <w:jc w:val="left"/>
      </w:pPr>
      <w:r>
        <w:rPr/>
        <w:t>（五）信息披露与透明度</w:t>
      </w:r>
      <w:r>
        <w:rPr>
          <w:w w:val="100"/>
        </w:rPr>
        <w:t> </w:t>
      </w:r>
      <w:r>
        <w:rPr>
          <w:spacing w:val="-2"/>
        </w:rPr>
        <w:t>公司严格按照国家有关法律、法规、规章、上海证券交易所业务规则以及公司《信息披露事</w:t>
      </w:r>
    </w:p>
    <w:p>
      <w:pPr>
        <w:pStyle w:val="BodyText"/>
        <w:spacing w:line="272" w:lineRule="exact" w:before="1"/>
        <w:ind w:right="0"/>
        <w:jc w:val="left"/>
      </w:pPr>
      <w:r>
        <w:rPr>
          <w:spacing w:val="-2"/>
        </w:rPr>
        <w:t>务管理制度》的规定，真实、准确、完整、及时的履行信息披露义务，做好信息披露前的保密工</w:t>
      </w:r>
      <w:r>
        <w:rPr>
          <w:spacing w:val="-25"/>
        </w:rPr>
        <w:t> </w:t>
      </w:r>
      <w:r>
        <w:rPr>
          <w:spacing w:val="-25"/>
        </w:rPr>
      </w:r>
      <w:r>
        <w:rPr>
          <w:spacing w:val="-2"/>
        </w:rPr>
        <w:t>作的同时按规定填报相关内幕信息知情人，保证公司信息披露的公开、公平、公正，确保所有股</w:t>
      </w:r>
    </w:p>
    <w:p>
      <w:pPr>
        <w:pStyle w:val="BodyText"/>
        <w:spacing w:line="247" w:lineRule="exact"/>
        <w:ind w:right="2757"/>
        <w:jc w:val="left"/>
      </w:pPr>
      <w:r>
        <w:rPr/>
        <w:t>东有平等的机会获得信息。</w:t>
      </w:r>
    </w:p>
    <w:p>
      <w:pPr>
        <w:pStyle w:val="BodyText"/>
        <w:spacing w:line="240" w:lineRule="auto"/>
        <w:ind w:left="638" w:right="0"/>
        <w:jc w:val="left"/>
      </w:pPr>
      <w:r>
        <w:rPr/>
        <w:t>（六）投资者关系及相关利益者</w:t>
      </w:r>
      <w:r>
        <w:rPr>
          <w:w w:val="100"/>
        </w:rPr>
        <w:t> </w:t>
      </w:r>
      <w:r>
        <w:rPr>
          <w:spacing w:val="-2"/>
        </w:rPr>
        <w:t>公司继续加强投资者关系管理工作，认真做好投资者来电的接听、答复以及互动平台的问题</w:t>
      </w:r>
    </w:p>
    <w:p>
      <w:pPr>
        <w:pStyle w:val="BodyText"/>
        <w:spacing w:line="274" w:lineRule="exact" w:before="22"/>
        <w:ind w:right="0"/>
        <w:jc w:val="left"/>
      </w:pPr>
      <w:r>
        <w:rPr>
          <w:spacing w:val="-2"/>
        </w:rPr>
        <w:t>回复。公司为中小投资者参与股东大会提供便利。公司能够充分尊重和维护相关利益者的合法权</w:t>
      </w:r>
      <w:r>
        <w:rPr>
          <w:spacing w:val="-25"/>
        </w:rPr>
        <w:t> </w:t>
      </w:r>
      <w:r>
        <w:rPr>
          <w:spacing w:val="-25"/>
        </w:rPr>
      </w:r>
      <w:r>
        <w:rPr/>
        <w:t>利，在经济交往中，做到互惠互利，努力推动公司健康、持续发展。</w:t>
      </w:r>
    </w:p>
    <w:p>
      <w:pPr>
        <w:pStyle w:val="BodyText"/>
        <w:spacing w:line="245" w:lineRule="exact"/>
        <w:ind w:left="638" w:right="2757"/>
        <w:jc w:val="left"/>
      </w:pPr>
      <w:r>
        <w:rPr/>
        <w:t>（七）同业竞争和关联交易</w:t>
      </w:r>
    </w:p>
    <w:p>
      <w:pPr>
        <w:pStyle w:val="BodyText"/>
        <w:spacing w:line="272" w:lineRule="exact" w:before="27"/>
        <w:ind w:right="228" w:firstLine="419"/>
        <w:jc w:val="both"/>
      </w:pPr>
      <w:r>
        <w:rPr>
          <w:spacing w:val="-3"/>
        </w:rPr>
        <w:t>报告期内，公司与控股股东不存在同业竞争。</w:t>
      </w:r>
      <w:r>
        <w:rPr>
          <w:spacing w:val="46"/>
        </w:rPr>
        <w:t> </w:t>
      </w:r>
      <w:r>
        <w:rPr>
          <w:spacing w:val="-5"/>
        </w:rPr>
        <w:t>公司的关联交易严格遵守《公司章程》和《关</w:t>
      </w:r>
      <w:r>
        <w:rPr>
          <w:w w:val="100"/>
        </w:rPr>
        <w:t> </w:t>
      </w:r>
      <w:r>
        <w:rPr/>
        <w:t>联交易管理制度》的规定，履行相关程序，并及时进行披露。</w:t>
      </w:r>
    </w:p>
    <w:p>
      <w:pPr>
        <w:spacing w:line="240" w:lineRule="auto" w:before="10"/>
        <w:rPr>
          <w:rFonts w:ascii="宋体" w:hAnsi="宋体" w:cs="宋体" w:eastAsia="宋体" w:hint="default"/>
          <w:sz w:val="18"/>
          <w:szCs w:val="18"/>
        </w:rPr>
      </w:pPr>
    </w:p>
    <w:p>
      <w:pPr>
        <w:pStyle w:val="BodyText"/>
        <w:spacing w:line="274" w:lineRule="exact"/>
        <w:ind w:right="0"/>
        <w:jc w:val="left"/>
      </w:pPr>
      <w:r>
        <w:rPr/>
        <w:t>公司治理与中国证监会相关规定的要求是否存在重大差异；如有重大差异，应当说明原因</w:t>
      </w:r>
    </w:p>
    <w:p>
      <w:pPr>
        <w:spacing w:line="525" w:lineRule="auto" w:before="0"/>
        <w:ind w:left="218" w:right="6940" w:firstLine="0"/>
        <w:jc w:val="left"/>
        <w:rPr>
          <w:rFonts w:ascii="宋体" w:hAnsi="宋体" w:cs="宋体" w:eastAsia="宋体" w:hint="default"/>
          <w:sz w:val="21"/>
          <w:szCs w:val="21"/>
        </w:rPr>
      </w:pPr>
      <w:r>
        <w:rPr/>
        <w:pict>
          <v:shape style="position:absolute;margin-left:84.264pt;margin-top:48.503693pt;width:453.2pt;height:125.55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04"/>
                    <w:gridCol w:w="1973"/>
                    <w:gridCol w:w="2107"/>
                    <w:gridCol w:w="2165"/>
                  </w:tblGrid>
                  <w:tr>
                    <w:trPr>
                      <w:trHeight w:val="554"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召开日期</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决议刊登的指定网站</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的查询索引</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决议刊登的披露日期</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2017</w:t>
                        </w:r>
                        <w:r>
                          <w:rPr>
                            <w:rFonts w:ascii="Calibri" w:hAnsi="Calibri" w:cs="Calibri" w:eastAsia="Calibri" w:hint="default"/>
                            <w:spacing w:val="1"/>
                            <w:sz w:val="21"/>
                            <w:szCs w:val="21"/>
                          </w:rPr>
                          <w:t> </w:t>
                        </w:r>
                        <w:r>
                          <w:rPr>
                            <w:rFonts w:ascii="宋体" w:hAnsi="宋体" w:cs="宋体" w:eastAsia="宋体" w:hint="default"/>
                            <w:sz w:val="21"/>
                            <w:szCs w:val="21"/>
                          </w:rPr>
                          <w:t>年第一次临时股东大会</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2016</w:t>
                        </w:r>
                        <w:r>
                          <w:rPr>
                            <w:rFonts w:ascii="Calibri" w:hAnsi="Calibri" w:cs="Calibri" w:eastAsia="Calibri" w:hint="default"/>
                            <w:spacing w:val="2"/>
                            <w:sz w:val="21"/>
                            <w:szCs w:val="21"/>
                          </w:rPr>
                          <w:t> </w:t>
                        </w:r>
                        <w:r>
                          <w:rPr>
                            <w:rFonts w:ascii="宋体" w:hAnsi="宋体" w:cs="宋体" w:eastAsia="宋体" w:hint="default"/>
                            <w:sz w:val="21"/>
                            <w:szCs w:val="21"/>
                          </w:rPr>
                          <w:t>年度股东大会</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21"/>
                            <w:szCs w:val="21"/>
                          </w:rPr>
                        </w:pPr>
                        <w:r>
                          <w:rPr>
                            <w:rFonts w:ascii="Calibri" w:hAnsi="Calibri" w:cs="Calibri" w:eastAsia="Calibri" w:hint="default"/>
                            <w:sz w:val="21"/>
                            <w:szCs w:val="21"/>
                          </w:rPr>
                          <w:t>2017</w:t>
                        </w:r>
                        <w:r>
                          <w:rPr>
                            <w:rFonts w:ascii="Calibri" w:hAnsi="Calibri" w:cs="Calibri" w:eastAsia="Calibri" w:hint="default"/>
                            <w:spacing w:val="1"/>
                            <w:sz w:val="21"/>
                            <w:szCs w:val="21"/>
                          </w:rPr>
                          <w:t> </w:t>
                        </w:r>
                        <w:r>
                          <w:rPr>
                            <w:rFonts w:ascii="宋体" w:hAnsi="宋体" w:cs="宋体" w:eastAsia="宋体" w:hint="default"/>
                            <w:sz w:val="21"/>
                            <w:szCs w:val="21"/>
                          </w:rPr>
                          <w:t>年第二次临时股东大会</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上海证券交易所网站</w:t>
                        </w:r>
                      </w:p>
                      <w:p>
                        <w:pPr>
                          <w:pStyle w:val="TableParagraph"/>
                          <w:spacing w:line="272" w:lineRule="exact" w:before="26"/>
                          <w:ind w:left="103" w:right="98"/>
                          <w:jc w:val="left"/>
                          <w:rPr>
                            <w:rFonts w:ascii="宋体" w:hAnsi="宋体" w:cs="宋体" w:eastAsia="宋体" w:hint="default"/>
                            <w:sz w:val="21"/>
                            <w:szCs w:val="21"/>
                          </w:rPr>
                        </w:pPr>
                        <w:r>
                          <w:rPr>
                            <w:rFonts w:ascii="宋体" w:hAnsi="宋体" w:cs="宋体" w:eastAsia="宋体" w:hint="default"/>
                            <w:sz w:val="21"/>
                            <w:szCs w:val="21"/>
                          </w:rPr>
                          <w:t>（</w:t>
                        </w:r>
                        <w:hyperlink r:id="rId10">
                          <w:r>
                            <w:rPr>
                              <w:rFonts w:ascii="宋体" w:hAnsi="宋体" w:cs="宋体" w:eastAsia="宋体" w:hint="default"/>
                              <w:sz w:val="21"/>
                              <w:szCs w:val="21"/>
                            </w:rPr>
                            <w:t>www.sse.com.cn</w:t>
                          </w:r>
                        </w:hyperlink>
                        <w:r>
                          <w:rPr>
                            <w:rFonts w:ascii="宋体" w:hAnsi="宋体" w:cs="宋体" w:eastAsia="宋体" w:hint="default"/>
                            <w:sz w:val="21"/>
                            <w:szCs w:val="21"/>
                          </w:rPr>
                          <w:t>）</w:t>
                        </w:r>
                        <w:r>
                          <w:rPr>
                            <w:rFonts w:ascii="宋体" w:hAnsi="宋体" w:cs="宋体" w:eastAsia="宋体" w:hint="default"/>
                            <w:w w:val="100"/>
                            <w:sz w:val="21"/>
                            <w:szCs w:val="21"/>
                          </w:rPr>
                          <w:t> 公</w:t>
                        </w:r>
                        <w:r>
                          <w:rPr>
                            <w:rFonts w:ascii="宋体" w:hAnsi="宋体" w:cs="宋体" w:eastAsia="宋体" w:hint="default"/>
                            <w:spacing w:val="2"/>
                            <w:w w:val="100"/>
                            <w:sz w:val="21"/>
                            <w:szCs w:val="21"/>
                          </w:rPr>
                          <w:t> </w:t>
                        </w:r>
                        <w:r>
                          <w:rPr>
                            <w:rFonts w:ascii="宋体" w:hAnsi="宋体" w:cs="宋体" w:eastAsia="宋体" w:hint="default"/>
                            <w:spacing w:val="-10"/>
                            <w:w w:val="100"/>
                            <w:sz w:val="21"/>
                            <w:szCs w:val="21"/>
                          </w:rPr>
                          <w:t>告编号：</w:t>
                        </w:r>
                        <w:r>
                          <w:rPr>
                            <w:rFonts w:ascii="宋体" w:hAnsi="宋体" w:cs="宋体" w:eastAsia="宋体" w:hint="default"/>
                            <w:spacing w:val="-10"/>
                            <w:w w:val="100"/>
                            <w:sz w:val="21"/>
                            <w:szCs w:val="21"/>
                          </w:rPr>
                          <w:t>2017-015</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554"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Calibri" w:hAnsi="Calibri" w:cs="Calibri" w:eastAsia="Calibri" w:hint="default"/>
                            <w:sz w:val="21"/>
                            <w:szCs w:val="21"/>
                          </w:rPr>
                          <w:t>2017</w:t>
                        </w:r>
                        <w:r>
                          <w:rPr>
                            <w:rFonts w:ascii="Calibri" w:hAnsi="Calibri" w:cs="Calibri" w:eastAsia="Calibri" w:hint="default"/>
                            <w:spacing w:val="1"/>
                            <w:sz w:val="21"/>
                            <w:szCs w:val="21"/>
                          </w:rPr>
                          <w:t> </w:t>
                        </w:r>
                        <w:r>
                          <w:rPr>
                            <w:rFonts w:ascii="宋体" w:hAnsi="宋体" w:cs="宋体" w:eastAsia="宋体" w:hint="default"/>
                            <w:sz w:val="21"/>
                            <w:szCs w:val="21"/>
                          </w:rPr>
                          <w:t>年第三次临时股东大会</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上海证券交易所网站</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hyperlink r:id="rId10">
                          <w:r>
                            <w:rPr>
                              <w:rFonts w:ascii="宋体" w:hAnsi="宋体" w:cs="宋体" w:eastAsia="宋体" w:hint="default"/>
                              <w:sz w:val="21"/>
                              <w:szCs w:val="21"/>
                            </w:rPr>
                            <w:t>www.sse.com.cn</w:t>
                          </w:r>
                        </w:hyperlink>
                        <w:r>
                          <w:rPr>
                            <w:rFonts w:ascii="宋体" w:hAnsi="宋体" w:cs="宋体" w:eastAsia="宋体" w:hint="default"/>
                            <w:sz w:val="21"/>
                            <w:szCs w:val="21"/>
                          </w:rPr>
                          <w:t>）</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4"/>
                            <w:sz w:val="21"/>
                            <w:szCs w:val="21"/>
                          </w:rPr>
                          <w:t> </w:t>
                        </w:r>
                        <w:r>
                          <w:rPr>
                            <w:rFonts w:ascii="宋体" w:hAnsi="宋体" w:cs="宋体" w:eastAsia="宋体" w:hint="default"/>
                            <w:sz w:val="21"/>
                            <w:szCs w:val="21"/>
                          </w:rPr>
                          <w:t>日</w:t>
                        </w:r>
                      </w:p>
                    </w:tc>
                  </w:tr>
                </w:tbl>
                <w:p>
                  <w:pPr/>
                </w:p>
              </w:txbxContent>
            </v:textbox>
            <w10:wrap type="none"/>
          </v:shape>
        </w:pict>
      </w: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二、股东大会情况简介</w:t>
      </w:r>
      <w:r>
        <w:rPr>
          <w:rFonts w:ascii="宋体" w:hAnsi="宋体" w:cs="宋体" w:eastAsia="宋体" w:hint="default"/>
          <w:sz w:val="21"/>
          <w:szCs w:val="21"/>
        </w:rPr>
      </w:r>
    </w:p>
    <w:p>
      <w:pPr>
        <w:spacing w:after="0" w:line="525" w:lineRule="auto"/>
        <w:jc w:val="left"/>
        <w:rPr>
          <w:rFonts w:ascii="宋体" w:hAnsi="宋体" w:cs="宋体" w:eastAsia="宋体" w:hint="default"/>
          <w:sz w:val="21"/>
          <w:szCs w:val="21"/>
        </w:rPr>
        <w:sectPr>
          <w:pgSz w:w="11910" w:h="16840"/>
          <w:pgMar w:header="857" w:footer="1195" w:top="1320" w:bottom="1380" w:left="1580" w:right="1040"/>
        </w:sectPr>
      </w:pPr>
    </w:p>
    <w:p>
      <w:pPr>
        <w:spacing w:line="240" w:lineRule="auto" w:before="9"/>
        <w:rPr>
          <w:rFonts w:ascii="宋体" w:hAnsi="宋体" w:cs="宋体" w:eastAsia="宋体" w:hint="default"/>
          <w:b/>
          <w:bCs/>
          <w:sz w:val="14"/>
          <w:szCs w:val="14"/>
        </w:rPr>
      </w:pPr>
    </w:p>
    <w:tbl>
      <w:tblPr>
        <w:tblW w:w="0" w:type="auto"/>
        <w:jc w:val="left"/>
        <w:tblInd w:w="105" w:type="dxa"/>
        <w:tblLayout w:type="fixed"/>
        <w:tblCellMar>
          <w:top w:w="0" w:type="dxa"/>
          <w:left w:w="0" w:type="dxa"/>
          <w:bottom w:w="0" w:type="dxa"/>
          <w:right w:w="0" w:type="dxa"/>
        </w:tblCellMar>
        <w:tblLook w:val="01E0"/>
      </w:tblPr>
      <w:tblGrid>
        <w:gridCol w:w="2804"/>
        <w:gridCol w:w="1973"/>
        <w:gridCol w:w="2107"/>
        <w:gridCol w:w="2165"/>
      </w:tblGrid>
      <w:tr>
        <w:trPr>
          <w:trHeight w:val="284" w:hRule="exact"/>
        </w:trPr>
        <w:tc>
          <w:tcPr>
            <w:tcW w:w="2804" w:type="dxa"/>
            <w:tcBorders>
              <w:top w:val="single" w:sz="4" w:space="0" w:color="000000"/>
              <w:left w:val="single" w:sz="4" w:space="0" w:color="000000"/>
              <w:bottom w:val="single" w:sz="4" w:space="0" w:color="000000"/>
              <w:right w:val="single" w:sz="4" w:space="0" w:color="000000"/>
            </w:tcBorders>
          </w:tcPr>
          <w:p>
            <w:pPr/>
          </w:p>
        </w:tc>
        <w:tc>
          <w:tcPr>
            <w:tcW w:w="1973" w:type="dxa"/>
            <w:tcBorders>
              <w:top w:val="single" w:sz="4" w:space="0" w:color="000000"/>
              <w:left w:val="single" w:sz="4" w:space="0" w:color="000000"/>
              <w:bottom w:val="single" w:sz="4" w:space="0" w:color="000000"/>
              <w:right w:val="single" w:sz="4" w:space="0" w:color="000000"/>
            </w:tcBorders>
          </w:tcPr>
          <w:p>
            <w:pP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公</w:t>
            </w:r>
            <w:r>
              <w:rPr>
                <w:rFonts w:ascii="宋体" w:hAnsi="宋体" w:cs="宋体" w:eastAsia="宋体" w:hint="default"/>
                <w:sz w:val="21"/>
                <w:szCs w:val="21"/>
              </w:rPr>
              <w:t> </w:t>
            </w:r>
            <w:r>
              <w:rPr>
                <w:rFonts w:ascii="宋体" w:hAnsi="宋体" w:cs="宋体" w:eastAsia="宋体" w:hint="default"/>
                <w:spacing w:val="-3"/>
                <w:w w:val="100"/>
                <w:sz w:val="21"/>
                <w:szCs w:val="21"/>
              </w:rPr>
              <w:t>告</w:t>
            </w:r>
            <w:r>
              <w:rPr>
                <w:rFonts w:ascii="宋体" w:hAnsi="宋体" w:cs="宋体" w:eastAsia="宋体" w:hint="default"/>
                <w:w w:val="100"/>
                <w:sz w:val="21"/>
                <w:szCs w:val="21"/>
              </w:rPr>
              <w:t>编</w:t>
            </w:r>
            <w:r>
              <w:rPr>
                <w:rFonts w:ascii="宋体" w:hAnsi="宋体" w:cs="宋体" w:eastAsia="宋体" w:hint="default"/>
                <w:spacing w:val="-3"/>
                <w:w w:val="100"/>
                <w:sz w:val="21"/>
                <w:szCs w:val="21"/>
              </w:rPr>
              <w:t>号</w:t>
            </w:r>
            <w:r>
              <w:rPr>
                <w:rFonts w:ascii="宋体" w:hAnsi="宋体" w:cs="宋体" w:eastAsia="宋体" w:hint="default"/>
                <w:spacing w:val="-104"/>
                <w:w w:val="100"/>
                <w:sz w:val="21"/>
                <w:szCs w:val="21"/>
              </w:rPr>
              <w:t>：</w:t>
            </w:r>
            <w:r>
              <w:rPr>
                <w:rFonts w:ascii="宋体" w:hAnsi="宋体" w:cs="宋体" w:eastAsia="宋体" w:hint="default"/>
                <w:spacing w:val="-3"/>
                <w:w w:val="100"/>
                <w:sz w:val="21"/>
                <w:szCs w:val="21"/>
              </w:rPr>
              <w:t>2</w:t>
            </w:r>
            <w:r>
              <w:rPr>
                <w:rFonts w:ascii="宋体" w:hAnsi="宋体" w:cs="宋体" w:eastAsia="宋体" w:hint="default"/>
                <w:w w:val="100"/>
                <w:sz w:val="21"/>
                <w:szCs w:val="21"/>
              </w:rPr>
              <w:t>01</w:t>
            </w:r>
            <w:r>
              <w:rPr>
                <w:rFonts w:ascii="宋体" w:hAnsi="宋体" w:cs="宋体" w:eastAsia="宋体" w:hint="default"/>
                <w:spacing w:val="-1"/>
                <w:w w:val="100"/>
                <w:sz w:val="21"/>
                <w:szCs w:val="21"/>
              </w:rPr>
              <w:t>7</w:t>
            </w:r>
            <w:r>
              <w:rPr>
                <w:rFonts w:ascii="宋体" w:hAnsi="宋体" w:cs="宋体" w:eastAsia="宋体" w:hint="default"/>
                <w:spacing w:val="-3"/>
                <w:w w:val="100"/>
                <w:sz w:val="21"/>
                <w:szCs w:val="21"/>
              </w:rPr>
              <w:t>-</w:t>
            </w:r>
            <w:r>
              <w:rPr>
                <w:rFonts w:ascii="宋体" w:hAnsi="宋体" w:cs="宋体" w:eastAsia="宋体" w:hint="default"/>
                <w:w w:val="100"/>
                <w:sz w:val="21"/>
                <w:szCs w:val="21"/>
              </w:rPr>
              <w:t>026</w:t>
            </w: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21"/>
                <w:szCs w:val="21"/>
              </w:rPr>
            </w:pPr>
            <w:r>
              <w:rPr>
                <w:rFonts w:ascii="Calibri" w:hAnsi="Calibri" w:cs="Calibri" w:eastAsia="Calibri" w:hint="default"/>
                <w:sz w:val="21"/>
                <w:szCs w:val="21"/>
              </w:rPr>
              <w:t>2017</w:t>
            </w:r>
            <w:r>
              <w:rPr>
                <w:rFonts w:ascii="Calibri" w:hAnsi="Calibri" w:cs="Calibri" w:eastAsia="Calibri" w:hint="default"/>
                <w:spacing w:val="1"/>
                <w:sz w:val="21"/>
                <w:szCs w:val="21"/>
              </w:rPr>
              <w:t> </w:t>
            </w:r>
            <w:r>
              <w:rPr>
                <w:rFonts w:ascii="宋体" w:hAnsi="宋体" w:cs="宋体" w:eastAsia="宋体" w:hint="default"/>
                <w:sz w:val="21"/>
                <w:szCs w:val="21"/>
              </w:rPr>
              <w:t>年第四次临时股东大会</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112"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15</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上海证券交易所网站</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z w:val="21"/>
                <w:szCs w:val="21"/>
              </w:rPr>
              <w:t>（</w:t>
            </w:r>
            <w:hyperlink r:id="rId10">
              <w:r>
                <w:rPr>
                  <w:rFonts w:ascii="宋体" w:hAnsi="宋体" w:cs="宋体" w:eastAsia="宋体" w:hint="default"/>
                  <w:sz w:val="21"/>
                  <w:szCs w:val="21"/>
                </w:rPr>
                <w:t>www.sse.com.cn</w:t>
              </w:r>
            </w:hyperlink>
            <w:r>
              <w:rPr>
                <w:rFonts w:ascii="宋体" w:hAnsi="宋体" w:cs="宋体" w:eastAsia="宋体" w:hint="default"/>
                <w:sz w:val="21"/>
                <w:szCs w:val="21"/>
              </w:rPr>
              <w:t>）</w:t>
            </w:r>
            <w:r>
              <w:rPr>
                <w:rFonts w:ascii="宋体" w:hAnsi="宋体" w:cs="宋体" w:eastAsia="宋体" w:hint="default"/>
                <w:w w:val="100"/>
                <w:sz w:val="21"/>
                <w:szCs w:val="21"/>
              </w:rPr>
              <w:t> 公</w:t>
            </w:r>
            <w:r>
              <w:rPr>
                <w:rFonts w:ascii="宋体" w:hAnsi="宋体" w:cs="宋体" w:eastAsia="宋体" w:hint="default"/>
                <w:spacing w:val="2"/>
                <w:w w:val="100"/>
                <w:sz w:val="21"/>
                <w:szCs w:val="21"/>
              </w:rPr>
              <w:t> </w:t>
            </w:r>
            <w:r>
              <w:rPr>
                <w:rFonts w:ascii="宋体" w:hAnsi="宋体" w:cs="宋体" w:eastAsia="宋体" w:hint="default"/>
                <w:spacing w:val="-10"/>
                <w:w w:val="100"/>
                <w:sz w:val="21"/>
                <w:szCs w:val="21"/>
              </w:rPr>
              <w:t>告编号：</w:t>
            </w:r>
            <w:r>
              <w:rPr>
                <w:rFonts w:ascii="宋体" w:hAnsi="宋体" w:cs="宋体" w:eastAsia="宋体" w:hint="default"/>
                <w:spacing w:val="-10"/>
                <w:w w:val="100"/>
                <w:sz w:val="21"/>
                <w:szCs w:val="21"/>
              </w:rPr>
              <w:t>2017-054</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211"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2"/>
                <w:sz w:val="21"/>
                <w:szCs w:val="21"/>
              </w:rPr>
              <w:t> </w:t>
            </w:r>
            <w:r>
              <w:rPr>
                <w:rFonts w:ascii="宋体" w:hAnsi="宋体" w:cs="宋体" w:eastAsia="宋体" w:hint="default"/>
                <w:sz w:val="21"/>
                <w:szCs w:val="21"/>
              </w:rPr>
              <w:t>日</w:t>
            </w:r>
          </w:p>
        </w:tc>
      </w:tr>
    </w:tbl>
    <w:p>
      <w:pPr>
        <w:spacing w:line="240" w:lineRule="auto" w:before="5"/>
        <w:rPr>
          <w:rFonts w:ascii="宋体" w:hAnsi="宋体" w:cs="宋体" w:eastAsia="宋体" w:hint="default"/>
          <w:b/>
          <w:bCs/>
          <w:sz w:val="15"/>
          <w:szCs w:val="15"/>
        </w:rPr>
      </w:pPr>
    </w:p>
    <w:p>
      <w:pPr>
        <w:pStyle w:val="BodyText"/>
        <w:spacing w:line="274" w:lineRule="exact" w:before="36"/>
        <w:ind w:right="2757"/>
        <w:jc w:val="left"/>
      </w:pPr>
      <w:r>
        <w:rPr/>
        <w:t>股东大会情况说明</w:t>
      </w:r>
    </w:p>
    <w:p>
      <w:pPr>
        <w:pStyle w:val="BodyText"/>
        <w:spacing w:line="272" w:lineRule="exact"/>
        <w:ind w:right="2757"/>
        <w:jc w:val="left"/>
      </w:pPr>
      <w:r>
        <w:rPr/>
        <w:t>√适用</w:t>
      </w:r>
      <w:r>
        <w:rPr>
          <w:spacing w:val="-1"/>
        </w:rPr>
        <w:t> </w:t>
      </w:r>
      <w:r>
        <w:rPr/>
        <w:t>□不适用</w:t>
      </w:r>
    </w:p>
    <w:p>
      <w:pPr>
        <w:pStyle w:val="BodyText"/>
        <w:spacing w:line="240" w:lineRule="auto"/>
        <w:ind w:right="0"/>
        <w:jc w:val="left"/>
      </w:pPr>
      <w:r>
        <w:rPr>
          <w:rFonts w:ascii="宋体" w:hAnsi="宋体" w:cs="宋体" w:eastAsia="宋体" w:hint="default"/>
          <w:spacing w:val="-8"/>
        </w:rPr>
        <w:t>1</w:t>
      </w:r>
      <w:r>
        <w:rPr>
          <w:spacing w:val="-8"/>
        </w:rPr>
        <w:t>、公司股票于</w:t>
      </w:r>
      <w:r>
        <w:rPr>
          <w:spacing w:val="3"/>
        </w:rPr>
        <w:t> </w:t>
      </w:r>
      <w:r>
        <w:rPr>
          <w:rFonts w:ascii="宋体" w:hAnsi="宋体" w:cs="宋体" w:eastAsia="宋体" w:hint="default"/>
        </w:rPr>
        <w:t>2017</w:t>
      </w:r>
      <w:r>
        <w:rPr>
          <w:rFonts w:ascii="宋体" w:hAnsi="宋体" w:cs="宋体" w:eastAsia="宋体" w:hint="default"/>
          <w:spacing w:val="5"/>
        </w:rPr>
        <w:t> </w:t>
      </w:r>
      <w:r>
        <w:rPr/>
        <w:t>年</w:t>
      </w:r>
      <w:r>
        <w:rPr>
          <w:spacing w:val="-52"/>
        </w:rPr>
        <w:t> </w:t>
      </w:r>
      <w:r>
        <w:rPr>
          <w:rFonts w:ascii="宋体" w:hAnsi="宋体" w:cs="宋体" w:eastAsia="宋体" w:hint="default"/>
        </w:rPr>
        <w:t>5</w:t>
      </w:r>
      <w:r>
        <w:rPr>
          <w:rFonts w:ascii="宋体" w:hAnsi="宋体" w:cs="宋体" w:eastAsia="宋体" w:hint="default"/>
          <w:spacing w:val="-53"/>
        </w:rPr>
        <w:t> </w:t>
      </w:r>
      <w:r>
        <w:rPr/>
        <w:t>月</w:t>
      </w:r>
      <w:r>
        <w:rPr>
          <w:spacing w:val="-51"/>
        </w:rPr>
        <w:t> </w:t>
      </w:r>
      <w:r>
        <w:rPr>
          <w:rFonts w:ascii="宋体" w:hAnsi="宋体" w:cs="宋体" w:eastAsia="宋体" w:hint="default"/>
        </w:rPr>
        <w:t>22</w:t>
      </w:r>
      <w:r>
        <w:rPr>
          <w:rFonts w:ascii="宋体" w:hAnsi="宋体" w:cs="宋体" w:eastAsia="宋体" w:hint="default"/>
          <w:spacing w:val="-53"/>
        </w:rPr>
        <w:t> </w:t>
      </w:r>
      <w:r>
        <w:rPr>
          <w:spacing w:val="-5"/>
        </w:rPr>
        <w:t>日在上海交易所上市交易，</w:t>
      </w:r>
      <w:r>
        <w:rPr>
          <w:rFonts w:ascii="宋体" w:hAnsi="宋体" w:cs="宋体" w:eastAsia="宋体" w:hint="default"/>
          <w:spacing w:val="-5"/>
        </w:rPr>
        <w:t>2016</w:t>
      </w:r>
      <w:r>
        <w:rPr>
          <w:rFonts w:ascii="宋体" w:hAnsi="宋体" w:cs="宋体" w:eastAsia="宋体" w:hint="default"/>
          <w:spacing w:val="5"/>
        </w:rPr>
        <w:t> </w:t>
      </w:r>
      <w:r>
        <w:rPr/>
        <w:t>年年度股东大会及</w:t>
      </w:r>
      <w:r>
        <w:rPr>
          <w:spacing w:val="5"/>
        </w:rPr>
        <w:t> </w:t>
      </w:r>
      <w:r>
        <w:rPr>
          <w:rFonts w:ascii="宋体" w:hAnsi="宋体" w:cs="宋体" w:eastAsia="宋体" w:hint="default"/>
        </w:rPr>
        <w:t>2017</w:t>
      </w:r>
      <w:r>
        <w:rPr>
          <w:rFonts w:ascii="宋体" w:hAnsi="宋体" w:cs="宋体" w:eastAsia="宋体" w:hint="default"/>
          <w:spacing w:val="3"/>
        </w:rPr>
        <w:t> </w:t>
      </w:r>
      <w:r>
        <w:rPr/>
        <w:t>年第一</w:t>
      </w:r>
      <w:r>
        <w:rPr>
          <w:spacing w:val="-3"/>
          <w:w w:val="100"/>
        </w:rPr>
        <w:t> </w:t>
      </w:r>
      <w:r>
        <w:rPr/>
        <w:t>次临时股东大会召开日期均早于挂牌上市日期，故此两次股东会决议未披露。</w:t>
      </w:r>
    </w:p>
    <w:p>
      <w:pPr>
        <w:pStyle w:val="BodyText"/>
        <w:spacing w:line="237" w:lineRule="auto"/>
        <w:ind w:right="227"/>
        <w:jc w:val="left"/>
      </w:pPr>
      <w:r>
        <w:rPr>
          <w:rFonts w:ascii="宋体" w:hAnsi="宋体" w:cs="宋体" w:eastAsia="宋体" w:hint="default"/>
        </w:rPr>
        <w:t>2</w:t>
      </w:r>
      <w:r>
        <w:rPr/>
        <w:t>、</w:t>
      </w:r>
      <w:r>
        <w:rPr>
          <w:rFonts w:ascii="宋体" w:hAnsi="宋体" w:cs="宋体" w:eastAsia="宋体" w:hint="default"/>
        </w:rPr>
        <w:t>2017 </w:t>
      </w:r>
      <w:r>
        <w:rPr/>
        <w:t>年 </w:t>
      </w:r>
      <w:r>
        <w:rPr>
          <w:rFonts w:ascii="宋体" w:hAnsi="宋体" w:cs="宋体" w:eastAsia="宋体" w:hint="default"/>
        </w:rPr>
        <w:t>6 </w:t>
      </w:r>
      <w:r>
        <w:rPr/>
        <w:t>月 </w:t>
      </w:r>
      <w:r>
        <w:rPr>
          <w:rFonts w:ascii="宋体" w:hAnsi="宋体" w:cs="宋体" w:eastAsia="宋体" w:hint="default"/>
        </w:rPr>
        <w:t>9</w:t>
      </w:r>
      <w:r>
        <w:rPr>
          <w:rFonts w:ascii="宋体" w:hAnsi="宋体" w:cs="宋体" w:eastAsia="宋体" w:hint="default"/>
          <w:spacing w:val="-58"/>
        </w:rPr>
        <w:t> </w:t>
      </w:r>
      <w:r>
        <w:rPr/>
        <w:t>日收到福州爱派克电子有限公司向公司提交的《关于向福建顶点软件股份有</w:t>
      </w:r>
      <w:r>
        <w:rPr>
          <w:w w:val="100"/>
        </w:rPr>
        <w:t> </w:t>
      </w:r>
      <w:r>
        <w:rPr/>
        <w:t>限公司</w:t>
      </w:r>
      <w:r>
        <w:rPr>
          <w:spacing w:val="-54"/>
        </w:rPr>
        <w:t> </w:t>
      </w:r>
      <w:r>
        <w:rPr>
          <w:rFonts w:ascii="宋体" w:hAnsi="宋体" w:cs="宋体" w:eastAsia="宋体" w:hint="default"/>
        </w:rPr>
        <w:t>2017</w:t>
      </w:r>
      <w:r>
        <w:rPr>
          <w:rFonts w:ascii="宋体" w:hAnsi="宋体" w:cs="宋体" w:eastAsia="宋体" w:hint="default"/>
          <w:spacing w:val="-2"/>
        </w:rPr>
        <w:t> </w:t>
      </w:r>
      <w:r>
        <w:rPr/>
        <w:t>年第二次临时股东大会提出临时提案的函》。</w:t>
      </w:r>
      <w:r>
        <w:rPr>
          <w:rFonts w:ascii="宋体" w:hAnsi="宋体" w:cs="宋体" w:eastAsia="宋体" w:hint="default"/>
        </w:rPr>
        <w:t>2017</w:t>
      </w:r>
      <w:r>
        <w:rPr>
          <w:rFonts w:ascii="宋体" w:hAnsi="宋体" w:cs="宋体" w:eastAsia="宋体" w:hint="default"/>
          <w:spacing w:val="-56"/>
        </w:rPr>
        <w:t> </w:t>
      </w:r>
      <w:r>
        <w:rPr/>
        <w:t>年第二次临时股东大会增加临时</w:t>
      </w:r>
      <w:r>
        <w:rPr>
          <w:w w:val="100"/>
        </w:rPr>
        <w:t> </w:t>
      </w:r>
      <w:r>
        <w:rPr>
          <w:spacing w:val="-2"/>
        </w:rPr>
        <w:t>提案提案主要内容：提议将公司第六届董事会第二十二次会议审议通过的《关于使用部分闲置募</w:t>
      </w:r>
      <w:r>
        <w:rPr>
          <w:spacing w:val="-25"/>
        </w:rPr>
        <w:t> </w:t>
      </w:r>
      <w:r>
        <w:rPr>
          <w:spacing w:val="-25"/>
        </w:rPr>
      </w:r>
      <w:r>
        <w:rPr>
          <w:spacing w:val="-5"/>
          <w:w w:val="100"/>
        </w:rPr>
        <w:t>集资金进行结构性存款或购买保本型理财产品的议案》作为临时提案提交公司</w:t>
      </w:r>
      <w:r>
        <w:rPr>
          <w:spacing w:val="-38"/>
          <w:w w:val="100"/>
        </w:rPr>
        <w:t> </w:t>
      </w:r>
      <w:r>
        <w:rPr>
          <w:rFonts w:ascii="宋体" w:hAnsi="宋体" w:cs="宋体" w:eastAsia="宋体" w:hint="default"/>
          <w:spacing w:val="-1"/>
          <w:w w:val="100"/>
        </w:rPr>
        <w:t>2017</w:t>
      </w:r>
      <w:r>
        <w:rPr>
          <w:rFonts w:ascii="宋体" w:hAnsi="宋体" w:cs="宋体" w:eastAsia="宋体" w:hint="default"/>
          <w:spacing w:val="-39"/>
          <w:w w:val="100"/>
        </w:rPr>
        <w:t> </w:t>
      </w:r>
      <w:r>
        <w:rPr>
          <w:spacing w:val="-2"/>
          <w:w w:val="100"/>
        </w:rPr>
        <w:t>年第二次临时</w:t>
      </w:r>
      <w:r>
        <w:rPr>
          <w:spacing w:val="-100"/>
          <w:w w:val="100"/>
        </w:rPr>
        <w:t> </w:t>
      </w:r>
      <w:r>
        <w:rPr>
          <w:spacing w:val="-100"/>
          <w:w w:val="100"/>
        </w:rPr>
      </w:r>
      <w:r>
        <w:rPr/>
        <w:t>股东大会审议。具体内容详见上海证券交易所网站</w:t>
      </w:r>
      <w:r>
        <w:rPr>
          <w:spacing w:val="-7"/>
        </w:rPr>
        <w:t> </w:t>
      </w:r>
      <w:r>
        <w:rPr/>
        <w:t>（</w:t>
      </w:r>
      <w:hyperlink r:id="rId10">
        <w:r>
          <w:rPr>
            <w:rFonts w:ascii="宋体" w:hAnsi="宋体" w:cs="宋体" w:eastAsia="宋体" w:hint="default"/>
          </w:rPr>
          <w:t>www.sse.com.cn</w:t>
        </w:r>
      </w:hyperlink>
      <w:r>
        <w:rPr/>
        <w:t>）公告编号：</w:t>
      </w:r>
      <w:r>
        <w:rPr>
          <w:rFonts w:ascii="宋体" w:hAnsi="宋体" w:cs="宋体" w:eastAsia="宋体" w:hint="default"/>
        </w:rPr>
        <w:t>2017-013</w:t>
      </w:r>
      <w:r>
        <w:rPr/>
        <w:t>、</w:t>
      </w:r>
      <w:r>
        <w:rPr>
          <w:w w:val="100"/>
        </w:rPr>
        <w:t> </w:t>
      </w:r>
      <w:r>
        <w:rPr>
          <w:rFonts w:ascii="宋体" w:hAnsi="宋体" w:cs="宋体" w:eastAsia="宋体" w:hint="default"/>
        </w:rPr>
        <w:t>2017-015</w:t>
      </w:r>
      <w:r>
        <w:rPr/>
        <w:t>。</w:t>
      </w:r>
    </w:p>
    <w:p>
      <w:pPr>
        <w:spacing w:line="240" w:lineRule="auto" w:before="3"/>
        <w:rPr>
          <w:rFonts w:ascii="宋体" w:hAnsi="宋体" w:cs="宋体" w:eastAsia="宋体" w:hint="default"/>
          <w:sz w:val="25"/>
          <w:szCs w:val="25"/>
        </w:rPr>
      </w:pPr>
    </w:p>
    <w:p>
      <w:pPr>
        <w:pStyle w:val="Heading3"/>
        <w:spacing w:line="240" w:lineRule="auto"/>
        <w:ind w:right="2757"/>
        <w:jc w:val="left"/>
        <w:rPr>
          <w:b w:val="0"/>
          <w:bCs w:val="0"/>
        </w:rPr>
      </w:pPr>
      <w:r>
        <w:rPr/>
        <w:t>三、董事履行职责情况</w:t>
      </w:r>
      <w:r>
        <w:rPr>
          <w:b w:val="0"/>
          <w:bCs w:val="0"/>
        </w:rPr>
      </w:r>
    </w:p>
    <w:p>
      <w:pPr>
        <w:pStyle w:val="Heading3"/>
        <w:spacing w:line="240" w:lineRule="auto" w:before="56"/>
        <w:ind w:right="2757"/>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4"/>
        </w:rPr>
        <w:t> </w:t>
      </w:r>
      <w:r>
        <w:rPr/>
        <w:t>董事参加董事会和股东大会的情况</w:t>
      </w:r>
      <w:r>
        <w:rPr>
          <w:b w:val="0"/>
          <w:bCs w:val="0"/>
        </w:rPr>
      </w:r>
    </w:p>
    <w:p>
      <w:pPr>
        <w:spacing w:line="240" w:lineRule="auto" w:before="11"/>
        <w:rPr>
          <w:rFonts w:ascii="宋体" w:hAnsi="宋体" w:cs="宋体" w:eastAsia="宋体"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979"/>
        <w:gridCol w:w="847"/>
        <w:gridCol w:w="1100"/>
        <w:gridCol w:w="852"/>
        <w:gridCol w:w="970"/>
        <w:gridCol w:w="905"/>
        <w:gridCol w:w="845"/>
        <w:gridCol w:w="1292"/>
        <w:gridCol w:w="1260"/>
      </w:tblGrid>
      <w:tr>
        <w:trPr>
          <w:trHeight w:val="571" w:hRule="exact"/>
        </w:trPr>
        <w:tc>
          <w:tcPr>
            <w:tcW w:w="97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9"/>
                <w:szCs w:val="29"/>
              </w:rPr>
            </w:pPr>
          </w:p>
          <w:p>
            <w:pPr>
              <w:pStyle w:val="TableParagraph"/>
              <w:spacing w:line="240" w:lineRule="auto"/>
              <w:ind w:left="273" w:right="271"/>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pacing w:val="-103"/>
                <w:sz w:val="21"/>
                <w:szCs w:val="21"/>
              </w:rPr>
              <w:t> </w:t>
            </w:r>
            <w:r>
              <w:rPr>
                <w:rFonts w:ascii="宋体" w:hAnsi="宋体" w:cs="宋体" w:eastAsia="宋体" w:hint="default"/>
                <w:sz w:val="21"/>
                <w:szCs w:val="21"/>
              </w:rPr>
              <w:t>姓名</w:t>
            </w:r>
          </w:p>
        </w:tc>
        <w:tc>
          <w:tcPr>
            <w:tcW w:w="84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9"/>
                <w:szCs w:val="29"/>
              </w:rPr>
            </w:pP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是否独</w:t>
            </w:r>
            <w:r>
              <w:rPr>
                <w:rFonts w:ascii="宋体" w:hAnsi="宋体" w:cs="宋体" w:eastAsia="宋体" w:hint="default"/>
                <w:spacing w:val="-102"/>
                <w:sz w:val="21"/>
                <w:szCs w:val="21"/>
              </w:rPr>
              <w:t> </w:t>
            </w:r>
            <w:r>
              <w:rPr>
                <w:rFonts w:ascii="宋体" w:hAnsi="宋体" w:cs="宋体" w:eastAsia="宋体" w:hint="default"/>
                <w:sz w:val="21"/>
                <w:szCs w:val="21"/>
              </w:rPr>
              <w:t>立董事</w:t>
            </w:r>
          </w:p>
        </w:tc>
        <w:tc>
          <w:tcPr>
            <w:tcW w:w="596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21"/>
                <w:szCs w:val="21"/>
              </w:rPr>
            </w:pPr>
            <w:r>
              <w:rPr>
                <w:rFonts w:ascii="宋体" w:hAnsi="宋体" w:cs="宋体" w:eastAsia="宋体" w:hint="default"/>
                <w:sz w:val="21"/>
                <w:szCs w:val="21"/>
              </w:rPr>
              <w:t>参加董事会情况</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
              <w:ind w:left="203" w:right="201"/>
              <w:jc w:val="left"/>
              <w:rPr>
                <w:rFonts w:ascii="宋体" w:hAnsi="宋体" w:cs="宋体" w:eastAsia="宋体" w:hint="default"/>
                <w:sz w:val="21"/>
                <w:szCs w:val="21"/>
              </w:rPr>
            </w:pPr>
            <w:r>
              <w:rPr>
                <w:rFonts w:ascii="宋体" w:hAnsi="宋体" w:cs="宋体" w:eastAsia="宋体" w:hint="default"/>
                <w:sz w:val="21"/>
                <w:szCs w:val="21"/>
              </w:rPr>
              <w:t>参加股东</w:t>
            </w:r>
            <w:r>
              <w:rPr>
                <w:rFonts w:ascii="宋体" w:hAnsi="宋体" w:cs="宋体" w:eastAsia="宋体" w:hint="default"/>
                <w:w w:val="100"/>
                <w:sz w:val="21"/>
                <w:szCs w:val="21"/>
              </w:rPr>
              <w:t> </w:t>
            </w:r>
            <w:r>
              <w:rPr>
                <w:rFonts w:ascii="宋体" w:hAnsi="宋体" w:cs="宋体" w:eastAsia="宋体" w:hint="default"/>
                <w:sz w:val="21"/>
                <w:szCs w:val="21"/>
              </w:rPr>
              <w:t>大会情况</w:t>
            </w:r>
          </w:p>
        </w:tc>
      </w:tr>
      <w:tr>
        <w:trPr>
          <w:trHeight w:val="828" w:hRule="exact"/>
        </w:trPr>
        <w:tc>
          <w:tcPr>
            <w:tcW w:w="979" w:type="dxa"/>
            <w:vMerge/>
            <w:tcBorders>
              <w:left w:val="single" w:sz="4" w:space="0" w:color="000000"/>
              <w:bottom w:val="single" w:sz="4" w:space="0" w:color="000000"/>
              <w:right w:val="single" w:sz="4" w:space="0" w:color="000000"/>
            </w:tcBorders>
          </w:tcPr>
          <w:p>
            <w:pPr/>
          </w:p>
        </w:tc>
        <w:tc>
          <w:tcPr>
            <w:tcW w:w="847" w:type="dxa"/>
            <w:vMerge/>
            <w:tcBorders>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4" w:right="0"/>
              <w:jc w:val="left"/>
              <w:rPr>
                <w:rFonts w:ascii="宋体" w:hAnsi="宋体" w:cs="宋体" w:eastAsia="宋体" w:hint="default"/>
                <w:sz w:val="21"/>
                <w:szCs w:val="21"/>
              </w:rPr>
            </w:pPr>
            <w:r>
              <w:rPr>
                <w:rFonts w:ascii="宋体" w:hAnsi="宋体" w:cs="宋体" w:eastAsia="宋体" w:hint="default"/>
                <w:sz w:val="21"/>
                <w:szCs w:val="21"/>
              </w:rPr>
              <w:t>本年应参</w:t>
            </w:r>
          </w:p>
          <w:p>
            <w:pPr>
              <w:pStyle w:val="TableParagraph"/>
              <w:spacing w:line="240" w:lineRule="auto"/>
              <w:ind w:left="334" w:right="120" w:hanging="210"/>
              <w:jc w:val="left"/>
              <w:rPr>
                <w:rFonts w:ascii="宋体" w:hAnsi="宋体" w:cs="宋体" w:eastAsia="宋体" w:hint="default"/>
                <w:sz w:val="21"/>
                <w:szCs w:val="21"/>
              </w:rPr>
            </w:pPr>
            <w:r>
              <w:rPr>
                <w:rFonts w:ascii="宋体" w:hAnsi="宋体" w:cs="宋体" w:eastAsia="宋体" w:hint="default"/>
                <w:sz w:val="21"/>
                <w:szCs w:val="21"/>
              </w:rPr>
              <w:t>加董事会</w:t>
            </w:r>
            <w:r>
              <w:rPr>
                <w:rFonts w:ascii="宋体" w:hAnsi="宋体" w:cs="宋体" w:eastAsia="宋体" w:hint="default"/>
                <w:w w:val="100"/>
                <w:sz w:val="21"/>
                <w:szCs w:val="21"/>
              </w:rPr>
              <w:t> </w:t>
            </w:r>
            <w:r>
              <w:rPr>
                <w:rFonts w:ascii="宋体" w:hAnsi="宋体" w:cs="宋体" w:eastAsia="宋体" w:hint="default"/>
                <w:sz w:val="21"/>
                <w:szCs w:val="21"/>
              </w:rPr>
              <w:t>次数</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101"/>
              <w:jc w:val="left"/>
              <w:rPr>
                <w:rFonts w:ascii="宋体" w:hAnsi="宋体" w:cs="宋体" w:eastAsia="宋体" w:hint="default"/>
                <w:sz w:val="21"/>
                <w:szCs w:val="21"/>
              </w:rPr>
            </w:pPr>
            <w:r>
              <w:rPr>
                <w:rFonts w:ascii="宋体" w:hAnsi="宋体" w:cs="宋体" w:eastAsia="宋体" w:hint="default"/>
                <w:sz w:val="21"/>
                <w:szCs w:val="21"/>
              </w:rPr>
              <w:t>亲自出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3" w:right="0"/>
              <w:jc w:val="left"/>
              <w:rPr>
                <w:rFonts w:ascii="宋体" w:hAnsi="宋体" w:cs="宋体" w:eastAsia="宋体" w:hint="default"/>
                <w:sz w:val="21"/>
                <w:szCs w:val="21"/>
              </w:rPr>
            </w:pPr>
            <w:r>
              <w:rPr>
                <w:rFonts w:ascii="宋体" w:hAnsi="宋体" w:cs="宋体" w:eastAsia="宋体" w:hint="default"/>
                <w:sz w:val="21"/>
                <w:szCs w:val="21"/>
              </w:rPr>
              <w:t>以通讯</w:t>
            </w:r>
          </w:p>
          <w:p>
            <w:pPr>
              <w:pStyle w:val="TableParagraph"/>
              <w:spacing w:line="240" w:lineRule="auto"/>
              <w:ind w:left="163" w:right="161"/>
              <w:jc w:val="left"/>
              <w:rPr>
                <w:rFonts w:ascii="宋体" w:hAnsi="宋体" w:cs="宋体" w:eastAsia="宋体" w:hint="default"/>
                <w:sz w:val="21"/>
                <w:szCs w:val="21"/>
              </w:rPr>
            </w:pPr>
            <w:r>
              <w:rPr>
                <w:rFonts w:ascii="宋体" w:hAnsi="宋体" w:cs="宋体" w:eastAsia="宋体" w:hint="default"/>
                <w:sz w:val="21"/>
                <w:szCs w:val="21"/>
              </w:rPr>
              <w:t>方式参</w:t>
            </w:r>
            <w:r>
              <w:rPr>
                <w:rFonts w:ascii="宋体" w:hAnsi="宋体" w:cs="宋体" w:eastAsia="宋体" w:hint="default"/>
                <w:spacing w:val="-102"/>
                <w:sz w:val="21"/>
                <w:szCs w:val="21"/>
              </w:rPr>
              <w:t> </w:t>
            </w:r>
            <w:r>
              <w:rPr>
                <w:rFonts w:ascii="宋体" w:hAnsi="宋体" w:cs="宋体" w:eastAsia="宋体" w:hint="default"/>
                <w:sz w:val="21"/>
                <w:szCs w:val="21"/>
              </w:rPr>
              <w:t>加次数</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29" w:right="131"/>
              <w:jc w:val="left"/>
              <w:rPr>
                <w:rFonts w:ascii="宋体" w:hAnsi="宋体" w:cs="宋体" w:eastAsia="宋体" w:hint="default"/>
                <w:sz w:val="21"/>
                <w:szCs w:val="21"/>
              </w:rPr>
            </w:pPr>
            <w:r>
              <w:rPr>
                <w:rFonts w:ascii="宋体" w:hAnsi="宋体" w:cs="宋体" w:eastAsia="宋体" w:hint="default"/>
                <w:sz w:val="21"/>
                <w:szCs w:val="21"/>
              </w:rPr>
              <w:t>委托出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04" w:right="206"/>
              <w:jc w:val="left"/>
              <w:rPr>
                <w:rFonts w:ascii="宋体" w:hAnsi="宋体" w:cs="宋体" w:eastAsia="宋体" w:hint="default"/>
                <w:sz w:val="21"/>
                <w:szCs w:val="21"/>
              </w:rPr>
            </w:pPr>
            <w:r>
              <w:rPr>
                <w:rFonts w:ascii="宋体" w:hAnsi="宋体" w:cs="宋体" w:eastAsia="宋体" w:hint="default"/>
                <w:sz w:val="21"/>
                <w:szCs w:val="21"/>
              </w:rPr>
              <w:t>缺席</w:t>
            </w:r>
            <w:r>
              <w:rPr>
                <w:rFonts w:ascii="宋体" w:hAnsi="宋体" w:cs="宋体" w:eastAsia="宋体" w:hint="default"/>
                <w:spacing w:val="-103"/>
                <w:sz w:val="21"/>
                <w:szCs w:val="21"/>
              </w:rPr>
              <w:t> </w:t>
            </w:r>
            <w:r>
              <w:rPr>
                <w:rFonts w:ascii="宋体" w:hAnsi="宋体" w:cs="宋体" w:eastAsia="宋体" w:hint="default"/>
                <w:sz w:val="21"/>
                <w:szCs w:val="21"/>
              </w:rPr>
              <w:t>次数</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2" w:right="0"/>
              <w:jc w:val="left"/>
              <w:rPr>
                <w:rFonts w:ascii="宋体" w:hAnsi="宋体" w:cs="宋体" w:eastAsia="宋体" w:hint="default"/>
                <w:sz w:val="21"/>
                <w:szCs w:val="21"/>
              </w:rPr>
            </w:pPr>
            <w:r>
              <w:rPr>
                <w:rFonts w:ascii="宋体" w:hAnsi="宋体" w:cs="宋体" w:eastAsia="宋体" w:hint="default"/>
                <w:sz w:val="21"/>
                <w:szCs w:val="21"/>
              </w:rPr>
              <w:t>是否连续两</w:t>
            </w:r>
          </w:p>
          <w:p>
            <w:pPr>
              <w:pStyle w:val="TableParagraph"/>
              <w:spacing w:line="240" w:lineRule="auto"/>
              <w:ind w:left="321" w:right="113" w:hanging="209"/>
              <w:jc w:val="left"/>
              <w:rPr>
                <w:rFonts w:ascii="宋体" w:hAnsi="宋体" w:cs="宋体" w:eastAsia="宋体" w:hint="default"/>
                <w:sz w:val="21"/>
                <w:szCs w:val="21"/>
              </w:rPr>
            </w:pPr>
            <w:r>
              <w:rPr>
                <w:rFonts w:ascii="宋体" w:hAnsi="宋体" w:cs="宋体" w:eastAsia="宋体" w:hint="default"/>
                <w:sz w:val="21"/>
                <w:szCs w:val="21"/>
              </w:rPr>
              <w:t>次未亲自参</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加会议</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3" w:right="0"/>
              <w:jc w:val="left"/>
              <w:rPr>
                <w:rFonts w:ascii="宋体" w:hAnsi="宋体" w:cs="宋体" w:eastAsia="宋体" w:hint="default"/>
                <w:sz w:val="21"/>
                <w:szCs w:val="21"/>
              </w:rPr>
            </w:pPr>
            <w:r>
              <w:rPr>
                <w:rFonts w:ascii="宋体" w:hAnsi="宋体" w:cs="宋体" w:eastAsia="宋体" w:hint="default"/>
                <w:sz w:val="21"/>
                <w:szCs w:val="21"/>
              </w:rPr>
              <w:t>出席股东</w:t>
            </w:r>
          </w:p>
          <w:p>
            <w:pPr>
              <w:pStyle w:val="TableParagraph"/>
              <w:spacing w:line="240" w:lineRule="auto"/>
              <w:ind w:left="518" w:right="201" w:hanging="315"/>
              <w:jc w:val="left"/>
              <w:rPr>
                <w:rFonts w:ascii="宋体" w:hAnsi="宋体" w:cs="宋体" w:eastAsia="宋体" w:hint="default"/>
                <w:sz w:val="21"/>
                <w:szCs w:val="21"/>
              </w:rPr>
            </w:pPr>
            <w:r>
              <w:rPr>
                <w:rFonts w:ascii="宋体" w:hAnsi="宋体" w:cs="宋体" w:eastAsia="宋体" w:hint="default"/>
                <w:sz w:val="21"/>
                <w:szCs w:val="21"/>
              </w:rPr>
              <w:t>大会的次</w:t>
            </w:r>
            <w:r>
              <w:rPr>
                <w:rFonts w:ascii="宋体" w:hAnsi="宋体" w:cs="宋体" w:eastAsia="宋体" w:hint="default"/>
                <w:w w:val="100"/>
                <w:sz w:val="21"/>
                <w:szCs w:val="21"/>
              </w:rPr>
              <w:t> </w:t>
            </w:r>
            <w:r>
              <w:rPr>
                <w:rFonts w:ascii="宋体" w:hAnsi="宋体" w:cs="宋体" w:eastAsia="宋体" w:hint="default"/>
                <w:sz w:val="21"/>
                <w:szCs w:val="21"/>
              </w:rPr>
              <w:t>数</w:t>
            </w:r>
          </w:p>
        </w:tc>
      </w:tr>
      <w:tr>
        <w:trPr>
          <w:trHeight w:val="284"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严孟宇</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1</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5</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tabs>
                <w:tab w:pos="525" w:val="left" w:leader="none"/>
              </w:tabs>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w:t>
              <w:tab/>
              <w:t>伟</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5</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雷世潘</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4</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tabs>
                <w:tab w:pos="525" w:val="left" w:leader="none"/>
              </w:tabs>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w:t>
              <w:tab/>
              <w:t>军</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z w:val="21"/>
              </w:rPr>
              <w:t>15</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2</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黄义青</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5</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tabs>
                <w:tab w:pos="525" w:val="left" w:leader="none"/>
              </w:tabs>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徐</w:t>
              <w:tab/>
              <w:t>青</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1</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5</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tabs>
                <w:tab w:pos="525" w:val="left" w:leader="none"/>
              </w:tabs>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齐</w:t>
              <w:tab/>
              <w:t>伟</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5</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4</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叶东毅</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5</w:t>
            </w:r>
          </w:p>
        </w:tc>
      </w:tr>
    </w:tbl>
    <w:p>
      <w:pPr>
        <w:spacing w:line="240" w:lineRule="auto" w:before="7"/>
        <w:rPr>
          <w:rFonts w:ascii="宋体" w:hAnsi="宋体" w:cs="宋体" w:eastAsia="宋体" w:hint="default"/>
          <w:b/>
          <w:bCs/>
          <w:sz w:val="15"/>
          <w:szCs w:val="15"/>
        </w:rPr>
      </w:pPr>
    </w:p>
    <w:p>
      <w:pPr>
        <w:pStyle w:val="BodyText"/>
        <w:spacing w:line="273" w:lineRule="exact" w:before="36"/>
        <w:ind w:right="2757"/>
        <w:jc w:val="left"/>
      </w:pPr>
      <w:r>
        <w:rPr/>
        <w:t>连续两次未亲自出席董事会会议的说明</w:t>
      </w:r>
    </w:p>
    <w:p>
      <w:pPr>
        <w:pStyle w:val="BodyText"/>
        <w:spacing w:line="273" w:lineRule="exact"/>
        <w:ind w:right="2757"/>
        <w:jc w:val="left"/>
      </w:pPr>
      <w:r>
        <w:rPr/>
        <w:t>□适用</w:t>
      </w:r>
      <w:r>
        <w:rPr>
          <w:spacing w:val="-1"/>
        </w:rPr>
        <w:t> </w:t>
      </w:r>
      <w:r>
        <w:rPr/>
        <w:t>√不适用</w:t>
      </w:r>
    </w:p>
    <w:p>
      <w:pPr>
        <w:spacing w:line="240" w:lineRule="auto" w:before="3"/>
        <w:rPr>
          <w:rFonts w:ascii="宋体" w:hAnsi="宋体" w:cs="宋体" w:eastAsia="宋体" w:hint="default"/>
          <w:sz w:val="23"/>
          <w:szCs w:val="23"/>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15</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0</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0</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15</w:t>
            </w:r>
          </w:p>
        </w:tc>
      </w:tr>
    </w:tbl>
    <w:p>
      <w:pPr>
        <w:spacing w:line="240" w:lineRule="auto" w:before="12"/>
        <w:rPr>
          <w:rFonts w:ascii="宋体" w:hAnsi="宋体" w:cs="宋体" w:eastAsia="宋体" w:hint="default"/>
          <w:sz w:val="19"/>
          <w:szCs w:val="19"/>
        </w:rPr>
      </w:pPr>
    </w:p>
    <w:p>
      <w:pPr>
        <w:pStyle w:val="Heading3"/>
        <w:spacing w:line="240" w:lineRule="auto" w:before="36"/>
        <w:ind w:right="2757"/>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5"/>
        </w:rPr>
        <w:t> </w:t>
      </w:r>
      <w:r>
        <w:rPr/>
        <w:t>独立董事对公司有关事项提出异议的情况</w:t>
      </w:r>
      <w:r>
        <w:rPr>
          <w:b w:val="0"/>
          <w:bCs w:val="0"/>
        </w:rPr>
      </w:r>
    </w:p>
    <w:p>
      <w:pPr>
        <w:pStyle w:val="BodyText"/>
        <w:spacing w:line="240" w:lineRule="auto" w:before="32"/>
        <w:ind w:right="2757"/>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3"/>
        <w:spacing w:line="240" w:lineRule="auto"/>
        <w:ind w:right="2757"/>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5"/>
        </w:rPr>
        <w:t> </w:t>
      </w:r>
      <w:r>
        <w:rPr/>
        <w:t>其他</w:t>
      </w:r>
      <w:r>
        <w:rPr>
          <w:b w:val="0"/>
          <w:bCs w:val="0"/>
        </w:rPr>
      </w:r>
    </w:p>
    <w:p>
      <w:pPr>
        <w:pStyle w:val="BodyText"/>
        <w:tabs>
          <w:tab w:pos="1060" w:val="left" w:leader="none"/>
        </w:tabs>
        <w:spacing w:line="240" w:lineRule="auto" w:before="32"/>
        <w:ind w:right="2757"/>
        <w:jc w:val="left"/>
      </w:pPr>
      <w:r>
        <w:rPr>
          <w:spacing w:val="-1"/>
        </w:rPr>
        <w:t>□适用</w:t>
        <w:tab/>
      </w:r>
      <w:r>
        <w:rPr>
          <w:spacing w:val="-2"/>
        </w:rPr>
        <w:t>√不适用</w:t>
      </w:r>
    </w:p>
    <w:p>
      <w:pPr>
        <w:spacing w:after="0" w:line="240" w:lineRule="auto"/>
        <w:jc w:val="left"/>
        <w:sectPr>
          <w:pgSz w:w="11910" w:h="16840"/>
          <w:pgMar w:header="857" w:footer="1195" w:top="1320" w:bottom="1380" w:left="1580" w:right="1040"/>
        </w:sectPr>
      </w:pPr>
    </w:p>
    <w:p>
      <w:pPr>
        <w:spacing w:line="240" w:lineRule="auto" w:before="4"/>
        <w:rPr>
          <w:rFonts w:ascii="宋体" w:hAnsi="宋体" w:cs="宋体" w:eastAsia="宋体" w:hint="default"/>
          <w:sz w:val="9"/>
          <w:szCs w:val="9"/>
        </w:rPr>
      </w:pPr>
    </w:p>
    <w:p>
      <w:pPr>
        <w:pStyle w:val="Heading3"/>
        <w:spacing w:line="240" w:lineRule="auto" w:before="36"/>
        <w:ind w:left="562" w:right="0" w:hanging="425"/>
        <w:jc w:val="left"/>
        <w:rPr>
          <w:b w:val="0"/>
          <w:bCs w:val="0"/>
        </w:rPr>
      </w:pPr>
      <w:r>
        <w:rPr/>
        <w:t>四、董事会下设专门委员会在报告期内履行职责时所提出的重要意见和建议，存在异议事项的，</w:t>
      </w:r>
      <w:r>
        <w:rPr>
          <w:spacing w:val="-31"/>
        </w:rPr>
        <w:t> </w:t>
      </w:r>
      <w:r>
        <w:rPr>
          <w:spacing w:val="-31"/>
        </w:rPr>
      </w:r>
      <w:r>
        <w:rPr/>
        <w:t>应当披露具体情况</w:t>
      </w:r>
      <w:r>
        <w:rPr>
          <w:b w:val="0"/>
          <w:bCs w:val="0"/>
        </w:rPr>
      </w:r>
    </w:p>
    <w:p>
      <w:pPr>
        <w:pStyle w:val="BodyText"/>
        <w:tabs>
          <w:tab w:pos="980" w:val="left" w:leader="none"/>
        </w:tabs>
        <w:spacing w:line="240" w:lineRule="auto" w:before="56"/>
        <w:ind w:left="138"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3"/>
        <w:spacing w:line="240" w:lineRule="auto"/>
        <w:ind w:left="138" w:right="0"/>
        <w:jc w:val="left"/>
        <w:rPr>
          <w:b w:val="0"/>
          <w:bCs w:val="0"/>
        </w:rPr>
      </w:pPr>
      <w:r>
        <w:rPr/>
        <w:t>五、监事会发现公司存在风险的说明</w:t>
      </w:r>
      <w:r>
        <w:rPr>
          <w:b w:val="0"/>
          <w:bCs w:val="0"/>
        </w:rPr>
      </w:r>
    </w:p>
    <w:p>
      <w:pPr>
        <w:pStyle w:val="BodyText"/>
        <w:spacing w:line="240" w:lineRule="auto" w:before="58"/>
        <w:ind w:left="138" w:right="0"/>
        <w:jc w:val="left"/>
      </w:pPr>
      <w:r>
        <w:rPr/>
        <w:t>□适用</w:t>
      </w:r>
      <w:r>
        <w:rPr>
          <w:spacing w:val="-1"/>
        </w:rPr>
        <w:t> </w:t>
      </w:r>
      <w:r>
        <w:rPr/>
        <w:t>√不适用</w:t>
      </w:r>
    </w:p>
    <w:p>
      <w:pPr>
        <w:spacing w:line="240" w:lineRule="auto" w:before="4"/>
        <w:rPr>
          <w:rFonts w:ascii="宋体" w:hAnsi="宋体" w:cs="宋体" w:eastAsia="宋体" w:hint="default"/>
          <w:sz w:val="27"/>
          <w:szCs w:val="27"/>
        </w:rPr>
      </w:pPr>
    </w:p>
    <w:p>
      <w:pPr>
        <w:pStyle w:val="Heading3"/>
        <w:spacing w:line="272" w:lineRule="exact"/>
        <w:ind w:left="562" w:right="0" w:hanging="425"/>
        <w:jc w:val="left"/>
        <w:rPr>
          <w:b w:val="0"/>
          <w:bCs w:val="0"/>
        </w:rPr>
      </w:pPr>
      <w:r>
        <w:rPr>
          <w:spacing w:val="-1"/>
        </w:rPr>
        <w:t>六、公司就其与控股股东在业务、人员、资产、机构、财务等方面存在的不能保证独立性、不能</w:t>
      </w:r>
      <w:r>
        <w:rPr>
          <w:spacing w:val="-89"/>
        </w:rPr>
        <w:t> </w:t>
      </w:r>
      <w:r>
        <w:rPr>
          <w:spacing w:val="-89"/>
        </w:rPr>
      </w:r>
      <w:r>
        <w:rPr/>
        <w:t>保持自主经营能力的情况说明</w:t>
      </w:r>
      <w:r>
        <w:rPr>
          <w:b w:val="0"/>
          <w:bCs w:val="0"/>
        </w:rPr>
      </w:r>
    </w:p>
    <w:p>
      <w:pPr>
        <w:pStyle w:val="BodyText"/>
        <w:tabs>
          <w:tab w:pos="980" w:val="left" w:leader="none"/>
        </w:tabs>
        <w:spacing w:line="240" w:lineRule="auto" w:before="34"/>
        <w:ind w:left="138" w:right="0"/>
        <w:jc w:val="left"/>
      </w:pPr>
      <w:r>
        <w:rPr>
          <w:spacing w:val="-1"/>
        </w:rPr>
        <w:t>□适用</w:t>
        <w:tab/>
      </w:r>
      <w:r>
        <w:rPr>
          <w:spacing w:val="-2"/>
        </w:rPr>
        <w:t>√不适用</w:t>
      </w:r>
    </w:p>
    <w:p>
      <w:pPr>
        <w:spacing w:line="240" w:lineRule="auto" w:before="9"/>
        <w:rPr>
          <w:rFonts w:ascii="宋体" w:hAnsi="宋体" w:cs="宋体" w:eastAsia="宋体" w:hint="default"/>
          <w:sz w:val="20"/>
          <w:szCs w:val="20"/>
        </w:rPr>
      </w:pPr>
    </w:p>
    <w:p>
      <w:pPr>
        <w:pStyle w:val="BodyText"/>
        <w:spacing w:line="273" w:lineRule="exact"/>
        <w:ind w:left="138" w:right="0"/>
        <w:jc w:val="left"/>
      </w:pPr>
      <w:r>
        <w:rPr/>
        <w:t>存在同业竞争的，公司相应的解决措施、工作进度及后续工作计划</w:t>
      </w:r>
    </w:p>
    <w:p>
      <w:pPr>
        <w:pStyle w:val="BodyText"/>
        <w:tabs>
          <w:tab w:pos="980" w:val="left" w:leader="none"/>
        </w:tabs>
        <w:spacing w:line="273" w:lineRule="exact"/>
        <w:ind w:left="138"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3"/>
        <w:spacing w:line="240" w:lineRule="auto"/>
        <w:ind w:left="138" w:right="0"/>
        <w:jc w:val="left"/>
        <w:rPr>
          <w:b w:val="0"/>
          <w:bCs w:val="0"/>
        </w:rPr>
      </w:pPr>
      <w:r>
        <w:rPr/>
        <w:t>七、报告期内对高级管理人员的考评机制，以及激励机制的建立、实施情况</w:t>
      </w:r>
      <w:r>
        <w:rPr>
          <w:b w:val="0"/>
          <w:bCs w:val="0"/>
        </w:rPr>
      </w:r>
    </w:p>
    <w:p>
      <w:pPr>
        <w:pStyle w:val="BodyText"/>
        <w:tabs>
          <w:tab w:pos="980" w:val="left" w:leader="none"/>
        </w:tabs>
        <w:spacing w:line="272" w:lineRule="exact" w:before="86"/>
        <w:ind w:left="138" w:right="227"/>
        <w:jc w:val="left"/>
      </w:pPr>
      <w:r>
        <w:rPr>
          <w:spacing w:val="-1"/>
        </w:rPr>
        <w:t>√适用</w:t>
        <w:tab/>
      </w:r>
      <w:r>
        <w:rPr>
          <w:spacing w:val="-2"/>
        </w:rPr>
        <w:t>□不适用</w:t>
      </w:r>
      <w:r>
        <w:rPr>
          <w:spacing w:val="-99"/>
        </w:rPr>
        <w:t> </w:t>
      </w:r>
      <w:r>
        <w:rPr>
          <w:spacing w:val="-99"/>
        </w:rPr>
      </w:r>
      <w:r>
        <w:rPr>
          <w:spacing w:val="-7"/>
          <w:w w:val="100"/>
        </w:rPr>
        <w:t>根据公司业务发展情况和行业状况，经公司管理层探讨后制定考核目标，提交董事会审议后执行。</w:t>
      </w:r>
    </w:p>
    <w:p>
      <w:pPr>
        <w:spacing w:line="240" w:lineRule="auto" w:before="4"/>
        <w:rPr>
          <w:rFonts w:ascii="宋体" w:hAnsi="宋体" w:cs="宋体" w:eastAsia="宋体" w:hint="default"/>
          <w:sz w:val="23"/>
          <w:szCs w:val="23"/>
        </w:rPr>
      </w:pPr>
    </w:p>
    <w:p>
      <w:pPr>
        <w:pStyle w:val="Heading3"/>
        <w:spacing w:line="240" w:lineRule="auto"/>
        <w:ind w:left="138" w:right="0"/>
        <w:jc w:val="left"/>
        <w:rPr>
          <w:b w:val="0"/>
          <w:bCs w:val="0"/>
        </w:rPr>
      </w:pPr>
      <w:r>
        <w:rPr/>
        <w:t>八、是否披露内部控制自我评价报告</w:t>
      </w:r>
      <w:r>
        <w:rPr>
          <w:b w:val="0"/>
          <w:bCs w:val="0"/>
        </w:rPr>
      </w:r>
    </w:p>
    <w:p>
      <w:pPr>
        <w:pStyle w:val="BodyText"/>
        <w:spacing w:line="240" w:lineRule="auto" w:before="56"/>
        <w:ind w:left="138" w:right="0"/>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4" w:lineRule="exact"/>
        <w:ind w:left="138" w:right="0"/>
        <w:jc w:val="left"/>
      </w:pPr>
      <w:r>
        <w:rPr/>
        <w:t>报告期内部控制存在重大缺陷情况的说明</w:t>
      </w:r>
    </w:p>
    <w:p>
      <w:pPr>
        <w:pStyle w:val="BodyText"/>
        <w:spacing w:line="274" w:lineRule="exact"/>
        <w:ind w:left="13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3"/>
        <w:spacing w:line="240" w:lineRule="auto"/>
        <w:ind w:left="138" w:right="0"/>
        <w:jc w:val="left"/>
        <w:rPr>
          <w:b w:val="0"/>
          <w:bCs w:val="0"/>
        </w:rPr>
      </w:pPr>
      <w:r>
        <w:rPr/>
        <w:t>九、内部控制审计报告的相关情况说明</w:t>
      </w:r>
      <w:r>
        <w:rPr>
          <w:b w:val="0"/>
          <w:bCs w:val="0"/>
        </w:rPr>
      </w:r>
    </w:p>
    <w:p>
      <w:pPr>
        <w:pStyle w:val="BodyText"/>
        <w:tabs>
          <w:tab w:pos="980" w:val="left" w:leader="none"/>
        </w:tabs>
        <w:spacing w:line="240" w:lineRule="auto" w:before="56"/>
        <w:ind w:left="138" w:right="6101"/>
        <w:jc w:val="left"/>
      </w:pPr>
      <w:r>
        <w:rPr>
          <w:spacing w:val="-1"/>
        </w:rPr>
        <w:t>□适用</w:t>
        <w:tab/>
      </w:r>
      <w:r>
        <w:rPr>
          <w:spacing w:val="-2"/>
        </w:rPr>
        <w:t>√不适用</w:t>
      </w:r>
      <w:r>
        <w:rPr>
          <w:spacing w:val="-99"/>
        </w:rPr>
        <w:t> </w:t>
      </w:r>
      <w:r>
        <w:rPr>
          <w:spacing w:val="-99"/>
        </w:rPr>
      </w:r>
      <w:r>
        <w:rPr>
          <w:spacing w:val="-2"/>
        </w:rPr>
        <w:t>是否披露内部控制审计报告：否</w:t>
      </w:r>
    </w:p>
    <w:p>
      <w:pPr>
        <w:spacing w:line="240" w:lineRule="auto" w:before="3"/>
        <w:rPr>
          <w:rFonts w:ascii="宋体" w:hAnsi="宋体" w:cs="宋体" w:eastAsia="宋体" w:hint="default"/>
          <w:sz w:val="25"/>
          <w:szCs w:val="25"/>
        </w:rPr>
      </w:pPr>
    </w:p>
    <w:p>
      <w:pPr>
        <w:pStyle w:val="Heading3"/>
        <w:spacing w:line="240" w:lineRule="auto"/>
        <w:ind w:left="138" w:right="0"/>
        <w:jc w:val="left"/>
        <w:rPr>
          <w:b w:val="0"/>
          <w:bCs w:val="0"/>
        </w:rPr>
      </w:pPr>
      <w:r>
        <w:rPr/>
        <w:t>十、其他</w:t>
      </w:r>
      <w:r>
        <w:rPr>
          <w:b w:val="0"/>
          <w:bCs w:val="0"/>
        </w:rPr>
      </w:r>
    </w:p>
    <w:p>
      <w:pPr>
        <w:pStyle w:val="BodyText"/>
        <w:tabs>
          <w:tab w:pos="980" w:val="left" w:leader="none"/>
        </w:tabs>
        <w:spacing w:line="240" w:lineRule="auto" w:before="56"/>
        <w:ind w:left="138" w:right="0"/>
        <w:jc w:val="left"/>
      </w:pPr>
      <w:r>
        <w:rPr>
          <w:spacing w:val="-1"/>
        </w:rPr>
        <w:t>□适用</w:t>
        <w:tab/>
      </w:r>
      <w:r>
        <w:rPr>
          <w:spacing w:val="-2"/>
        </w:rPr>
        <w:t>√不适用</w:t>
      </w:r>
    </w:p>
    <w:p>
      <w:pPr>
        <w:spacing w:line="240" w:lineRule="auto" w:before="1"/>
        <w:rPr>
          <w:rFonts w:ascii="宋体" w:hAnsi="宋体" w:cs="宋体" w:eastAsia="宋体" w:hint="default"/>
          <w:sz w:val="24"/>
          <w:szCs w:val="24"/>
        </w:rPr>
      </w:pPr>
    </w:p>
    <w:p>
      <w:pPr>
        <w:pStyle w:val="Heading1"/>
        <w:tabs>
          <w:tab w:pos="1259" w:val="left" w:leader="none"/>
        </w:tabs>
        <w:spacing w:line="240" w:lineRule="auto"/>
        <w:ind w:right="75"/>
        <w:jc w:val="center"/>
        <w:rPr>
          <w:rFonts w:ascii="宋体" w:hAnsi="宋体" w:cs="宋体" w:eastAsia="宋体" w:hint="default"/>
          <w:b w:val="0"/>
          <w:bCs w:val="0"/>
        </w:rPr>
      </w:pPr>
      <w:bookmarkStart w:name="_TOC_250002" w:id="10"/>
      <w:r>
        <w:rPr>
          <w:rFonts w:ascii="宋体" w:hAnsi="宋体" w:cs="宋体" w:eastAsia="宋体" w:hint="default"/>
          <w:w w:val="95"/>
        </w:rPr>
        <w:t>第十节</w:t>
        <w:tab/>
      </w:r>
      <w:r>
        <w:rPr>
          <w:rFonts w:ascii="宋体" w:hAnsi="宋体" w:cs="宋体" w:eastAsia="宋体" w:hint="default"/>
        </w:rPr>
        <w:t>财务报告</w:t>
      </w:r>
      <w:bookmarkEnd w:id="10"/>
      <w:r>
        <w:rPr>
          <w:rFonts w:ascii="宋体" w:hAnsi="宋体" w:cs="宋体" w:eastAsia="宋体" w:hint="default"/>
          <w:b w:val="0"/>
          <w:bCs w:val="0"/>
        </w:rPr>
      </w:r>
    </w:p>
    <w:p>
      <w:pPr>
        <w:spacing w:line="240" w:lineRule="auto" w:before="8"/>
        <w:rPr>
          <w:rFonts w:ascii="宋体" w:hAnsi="宋体" w:cs="宋体" w:eastAsia="宋体" w:hint="default"/>
          <w:b/>
          <w:bCs/>
          <w:sz w:val="16"/>
          <w:szCs w:val="16"/>
        </w:rPr>
      </w:pPr>
    </w:p>
    <w:p>
      <w:pPr>
        <w:spacing w:after="0" w:line="240" w:lineRule="auto"/>
        <w:rPr>
          <w:rFonts w:ascii="宋体" w:hAnsi="宋体" w:cs="宋体" w:eastAsia="宋体" w:hint="default"/>
          <w:sz w:val="16"/>
          <w:szCs w:val="16"/>
        </w:rPr>
        <w:sectPr>
          <w:pgSz w:w="11910" w:h="16840"/>
          <w:pgMar w:header="857" w:footer="1195" w:top="1320" w:bottom="1380" w:left="1660" w:right="1060"/>
        </w:sectPr>
      </w:pPr>
    </w:p>
    <w:p>
      <w:pPr>
        <w:pStyle w:val="Heading3"/>
        <w:spacing w:line="240" w:lineRule="auto" w:before="36"/>
        <w:ind w:left="138" w:right="-18"/>
        <w:jc w:val="left"/>
        <w:rPr>
          <w:b w:val="0"/>
          <w:bCs w:val="0"/>
        </w:rPr>
      </w:pPr>
      <w:r>
        <w:rPr/>
        <w:t>一、审计报告</w:t>
      </w:r>
      <w:r>
        <w:rPr>
          <w:b w:val="0"/>
          <w:bCs w:val="0"/>
        </w:rPr>
      </w:r>
    </w:p>
    <w:p>
      <w:pPr>
        <w:pStyle w:val="BodyText"/>
        <w:spacing w:line="240" w:lineRule="auto" w:before="58"/>
        <w:ind w:left="138" w:right="-18"/>
        <w:jc w:val="left"/>
      </w:pPr>
      <w:r>
        <w:rPr/>
        <w:t>√适用</w:t>
      </w:r>
      <w:r>
        <w:rPr>
          <w:spacing w:val="-1"/>
        </w:rPr>
        <w:t> </w:t>
      </w:r>
      <w:r>
        <w:rPr/>
        <w:t>□不适用</w:t>
      </w:r>
    </w:p>
    <w:p>
      <w:pPr>
        <w:spacing w:line="240" w:lineRule="auto" w:before="8"/>
        <w:rPr>
          <w:rFonts w:ascii="宋体" w:hAnsi="宋体" w:cs="宋体" w:eastAsia="宋体" w:hint="default"/>
          <w:sz w:val="39"/>
          <w:szCs w:val="39"/>
        </w:rPr>
      </w:pPr>
      <w:r>
        <w:rPr/>
        <w:br w:type="column"/>
      </w:r>
      <w:r>
        <w:rPr>
          <w:rFonts w:ascii="宋体"/>
          <w:sz w:val="39"/>
        </w:rPr>
      </w:r>
    </w:p>
    <w:p>
      <w:pPr>
        <w:spacing w:before="0"/>
        <w:ind w:left="138" w:right="0" w:firstLine="0"/>
        <w:jc w:val="left"/>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sz w:val="32"/>
          <w:szCs w:val="32"/>
        </w:rPr>
        <w:t>审计报告</w:t>
      </w:r>
      <w:r>
        <w:rPr>
          <w:rFonts w:ascii="Microsoft JhengHei" w:hAnsi="Microsoft JhengHei" w:cs="Microsoft JhengHei" w:eastAsia="Microsoft JhengHei" w:hint="default"/>
          <w:sz w:val="32"/>
          <w:szCs w:val="32"/>
        </w:rPr>
      </w:r>
    </w:p>
    <w:p>
      <w:pPr>
        <w:spacing w:after="0"/>
        <w:jc w:val="left"/>
        <w:rPr>
          <w:rFonts w:ascii="Microsoft JhengHei" w:hAnsi="Microsoft JhengHei" w:cs="Microsoft JhengHei" w:eastAsia="Microsoft JhengHei" w:hint="default"/>
          <w:sz w:val="32"/>
          <w:szCs w:val="32"/>
        </w:rPr>
        <w:sectPr>
          <w:type w:val="continuous"/>
          <w:pgSz w:w="11910" w:h="16840"/>
          <w:pgMar w:top="1000" w:bottom="280" w:left="1660" w:right="1060"/>
          <w:cols w:num="2" w:equalWidth="0">
            <w:col w:w="1715" w:space="2058"/>
            <w:col w:w="5417"/>
          </w:cols>
        </w:sectPr>
      </w:pPr>
    </w:p>
    <w:p>
      <w:pPr>
        <w:spacing w:line="240" w:lineRule="auto" w:before="5"/>
        <w:rPr>
          <w:rFonts w:ascii="Microsoft JhengHei" w:hAnsi="Microsoft JhengHei" w:cs="Microsoft JhengHei" w:eastAsia="Microsoft JhengHei" w:hint="default"/>
          <w:b/>
          <w:bCs/>
          <w:sz w:val="18"/>
          <w:szCs w:val="18"/>
        </w:rPr>
      </w:pPr>
    </w:p>
    <w:p>
      <w:pPr>
        <w:spacing w:before="26"/>
        <w:ind w:left="5385" w:right="0" w:firstLine="0"/>
        <w:jc w:val="left"/>
        <w:rPr>
          <w:rFonts w:ascii="宋体" w:hAnsi="宋体" w:cs="宋体" w:eastAsia="宋体" w:hint="default"/>
          <w:sz w:val="24"/>
          <w:szCs w:val="24"/>
        </w:rPr>
      </w:pPr>
      <w:r>
        <w:rPr>
          <w:rFonts w:ascii="宋体" w:hAnsi="宋体" w:cs="宋体" w:eastAsia="宋体" w:hint="default"/>
          <w:spacing w:val="2"/>
          <w:sz w:val="24"/>
          <w:szCs w:val="24"/>
        </w:rPr>
        <w:t>致同审字（</w:t>
      </w:r>
      <w:r>
        <w:rPr>
          <w:rFonts w:ascii="Arial Narrow" w:hAnsi="Arial Narrow" w:cs="Arial Narrow" w:eastAsia="Arial Narrow" w:hint="default"/>
          <w:spacing w:val="2"/>
          <w:sz w:val="24"/>
          <w:szCs w:val="24"/>
        </w:rPr>
        <w:t>2018</w:t>
      </w:r>
      <w:r>
        <w:rPr>
          <w:rFonts w:ascii="宋体" w:hAnsi="宋体" w:cs="宋体" w:eastAsia="宋体" w:hint="default"/>
          <w:spacing w:val="2"/>
          <w:sz w:val="24"/>
          <w:szCs w:val="24"/>
        </w:rPr>
        <w:t>）第</w:t>
      </w:r>
      <w:r>
        <w:rPr>
          <w:rFonts w:ascii="宋体" w:hAnsi="宋体" w:cs="宋体" w:eastAsia="宋体" w:hint="default"/>
          <w:spacing w:val="-48"/>
          <w:sz w:val="24"/>
          <w:szCs w:val="24"/>
        </w:rPr>
        <w:t> </w:t>
      </w:r>
      <w:r>
        <w:rPr>
          <w:rFonts w:ascii="Arial Narrow" w:hAnsi="Arial Narrow" w:cs="Arial Narrow" w:eastAsia="Arial Narrow" w:hint="default"/>
          <w:spacing w:val="3"/>
          <w:sz w:val="24"/>
          <w:szCs w:val="24"/>
        </w:rPr>
        <w:t>351ZA0006</w:t>
      </w:r>
      <w:r>
        <w:rPr>
          <w:rFonts w:ascii="Arial Narrow" w:hAnsi="Arial Narrow" w:cs="Arial Narrow" w:eastAsia="Arial Narrow" w:hint="default"/>
          <w:spacing w:val="18"/>
          <w:sz w:val="24"/>
          <w:szCs w:val="24"/>
        </w:rPr>
        <w:t> </w:t>
      </w:r>
      <w:r>
        <w:rPr>
          <w:rFonts w:ascii="宋体" w:hAnsi="宋体" w:cs="宋体" w:eastAsia="宋体" w:hint="default"/>
          <w:sz w:val="24"/>
          <w:szCs w:val="24"/>
        </w:rPr>
        <w:t>号</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3"/>
        <w:spacing w:line="403" w:lineRule="auto" w:before="36"/>
        <w:ind w:left="560" w:right="4118" w:hanging="423"/>
        <w:jc w:val="left"/>
        <w:rPr>
          <w:b w:val="0"/>
          <w:bCs w:val="0"/>
        </w:rPr>
      </w:pPr>
      <w:r>
        <w:rPr>
          <w:spacing w:val="6"/>
        </w:rPr>
        <w:t>福建顶点软件股份有限公司全体股东：</w:t>
      </w:r>
      <w:r>
        <w:rPr>
          <w:spacing w:val="-93"/>
        </w:rPr>
        <w:t> </w:t>
      </w:r>
      <w:r>
        <w:rPr>
          <w:spacing w:val="-93"/>
        </w:rPr>
      </w:r>
      <w:r>
        <w:rPr/>
        <w:t>一、审计意见</w:t>
      </w:r>
      <w:r>
        <w:rPr>
          <w:b w:val="0"/>
          <w:bCs w:val="0"/>
        </w:rPr>
      </w:r>
    </w:p>
    <w:p>
      <w:pPr>
        <w:spacing w:after="0" w:line="403" w:lineRule="auto"/>
        <w:jc w:val="left"/>
        <w:sectPr>
          <w:type w:val="continuous"/>
          <w:pgSz w:w="11910" w:h="16840"/>
          <w:pgMar w:top="1000" w:bottom="280" w:left="1660" w:right="1060"/>
        </w:sectPr>
      </w:pPr>
    </w:p>
    <w:p>
      <w:pPr>
        <w:spacing w:line="240" w:lineRule="auto" w:before="4"/>
        <w:rPr>
          <w:rFonts w:ascii="宋体" w:hAnsi="宋体" w:cs="宋体" w:eastAsia="宋体" w:hint="default"/>
          <w:b/>
          <w:bCs/>
          <w:sz w:val="9"/>
          <w:szCs w:val="9"/>
        </w:rPr>
      </w:pPr>
    </w:p>
    <w:p>
      <w:pPr>
        <w:pStyle w:val="BodyText"/>
        <w:spacing w:line="240" w:lineRule="auto" w:before="36"/>
        <w:ind w:left="558" w:right="0"/>
        <w:jc w:val="left"/>
      </w:pPr>
      <w:r>
        <w:rPr/>
        <w:t>我们审计了福建顶点软件股份有限公司（以下简称顶点软件公司）财务报表，包括 </w:t>
      </w:r>
      <w:r>
        <w:rPr>
          <w:rFonts w:ascii="宋体" w:hAnsi="宋体" w:cs="宋体" w:eastAsia="宋体" w:hint="default"/>
        </w:rPr>
        <w:t>2017</w:t>
      </w:r>
      <w:r>
        <w:rPr>
          <w:rFonts w:ascii="宋体" w:hAnsi="宋体" w:cs="宋体" w:eastAsia="宋体" w:hint="default"/>
          <w:spacing w:val="-2"/>
        </w:rPr>
        <w:t> </w:t>
      </w:r>
      <w:r>
        <w:rPr/>
        <w:t>年</w:t>
      </w:r>
    </w:p>
    <w:p>
      <w:pPr>
        <w:pStyle w:val="BodyText"/>
        <w:spacing w:line="297" w:lineRule="auto" w:before="66"/>
        <w:ind w:left="138" w:right="208"/>
        <w:jc w:val="both"/>
      </w:pPr>
      <w:r>
        <w:rPr>
          <w:rFonts w:ascii="宋体" w:hAnsi="宋体" w:cs="宋体" w:eastAsia="宋体" w:hint="default"/>
        </w:rPr>
        <w:t>12</w:t>
      </w:r>
      <w:r>
        <w:rPr>
          <w:rFonts w:ascii="宋体" w:hAnsi="宋体" w:cs="宋体" w:eastAsia="宋体" w:hint="default"/>
          <w:spacing w:val="-52"/>
        </w:rPr>
        <w:t> </w:t>
      </w:r>
      <w:r>
        <w:rPr/>
        <w:t>月</w:t>
      </w:r>
      <w:r>
        <w:rPr>
          <w:spacing w:val="-52"/>
        </w:rPr>
        <w:t> </w:t>
      </w:r>
      <w:r>
        <w:rPr>
          <w:rFonts w:ascii="宋体" w:hAnsi="宋体" w:cs="宋体" w:eastAsia="宋体" w:hint="default"/>
        </w:rPr>
        <w:t>31</w:t>
      </w:r>
      <w:r>
        <w:rPr>
          <w:rFonts w:ascii="宋体" w:hAnsi="宋体" w:cs="宋体" w:eastAsia="宋体" w:hint="default"/>
          <w:spacing w:val="-52"/>
        </w:rPr>
        <w:t> </w:t>
      </w:r>
      <w:r>
        <w:rPr/>
        <w:t>日的合并及公司资产负债表，</w:t>
      </w:r>
      <w:r>
        <w:rPr>
          <w:rFonts w:ascii="宋体" w:hAnsi="宋体" w:cs="宋体" w:eastAsia="宋体" w:hint="default"/>
        </w:rPr>
        <w:t>2017</w:t>
      </w:r>
      <w:r>
        <w:rPr>
          <w:rFonts w:ascii="宋体" w:hAnsi="宋体" w:cs="宋体" w:eastAsia="宋体" w:hint="default"/>
          <w:spacing w:val="-52"/>
        </w:rPr>
        <w:t> </w:t>
      </w:r>
      <w:r>
        <w:rPr/>
        <w:t>年度的合并及公司利润表、合并及公司现金流量表、</w:t>
      </w:r>
      <w:r>
        <w:rPr>
          <w:w w:val="100"/>
        </w:rPr>
        <w:t> </w:t>
      </w:r>
      <w:r>
        <w:rPr/>
        <w:t>合并及公司股东权益变动表以及相关财务报表附注。</w:t>
      </w:r>
    </w:p>
    <w:p>
      <w:pPr>
        <w:pStyle w:val="BodyText"/>
        <w:spacing w:line="297" w:lineRule="auto" w:before="135"/>
        <w:ind w:left="138" w:right="208" w:firstLine="419"/>
        <w:jc w:val="both"/>
      </w:pPr>
      <w:r>
        <w:rPr>
          <w:spacing w:val="-1"/>
        </w:rPr>
        <w:t>我们认为，后附的财务报表在所有重大方面按照企业会计准则的规定编制，公允反映了顶点</w:t>
      </w:r>
      <w:r>
        <w:rPr>
          <w:spacing w:val="7"/>
          <w:w w:val="100"/>
        </w:rPr>
        <w:t> </w:t>
      </w:r>
      <w:r>
        <w:rPr>
          <w:spacing w:val="4"/>
        </w:rPr>
        <w:t>软件公司</w:t>
      </w:r>
      <w:r>
        <w:rPr>
          <w:spacing w:val="-47"/>
        </w:rPr>
        <w:t> </w:t>
      </w:r>
      <w:r>
        <w:rPr>
          <w:rFonts w:ascii="宋体" w:hAnsi="宋体" w:cs="宋体" w:eastAsia="宋体" w:hint="default"/>
        </w:rPr>
        <w:t>2017</w:t>
      </w:r>
      <w:r>
        <w:rPr>
          <w:rFonts w:ascii="宋体" w:hAnsi="宋体" w:cs="宋体" w:eastAsia="宋体" w:hint="default"/>
          <w:spacing w:val="-55"/>
        </w:rPr>
        <w:t> </w:t>
      </w:r>
      <w:r>
        <w:rPr/>
        <w:t>年</w:t>
      </w:r>
      <w:r>
        <w:rPr>
          <w:spacing w:val="-55"/>
        </w:rPr>
        <w:t> </w:t>
      </w:r>
      <w:r>
        <w:rPr>
          <w:rFonts w:ascii="宋体" w:hAnsi="宋体" w:cs="宋体" w:eastAsia="宋体" w:hint="default"/>
        </w:rPr>
        <w:t>12</w:t>
      </w:r>
      <w:r>
        <w:rPr>
          <w:rFonts w:ascii="宋体" w:hAnsi="宋体" w:cs="宋体" w:eastAsia="宋体" w:hint="default"/>
          <w:spacing w:val="-57"/>
        </w:rPr>
        <w:t> </w:t>
      </w:r>
      <w:r>
        <w:rPr/>
        <w:t>月</w:t>
      </w:r>
      <w:r>
        <w:rPr>
          <w:spacing w:val="-53"/>
        </w:rPr>
        <w:t> </w:t>
      </w:r>
      <w:r>
        <w:rPr>
          <w:rFonts w:ascii="宋体" w:hAnsi="宋体" w:cs="宋体" w:eastAsia="宋体" w:hint="default"/>
        </w:rPr>
        <w:t>31</w:t>
      </w:r>
      <w:r>
        <w:rPr>
          <w:rFonts w:ascii="宋体" w:hAnsi="宋体" w:cs="宋体" w:eastAsia="宋体" w:hint="default"/>
          <w:spacing w:val="-57"/>
        </w:rPr>
        <w:t> </w:t>
      </w:r>
      <w:r>
        <w:rPr/>
        <w:t>日的合并及公司财务状况以及</w:t>
      </w:r>
      <w:r>
        <w:rPr>
          <w:spacing w:val="-55"/>
        </w:rPr>
        <w:t> </w:t>
      </w:r>
      <w:r>
        <w:rPr>
          <w:rFonts w:ascii="宋体" w:hAnsi="宋体" w:cs="宋体" w:eastAsia="宋体" w:hint="default"/>
        </w:rPr>
        <w:t>2017</w:t>
      </w:r>
      <w:r>
        <w:rPr>
          <w:rFonts w:ascii="宋体" w:hAnsi="宋体" w:cs="宋体" w:eastAsia="宋体" w:hint="default"/>
          <w:spacing w:val="-57"/>
        </w:rPr>
        <w:t> </w:t>
      </w:r>
      <w:r>
        <w:rPr/>
        <w:t>年度的合并及公司的经营成果和现</w:t>
      </w:r>
      <w:r>
        <w:rPr>
          <w:w w:val="100"/>
        </w:rPr>
        <w:t> </w:t>
      </w:r>
      <w:r>
        <w:rPr/>
        <w:t>金流量。</w:t>
      </w:r>
    </w:p>
    <w:p>
      <w:pPr>
        <w:pStyle w:val="Heading3"/>
        <w:spacing w:line="240" w:lineRule="auto" w:before="133"/>
        <w:ind w:left="560" w:right="0"/>
        <w:jc w:val="left"/>
        <w:rPr>
          <w:b w:val="0"/>
          <w:bCs w:val="0"/>
        </w:rPr>
      </w:pPr>
      <w:r>
        <w:rPr/>
        <w:t>二、形成审计意见的基础</w:t>
      </w:r>
      <w:r>
        <w:rPr>
          <w:b w:val="0"/>
          <w:bCs w:val="0"/>
        </w:rPr>
      </w:r>
    </w:p>
    <w:p>
      <w:pPr>
        <w:spacing w:line="240" w:lineRule="auto" w:before="3"/>
        <w:rPr>
          <w:rFonts w:ascii="宋体" w:hAnsi="宋体" w:cs="宋体" w:eastAsia="宋体" w:hint="default"/>
          <w:b/>
          <w:bCs/>
          <w:sz w:val="14"/>
          <w:szCs w:val="14"/>
        </w:rPr>
      </w:pPr>
    </w:p>
    <w:p>
      <w:pPr>
        <w:pStyle w:val="BodyText"/>
        <w:spacing w:line="297" w:lineRule="auto"/>
        <w:ind w:left="138" w:right="209" w:firstLine="436"/>
        <w:jc w:val="both"/>
      </w:pPr>
      <w:r>
        <w:rPr>
          <w:spacing w:val="2"/>
        </w:rPr>
        <w:t>我们按照中国注册会计师审计准则的规定执行了审计工作。审计报告的“注册会计师对财</w:t>
      </w:r>
      <w:r>
        <w:rPr>
          <w:spacing w:val="7"/>
          <w:w w:val="100"/>
        </w:rPr>
        <w:t> </w:t>
      </w:r>
      <w:r>
        <w:rPr>
          <w:spacing w:val="3"/>
        </w:rPr>
        <w:t>务报表审计的责任”部分进一步阐述了我们在这些准则下的责任。按照中国注册会计师职业道</w:t>
      </w:r>
      <w:r>
        <w:rPr>
          <w:spacing w:val="-17"/>
        </w:rPr>
        <w:t> </w:t>
      </w:r>
      <w:r>
        <w:rPr>
          <w:spacing w:val="-17"/>
        </w:rPr>
      </w:r>
      <w:r>
        <w:rPr>
          <w:spacing w:val="2"/>
        </w:rPr>
        <w:t>德守则，我们独立于顶点软件公司，并履行了职业道德方面的其他责任。我们相信，我们获取</w:t>
      </w:r>
      <w:r>
        <w:rPr>
          <w:spacing w:val="-10"/>
        </w:rPr>
        <w:t> </w:t>
      </w:r>
      <w:r>
        <w:rPr>
          <w:spacing w:val="-10"/>
        </w:rPr>
      </w:r>
      <w:r>
        <w:rPr>
          <w:spacing w:val="5"/>
        </w:rPr>
        <w:t>的审计证据是充分、适当的，为发表审计意见提供了基础。</w:t>
      </w:r>
      <w:r>
        <w:rPr/>
      </w:r>
    </w:p>
    <w:p>
      <w:pPr>
        <w:pStyle w:val="Heading3"/>
        <w:spacing w:line="240" w:lineRule="auto" w:before="135"/>
        <w:ind w:left="560" w:right="0"/>
        <w:jc w:val="left"/>
        <w:rPr>
          <w:b w:val="0"/>
          <w:bCs w:val="0"/>
        </w:rPr>
      </w:pPr>
      <w:r>
        <w:rPr/>
        <w:t>三、关键审计事项</w:t>
      </w:r>
      <w:r>
        <w:rPr>
          <w:b w:val="0"/>
          <w:bCs w:val="0"/>
        </w:rPr>
      </w:r>
    </w:p>
    <w:p>
      <w:pPr>
        <w:spacing w:line="240" w:lineRule="auto" w:before="3"/>
        <w:rPr>
          <w:rFonts w:ascii="宋体" w:hAnsi="宋体" w:cs="宋体" w:eastAsia="宋体" w:hint="default"/>
          <w:b/>
          <w:bCs/>
          <w:sz w:val="14"/>
          <w:szCs w:val="14"/>
        </w:rPr>
      </w:pPr>
    </w:p>
    <w:p>
      <w:pPr>
        <w:pStyle w:val="BodyText"/>
        <w:spacing w:line="240" w:lineRule="auto"/>
        <w:ind w:left="574" w:right="0"/>
        <w:jc w:val="left"/>
      </w:pPr>
      <w:r>
        <w:rPr>
          <w:spacing w:val="2"/>
        </w:rPr>
        <w:t>关键审计事项是我们根据职业判断，认为对本期财务报表审计最为重要的事项。这些事项</w:t>
      </w:r>
      <w:r>
        <w:rPr/>
      </w:r>
    </w:p>
    <w:p>
      <w:pPr>
        <w:pStyle w:val="BodyText"/>
        <w:spacing w:line="240" w:lineRule="auto" w:before="63"/>
        <w:ind w:left="138" w:right="0"/>
        <w:jc w:val="both"/>
      </w:pPr>
      <w:r>
        <w:rPr>
          <w:spacing w:val="4"/>
        </w:rPr>
        <w:t>的应对以对财务报表整体进行审计并形成审计意见为背景，我们不对这些事项单独发表意见。</w:t>
      </w:r>
    </w:p>
    <w:p>
      <w:pPr>
        <w:spacing w:line="240" w:lineRule="auto" w:before="3"/>
        <w:rPr>
          <w:rFonts w:ascii="宋体" w:hAnsi="宋体" w:cs="宋体" w:eastAsia="宋体" w:hint="default"/>
          <w:sz w:val="14"/>
          <w:szCs w:val="14"/>
        </w:rPr>
      </w:pPr>
    </w:p>
    <w:p>
      <w:pPr>
        <w:pStyle w:val="BodyText"/>
        <w:spacing w:line="240" w:lineRule="auto"/>
        <w:ind w:left="574" w:right="0"/>
        <w:jc w:val="left"/>
      </w:pPr>
      <w:r>
        <w:rPr>
          <w:spacing w:val="6"/>
        </w:rPr>
        <w:t>（一）收入确认</w:t>
      </w:r>
      <w:r>
        <w:rPr/>
      </w:r>
    </w:p>
    <w:p>
      <w:pPr>
        <w:spacing w:line="240" w:lineRule="auto" w:before="3"/>
        <w:rPr>
          <w:rFonts w:ascii="宋体" w:hAnsi="宋体" w:cs="宋体" w:eastAsia="宋体" w:hint="default"/>
          <w:sz w:val="14"/>
          <w:szCs w:val="14"/>
        </w:rPr>
      </w:pPr>
    </w:p>
    <w:p>
      <w:pPr>
        <w:pStyle w:val="BodyText"/>
        <w:spacing w:line="403" w:lineRule="auto"/>
        <w:ind w:left="574" w:right="0"/>
        <w:jc w:val="left"/>
      </w:pPr>
      <w:r>
        <w:rPr>
          <w:spacing w:val="4"/>
        </w:rPr>
        <w:t>相关信息披露详见财务报表附注三</w:t>
      </w:r>
      <w:r>
        <w:rPr>
          <w:rFonts w:ascii="宋体" w:hAnsi="宋体" w:cs="宋体" w:eastAsia="宋体" w:hint="default"/>
          <w:spacing w:val="4"/>
        </w:rPr>
        <w:t>-20</w:t>
      </w:r>
      <w:r>
        <w:rPr>
          <w:rFonts w:ascii="宋体" w:hAnsi="宋体" w:cs="宋体" w:eastAsia="宋体" w:hint="default"/>
          <w:spacing w:val="-6"/>
        </w:rPr>
        <w:t> </w:t>
      </w:r>
      <w:r>
        <w:rPr>
          <w:spacing w:val="4"/>
        </w:rPr>
        <w:t>收入、附注五</w:t>
      </w:r>
      <w:r>
        <w:rPr>
          <w:rFonts w:ascii="宋体" w:hAnsi="宋体" w:cs="宋体" w:eastAsia="宋体" w:hint="default"/>
          <w:spacing w:val="4"/>
        </w:rPr>
        <w:t>-24</w:t>
      </w:r>
      <w:r>
        <w:rPr>
          <w:rFonts w:ascii="宋体" w:hAnsi="宋体" w:cs="宋体" w:eastAsia="宋体" w:hint="default"/>
          <w:spacing w:val="-6"/>
        </w:rPr>
        <w:t> </w:t>
      </w:r>
      <w:r>
        <w:rPr>
          <w:spacing w:val="5"/>
        </w:rPr>
        <w:t>营业收入和营业成本。</w:t>
      </w:r>
      <w:r>
        <w:rPr>
          <w:spacing w:val="-91"/>
        </w:rPr>
        <w:t> </w:t>
      </w:r>
      <w:r>
        <w:rPr>
          <w:spacing w:val="-91"/>
        </w:rPr>
      </w:r>
      <w:r>
        <w:rPr>
          <w:rFonts w:ascii="宋体" w:hAnsi="宋体" w:cs="宋体" w:eastAsia="宋体" w:hint="default"/>
          <w:spacing w:val="5"/>
        </w:rPr>
        <w:t>1</w:t>
      </w:r>
      <w:r>
        <w:rPr>
          <w:spacing w:val="5"/>
        </w:rPr>
        <w:t>、事项描述</w:t>
      </w:r>
      <w:r>
        <w:rPr/>
      </w:r>
    </w:p>
    <w:p>
      <w:pPr>
        <w:pStyle w:val="BodyText"/>
        <w:spacing w:line="297" w:lineRule="auto" w:before="43"/>
        <w:ind w:left="138" w:right="0" w:firstLine="436"/>
        <w:jc w:val="left"/>
      </w:pPr>
      <w:r>
        <w:rPr>
          <w:spacing w:val="5"/>
        </w:rPr>
        <w:t>顶点软件公司的收入主要来源于向券商等客户提供软件开发业务。</w:t>
      </w:r>
      <w:r>
        <w:rPr>
          <w:rFonts w:ascii="宋体" w:hAnsi="宋体" w:cs="宋体" w:eastAsia="宋体" w:hint="default"/>
          <w:spacing w:val="5"/>
        </w:rPr>
        <w:t>2017</w:t>
      </w:r>
      <w:r>
        <w:rPr>
          <w:rFonts w:ascii="宋体" w:hAnsi="宋体" w:cs="宋体" w:eastAsia="宋体" w:hint="default"/>
          <w:spacing w:val="86"/>
        </w:rPr>
        <w:t> </w:t>
      </w:r>
      <w:r>
        <w:rPr>
          <w:spacing w:val="6"/>
        </w:rPr>
        <w:t>年度软件开发业</w:t>
      </w:r>
      <w:r>
        <w:rPr>
          <w:spacing w:val="7"/>
          <w:w w:val="100"/>
        </w:rPr>
        <w:t> </w:t>
      </w:r>
      <w:r>
        <w:rPr>
          <w:spacing w:val="4"/>
        </w:rPr>
        <w:t>务收入为 </w:t>
      </w:r>
      <w:r>
        <w:rPr>
          <w:rFonts w:ascii="宋体" w:hAnsi="宋体" w:cs="宋体" w:eastAsia="宋体" w:hint="default"/>
          <w:spacing w:val="2"/>
        </w:rPr>
        <w:t>194,687,735.03 </w:t>
      </w:r>
      <w:r>
        <w:rPr>
          <w:spacing w:val="2"/>
        </w:rPr>
        <w:t>元，占顶点软件公司营业收入的</w:t>
      </w:r>
      <w:r>
        <w:rPr>
          <w:spacing w:val="-32"/>
        </w:rPr>
        <w:t> </w:t>
      </w:r>
      <w:r>
        <w:rPr>
          <w:rFonts w:ascii="宋体" w:hAnsi="宋体" w:cs="宋体" w:eastAsia="宋体" w:hint="default"/>
          <w:spacing w:val="2"/>
        </w:rPr>
        <w:t>79.86%</w:t>
      </w:r>
      <w:r>
        <w:rPr>
          <w:spacing w:val="2"/>
        </w:rPr>
        <w:t>。顶点软件公司对于产品化</w:t>
      </w:r>
    </w:p>
    <w:p>
      <w:pPr>
        <w:pStyle w:val="BodyText"/>
        <w:spacing w:line="297" w:lineRule="auto" w:before="13"/>
        <w:ind w:left="138" w:right="0"/>
        <w:jc w:val="left"/>
      </w:pPr>
      <w:r>
        <w:rPr>
          <w:spacing w:val="5"/>
        </w:rPr>
        <w:t>软件开发业务、定制软件开发业务以及系统集成业务均需在产品已交付并完成安装和试运行，</w:t>
      </w:r>
      <w:r>
        <w:rPr>
          <w:spacing w:val="16"/>
        </w:rPr>
        <w:t> </w:t>
      </w:r>
      <w:r>
        <w:rPr>
          <w:spacing w:val="16"/>
        </w:rPr>
      </w:r>
      <w:r>
        <w:rPr>
          <w:spacing w:val="2"/>
        </w:rPr>
        <w:t>在取得客户验收时确认收入。由于软件开发业务收入是顶点软件公司关键业绩指标之一，相关</w:t>
      </w:r>
    </w:p>
    <w:p>
      <w:pPr>
        <w:pStyle w:val="BodyText"/>
        <w:spacing w:line="297" w:lineRule="auto" w:before="15"/>
        <w:ind w:left="138" w:right="209"/>
        <w:jc w:val="both"/>
      </w:pPr>
      <w:r>
        <w:rPr>
          <w:spacing w:val="4"/>
          <w:w w:val="100"/>
        </w:rPr>
        <w:t>验收单据由分布在国内不同地区的众多券商等客户提供，因此客户的验收时点和收入确认时点</w:t>
      </w:r>
      <w:r>
        <w:rPr>
          <w:spacing w:val="7"/>
          <w:w w:val="100"/>
        </w:rPr>
        <w:t> </w:t>
      </w:r>
      <w:r>
        <w:rPr>
          <w:spacing w:val="2"/>
        </w:rPr>
        <w:t>可能存在差异，进而可能存在销售收入未在恰当期间确认的风险。因此我们将收入确认识别为</w:t>
      </w:r>
      <w:r>
        <w:rPr>
          <w:spacing w:val="-15"/>
        </w:rPr>
        <w:t> </w:t>
      </w:r>
      <w:r>
        <w:rPr>
          <w:spacing w:val="-15"/>
        </w:rPr>
      </w:r>
      <w:r>
        <w:rPr>
          <w:spacing w:val="6"/>
        </w:rPr>
        <w:t>关键审计事项。</w:t>
      </w:r>
      <w:r>
        <w:rPr/>
      </w:r>
    </w:p>
    <w:p>
      <w:pPr>
        <w:pStyle w:val="BodyText"/>
        <w:spacing w:line="240" w:lineRule="auto" w:before="135"/>
        <w:ind w:left="574" w:right="0"/>
        <w:jc w:val="left"/>
      </w:pPr>
      <w:r>
        <w:rPr>
          <w:rFonts w:ascii="宋体" w:hAnsi="宋体" w:cs="宋体" w:eastAsia="宋体" w:hint="default"/>
          <w:spacing w:val="5"/>
        </w:rPr>
        <w:t>2</w:t>
      </w:r>
      <w:r>
        <w:rPr>
          <w:spacing w:val="5"/>
        </w:rPr>
        <w:t>、审计应对</w:t>
      </w:r>
      <w:r>
        <w:rPr/>
      </w:r>
    </w:p>
    <w:p>
      <w:pPr>
        <w:spacing w:line="240" w:lineRule="auto" w:before="3"/>
        <w:rPr>
          <w:rFonts w:ascii="宋体" w:hAnsi="宋体" w:cs="宋体" w:eastAsia="宋体" w:hint="default"/>
          <w:sz w:val="14"/>
          <w:szCs w:val="14"/>
        </w:rPr>
      </w:pPr>
    </w:p>
    <w:p>
      <w:pPr>
        <w:pStyle w:val="BodyText"/>
        <w:spacing w:line="240" w:lineRule="auto"/>
        <w:ind w:left="574" w:right="0"/>
        <w:jc w:val="left"/>
      </w:pPr>
      <w:r>
        <w:rPr>
          <w:spacing w:val="5"/>
        </w:rPr>
        <w:t>我们针对这一关键审计事项实施的审计程序主要包括：</w:t>
      </w:r>
      <w:r>
        <w:rPr/>
      </w:r>
    </w:p>
    <w:p>
      <w:pPr>
        <w:spacing w:line="240" w:lineRule="auto" w:before="0"/>
        <w:rPr>
          <w:rFonts w:ascii="宋体" w:hAnsi="宋体" w:cs="宋体" w:eastAsia="宋体" w:hint="default"/>
          <w:sz w:val="14"/>
          <w:szCs w:val="14"/>
        </w:rPr>
      </w:pPr>
    </w:p>
    <w:p>
      <w:pPr>
        <w:pStyle w:val="BodyText"/>
        <w:spacing w:line="240" w:lineRule="auto"/>
        <w:ind w:left="574" w:right="0"/>
        <w:jc w:val="left"/>
      </w:pPr>
      <w:r>
        <w:rPr>
          <w:spacing w:val="5"/>
        </w:rPr>
        <w:t>（</w:t>
      </w:r>
      <w:r>
        <w:rPr>
          <w:rFonts w:ascii="宋体" w:hAnsi="宋体" w:cs="宋体" w:eastAsia="宋体" w:hint="default"/>
          <w:spacing w:val="5"/>
        </w:rPr>
        <w:t>1</w:t>
      </w:r>
      <w:r>
        <w:rPr>
          <w:spacing w:val="5"/>
        </w:rPr>
        <w:t>）了解、评估顶点软件公司相关内部控制，并测试其运行有效性；</w:t>
      </w:r>
      <w:r>
        <w:rPr/>
      </w:r>
    </w:p>
    <w:p>
      <w:pPr>
        <w:spacing w:line="240" w:lineRule="auto" w:before="3"/>
        <w:rPr>
          <w:rFonts w:ascii="宋体" w:hAnsi="宋体" w:cs="宋体" w:eastAsia="宋体" w:hint="default"/>
          <w:sz w:val="14"/>
          <w:szCs w:val="14"/>
        </w:rPr>
      </w:pPr>
    </w:p>
    <w:p>
      <w:pPr>
        <w:pStyle w:val="BodyText"/>
        <w:spacing w:line="297" w:lineRule="auto"/>
        <w:ind w:left="138" w:right="0" w:firstLine="436"/>
        <w:jc w:val="left"/>
      </w:pPr>
      <w:r>
        <w:rPr>
          <w:spacing w:val="5"/>
        </w:rPr>
        <w:t>（</w:t>
      </w:r>
      <w:r>
        <w:rPr>
          <w:rFonts w:ascii="宋体" w:hAnsi="宋体" w:cs="宋体" w:eastAsia="宋体" w:hint="default"/>
          <w:spacing w:val="5"/>
        </w:rPr>
        <w:t>2</w:t>
      </w:r>
      <w:r>
        <w:rPr>
          <w:spacing w:val="5"/>
        </w:rPr>
        <w:t>）通过检查软件开发合同及与管理层的访谈，了解和评估了顶点软件公司的收入确认</w:t>
      </w:r>
      <w:r>
        <w:rPr>
          <w:spacing w:val="7"/>
          <w:w w:val="100"/>
        </w:rPr>
        <w:t> </w:t>
      </w:r>
      <w:r>
        <w:rPr>
          <w:spacing w:val="6"/>
        </w:rPr>
        <w:t>政策；</w:t>
      </w:r>
      <w:r>
        <w:rPr/>
      </w:r>
    </w:p>
    <w:p>
      <w:pPr>
        <w:pStyle w:val="BodyText"/>
        <w:spacing w:line="297" w:lineRule="auto" w:before="135"/>
        <w:ind w:left="138" w:right="0" w:firstLine="436"/>
        <w:jc w:val="left"/>
      </w:pPr>
      <w:r>
        <w:rPr>
          <w:spacing w:val="5"/>
        </w:rPr>
        <w:t>（</w:t>
      </w:r>
      <w:r>
        <w:rPr>
          <w:rFonts w:ascii="宋体" w:hAnsi="宋体" w:cs="宋体" w:eastAsia="宋体" w:hint="default"/>
          <w:spacing w:val="5"/>
        </w:rPr>
        <w:t>3</w:t>
      </w:r>
      <w:r>
        <w:rPr>
          <w:spacing w:val="5"/>
        </w:rPr>
        <w:t>）针对券商等客户的销售收入进行了抽样测试，核对至相关软件开发合同中风险及报</w:t>
      </w:r>
      <w:r>
        <w:rPr>
          <w:spacing w:val="7"/>
          <w:w w:val="100"/>
        </w:rPr>
        <w:t> </w:t>
      </w:r>
      <w:r>
        <w:rPr>
          <w:spacing w:val="5"/>
        </w:rPr>
        <w:t>酬条款和客户提供的验收单据等支持性文件；</w:t>
      </w:r>
      <w:r>
        <w:rPr/>
      </w:r>
    </w:p>
    <w:p>
      <w:pPr>
        <w:pStyle w:val="BodyText"/>
        <w:spacing w:line="295" w:lineRule="auto" w:before="135"/>
        <w:ind w:left="138" w:right="0" w:firstLine="436"/>
        <w:jc w:val="left"/>
      </w:pPr>
      <w:r>
        <w:rPr>
          <w:spacing w:val="5"/>
        </w:rPr>
        <w:t>（</w:t>
      </w:r>
      <w:r>
        <w:rPr>
          <w:rFonts w:ascii="宋体" w:hAnsi="宋体" w:cs="宋体" w:eastAsia="宋体" w:hint="default"/>
          <w:spacing w:val="5"/>
        </w:rPr>
        <w:t>4</w:t>
      </w:r>
      <w:r>
        <w:rPr>
          <w:spacing w:val="5"/>
        </w:rPr>
        <w:t>）通过检查合同中风险及报酬条款相关约定可评价收入确认是否符合企业会计准则及</w:t>
      </w:r>
      <w:r>
        <w:rPr>
          <w:spacing w:val="7"/>
          <w:w w:val="100"/>
        </w:rPr>
        <w:t> </w:t>
      </w:r>
      <w:r>
        <w:rPr>
          <w:spacing w:val="6"/>
        </w:rPr>
        <w:t>收入确认政策；</w:t>
      </w:r>
      <w:r>
        <w:rPr/>
      </w:r>
    </w:p>
    <w:p>
      <w:pPr>
        <w:pStyle w:val="BodyText"/>
        <w:spacing w:line="240" w:lineRule="auto" w:before="138"/>
        <w:ind w:left="574" w:right="0"/>
        <w:jc w:val="left"/>
      </w:pPr>
      <w:r>
        <w:rPr>
          <w:spacing w:val="5"/>
        </w:rPr>
        <w:t>（</w:t>
      </w:r>
      <w:r>
        <w:rPr>
          <w:rFonts w:ascii="宋体" w:hAnsi="宋体" w:cs="宋体" w:eastAsia="宋体" w:hint="default"/>
          <w:spacing w:val="5"/>
        </w:rPr>
        <w:t>5</w:t>
      </w:r>
      <w:r>
        <w:rPr>
          <w:spacing w:val="5"/>
        </w:rPr>
        <w:t>）选取样本对合同金额、已收款项、已结算开票金额、是否已验收等实施函证；</w:t>
      </w:r>
      <w:r>
        <w:rPr/>
      </w:r>
    </w:p>
    <w:p>
      <w:pPr>
        <w:spacing w:after="0" w:line="240" w:lineRule="auto"/>
        <w:jc w:val="left"/>
        <w:sectPr>
          <w:pgSz w:w="11910" w:h="16840"/>
          <w:pgMar w:header="857" w:footer="1195" w:top="1320" w:bottom="1380" w:left="1660" w:right="1060"/>
        </w:sectPr>
      </w:pPr>
    </w:p>
    <w:p>
      <w:pPr>
        <w:spacing w:line="240" w:lineRule="auto" w:before="4"/>
        <w:rPr>
          <w:rFonts w:ascii="宋体" w:hAnsi="宋体" w:cs="宋体" w:eastAsia="宋体" w:hint="default"/>
          <w:sz w:val="9"/>
          <w:szCs w:val="9"/>
        </w:rPr>
      </w:pPr>
    </w:p>
    <w:p>
      <w:pPr>
        <w:pStyle w:val="BodyText"/>
        <w:spacing w:line="297" w:lineRule="auto" w:before="36"/>
        <w:ind w:left="138" w:right="0" w:firstLine="436"/>
        <w:jc w:val="left"/>
      </w:pPr>
      <w:r>
        <w:rPr>
          <w:spacing w:val="5"/>
        </w:rPr>
        <w:t>（</w:t>
      </w:r>
      <w:r>
        <w:rPr>
          <w:rFonts w:ascii="宋体" w:hAnsi="宋体" w:cs="宋体" w:eastAsia="宋体" w:hint="default"/>
          <w:spacing w:val="5"/>
        </w:rPr>
        <w:t>6</w:t>
      </w:r>
      <w:r>
        <w:rPr>
          <w:spacing w:val="5"/>
        </w:rPr>
        <w:t>）对资产负债表日前后确认的收入核对至验收单据等支持性文件，以评价销售收入是</w:t>
      </w:r>
      <w:r>
        <w:rPr>
          <w:spacing w:val="7"/>
          <w:w w:val="100"/>
        </w:rPr>
        <w:t> </w:t>
      </w:r>
      <w:r>
        <w:rPr>
          <w:spacing w:val="6"/>
        </w:rPr>
        <w:t>否计入恰当的期间。</w:t>
      </w:r>
      <w:r>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pStyle w:val="BodyText"/>
        <w:spacing w:line="240" w:lineRule="auto"/>
        <w:ind w:left="574" w:right="0"/>
        <w:jc w:val="left"/>
      </w:pPr>
      <w:r>
        <w:rPr>
          <w:spacing w:val="5"/>
        </w:rPr>
        <w:t>（二）理财产品的确认</w:t>
      </w:r>
    </w:p>
    <w:p>
      <w:pPr>
        <w:spacing w:line="240" w:lineRule="auto" w:before="3"/>
        <w:rPr>
          <w:rFonts w:ascii="宋体" w:hAnsi="宋体" w:cs="宋体" w:eastAsia="宋体" w:hint="default"/>
          <w:sz w:val="14"/>
          <w:szCs w:val="14"/>
        </w:rPr>
      </w:pPr>
    </w:p>
    <w:p>
      <w:pPr>
        <w:pStyle w:val="BodyText"/>
        <w:spacing w:line="403" w:lineRule="auto"/>
        <w:ind w:left="574" w:right="1400"/>
        <w:jc w:val="left"/>
      </w:pPr>
      <w:r>
        <w:rPr>
          <w:spacing w:val="5"/>
        </w:rPr>
        <w:t>相关信息披露详见财务报表附注五</w:t>
      </w:r>
      <w:r>
        <w:rPr>
          <w:rFonts w:ascii="宋体" w:hAnsi="宋体" w:cs="宋体" w:eastAsia="宋体" w:hint="default"/>
          <w:spacing w:val="5"/>
        </w:rPr>
        <w:t>-7</w:t>
      </w:r>
      <w:r>
        <w:rPr>
          <w:rFonts w:ascii="宋体" w:hAnsi="宋体" w:cs="宋体" w:eastAsia="宋体" w:hint="default"/>
          <w:spacing w:val="-20"/>
        </w:rPr>
        <w:t> </w:t>
      </w:r>
      <w:r>
        <w:rPr>
          <w:spacing w:val="4"/>
        </w:rPr>
        <w:t>其他流动资产、五</w:t>
      </w:r>
      <w:r>
        <w:rPr>
          <w:rFonts w:ascii="宋体" w:hAnsi="宋体" w:cs="宋体" w:eastAsia="宋体" w:hint="default"/>
          <w:spacing w:val="4"/>
        </w:rPr>
        <w:t>-30</w:t>
      </w:r>
      <w:r>
        <w:rPr>
          <w:rFonts w:ascii="宋体" w:hAnsi="宋体" w:cs="宋体" w:eastAsia="宋体" w:hint="default"/>
          <w:spacing w:val="-20"/>
        </w:rPr>
        <w:t> </w:t>
      </w:r>
      <w:r>
        <w:rPr>
          <w:spacing w:val="6"/>
        </w:rPr>
        <w:t>投资收益。</w:t>
      </w:r>
      <w:r>
        <w:rPr>
          <w:spacing w:val="-94"/>
        </w:rPr>
        <w:t> </w:t>
      </w:r>
      <w:r>
        <w:rPr>
          <w:rFonts w:ascii="宋体" w:hAnsi="宋体" w:cs="宋体" w:eastAsia="宋体" w:hint="default"/>
          <w:spacing w:val="5"/>
        </w:rPr>
        <w:t>1</w:t>
      </w:r>
      <w:r>
        <w:rPr>
          <w:spacing w:val="5"/>
        </w:rPr>
        <w:t>、事项描述</w:t>
      </w:r>
      <w:r>
        <w:rPr/>
      </w:r>
    </w:p>
    <w:p>
      <w:pPr>
        <w:pStyle w:val="BodyText"/>
        <w:spacing w:line="240" w:lineRule="auto" w:before="40"/>
        <w:ind w:left="574" w:right="0"/>
        <w:jc w:val="left"/>
      </w:pPr>
      <w:r>
        <w:rPr>
          <w:rFonts w:ascii="宋体" w:hAnsi="宋体" w:cs="宋体" w:eastAsia="宋体" w:hint="default"/>
        </w:rPr>
        <w:t>2017</w:t>
      </w:r>
      <w:r>
        <w:rPr>
          <w:rFonts w:ascii="宋体" w:hAnsi="宋体" w:cs="宋体" w:eastAsia="宋体" w:hint="default"/>
          <w:spacing w:val="-32"/>
        </w:rPr>
        <w:t> </w:t>
      </w:r>
      <w:r>
        <w:rPr/>
        <w:t>年</w:t>
      </w:r>
      <w:r>
        <w:rPr>
          <w:spacing w:val="-27"/>
        </w:rPr>
        <w:t> </w:t>
      </w:r>
      <w:r>
        <w:rPr>
          <w:rFonts w:ascii="宋体" w:hAnsi="宋体" w:cs="宋体" w:eastAsia="宋体" w:hint="default"/>
        </w:rPr>
        <w:t>12</w:t>
      </w:r>
      <w:r>
        <w:rPr>
          <w:rFonts w:ascii="宋体" w:hAnsi="宋体" w:cs="宋体" w:eastAsia="宋体" w:hint="default"/>
          <w:spacing w:val="-33"/>
        </w:rPr>
        <w:t> </w:t>
      </w:r>
      <w:r>
        <w:rPr/>
        <w:t>月</w:t>
      </w:r>
      <w:r>
        <w:rPr>
          <w:spacing w:val="-27"/>
        </w:rPr>
        <w:t> </w:t>
      </w:r>
      <w:r>
        <w:rPr>
          <w:rFonts w:ascii="宋体" w:hAnsi="宋体" w:cs="宋体" w:eastAsia="宋体" w:hint="default"/>
        </w:rPr>
        <w:t>31</w:t>
      </w:r>
      <w:r>
        <w:rPr>
          <w:rFonts w:ascii="宋体" w:hAnsi="宋体" w:cs="宋体" w:eastAsia="宋体" w:hint="default"/>
          <w:spacing w:val="-32"/>
        </w:rPr>
        <w:t> </w:t>
      </w:r>
      <w:r>
        <w:rPr>
          <w:spacing w:val="2"/>
        </w:rPr>
        <w:t>日，顶点软件公司理财产品余额为</w:t>
      </w:r>
      <w:r>
        <w:rPr>
          <w:spacing w:val="-26"/>
        </w:rPr>
        <w:t> </w:t>
      </w:r>
      <w:r>
        <w:rPr>
          <w:rFonts w:ascii="宋体" w:hAnsi="宋体" w:cs="宋体" w:eastAsia="宋体" w:hint="default"/>
        </w:rPr>
        <w:t>6.00</w:t>
      </w:r>
      <w:r>
        <w:rPr>
          <w:rFonts w:ascii="宋体" w:hAnsi="宋体" w:cs="宋体" w:eastAsia="宋体" w:hint="default"/>
          <w:spacing w:val="-32"/>
        </w:rPr>
        <w:t> </w:t>
      </w:r>
      <w:r>
        <w:rPr>
          <w:spacing w:val="2"/>
        </w:rPr>
        <w:t>亿元，占顶点软件公司总资产的</w:t>
      </w:r>
    </w:p>
    <w:p>
      <w:pPr>
        <w:pStyle w:val="BodyText"/>
        <w:spacing w:line="297" w:lineRule="auto" w:before="66"/>
        <w:ind w:left="138" w:right="128"/>
        <w:jc w:val="both"/>
      </w:pPr>
      <w:r>
        <w:rPr>
          <w:rFonts w:ascii="宋体" w:hAnsi="宋体" w:cs="宋体" w:eastAsia="宋体" w:hint="default"/>
          <w:spacing w:val="3"/>
        </w:rPr>
        <w:t>51.80%</w:t>
      </w:r>
      <w:r>
        <w:rPr>
          <w:spacing w:val="3"/>
        </w:rPr>
        <w:t>。理财产品相关投资收益为 </w:t>
      </w:r>
      <w:r>
        <w:rPr>
          <w:rFonts w:ascii="宋体" w:hAnsi="宋体" w:cs="宋体" w:eastAsia="宋体" w:hint="default"/>
          <w:spacing w:val="2"/>
        </w:rPr>
        <w:t>13,066,725.74 </w:t>
      </w:r>
      <w:r>
        <w:rPr>
          <w:spacing w:val="5"/>
        </w:rPr>
        <w:t>元，占本年利润总额的 </w:t>
      </w:r>
      <w:r>
        <w:rPr>
          <w:rFonts w:ascii="宋体" w:hAnsi="宋体" w:cs="宋体" w:eastAsia="宋体" w:hint="default"/>
          <w:spacing w:val="4"/>
        </w:rPr>
        <w:t>12.07%</w:t>
      </w:r>
      <w:r>
        <w:rPr>
          <w:spacing w:val="4"/>
        </w:rPr>
        <w:t>。理财产品</w:t>
      </w:r>
      <w:r>
        <w:rPr>
          <w:spacing w:val="-85"/>
        </w:rPr>
        <w:t> </w:t>
      </w:r>
      <w:r>
        <w:rPr>
          <w:spacing w:val="5"/>
        </w:rPr>
        <w:t>期末余额较大，为顶点软件公司的重要资产，理财产品投资收益为顶点软件公司 </w:t>
      </w:r>
      <w:r>
        <w:rPr>
          <w:rFonts w:ascii="宋体" w:hAnsi="宋体" w:cs="宋体" w:eastAsia="宋体" w:hint="default"/>
        </w:rPr>
        <w:t>2017 </w:t>
      </w:r>
      <w:r>
        <w:rPr>
          <w:spacing w:val="6"/>
        </w:rPr>
        <w:t>年度主</w:t>
      </w:r>
      <w:r>
        <w:rPr>
          <w:spacing w:val="-94"/>
        </w:rPr>
        <w:t> </w:t>
      </w:r>
      <w:r>
        <w:rPr>
          <w:spacing w:val="3"/>
        </w:rPr>
        <w:t>要利润来源之一，且理财产品的发行方涉及多家银行及证券公司，可能存在理财产品未真实存</w:t>
      </w:r>
      <w:r>
        <w:rPr>
          <w:spacing w:val="-17"/>
        </w:rPr>
        <w:t> </w:t>
      </w:r>
      <w:r>
        <w:rPr>
          <w:spacing w:val="-17"/>
        </w:rPr>
      </w:r>
      <w:r>
        <w:rPr>
          <w:spacing w:val="5"/>
        </w:rPr>
        <w:t>在的风险。因此我们将理财产品的确认识别为关键审计事项。</w:t>
      </w:r>
      <w:r>
        <w:rPr/>
      </w:r>
    </w:p>
    <w:p>
      <w:pPr>
        <w:pStyle w:val="BodyText"/>
        <w:spacing w:line="240" w:lineRule="auto" w:before="135"/>
        <w:ind w:left="574" w:right="0"/>
        <w:jc w:val="left"/>
      </w:pPr>
      <w:r>
        <w:rPr>
          <w:rFonts w:ascii="宋体" w:hAnsi="宋体" w:cs="宋体" w:eastAsia="宋体" w:hint="default"/>
          <w:spacing w:val="5"/>
        </w:rPr>
        <w:t>2</w:t>
      </w:r>
      <w:r>
        <w:rPr>
          <w:spacing w:val="5"/>
        </w:rPr>
        <w:t>、审计应对</w:t>
      </w:r>
      <w:r>
        <w:rPr/>
      </w:r>
    </w:p>
    <w:p>
      <w:pPr>
        <w:spacing w:line="240" w:lineRule="auto" w:before="3"/>
        <w:rPr>
          <w:rFonts w:ascii="宋体" w:hAnsi="宋体" w:cs="宋体" w:eastAsia="宋体" w:hint="default"/>
          <w:sz w:val="14"/>
          <w:szCs w:val="14"/>
        </w:rPr>
      </w:pPr>
    </w:p>
    <w:p>
      <w:pPr>
        <w:pStyle w:val="BodyText"/>
        <w:spacing w:line="240" w:lineRule="auto"/>
        <w:ind w:left="574" w:right="0"/>
        <w:jc w:val="left"/>
      </w:pPr>
      <w:r>
        <w:rPr>
          <w:spacing w:val="5"/>
        </w:rPr>
        <w:t>我们针对这一关键审计事项实施的审计程序主要包括：</w:t>
      </w:r>
      <w:r>
        <w:rPr/>
      </w:r>
    </w:p>
    <w:p>
      <w:pPr>
        <w:spacing w:line="240" w:lineRule="auto" w:before="0"/>
        <w:rPr>
          <w:rFonts w:ascii="宋体" w:hAnsi="宋体" w:cs="宋体" w:eastAsia="宋体" w:hint="default"/>
          <w:sz w:val="14"/>
          <w:szCs w:val="14"/>
        </w:rPr>
      </w:pPr>
    </w:p>
    <w:p>
      <w:pPr>
        <w:pStyle w:val="BodyText"/>
        <w:spacing w:line="240" w:lineRule="auto"/>
        <w:ind w:left="574" w:right="0"/>
        <w:jc w:val="left"/>
      </w:pPr>
      <w:r>
        <w:rPr>
          <w:spacing w:val="5"/>
        </w:rPr>
        <w:t>（</w:t>
      </w:r>
      <w:r>
        <w:rPr>
          <w:rFonts w:ascii="宋体" w:hAnsi="宋体" w:cs="宋体" w:eastAsia="宋体" w:hint="default"/>
          <w:spacing w:val="5"/>
        </w:rPr>
        <w:t>1</w:t>
      </w:r>
      <w:r>
        <w:rPr>
          <w:spacing w:val="5"/>
        </w:rPr>
        <w:t>）了解、评估顶点软件公司相关内部控制，并测试其运行有效性；</w:t>
      </w:r>
      <w:r>
        <w:rPr/>
      </w:r>
    </w:p>
    <w:p>
      <w:pPr>
        <w:spacing w:line="240" w:lineRule="auto" w:before="3"/>
        <w:rPr>
          <w:rFonts w:ascii="宋体" w:hAnsi="宋体" w:cs="宋体" w:eastAsia="宋体" w:hint="default"/>
          <w:sz w:val="14"/>
          <w:szCs w:val="14"/>
        </w:rPr>
      </w:pPr>
    </w:p>
    <w:p>
      <w:pPr>
        <w:pStyle w:val="BodyText"/>
        <w:spacing w:line="297" w:lineRule="auto"/>
        <w:ind w:left="138" w:right="0" w:firstLine="436"/>
        <w:jc w:val="left"/>
      </w:pPr>
      <w:r>
        <w:rPr>
          <w:spacing w:val="5"/>
        </w:rPr>
        <w:t>（</w:t>
      </w:r>
      <w:r>
        <w:rPr>
          <w:rFonts w:ascii="宋体" w:hAnsi="宋体" w:cs="宋体" w:eastAsia="宋体" w:hint="default"/>
          <w:spacing w:val="5"/>
        </w:rPr>
        <w:t>2</w:t>
      </w:r>
      <w:r>
        <w:rPr>
          <w:spacing w:val="5"/>
        </w:rPr>
        <w:t>）通过检查理财协议及与管理层的访谈，了解和评估了顶点软件公司的理财产品相关</w:t>
      </w:r>
      <w:r>
        <w:rPr>
          <w:spacing w:val="7"/>
          <w:w w:val="100"/>
        </w:rPr>
        <w:t> </w:t>
      </w:r>
      <w:r>
        <w:rPr>
          <w:spacing w:val="5"/>
        </w:rPr>
        <w:t>的金融工具确认政策；</w:t>
      </w:r>
    </w:p>
    <w:p>
      <w:pPr>
        <w:pStyle w:val="BodyText"/>
        <w:spacing w:line="297" w:lineRule="auto" w:before="136"/>
        <w:ind w:left="138" w:right="0" w:firstLine="436"/>
        <w:jc w:val="left"/>
      </w:pPr>
      <w:r>
        <w:rPr>
          <w:spacing w:val="5"/>
        </w:rPr>
        <w:t>（</w:t>
      </w:r>
      <w:r>
        <w:rPr>
          <w:rFonts w:ascii="宋体" w:hAnsi="宋体" w:cs="宋体" w:eastAsia="宋体" w:hint="default"/>
          <w:spacing w:val="5"/>
        </w:rPr>
        <w:t>3</w:t>
      </w:r>
      <w:r>
        <w:rPr>
          <w:spacing w:val="5"/>
        </w:rPr>
        <w:t>）检查理财产品，核对至相关理财产品协议中的关键条款、理财投资的审批程序、理</w:t>
      </w:r>
      <w:r>
        <w:rPr>
          <w:spacing w:val="7"/>
          <w:w w:val="100"/>
        </w:rPr>
        <w:t> </w:t>
      </w:r>
      <w:r>
        <w:rPr>
          <w:spacing w:val="5"/>
        </w:rPr>
        <w:t>财产品转账回单等支持性文件；</w:t>
      </w:r>
      <w:r>
        <w:rPr/>
      </w:r>
    </w:p>
    <w:p>
      <w:pPr>
        <w:pStyle w:val="BodyText"/>
        <w:spacing w:line="295" w:lineRule="auto" w:before="135"/>
        <w:ind w:left="138" w:right="0" w:firstLine="436"/>
        <w:jc w:val="left"/>
      </w:pPr>
      <w:r>
        <w:rPr>
          <w:spacing w:val="5"/>
        </w:rPr>
        <w:t>（</w:t>
      </w:r>
      <w:r>
        <w:rPr>
          <w:rFonts w:ascii="宋体" w:hAnsi="宋体" w:cs="宋体" w:eastAsia="宋体" w:hint="default"/>
          <w:spacing w:val="5"/>
        </w:rPr>
        <w:t>4</w:t>
      </w:r>
      <w:r>
        <w:rPr>
          <w:spacing w:val="5"/>
        </w:rPr>
        <w:t>）通过检查相关理财产品协议可评价理财产品的确认是否符合企业会计准则及金融工</w:t>
      </w:r>
      <w:r>
        <w:rPr>
          <w:spacing w:val="7"/>
          <w:w w:val="100"/>
        </w:rPr>
        <w:t> </w:t>
      </w:r>
      <w:r>
        <w:rPr>
          <w:spacing w:val="6"/>
        </w:rPr>
        <w:t>具确认政策；</w:t>
      </w:r>
      <w:r>
        <w:rPr/>
      </w:r>
    </w:p>
    <w:p>
      <w:pPr>
        <w:pStyle w:val="BodyText"/>
        <w:spacing w:line="240" w:lineRule="auto" w:before="137"/>
        <w:ind w:left="574" w:right="0"/>
        <w:jc w:val="left"/>
      </w:pPr>
      <w:r>
        <w:rPr>
          <w:spacing w:val="5"/>
        </w:rPr>
        <w:t>（</w:t>
      </w:r>
      <w:r>
        <w:rPr>
          <w:rFonts w:ascii="宋体" w:hAnsi="宋体" w:cs="宋体" w:eastAsia="宋体" w:hint="default"/>
          <w:spacing w:val="5"/>
        </w:rPr>
        <w:t>4</w:t>
      </w:r>
      <w:r>
        <w:rPr>
          <w:spacing w:val="5"/>
        </w:rPr>
        <w:t>）实施函证程序以确认理财产品的金额、收益率、期限等关键信息；</w:t>
      </w:r>
    </w:p>
    <w:p>
      <w:pPr>
        <w:spacing w:line="240" w:lineRule="auto" w:before="3"/>
        <w:rPr>
          <w:rFonts w:ascii="宋体" w:hAnsi="宋体" w:cs="宋体" w:eastAsia="宋体" w:hint="default"/>
          <w:sz w:val="14"/>
          <w:szCs w:val="14"/>
        </w:rPr>
      </w:pPr>
    </w:p>
    <w:p>
      <w:pPr>
        <w:pStyle w:val="BodyText"/>
        <w:spacing w:line="297" w:lineRule="auto"/>
        <w:ind w:left="138" w:right="0" w:firstLine="436"/>
        <w:jc w:val="left"/>
      </w:pPr>
      <w:r>
        <w:rPr>
          <w:spacing w:val="5"/>
        </w:rPr>
        <w:t>（</w:t>
      </w:r>
      <w:r>
        <w:rPr>
          <w:rFonts w:ascii="宋体" w:hAnsi="宋体" w:cs="宋体" w:eastAsia="宋体" w:hint="default"/>
          <w:spacing w:val="5"/>
        </w:rPr>
        <w:t>5</w:t>
      </w:r>
      <w:r>
        <w:rPr>
          <w:spacing w:val="5"/>
        </w:rPr>
        <w:t>）重新计算了理财产品投资收益，并检查了投资收益汇至顶点软件公司的银行进账单</w:t>
      </w:r>
      <w:r>
        <w:rPr>
          <w:spacing w:val="7"/>
          <w:w w:val="100"/>
        </w:rPr>
        <w:t> </w:t>
      </w:r>
      <w:r>
        <w:rPr>
          <w:spacing w:val="6"/>
        </w:rPr>
        <w:t>等原始凭证。</w:t>
      </w:r>
      <w:r>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pStyle w:val="Heading3"/>
        <w:spacing w:line="240" w:lineRule="auto"/>
        <w:ind w:left="560" w:right="0"/>
        <w:jc w:val="left"/>
        <w:rPr>
          <w:b w:val="0"/>
          <w:bCs w:val="0"/>
        </w:rPr>
      </w:pPr>
      <w:r>
        <w:rPr/>
        <w:t>四、其他信息</w:t>
      </w:r>
      <w:r>
        <w:rPr>
          <w:b w:val="0"/>
          <w:bCs w:val="0"/>
        </w:rPr>
      </w:r>
    </w:p>
    <w:p>
      <w:pPr>
        <w:spacing w:line="240" w:lineRule="auto" w:before="3"/>
        <w:rPr>
          <w:rFonts w:ascii="宋体" w:hAnsi="宋体" w:cs="宋体" w:eastAsia="宋体" w:hint="default"/>
          <w:b/>
          <w:bCs/>
          <w:sz w:val="14"/>
          <w:szCs w:val="14"/>
        </w:rPr>
      </w:pPr>
    </w:p>
    <w:p>
      <w:pPr>
        <w:pStyle w:val="BodyText"/>
        <w:spacing w:line="295" w:lineRule="auto"/>
        <w:ind w:left="138" w:right="0" w:firstLine="436"/>
        <w:jc w:val="left"/>
      </w:pPr>
      <w:r>
        <w:rPr>
          <w:spacing w:val="8"/>
        </w:rPr>
        <w:t>顶点软件公司管理层（以下简称管理层）对其他信息负责。其他信息包括顶点软件公司</w:t>
      </w:r>
      <w:r>
        <w:rPr>
          <w:spacing w:val="9"/>
          <w:w w:val="100"/>
        </w:rPr>
        <w:t> </w:t>
      </w:r>
      <w:r>
        <w:rPr>
          <w:rFonts w:ascii="宋体" w:hAnsi="宋体" w:cs="宋体" w:eastAsia="宋体" w:hint="default"/>
        </w:rPr>
        <w:t>2017</w:t>
      </w:r>
      <w:r>
        <w:rPr>
          <w:rFonts w:ascii="宋体" w:hAnsi="宋体" w:cs="宋体" w:eastAsia="宋体" w:hint="default"/>
          <w:spacing w:val="45"/>
        </w:rPr>
        <w:t> </w:t>
      </w:r>
      <w:r>
        <w:rPr>
          <w:spacing w:val="5"/>
        </w:rPr>
        <w:t>年年度报告中涵盖的信息，但不包括财务报表和我们的审计报告。</w:t>
      </w:r>
      <w:r>
        <w:rPr/>
      </w:r>
    </w:p>
    <w:p>
      <w:pPr>
        <w:pStyle w:val="BodyText"/>
        <w:spacing w:line="297" w:lineRule="auto" w:before="137"/>
        <w:ind w:left="138" w:right="0" w:firstLine="436"/>
        <w:jc w:val="left"/>
      </w:pPr>
      <w:r>
        <w:rPr>
          <w:spacing w:val="3"/>
          <w:w w:val="100"/>
        </w:rPr>
        <w:t>我们对财务报表发表的审计意见不涵盖其他信息，我们也不对其他信息发表任何形式的鉴</w:t>
      </w:r>
      <w:r>
        <w:rPr>
          <w:spacing w:val="7"/>
          <w:w w:val="100"/>
        </w:rPr>
        <w:t> </w:t>
      </w:r>
      <w:r>
        <w:rPr>
          <w:spacing w:val="6"/>
        </w:rPr>
        <w:t>证结论。</w:t>
      </w:r>
      <w:r>
        <w:rPr/>
      </w:r>
    </w:p>
    <w:p>
      <w:pPr>
        <w:pStyle w:val="BodyText"/>
        <w:spacing w:line="297" w:lineRule="auto" w:before="135"/>
        <w:ind w:left="138" w:right="0" w:firstLine="436"/>
        <w:jc w:val="left"/>
      </w:pPr>
      <w:r>
        <w:rPr>
          <w:spacing w:val="3"/>
        </w:rPr>
        <w:t>结合我们对财务报表的审计，我们的责任是阅读其他信息，在此过程中，考虑其他信息是</w:t>
      </w:r>
      <w:r>
        <w:rPr>
          <w:spacing w:val="7"/>
          <w:w w:val="100"/>
        </w:rPr>
        <w:t> </w:t>
      </w:r>
      <w:r>
        <w:rPr>
          <w:spacing w:val="5"/>
        </w:rPr>
        <w:t>否与财务报表或我们在审计过程中了解到的情况存在重大不一致或者似乎存在重大错报。</w:t>
      </w:r>
      <w:r>
        <w:rPr/>
      </w:r>
    </w:p>
    <w:p>
      <w:pPr>
        <w:pStyle w:val="BodyText"/>
        <w:spacing w:line="295" w:lineRule="auto" w:before="135"/>
        <w:ind w:left="138" w:right="0" w:firstLine="436"/>
        <w:jc w:val="left"/>
      </w:pPr>
      <w:r>
        <w:rPr>
          <w:spacing w:val="2"/>
        </w:rPr>
        <w:t>基于我们已执行的工作，如果我们确定其他信息存在重大错报，我们应当报告该事实。在</w:t>
      </w:r>
      <w:r>
        <w:rPr>
          <w:w w:val="100"/>
        </w:rPr>
        <w:t> </w:t>
      </w:r>
      <w:r>
        <w:rPr>
          <w:spacing w:val="5"/>
        </w:rPr>
        <w:t>这方面，我们无任何事项需要报告。</w:t>
      </w:r>
      <w:r>
        <w:rPr/>
      </w:r>
    </w:p>
    <w:p>
      <w:pPr>
        <w:spacing w:after="0" w:line="295" w:lineRule="auto"/>
        <w:jc w:val="left"/>
        <w:sectPr>
          <w:pgSz w:w="11910" w:h="16840"/>
          <w:pgMar w:header="857" w:footer="1195" w:top="1320" w:bottom="1380" w:left="1660" w:right="1140"/>
        </w:sectPr>
      </w:pPr>
    </w:p>
    <w:p>
      <w:pPr>
        <w:spacing w:line="240" w:lineRule="auto" w:before="4"/>
        <w:rPr>
          <w:rFonts w:ascii="宋体" w:hAnsi="宋体" w:cs="宋体" w:eastAsia="宋体" w:hint="default"/>
          <w:sz w:val="9"/>
          <w:szCs w:val="9"/>
        </w:rPr>
      </w:pPr>
    </w:p>
    <w:p>
      <w:pPr>
        <w:pStyle w:val="Heading3"/>
        <w:spacing w:line="240" w:lineRule="auto" w:before="36"/>
        <w:ind w:left="560" w:right="0"/>
        <w:jc w:val="left"/>
        <w:rPr>
          <w:b w:val="0"/>
          <w:bCs w:val="0"/>
        </w:rPr>
      </w:pPr>
      <w:r>
        <w:rPr/>
        <w:t>五、管理层和治理层对财务报表的责任</w:t>
      </w:r>
      <w:r>
        <w:rPr>
          <w:b w:val="0"/>
          <w:bCs w:val="0"/>
        </w:rPr>
      </w:r>
    </w:p>
    <w:p>
      <w:pPr>
        <w:spacing w:line="240" w:lineRule="auto" w:before="3"/>
        <w:rPr>
          <w:rFonts w:ascii="宋体" w:hAnsi="宋体" w:cs="宋体" w:eastAsia="宋体" w:hint="default"/>
          <w:b/>
          <w:bCs/>
          <w:sz w:val="14"/>
          <w:szCs w:val="14"/>
        </w:rPr>
      </w:pPr>
    </w:p>
    <w:p>
      <w:pPr>
        <w:pStyle w:val="BodyText"/>
        <w:spacing w:line="297" w:lineRule="auto"/>
        <w:ind w:left="138" w:right="225" w:firstLine="436"/>
        <w:jc w:val="both"/>
      </w:pPr>
      <w:r>
        <w:rPr>
          <w:spacing w:val="2"/>
        </w:rPr>
        <w:t>顶点软件公司管理层负责按照企业会计准则的规定编制财务报表，使其实现公允反映，并</w:t>
      </w:r>
      <w:r>
        <w:rPr>
          <w:w w:val="100"/>
        </w:rPr>
        <w:t> </w:t>
      </w:r>
      <w:r>
        <w:rPr>
          <w:spacing w:val="5"/>
        </w:rPr>
        <w:t>设计、执行和维护必要的内部控制，以使财务报表不存在由于舞弊或错误导致的重大错报。</w:t>
      </w:r>
      <w:r>
        <w:rPr/>
      </w:r>
    </w:p>
    <w:p>
      <w:pPr>
        <w:pStyle w:val="BodyText"/>
        <w:spacing w:line="297" w:lineRule="auto" w:before="135"/>
        <w:ind w:left="138" w:right="210" w:firstLine="436"/>
        <w:jc w:val="both"/>
      </w:pPr>
      <w:r>
        <w:rPr>
          <w:spacing w:val="2"/>
        </w:rPr>
        <w:t>在编制财务报表时，管理层负责评估顶点软件公司的持续经营能力，披露与持续经营相关</w:t>
      </w:r>
      <w:r>
        <w:rPr>
          <w:spacing w:val="7"/>
          <w:w w:val="100"/>
        </w:rPr>
        <w:t> </w:t>
      </w:r>
      <w:r>
        <w:rPr>
          <w:spacing w:val="2"/>
        </w:rPr>
        <w:t>的事项（如适用），并运用持续经营假设，除非管理层计划清算顶点软件公司、终止运营或别</w:t>
      </w:r>
      <w:r>
        <w:rPr>
          <w:spacing w:val="-5"/>
        </w:rPr>
        <w:t> </w:t>
      </w:r>
      <w:r>
        <w:rPr>
          <w:spacing w:val="-5"/>
        </w:rPr>
      </w:r>
      <w:r>
        <w:rPr>
          <w:spacing w:val="6"/>
        </w:rPr>
        <w:t>无其他现实的选择。</w:t>
      </w:r>
      <w:r>
        <w:rPr/>
      </w:r>
    </w:p>
    <w:p>
      <w:pPr>
        <w:spacing w:line="403" w:lineRule="auto" w:before="133"/>
        <w:ind w:left="560" w:right="1138" w:firstLine="14"/>
        <w:jc w:val="left"/>
        <w:rPr>
          <w:rFonts w:ascii="宋体" w:hAnsi="宋体" w:cs="宋体" w:eastAsia="宋体" w:hint="default"/>
          <w:sz w:val="21"/>
          <w:szCs w:val="21"/>
        </w:rPr>
      </w:pPr>
      <w:r>
        <w:rPr>
          <w:rFonts w:ascii="宋体" w:hAnsi="宋体" w:cs="宋体" w:eastAsia="宋体" w:hint="default"/>
          <w:spacing w:val="4"/>
          <w:sz w:val="21"/>
          <w:szCs w:val="21"/>
        </w:rPr>
        <w:t>治理层负责监督顶点软件公司的财务报告过程。</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b/>
          <w:bCs/>
          <w:sz w:val="21"/>
          <w:szCs w:val="21"/>
        </w:rPr>
        <w:t>六、注册会计师对财务报表审计的责任</w:t>
      </w:r>
      <w:r>
        <w:rPr>
          <w:rFonts w:ascii="宋体" w:hAnsi="宋体" w:cs="宋体" w:eastAsia="宋体" w:hint="default"/>
          <w:sz w:val="21"/>
          <w:szCs w:val="21"/>
        </w:rPr>
      </w:r>
    </w:p>
    <w:p>
      <w:pPr>
        <w:pStyle w:val="BodyText"/>
        <w:spacing w:line="297" w:lineRule="auto" w:before="43"/>
        <w:ind w:left="138" w:right="0" w:firstLine="436"/>
        <w:jc w:val="left"/>
      </w:pPr>
      <w:r>
        <w:rPr>
          <w:spacing w:val="5"/>
        </w:rPr>
        <w:t>我们的目标是对财务报表整体是否不存在由于舞弊或错误导致的重大错报获取合理保证，</w:t>
      </w:r>
      <w:r>
        <w:rPr>
          <w:spacing w:val="7"/>
          <w:w w:val="100"/>
        </w:rPr>
        <w:t> </w:t>
      </w:r>
      <w:r>
        <w:rPr>
          <w:spacing w:val="3"/>
        </w:rPr>
        <w:t>并出具包含审计意见的审计报告。合理保证是高水平的保证，但并不能保证按照审计准则执行</w:t>
      </w:r>
      <w:r>
        <w:rPr/>
      </w:r>
    </w:p>
    <w:p>
      <w:pPr>
        <w:pStyle w:val="BodyText"/>
        <w:spacing w:line="297" w:lineRule="auto" w:before="15"/>
        <w:ind w:left="138" w:right="209"/>
        <w:jc w:val="both"/>
      </w:pPr>
      <w:r>
        <w:rPr>
          <w:spacing w:val="3"/>
        </w:rPr>
        <w:t>的审计在某一重大错报存在时总能发现。错报可能由于舞弊或错误导致，如果合理预期错报单</w:t>
      </w:r>
      <w:r>
        <w:rPr>
          <w:spacing w:val="-16"/>
        </w:rPr>
        <w:t> </w:t>
      </w:r>
      <w:r>
        <w:rPr>
          <w:spacing w:val="-16"/>
        </w:rPr>
      </w:r>
      <w:r>
        <w:rPr>
          <w:spacing w:val="4"/>
          <w:w w:val="100"/>
        </w:rPr>
        <w:t>独或汇总起来可能影响财务报表使用者依据财务报表作出的经济决策，则通常认为错报是重大</w:t>
      </w:r>
      <w:r>
        <w:rPr>
          <w:spacing w:val="7"/>
          <w:w w:val="100"/>
        </w:rPr>
        <w:t> </w:t>
      </w:r>
      <w:r>
        <w:rPr>
          <w:spacing w:val="6"/>
        </w:rPr>
        <w:t>的。</w:t>
      </w:r>
      <w:r>
        <w:rPr/>
      </w:r>
    </w:p>
    <w:p>
      <w:pPr>
        <w:pStyle w:val="BodyText"/>
        <w:spacing w:line="297" w:lineRule="auto" w:before="133"/>
        <w:ind w:left="138" w:right="218" w:firstLine="436"/>
        <w:jc w:val="both"/>
      </w:pPr>
      <w:r>
        <w:rPr>
          <w:spacing w:val="2"/>
        </w:rPr>
        <w:t>在按照审计准则执行审计工作的过程中，我们运用职业判断，并保持职业怀疑。同时，我</w:t>
      </w:r>
      <w:r>
        <w:rPr>
          <w:w w:val="100"/>
        </w:rPr>
        <w:t> </w:t>
      </w:r>
      <w:r>
        <w:rPr>
          <w:spacing w:val="6"/>
        </w:rPr>
        <w:t>们也执行以下工作：</w:t>
      </w:r>
      <w:r>
        <w:rPr/>
      </w:r>
    </w:p>
    <w:p>
      <w:pPr>
        <w:pStyle w:val="BodyText"/>
        <w:spacing w:line="297" w:lineRule="auto" w:before="135"/>
        <w:ind w:left="138" w:right="208" w:firstLine="436"/>
        <w:jc w:val="both"/>
      </w:pPr>
      <w:r>
        <w:rPr>
          <w:spacing w:val="5"/>
        </w:rPr>
        <w:t>（</w:t>
      </w:r>
      <w:r>
        <w:rPr>
          <w:rFonts w:ascii="宋体" w:hAnsi="宋体" w:cs="宋体" w:eastAsia="宋体" w:hint="default"/>
          <w:spacing w:val="5"/>
        </w:rPr>
        <w:t>1</w:t>
      </w:r>
      <w:r>
        <w:rPr>
          <w:spacing w:val="5"/>
        </w:rPr>
        <w:t>）识别和评估由于舞弊或错误导致的财务报表重大错报风险，设计和实施审计程序以</w:t>
      </w:r>
      <w:r>
        <w:rPr>
          <w:spacing w:val="7"/>
          <w:w w:val="100"/>
        </w:rPr>
        <w:t> </w:t>
      </w:r>
      <w:r>
        <w:rPr>
          <w:spacing w:val="2"/>
        </w:rPr>
        <w:t>应对这些风险，并获取充分、适当的审计证据，作为发表审计意见的基础。由于舞弊可能涉及</w:t>
      </w:r>
      <w:r>
        <w:rPr>
          <w:spacing w:val="-14"/>
        </w:rPr>
        <w:t> </w:t>
      </w:r>
      <w:r>
        <w:rPr>
          <w:spacing w:val="-14"/>
        </w:rPr>
      </w:r>
      <w:r>
        <w:rPr>
          <w:spacing w:val="2"/>
        </w:rPr>
        <w:t>串通、伪造、故意遗漏、虚假陈述或凌驾于内部控制之上，未能发现由于舞弊导致的重大错报</w:t>
      </w:r>
      <w:r>
        <w:rPr>
          <w:spacing w:val="-14"/>
        </w:rPr>
        <w:t> </w:t>
      </w:r>
      <w:r>
        <w:rPr>
          <w:spacing w:val="-14"/>
        </w:rPr>
      </w:r>
      <w:r>
        <w:rPr>
          <w:spacing w:val="5"/>
        </w:rPr>
        <w:t>的风险高于未能发现由于错误导致的重大错报的风险。</w:t>
      </w:r>
      <w:r>
        <w:rPr/>
      </w:r>
    </w:p>
    <w:p>
      <w:pPr>
        <w:pStyle w:val="BodyText"/>
        <w:spacing w:line="297" w:lineRule="auto" w:before="133"/>
        <w:ind w:left="138" w:right="209" w:firstLine="436"/>
        <w:jc w:val="both"/>
      </w:pPr>
      <w:r>
        <w:rPr>
          <w:spacing w:val="5"/>
        </w:rPr>
        <w:t>（</w:t>
      </w:r>
      <w:r>
        <w:rPr>
          <w:rFonts w:ascii="宋体" w:hAnsi="宋体" w:cs="宋体" w:eastAsia="宋体" w:hint="default"/>
          <w:spacing w:val="5"/>
        </w:rPr>
        <w:t>2</w:t>
      </w:r>
      <w:r>
        <w:rPr>
          <w:spacing w:val="5"/>
        </w:rPr>
        <w:t>）了解与审计相关的内部控制，以设计恰当的审计程序，但目的并非对内部控制的有</w:t>
      </w:r>
      <w:r>
        <w:rPr>
          <w:spacing w:val="7"/>
          <w:w w:val="100"/>
        </w:rPr>
        <w:t> </w:t>
      </w:r>
      <w:r>
        <w:rPr>
          <w:spacing w:val="6"/>
        </w:rPr>
        <w:t>效性发表意见。</w:t>
      </w:r>
      <w:r>
        <w:rPr/>
      </w:r>
    </w:p>
    <w:p>
      <w:pPr>
        <w:pStyle w:val="BodyText"/>
        <w:spacing w:line="240" w:lineRule="auto" w:before="135"/>
        <w:ind w:left="574" w:right="0"/>
        <w:jc w:val="left"/>
      </w:pPr>
      <w:r>
        <w:rPr>
          <w:spacing w:val="5"/>
        </w:rPr>
        <w:t>（</w:t>
      </w:r>
      <w:r>
        <w:rPr>
          <w:rFonts w:ascii="宋体" w:hAnsi="宋体" w:cs="宋体" w:eastAsia="宋体" w:hint="default"/>
          <w:spacing w:val="5"/>
        </w:rPr>
        <w:t>3</w:t>
      </w:r>
      <w:r>
        <w:rPr>
          <w:spacing w:val="5"/>
        </w:rPr>
        <w:t>）评价管理层选用会计政策的恰当性和作出会计估计及相关披露的合理性。</w:t>
      </w:r>
      <w:r>
        <w:rPr/>
      </w:r>
    </w:p>
    <w:p>
      <w:pPr>
        <w:spacing w:line="240" w:lineRule="auto" w:before="3"/>
        <w:rPr>
          <w:rFonts w:ascii="宋体" w:hAnsi="宋体" w:cs="宋体" w:eastAsia="宋体" w:hint="default"/>
          <w:sz w:val="14"/>
          <w:szCs w:val="14"/>
        </w:rPr>
      </w:pPr>
    </w:p>
    <w:p>
      <w:pPr>
        <w:pStyle w:val="BodyText"/>
        <w:spacing w:line="297" w:lineRule="auto"/>
        <w:ind w:left="138" w:right="208" w:firstLine="436"/>
        <w:jc w:val="both"/>
      </w:pPr>
      <w:r>
        <w:rPr>
          <w:spacing w:val="5"/>
        </w:rPr>
        <w:t>（</w:t>
      </w:r>
      <w:r>
        <w:rPr>
          <w:rFonts w:ascii="宋体" w:hAnsi="宋体" w:cs="宋体" w:eastAsia="宋体" w:hint="default"/>
          <w:spacing w:val="5"/>
        </w:rPr>
        <w:t>4</w:t>
      </w:r>
      <w:r>
        <w:rPr>
          <w:spacing w:val="5"/>
        </w:rPr>
        <w:t>）对管理层使用持续经营假设的恰当性得出结论。同时，根据获取的审计证据，就可</w:t>
      </w:r>
      <w:r>
        <w:rPr>
          <w:spacing w:val="7"/>
          <w:w w:val="100"/>
        </w:rPr>
        <w:t> </w:t>
      </w:r>
      <w:r>
        <w:rPr>
          <w:spacing w:val="8"/>
        </w:rPr>
        <w:t>能导致对顶点软件公司的持续经营能力产生重大疑虑的事项或情况是否存在重大不确定性得</w:t>
      </w:r>
      <w:r>
        <w:rPr>
          <w:spacing w:val="-13"/>
        </w:rPr>
        <w:t> </w:t>
      </w:r>
      <w:r>
        <w:rPr>
          <w:spacing w:val="-13"/>
        </w:rPr>
      </w:r>
      <w:r>
        <w:rPr>
          <w:spacing w:val="2"/>
        </w:rPr>
        <w:t>出结论。如果我们得出结论认为存在重大不确定性，审计准则要求我们在审计报告中提请报表</w:t>
      </w:r>
      <w:r>
        <w:rPr>
          <w:spacing w:val="-15"/>
        </w:rPr>
        <w:t> </w:t>
      </w:r>
      <w:r>
        <w:rPr>
          <w:spacing w:val="-15"/>
        </w:rPr>
      </w:r>
      <w:r>
        <w:rPr>
          <w:spacing w:val="3"/>
        </w:rPr>
        <w:t>使用者注意财务报表中的相关披露；如果披露不充分，我们应当发表非无保留意见。我们的结</w:t>
      </w:r>
      <w:r>
        <w:rPr>
          <w:spacing w:val="-13"/>
        </w:rPr>
        <w:t> </w:t>
      </w:r>
      <w:r>
        <w:rPr>
          <w:spacing w:val="-13"/>
        </w:rPr>
      </w:r>
      <w:r>
        <w:rPr>
          <w:spacing w:val="3"/>
        </w:rPr>
        <w:t>论基于截至审计报告日可获得的信息。然而，未来的事项或情况可能导致顶点软件公司不能持</w:t>
      </w:r>
      <w:r>
        <w:rPr>
          <w:spacing w:val="-17"/>
        </w:rPr>
        <w:t> </w:t>
      </w:r>
      <w:r>
        <w:rPr>
          <w:spacing w:val="-17"/>
        </w:rPr>
      </w:r>
      <w:r>
        <w:rPr>
          <w:spacing w:val="6"/>
        </w:rPr>
        <w:t>续经营。</w:t>
      </w:r>
      <w:r>
        <w:rPr/>
      </w:r>
    </w:p>
    <w:p>
      <w:pPr>
        <w:pStyle w:val="BodyText"/>
        <w:spacing w:line="297" w:lineRule="auto" w:before="135"/>
        <w:ind w:left="138" w:right="209" w:firstLine="436"/>
        <w:jc w:val="both"/>
      </w:pPr>
      <w:r>
        <w:rPr>
          <w:spacing w:val="5"/>
        </w:rPr>
        <w:t>（</w:t>
      </w:r>
      <w:r>
        <w:rPr>
          <w:rFonts w:ascii="宋体" w:hAnsi="宋体" w:cs="宋体" w:eastAsia="宋体" w:hint="default"/>
          <w:spacing w:val="5"/>
        </w:rPr>
        <w:t>5</w:t>
      </w:r>
      <w:r>
        <w:rPr>
          <w:spacing w:val="5"/>
        </w:rPr>
        <w:t>）评价财务报表的总体列报、结构和内容（包括披露），并评价财务报表是否公允反</w:t>
      </w:r>
      <w:r>
        <w:rPr>
          <w:spacing w:val="7"/>
          <w:w w:val="100"/>
        </w:rPr>
        <w:t> </w:t>
      </w:r>
      <w:r>
        <w:rPr>
          <w:spacing w:val="6"/>
        </w:rPr>
        <w:t>映相关交易和事项。</w:t>
      </w:r>
      <w:r>
        <w:rPr/>
      </w:r>
    </w:p>
    <w:p>
      <w:pPr>
        <w:pStyle w:val="BodyText"/>
        <w:spacing w:line="297" w:lineRule="auto" w:before="135"/>
        <w:ind w:left="138" w:right="222" w:firstLine="436"/>
        <w:jc w:val="both"/>
      </w:pPr>
      <w:r>
        <w:rPr>
          <w:spacing w:val="4"/>
        </w:rPr>
        <w:t>（</w:t>
      </w:r>
      <w:r>
        <w:rPr>
          <w:rFonts w:ascii="宋体" w:hAnsi="宋体" w:cs="宋体" w:eastAsia="宋体" w:hint="default"/>
          <w:spacing w:val="4"/>
        </w:rPr>
        <w:t>6</w:t>
      </w:r>
      <w:r>
        <w:rPr>
          <w:spacing w:val="4"/>
        </w:rPr>
        <w:t>）就顶点软件公司中实体或业务活动的财务信息获取充分、适当的审计证据，以对财</w:t>
      </w:r>
      <w:r>
        <w:rPr>
          <w:w w:val="100"/>
        </w:rPr>
        <w:t> </w:t>
      </w:r>
      <w:r>
        <w:rPr>
          <w:spacing w:val="5"/>
        </w:rPr>
        <w:t>务报表发表意见。我们负责指导、监督和执行集团审计，并对审计意见承担全部责任。</w:t>
      </w:r>
      <w:r>
        <w:rPr/>
      </w:r>
    </w:p>
    <w:p>
      <w:pPr>
        <w:pStyle w:val="BodyText"/>
        <w:spacing w:line="297" w:lineRule="auto" w:before="133"/>
        <w:ind w:left="138" w:right="211" w:firstLine="436"/>
        <w:jc w:val="both"/>
      </w:pPr>
      <w:r>
        <w:rPr>
          <w:spacing w:val="2"/>
        </w:rPr>
        <w:t>我们与治理层就计划的审计范围、时间安排和重大审计发现等事项进行沟通，包括沟通我</w:t>
      </w:r>
      <w:r>
        <w:rPr>
          <w:spacing w:val="7"/>
          <w:w w:val="100"/>
        </w:rPr>
        <w:t> </w:t>
      </w:r>
      <w:r>
        <w:rPr>
          <w:spacing w:val="5"/>
        </w:rPr>
        <w:t>们在审计中识别出的值得关注的内部控制缺陷。</w:t>
      </w:r>
    </w:p>
    <w:p>
      <w:pPr>
        <w:pStyle w:val="BodyText"/>
        <w:spacing w:line="297" w:lineRule="auto" w:before="136"/>
        <w:ind w:left="138" w:right="209" w:firstLine="436"/>
        <w:jc w:val="both"/>
      </w:pPr>
      <w:r>
        <w:rPr>
          <w:spacing w:val="3"/>
          <w:w w:val="100"/>
        </w:rPr>
        <w:t>我们还就已遵守与独立性相关的职业道德要求向治理层提供声明，并与治理层沟通可能被</w:t>
      </w:r>
      <w:r>
        <w:rPr>
          <w:spacing w:val="7"/>
          <w:w w:val="100"/>
        </w:rPr>
        <w:t> </w:t>
      </w:r>
      <w:r>
        <w:rPr>
          <w:spacing w:val="5"/>
        </w:rPr>
        <w:t>合理认为影响我们独立性的所有关系和其他事项，以及相关的防范措施（如适用）。</w:t>
      </w:r>
      <w:r>
        <w:rPr/>
      </w:r>
    </w:p>
    <w:p>
      <w:pPr>
        <w:spacing w:after="0" w:line="297" w:lineRule="auto"/>
        <w:jc w:val="both"/>
        <w:sectPr>
          <w:footerReference w:type="default" r:id="rId25"/>
          <w:pgSz w:w="11910" w:h="16840"/>
          <w:pgMar w:footer="1195" w:header="857" w:top="1320" w:bottom="1380" w:left="1660" w:right="1060"/>
        </w:sectPr>
      </w:pPr>
    </w:p>
    <w:p>
      <w:pPr>
        <w:spacing w:line="240" w:lineRule="auto" w:before="4"/>
        <w:rPr>
          <w:rFonts w:ascii="宋体" w:hAnsi="宋体" w:cs="宋体" w:eastAsia="宋体" w:hint="default"/>
          <w:sz w:val="9"/>
          <w:szCs w:val="9"/>
        </w:rPr>
      </w:pPr>
    </w:p>
    <w:p>
      <w:pPr>
        <w:pStyle w:val="BodyText"/>
        <w:spacing w:line="297" w:lineRule="auto" w:before="36"/>
        <w:ind w:right="231" w:firstLine="436"/>
        <w:jc w:val="both"/>
      </w:pPr>
      <w:r>
        <w:rPr>
          <w:spacing w:val="2"/>
        </w:rPr>
        <w:t>从与治理层沟通过的事项中，我们确定哪些事项对本期财务报表审计最为重要，因而构成</w:t>
      </w:r>
      <w:r>
        <w:rPr>
          <w:spacing w:val="7"/>
          <w:w w:val="100"/>
        </w:rPr>
        <w:t> </w:t>
      </w:r>
      <w:r>
        <w:rPr>
          <w:spacing w:val="2"/>
        </w:rPr>
        <w:t>关键审计事项。我们在审计报告中描述这些事项，除非法律法规禁止公开披露这些事项，或在</w:t>
      </w:r>
      <w:r>
        <w:rPr>
          <w:spacing w:val="-10"/>
        </w:rPr>
        <w:t> </w:t>
      </w:r>
      <w:r>
        <w:rPr>
          <w:spacing w:val="-10"/>
        </w:rPr>
      </w:r>
      <w:r>
        <w:rPr>
          <w:spacing w:val="3"/>
          <w:w w:val="100"/>
        </w:rPr>
        <w:t>极少数情形下，如果合理预期在审计报告中沟通某事项造成的负面后果超过在公众利益方面产</w:t>
      </w:r>
      <w:r>
        <w:rPr>
          <w:w w:val="100"/>
        </w:rPr>
        <w:t> </w:t>
      </w:r>
      <w:r>
        <w:rPr>
          <w:spacing w:val="5"/>
        </w:rPr>
        <w:t>生的益处，我们确定不应在审计报告中沟通该事项。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tbl>
      <w:tblPr>
        <w:tblW w:w="0" w:type="auto"/>
        <w:jc w:val="left"/>
        <w:tblInd w:w="267" w:type="dxa"/>
        <w:tblLayout w:type="fixed"/>
        <w:tblCellMar>
          <w:top w:w="0" w:type="dxa"/>
          <w:left w:w="0" w:type="dxa"/>
          <w:bottom w:w="0" w:type="dxa"/>
          <w:right w:w="0" w:type="dxa"/>
        </w:tblCellMar>
        <w:tblLook w:val="01E0"/>
      </w:tblPr>
      <w:tblGrid>
        <w:gridCol w:w="3205"/>
        <w:gridCol w:w="3455"/>
      </w:tblGrid>
      <w:tr>
        <w:trPr>
          <w:trHeight w:val="1977" w:hRule="exact"/>
        </w:trPr>
        <w:tc>
          <w:tcPr>
            <w:tcW w:w="3205" w:type="dxa"/>
            <w:tcBorders>
              <w:top w:val="nil" w:sz="6" w:space="0" w:color="auto"/>
              <w:left w:val="nil" w:sz="6" w:space="0" w:color="auto"/>
              <w:bottom w:val="nil" w:sz="6" w:space="0" w:color="auto"/>
              <w:right w:val="nil" w:sz="6" w:space="0" w:color="auto"/>
            </w:tcBorders>
          </w:tcPr>
          <w:p>
            <w:pPr>
              <w:pStyle w:val="TableParagraph"/>
              <w:spacing w:line="211" w:lineRule="exact"/>
              <w:ind w:left="200" w:right="0"/>
              <w:jc w:val="left"/>
              <w:rPr>
                <w:rFonts w:ascii="宋体" w:hAnsi="宋体" w:cs="宋体" w:eastAsia="宋体" w:hint="default"/>
                <w:sz w:val="21"/>
                <w:szCs w:val="21"/>
              </w:rPr>
            </w:pPr>
            <w:r>
              <w:rPr>
                <w:rFonts w:ascii="宋体" w:hAnsi="宋体" w:cs="宋体" w:eastAsia="宋体" w:hint="default"/>
                <w:spacing w:val="6"/>
                <w:sz w:val="21"/>
                <w:szCs w:val="21"/>
              </w:rPr>
              <w:t>致同会计师事务所</w:t>
            </w:r>
            <w:r>
              <w:rPr>
                <w:rFonts w:ascii="宋体" w:hAnsi="宋体" w:cs="宋体" w:eastAsia="宋体" w:hint="default"/>
                <w:sz w:val="21"/>
                <w:szCs w:val="21"/>
              </w:rPr>
            </w:r>
          </w:p>
          <w:p>
            <w:pPr>
              <w:pStyle w:val="TableParagraph"/>
              <w:spacing w:line="240" w:lineRule="auto" w:before="66"/>
              <w:ind w:left="200" w:right="0"/>
              <w:jc w:val="left"/>
              <w:rPr>
                <w:rFonts w:ascii="宋体" w:hAnsi="宋体" w:cs="宋体" w:eastAsia="宋体" w:hint="default"/>
                <w:sz w:val="21"/>
                <w:szCs w:val="21"/>
              </w:rPr>
            </w:pPr>
            <w:r>
              <w:rPr>
                <w:rFonts w:ascii="宋体" w:hAnsi="宋体" w:cs="宋体" w:eastAsia="宋体" w:hint="default"/>
                <w:spacing w:val="6"/>
                <w:sz w:val="21"/>
                <w:szCs w:val="21"/>
              </w:rPr>
              <w:t>（特殊普通合伙）</w:t>
            </w:r>
            <w:r>
              <w:rPr>
                <w:rFonts w:ascii="宋体" w:hAnsi="宋体" w:cs="宋体" w:eastAsia="宋体" w:hint="default"/>
                <w:sz w:val="21"/>
                <w:szCs w:val="21"/>
              </w:rPr>
            </w:r>
          </w:p>
        </w:tc>
        <w:tc>
          <w:tcPr>
            <w:tcW w:w="3455" w:type="dxa"/>
            <w:tcBorders>
              <w:top w:val="nil" w:sz="6" w:space="0" w:color="auto"/>
              <w:left w:val="nil" w:sz="6" w:space="0" w:color="auto"/>
              <w:bottom w:val="nil" w:sz="6" w:space="0" w:color="auto"/>
              <w:right w:val="nil" w:sz="6" w:space="0" w:color="auto"/>
            </w:tcBorders>
          </w:tcPr>
          <w:p>
            <w:pPr>
              <w:pStyle w:val="TableParagraph"/>
              <w:spacing w:line="211" w:lineRule="exact"/>
              <w:ind w:left="1654" w:right="0"/>
              <w:jc w:val="left"/>
              <w:rPr>
                <w:rFonts w:ascii="宋体" w:hAnsi="宋体" w:cs="宋体" w:eastAsia="宋体" w:hint="default"/>
                <w:sz w:val="21"/>
                <w:szCs w:val="21"/>
              </w:rPr>
            </w:pPr>
            <w:r>
              <w:rPr>
                <w:rFonts w:ascii="宋体" w:hAnsi="宋体" w:cs="宋体" w:eastAsia="宋体" w:hint="default"/>
                <w:sz w:val="21"/>
                <w:szCs w:val="21"/>
              </w:rPr>
              <w:t>中国注册会计师</w:t>
            </w:r>
          </w:p>
          <w:p>
            <w:pPr>
              <w:pStyle w:val="TableParagraph"/>
              <w:spacing w:line="240" w:lineRule="auto" w:before="66"/>
              <w:ind w:left="1654" w:right="0"/>
              <w:jc w:val="left"/>
              <w:rPr>
                <w:rFonts w:ascii="宋体" w:hAnsi="宋体" w:cs="宋体" w:eastAsia="宋体" w:hint="default"/>
                <w:sz w:val="21"/>
                <w:szCs w:val="21"/>
              </w:rPr>
            </w:pPr>
            <w:r>
              <w:rPr>
                <w:rFonts w:ascii="宋体" w:hAnsi="宋体" w:cs="宋体" w:eastAsia="宋体" w:hint="default"/>
                <w:sz w:val="21"/>
                <w:szCs w:val="21"/>
              </w:rPr>
              <w:t>（项目合伙人）</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1654" w:right="0"/>
              <w:jc w:val="left"/>
              <w:rPr>
                <w:rFonts w:ascii="宋体" w:hAnsi="宋体" w:cs="宋体" w:eastAsia="宋体" w:hint="default"/>
                <w:sz w:val="21"/>
                <w:szCs w:val="21"/>
              </w:rPr>
            </w:pPr>
            <w:r>
              <w:rPr>
                <w:rFonts w:ascii="宋体" w:hAnsi="宋体" w:cs="宋体" w:eastAsia="宋体" w:hint="default"/>
                <w:sz w:val="21"/>
                <w:szCs w:val="21"/>
              </w:rPr>
              <w:t>中国注册会计师</w:t>
            </w:r>
          </w:p>
        </w:tc>
      </w:tr>
      <w:tr>
        <w:trPr>
          <w:trHeight w:val="616" w:hRule="exact"/>
        </w:trPr>
        <w:tc>
          <w:tcPr>
            <w:tcW w:w="3205"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left="200" w:right="0"/>
              <w:jc w:val="left"/>
              <w:rPr>
                <w:rFonts w:ascii="宋体" w:hAnsi="宋体" w:cs="宋体" w:eastAsia="宋体" w:hint="default"/>
                <w:sz w:val="21"/>
                <w:szCs w:val="21"/>
              </w:rPr>
            </w:pPr>
            <w:r>
              <w:rPr>
                <w:rFonts w:ascii="宋体" w:hAnsi="宋体" w:cs="宋体" w:eastAsia="宋体" w:hint="default"/>
                <w:sz w:val="21"/>
                <w:szCs w:val="21"/>
              </w:rPr>
              <w:t>中国·北京</w:t>
            </w:r>
          </w:p>
        </w:tc>
        <w:tc>
          <w:tcPr>
            <w:tcW w:w="3455"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left="1257" w:right="0"/>
              <w:jc w:val="left"/>
              <w:rPr>
                <w:rFonts w:ascii="宋体" w:hAnsi="宋体" w:cs="宋体" w:eastAsia="宋体" w:hint="default"/>
                <w:sz w:val="21"/>
                <w:szCs w:val="21"/>
              </w:rPr>
            </w:pPr>
            <w:r>
              <w:rPr>
                <w:rFonts w:ascii="宋体" w:hAnsi="宋体" w:cs="宋体" w:eastAsia="宋体" w:hint="default"/>
                <w:sz w:val="21"/>
                <w:szCs w:val="21"/>
              </w:rPr>
              <w:t>二Ｏ一八年</w:t>
            </w:r>
            <w:r>
              <w:rPr>
                <w:rFonts w:ascii="宋体" w:hAnsi="宋体" w:cs="宋体" w:eastAsia="宋体" w:hint="default"/>
                <w:spacing w:val="-1"/>
                <w:sz w:val="21"/>
                <w:szCs w:val="21"/>
              </w:rPr>
              <w:t> </w:t>
            </w:r>
            <w:r>
              <w:rPr>
                <w:rFonts w:ascii="宋体" w:hAnsi="宋体" w:cs="宋体" w:eastAsia="宋体" w:hint="default"/>
                <w:sz w:val="21"/>
                <w:szCs w:val="21"/>
              </w:rPr>
              <w:t>四月二日</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26"/>
          <w:pgSz w:w="11910" w:h="16840"/>
          <w:pgMar w:footer="1195" w:header="857" w:top="1320" w:bottom="1380" w:left="1580" w:right="1040"/>
          <w:pgNumType w:start="61"/>
        </w:sectPr>
      </w:pPr>
    </w:p>
    <w:p>
      <w:pPr>
        <w:spacing w:line="240" w:lineRule="auto" w:before="5"/>
        <w:rPr>
          <w:rFonts w:ascii="宋体" w:hAnsi="宋体" w:cs="宋体" w:eastAsia="宋体" w:hint="default"/>
          <w:sz w:val="14"/>
          <w:szCs w:val="14"/>
        </w:rPr>
      </w:pPr>
    </w:p>
    <w:p>
      <w:pPr>
        <w:pStyle w:val="Heading3"/>
        <w:spacing w:line="240" w:lineRule="auto"/>
        <w:ind w:right="-16"/>
        <w:jc w:val="left"/>
        <w:rPr>
          <w:b w:val="0"/>
          <w:bCs w:val="0"/>
        </w:rPr>
      </w:pPr>
      <w:r>
        <w:rPr/>
        <w:t>二、财务报表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9"/>
        <w:rPr>
          <w:rFonts w:ascii="宋体" w:hAnsi="宋体" w:cs="宋体" w:eastAsia="宋体" w:hint="default"/>
          <w:b/>
          <w:bCs/>
          <w:sz w:val="19"/>
          <w:szCs w:val="19"/>
        </w:rPr>
      </w:pPr>
    </w:p>
    <w:p>
      <w:pPr>
        <w:spacing w:before="0"/>
        <w:ind w:left="218" w:right="3767" w:firstLine="127"/>
        <w:jc w:val="left"/>
        <w:rPr>
          <w:rFonts w:ascii="宋体" w:hAnsi="宋体" w:cs="宋体" w:eastAsia="宋体" w:hint="default"/>
          <w:sz w:val="21"/>
          <w:szCs w:val="21"/>
        </w:rPr>
      </w:pPr>
      <w:r>
        <w:rPr>
          <w:rFonts w:ascii="宋体" w:hAnsi="宋体" w:cs="宋体" w:eastAsia="宋体" w:hint="default"/>
          <w:b/>
          <w:bCs/>
          <w:sz w:val="21"/>
          <w:szCs w:val="21"/>
        </w:rPr>
        <w:t>合并资产负债表</w:t>
      </w:r>
      <w:r>
        <w:rPr>
          <w:rFonts w:ascii="宋体" w:hAnsi="宋体" w:cs="宋体" w:eastAsia="宋体" w:hint="default"/>
          <w:b/>
          <w:bCs/>
          <w:w w:val="100"/>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p>
      <w:pPr>
        <w:spacing w:after="0"/>
        <w:jc w:val="left"/>
        <w:rPr>
          <w:rFonts w:ascii="宋体" w:hAnsi="宋体" w:cs="宋体" w:eastAsia="宋体" w:hint="default"/>
          <w:sz w:val="21"/>
          <w:szCs w:val="21"/>
        </w:rPr>
        <w:sectPr>
          <w:type w:val="continuous"/>
          <w:pgSz w:w="11910" w:h="16840"/>
          <w:pgMar w:top="1000" w:bottom="280" w:left="1580" w:right="1040"/>
          <w:cols w:num="2" w:equalWidth="0">
            <w:col w:w="1488" w:space="2062"/>
            <w:col w:w="5740"/>
          </w:cols>
        </w:sectPr>
      </w:pPr>
    </w:p>
    <w:p>
      <w:pPr>
        <w:pStyle w:val="BodyText"/>
        <w:spacing w:line="269" w:lineRule="exact"/>
        <w:ind w:right="2757"/>
        <w:jc w:val="left"/>
      </w:pPr>
      <w:r>
        <w:rPr/>
        <w:t>编制单位</w:t>
      </w:r>
      <w:r>
        <w:rPr>
          <w:rFonts w:ascii="宋体" w:hAnsi="宋体" w:cs="宋体" w:eastAsia="宋体" w:hint="default"/>
        </w:rPr>
        <w:t>:</w:t>
      </w:r>
      <w:r>
        <w:rPr>
          <w:rFonts w:ascii="宋体" w:hAnsi="宋体" w:cs="宋体" w:eastAsia="宋体" w:hint="default"/>
          <w:spacing w:val="-2"/>
        </w:rPr>
        <w:t> </w:t>
      </w:r>
      <w:r>
        <w:rPr/>
        <w:t>福建顶点软件股份有限公司</w:t>
      </w:r>
    </w:p>
    <w:p>
      <w:pPr>
        <w:pStyle w:val="BodyText"/>
        <w:tabs>
          <w:tab w:pos="946" w:val="left" w:leader="none"/>
        </w:tabs>
        <w:spacing w:line="273" w:lineRule="exact"/>
        <w:ind w:left="0" w:right="230"/>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08"/>
        <w:gridCol w:w="2209"/>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73"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74"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75"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366,596,590.26</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512,859,515.41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17,867,104.24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17,778,227.23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2,450,002.82</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1,500,186.37</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6,723,842.57</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889,742.73</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1,790,347.16</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5,286,351.01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000" w:bottom="280" w:left="1580" w:right="1040"/>
        </w:sectPr>
      </w:pPr>
    </w:p>
    <w:p>
      <w:pPr>
        <w:spacing w:line="240" w:lineRule="auto" w:before="8"/>
        <w:rPr>
          <w:rFonts w:ascii="Times New Roman" w:hAnsi="Times New Roman" w:cs="Times New Roman" w:eastAsia="Times New Roman" w:hint="default"/>
          <w:sz w:val="16"/>
          <w:szCs w:val="16"/>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08"/>
        <w:gridCol w:w="2209"/>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52,301,835.62</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36,268,577.00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601,083,933.53</w:t>
            </w: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1,048,813,656.20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574,582,599.75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发放贷款和垫款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38,782,885.33</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41,728,442.22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1,485,621.30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1,146,118.02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310,363.54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640,806.13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15,059,469.92</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13,278,810.14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53,751,050.57</w:t>
            </w: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109,389,390.66</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56,794,176.51</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1,158,203,046.86</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631,376,776.26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1,103,508.23</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583,866.82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146,986,314.76</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126,413,346.99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18,961,150.00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14,883,345.00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9,714,176.46</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11,414,185.73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38,572,334.17</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110,972.30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57" w:footer="1195" w:top="1320" w:bottom="1380" w:left="1580" w:right="1040"/>
        </w:sectPr>
      </w:pPr>
    </w:p>
    <w:p>
      <w:pPr>
        <w:spacing w:line="240" w:lineRule="auto" w:before="8"/>
        <w:rPr>
          <w:rFonts w:ascii="Times New Roman" w:hAnsi="Times New Roman" w:cs="Times New Roman" w:eastAsia="Times New Roman" w:hint="default"/>
          <w:sz w:val="16"/>
          <w:szCs w:val="16"/>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08"/>
        <w:gridCol w:w="2209"/>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2,459,976.09</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1,554,609.03</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217,797,459.71</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154,960,325.87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217,797,459.71</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154,960,325.87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85,867,000.00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63,140,000.00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466,682,533.24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87,014,744.17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38,503,920.00</w:t>
            </w: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42,933,500.00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29,117,862.13</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380,752,173.85</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292,659,472.43</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归属于母公司</w:t>
            </w:r>
          </w:p>
          <w:p>
            <w:pPr>
              <w:pStyle w:val="TableParagraph"/>
              <w:spacing w:line="274" w:lineRule="exact"/>
              <w:ind w:left="311"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937,731,287.09</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471,932,078.73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2,674,300.06</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4,484,371.66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940,405,587.15</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476,416,450.39</w:t>
            </w: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1,158,203,046.86</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631,376,776.26</w:t>
            </w:r>
          </w:p>
        </w:tc>
      </w:tr>
    </w:tbl>
    <w:p>
      <w:pPr>
        <w:pStyle w:val="BodyText"/>
        <w:spacing w:line="241" w:lineRule="exact"/>
        <w:ind w:right="0"/>
        <w:jc w:val="left"/>
      </w:pPr>
      <w:r>
        <w:rPr/>
        <w:t>法定代表人：严孟宇 主管会计工作负责人：董凤良</w:t>
      </w:r>
      <w:r>
        <w:rPr>
          <w:spacing w:val="-6"/>
        </w:rPr>
        <w:t> </w:t>
      </w:r>
      <w:r>
        <w:rPr/>
        <w:t>会计机构负责人：熊婵静</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57" w:footer="1195" w:top="1320" w:bottom="1380" w:left="1580" w:right="104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p>
      <w:pPr>
        <w:pStyle w:val="BodyText"/>
        <w:spacing w:line="240" w:lineRule="auto"/>
        <w:ind w:right="0"/>
        <w:jc w:val="left"/>
      </w:pPr>
      <w:r>
        <w:rPr>
          <w:spacing w:val="-2"/>
        </w:rPr>
        <w:t>编制单位</w:t>
      </w:r>
      <w:r>
        <w:rPr>
          <w:rFonts w:ascii="宋体" w:hAnsi="宋体" w:cs="宋体" w:eastAsia="宋体" w:hint="default"/>
          <w:spacing w:val="-2"/>
        </w:rPr>
        <w:t>:</w:t>
      </w:r>
      <w:r>
        <w:rPr>
          <w:spacing w:val="-2"/>
        </w:rPr>
        <w:t>福建顶点软件股份有限公司</w:t>
      </w:r>
    </w:p>
    <w:p>
      <w:pPr>
        <w:spacing w:before="36"/>
        <w:ind w:left="41" w:right="-15" w:firstLine="21"/>
        <w:jc w:val="left"/>
        <w:rPr>
          <w:rFonts w:ascii="宋体" w:hAnsi="宋体" w:cs="宋体" w:eastAsia="宋体" w:hint="default"/>
          <w:sz w:val="21"/>
          <w:szCs w:val="21"/>
        </w:rPr>
      </w:pPr>
      <w:r>
        <w:rPr/>
        <w:br w:type="column"/>
      </w:r>
      <w:r>
        <w:rPr>
          <w:rFonts w:ascii="宋体" w:hAnsi="宋体" w:cs="宋体" w:eastAsia="宋体" w:hint="default"/>
          <w:b/>
          <w:bCs/>
          <w:sz w:val="21"/>
          <w:szCs w:val="21"/>
        </w:rPr>
        <w:t>母公司资产负债表</w:t>
      </w:r>
      <w:r>
        <w:rPr>
          <w:rFonts w:ascii="宋体" w:hAnsi="宋体" w:cs="宋体" w:eastAsia="宋体" w:hint="default"/>
          <w:b/>
          <w:bCs/>
          <w:w w:val="100"/>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BodyText"/>
        <w:tabs>
          <w:tab w:pos="1164" w:val="left" w:leader="none"/>
        </w:tabs>
        <w:spacing w:line="240" w:lineRule="auto"/>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000" w:bottom="280" w:left="1580" w:right="1040"/>
          <w:cols w:num="3" w:equalWidth="0">
            <w:col w:w="3687" w:space="40"/>
            <w:col w:w="1778" w:space="1229"/>
            <w:col w:w="2556"/>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65"/>
        <w:gridCol w:w="955"/>
        <w:gridCol w:w="2194"/>
        <w:gridCol w:w="2235"/>
      </w:tblGrid>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59"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67"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89"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07" w:right="0"/>
              <w:jc w:val="left"/>
              <w:rPr>
                <w:rFonts w:ascii="宋体" w:hAnsi="宋体" w:cs="宋体" w:eastAsia="宋体" w:hint="default"/>
                <w:sz w:val="21"/>
                <w:szCs w:val="21"/>
              </w:rPr>
            </w:pPr>
            <w:r>
              <w:rPr>
                <w:rFonts w:ascii="宋体"/>
                <w:sz w:val="21"/>
              </w:rPr>
              <w:t>254,699,282.69</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48" w:right="0"/>
              <w:jc w:val="left"/>
              <w:rPr>
                <w:rFonts w:ascii="宋体" w:hAnsi="宋体" w:cs="宋体" w:eastAsia="宋体" w:hint="default"/>
                <w:sz w:val="21"/>
                <w:szCs w:val="21"/>
              </w:rPr>
            </w:pPr>
            <w:r>
              <w:rPr>
                <w:rFonts w:ascii="宋体"/>
                <w:sz w:val="21"/>
              </w:rPr>
              <w:t>465,407,383.47</w:t>
            </w:r>
          </w:p>
        </w:tc>
      </w:tr>
      <w:tr>
        <w:trPr>
          <w:trHeight w:val="562"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000" w:bottom="280" w:left="1580" w:right="1040"/>
        </w:sectPr>
      </w:pPr>
    </w:p>
    <w:p>
      <w:pPr>
        <w:spacing w:line="240" w:lineRule="auto" w:before="8"/>
        <w:rPr>
          <w:rFonts w:ascii="Times New Roman" w:hAnsi="Times New Roman" w:cs="Times New Roman" w:eastAsia="Times New Roman" w:hint="default"/>
          <w:sz w:val="16"/>
          <w:szCs w:val="16"/>
        </w:rPr>
      </w:pPr>
    </w:p>
    <w:tbl>
      <w:tblPr>
        <w:tblW w:w="0" w:type="auto"/>
        <w:jc w:val="left"/>
        <w:tblInd w:w="102" w:type="dxa"/>
        <w:tblLayout w:type="fixed"/>
        <w:tblCellMar>
          <w:top w:w="0" w:type="dxa"/>
          <w:left w:w="0" w:type="dxa"/>
          <w:bottom w:w="0" w:type="dxa"/>
          <w:right w:w="0" w:type="dxa"/>
        </w:tblCellMar>
        <w:tblLook w:val="01E0"/>
      </w:tblPr>
      <w:tblGrid>
        <w:gridCol w:w="3665"/>
        <w:gridCol w:w="955"/>
        <w:gridCol w:w="2194"/>
        <w:gridCol w:w="2235"/>
      </w:tblGrid>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16,557,888.30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8"/>
              <w:jc w:val="right"/>
              <w:rPr>
                <w:rFonts w:ascii="宋体" w:hAnsi="宋体" w:cs="宋体" w:eastAsia="宋体" w:hint="default"/>
                <w:sz w:val="21"/>
                <w:szCs w:val="21"/>
              </w:rPr>
            </w:pPr>
            <w:r>
              <w:rPr>
                <w:rFonts w:ascii="宋体"/>
                <w:spacing w:val="-1"/>
                <w:sz w:val="21"/>
              </w:rPr>
              <w:t>13,349,540.13</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1,265,419.79</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347,628.19</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6,676,191.78</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869,761.91</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1,113,479.51</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5,095,967.88</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34,226,216.35</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26,153,312.67</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23"/>
              <w:jc w:val="right"/>
              <w:rPr>
                <w:rFonts w:ascii="宋体" w:hAnsi="宋体" w:cs="宋体" w:eastAsia="宋体" w:hint="default"/>
                <w:sz w:val="21"/>
                <w:szCs w:val="21"/>
              </w:rPr>
            </w:pPr>
            <w:r>
              <w:rPr>
                <w:rFonts w:ascii="宋体" w:hAnsi="宋体" w:cs="宋体" w:eastAsia="宋体" w:hint="default"/>
                <w:spacing w:val="-2"/>
                <w:sz w:val="21"/>
                <w:szCs w:val="21"/>
              </w:rPr>
              <w:t>一年内到期的非流动资产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601,083,740.44</w:t>
            </w: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915,622,218.86</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511,223,594.25</w:t>
            </w:r>
          </w:p>
        </w:tc>
      </w:tr>
      <w:tr>
        <w:trPr>
          <w:trHeight w:val="28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101,802,800.00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38,455,000.00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23,133,352.63</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25,261,234.57</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1,470,858.93</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1,125,695.25</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277,366.44</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587,025.30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9,561,975.01</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8,830,041.94</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53,751,050.57</w:t>
            </w: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189,997,403.58</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74,258,997.06</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1,105,619,622.44</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585,482,591.31</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626,048.23</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570,890.92</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114,408,493.87</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99,536,400.88</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12,279,400.00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9,799,900.00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6,773,308.89</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7,690,219.79</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63,009,087.76</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79,801,700.94</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23"/>
              <w:jc w:val="right"/>
              <w:rPr>
                <w:rFonts w:ascii="宋体" w:hAnsi="宋体" w:cs="宋体" w:eastAsia="宋体" w:hint="default"/>
                <w:sz w:val="21"/>
                <w:szCs w:val="21"/>
              </w:rPr>
            </w:pPr>
            <w:r>
              <w:rPr>
                <w:rFonts w:ascii="宋体" w:hAnsi="宋体" w:cs="宋体" w:eastAsia="宋体" w:hint="default"/>
                <w:spacing w:val="-2"/>
                <w:sz w:val="21"/>
                <w:szCs w:val="21"/>
              </w:rPr>
              <w:t>一年内到期的非流动负债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2,142,427.16</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1,032,802.33</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199,238,765.91</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198,431,914.86</w:t>
            </w:r>
          </w:p>
        </w:tc>
      </w:tr>
    </w:tbl>
    <w:p>
      <w:pPr>
        <w:spacing w:after="0" w:line="243" w:lineRule="exact"/>
        <w:jc w:val="right"/>
        <w:rPr>
          <w:rFonts w:ascii="宋体" w:hAnsi="宋体" w:cs="宋体" w:eastAsia="宋体" w:hint="default"/>
          <w:sz w:val="21"/>
          <w:szCs w:val="21"/>
        </w:rPr>
        <w:sectPr>
          <w:pgSz w:w="11910" w:h="16840"/>
          <w:pgMar w:header="857" w:footer="1195" w:top="1320" w:bottom="1380" w:left="1580" w:right="1040"/>
        </w:sectPr>
      </w:pPr>
    </w:p>
    <w:p>
      <w:pPr>
        <w:spacing w:line="240" w:lineRule="auto" w:before="8"/>
        <w:rPr>
          <w:rFonts w:ascii="Times New Roman" w:hAnsi="Times New Roman" w:cs="Times New Roman" w:eastAsia="Times New Roman" w:hint="default"/>
          <w:sz w:val="16"/>
          <w:szCs w:val="16"/>
        </w:rPr>
      </w:pPr>
    </w:p>
    <w:tbl>
      <w:tblPr>
        <w:tblW w:w="0" w:type="auto"/>
        <w:jc w:val="left"/>
        <w:tblInd w:w="102" w:type="dxa"/>
        <w:tblLayout w:type="fixed"/>
        <w:tblCellMar>
          <w:top w:w="0" w:type="dxa"/>
          <w:left w:w="0" w:type="dxa"/>
          <w:bottom w:w="0" w:type="dxa"/>
          <w:right w:w="0" w:type="dxa"/>
        </w:tblCellMar>
        <w:tblLook w:val="01E0"/>
      </w:tblPr>
      <w:tblGrid>
        <w:gridCol w:w="3665"/>
        <w:gridCol w:w="955"/>
        <w:gridCol w:w="2194"/>
        <w:gridCol w:w="2235"/>
      </w:tblGrid>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199,238,765.91</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198,431,914.86</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85,867,000.00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63,140,000.00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466,667,779.10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86,999,990.03</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38,503,920.00</w:t>
            </w: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42,933,500.00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29,117,862.13</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349,416,497.43</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207,792,824.29</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906,380,856.53</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387,050,676.45</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1,105,619,622.44</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585,482,591.31</w:t>
            </w:r>
          </w:p>
        </w:tc>
      </w:tr>
    </w:tbl>
    <w:p>
      <w:pPr>
        <w:pStyle w:val="BodyText"/>
        <w:spacing w:line="241" w:lineRule="exact"/>
        <w:ind w:right="0"/>
        <w:jc w:val="left"/>
      </w:pPr>
      <w:r>
        <w:rPr/>
        <w:t>法定代表人：严孟宇 主管会计工作负责人：董凤良</w:t>
      </w:r>
      <w:r>
        <w:rPr>
          <w:spacing w:val="-6"/>
        </w:rPr>
        <w:t> </w:t>
      </w:r>
      <w:r>
        <w:rPr/>
        <w:t>会计机构负责人：熊婵静</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57" w:footer="1195" w:top="1320" w:bottom="1380" w:left="1580" w:right="1040"/>
        </w:sectPr>
      </w:pPr>
    </w:p>
    <w:p>
      <w:pPr>
        <w:spacing w:line="272" w:lineRule="exact" w:before="64"/>
        <w:ind w:left="3873" w:right="-16" w:firstLine="232"/>
        <w:jc w:val="left"/>
        <w:rPr>
          <w:rFonts w:ascii="宋体" w:hAnsi="宋体" w:cs="宋体" w:eastAsia="宋体" w:hint="default"/>
          <w:sz w:val="21"/>
          <w:szCs w:val="21"/>
        </w:rPr>
      </w:pPr>
      <w:r>
        <w:rPr>
          <w:rFonts w:ascii="宋体" w:hAnsi="宋体" w:cs="宋体" w:eastAsia="宋体" w:hint="default"/>
          <w:b/>
          <w:bCs/>
          <w:sz w:val="21"/>
          <w:szCs w:val="21"/>
        </w:rPr>
        <w:t>合并利润表</w:t>
      </w:r>
      <w:r>
        <w:rPr>
          <w:rFonts w:ascii="宋体" w:hAnsi="宋体" w:cs="宋体" w:eastAsia="宋体" w:hint="default"/>
          <w:b/>
          <w:bCs/>
          <w:w w:val="100"/>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458" w:val="left" w:leader="none"/>
        </w:tabs>
        <w:spacing w:line="240" w:lineRule="auto"/>
        <w:ind w:left="1512"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000" w:bottom="280" w:left="1580" w:right="1040"/>
          <w:cols w:num="2" w:equalWidth="0">
            <w:col w:w="5399" w:space="40"/>
            <w:col w:w="3851"/>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126"/>
        <w:gridCol w:w="968"/>
        <w:gridCol w:w="1973"/>
        <w:gridCol w:w="1983"/>
      </w:tblGrid>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9"/>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3"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8"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8"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243,776,725.70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98" w:right="0"/>
              <w:jc w:val="left"/>
              <w:rPr>
                <w:rFonts w:ascii="宋体" w:hAnsi="宋体" w:cs="宋体" w:eastAsia="宋体" w:hint="default"/>
                <w:sz w:val="21"/>
                <w:szCs w:val="21"/>
              </w:rPr>
            </w:pPr>
            <w:r>
              <w:rPr>
                <w:rFonts w:ascii="宋体"/>
                <w:sz w:val="21"/>
              </w:rPr>
              <w:t>204,692,488.71</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243,776,725.70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98" w:right="0"/>
              <w:jc w:val="left"/>
              <w:rPr>
                <w:rFonts w:ascii="宋体" w:hAnsi="宋体" w:cs="宋体" w:eastAsia="宋体" w:hint="default"/>
                <w:sz w:val="21"/>
                <w:szCs w:val="21"/>
              </w:rPr>
            </w:pPr>
            <w:r>
              <w:rPr>
                <w:rFonts w:ascii="宋体"/>
                <w:sz w:val="21"/>
              </w:rPr>
              <w:t>204,692,488.71</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165,591,116.09</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98" w:right="0"/>
              <w:jc w:val="left"/>
              <w:rPr>
                <w:rFonts w:ascii="宋体" w:hAnsi="宋体" w:cs="宋体" w:eastAsia="宋体" w:hint="default"/>
                <w:sz w:val="21"/>
                <w:szCs w:val="21"/>
              </w:rPr>
            </w:pPr>
            <w:r>
              <w:rPr>
                <w:rFonts w:ascii="宋体"/>
                <w:sz w:val="21"/>
              </w:rPr>
              <w:t>136,189,262.87</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51,728,254.04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4" w:right="0"/>
              <w:jc w:val="left"/>
              <w:rPr>
                <w:rFonts w:ascii="宋体" w:hAnsi="宋体" w:cs="宋体" w:eastAsia="宋体" w:hint="default"/>
                <w:sz w:val="21"/>
                <w:szCs w:val="21"/>
              </w:rPr>
            </w:pPr>
            <w:r>
              <w:rPr>
                <w:rFonts w:ascii="宋体"/>
                <w:sz w:val="21"/>
              </w:rPr>
              <w:t>42,022,488.48</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000" w:bottom="280" w:left="1580" w:right="1040"/>
        </w:sectPr>
      </w:pPr>
    </w:p>
    <w:p>
      <w:pPr>
        <w:spacing w:line="240" w:lineRule="auto" w:before="8"/>
        <w:rPr>
          <w:rFonts w:ascii="Times New Roman" w:hAnsi="Times New Roman" w:cs="Times New Roman" w:eastAsia="Times New Roman" w:hint="default"/>
          <w:sz w:val="16"/>
          <w:szCs w:val="16"/>
        </w:rPr>
      </w:pPr>
    </w:p>
    <w:tbl>
      <w:tblPr>
        <w:tblW w:w="0" w:type="auto"/>
        <w:jc w:val="left"/>
        <w:tblInd w:w="102" w:type="dxa"/>
        <w:tblLayout w:type="fixed"/>
        <w:tblCellMar>
          <w:top w:w="0" w:type="dxa"/>
          <w:left w:w="0" w:type="dxa"/>
          <w:bottom w:w="0" w:type="dxa"/>
          <w:right w:w="0" w:type="dxa"/>
        </w:tblCellMar>
        <w:tblLook w:val="01E0"/>
      </w:tblPr>
      <w:tblGrid>
        <w:gridCol w:w="4126"/>
        <w:gridCol w:w="968"/>
        <w:gridCol w:w="1973"/>
        <w:gridCol w:w="1983"/>
      </w:tblGrid>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731" w:right="0"/>
              <w:jc w:val="left"/>
              <w:rPr>
                <w:rFonts w:ascii="宋体" w:hAnsi="宋体" w:cs="宋体" w:eastAsia="宋体" w:hint="default"/>
                <w:sz w:val="21"/>
                <w:szCs w:val="21"/>
              </w:rPr>
            </w:pPr>
            <w:r>
              <w:rPr>
                <w:rFonts w:ascii="宋体" w:hAnsi="宋体" w:cs="宋体" w:eastAsia="宋体" w:hint="default"/>
                <w:sz w:val="21"/>
                <w:szCs w:val="21"/>
              </w:rPr>
              <w:t>税金及附加</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3,665,687.71</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3"/>
              <w:jc w:val="right"/>
              <w:rPr>
                <w:rFonts w:ascii="宋体" w:hAnsi="宋体" w:cs="宋体" w:eastAsia="宋体" w:hint="default"/>
                <w:sz w:val="21"/>
                <w:szCs w:val="21"/>
              </w:rPr>
            </w:pPr>
            <w:r>
              <w:rPr>
                <w:rFonts w:ascii="宋体"/>
                <w:spacing w:val="-1"/>
                <w:sz w:val="21"/>
              </w:rPr>
              <w:t>2,989,678.53</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29,197,043.35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27,325,404.59</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85,114,997.74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69,246,194.03</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-4,607,679.58</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-5,482,497.01</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492,812.83</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87,994.25</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pacing w:val="-6"/>
                <w:sz w:val="21"/>
                <w:szCs w:val="21"/>
              </w:rPr>
              <w:t>加：公允价值变动收益（损失以“－”号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13,066,725.74</w:t>
            </w: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pacing w:val="-7"/>
                <w:sz w:val="21"/>
                <w:szCs w:val="21"/>
              </w:rPr>
              <w:t>其中：对联营企业和合营企业的投资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8"/>
              <w:jc w:val="left"/>
              <w:rPr>
                <w:rFonts w:ascii="宋体" w:hAnsi="宋体" w:cs="宋体" w:eastAsia="宋体" w:hint="default"/>
                <w:sz w:val="21"/>
                <w:szCs w:val="21"/>
              </w:rPr>
            </w:pPr>
            <w:r>
              <w:rPr>
                <w:rFonts w:ascii="宋体" w:hAnsi="宋体" w:cs="宋体" w:eastAsia="宋体" w:hint="default"/>
                <w:spacing w:val="-13"/>
                <w:sz w:val="21"/>
                <w:szCs w:val="21"/>
              </w:rPr>
              <w:t>资产处置收益（损失以“－”号填列）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7,610.98</w:t>
            </w:r>
          </w:p>
        </w:tc>
      </w:tr>
      <w:tr>
        <w:trPr>
          <w:trHeight w:val="28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汇兑收益（损失以“－”号填列）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15,800,979.82</w:t>
            </w: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三、营业利润（亏损以“－”号填列）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107,053,315.17</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68,510,836.82</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1,750,665.00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13,170,004.86</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539,769.41</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153,393.04</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四、利润总额（亏损总额以“－”号填列）</w:t>
            </w:r>
            <w:r>
              <w:rPr>
                <w:rFonts w:ascii="宋体" w:hAnsi="宋体" w:cs="宋体" w:eastAsia="宋体" w:hint="default"/>
                <w:sz w:val="21"/>
                <w:szCs w:val="21"/>
              </w:rPr>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108,264,210.76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81,527,448.64</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8,165,943.07</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11,798,817.96</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五、净利润（净亏损以“－”号填列）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100,098,267.69</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69,728,630.68</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w:t>
            </w:r>
            <w:r>
              <w:rPr>
                <w:rFonts w:ascii="宋体" w:hAnsi="宋体" w:cs="宋体" w:eastAsia="宋体" w:hint="default"/>
                <w:sz w:val="21"/>
                <w:szCs w:val="21"/>
              </w:rPr>
              <w:t>按经营持续性分类</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pacing w:val="-6"/>
                <w:sz w:val="21"/>
                <w:szCs w:val="21"/>
              </w:rPr>
              <w:t>1.</w:t>
            </w:r>
            <w:r>
              <w:rPr>
                <w:rFonts w:ascii="宋体" w:hAnsi="宋体" w:cs="宋体" w:eastAsia="宋体" w:hint="default"/>
                <w:spacing w:val="-6"/>
                <w:sz w:val="21"/>
                <w:szCs w:val="21"/>
              </w:rPr>
              <w:t>持续经营净利润（净亏损以“－”号</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100,098,267.69</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69,728,630.68</w:t>
            </w: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0" w:right="0"/>
              <w:jc w:val="left"/>
              <w:rPr>
                <w:rFonts w:ascii="宋体" w:hAnsi="宋体" w:cs="宋体" w:eastAsia="宋体" w:hint="default"/>
                <w:sz w:val="21"/>
                <w:szCs w:val="21"/>
              </w:rPr>
            </w:pPr>
            <w:r>
              <w:rPr>
                <w:rFonts w:ascii="宋体" w:hAnsi="宋体" w:cs="宋体" w:eastAsia="宋体" w:hint="default"/>
                <w:spacing w:val="-6"/>
                <w:sz w:val="21"/>
                <w:szCs w:val="21"/>
              </w:rPr>
              <w:t>2.</w:t>
            </w:r>
            <w:r>
              <w:rPr>
                <w:rFonts w:ascii="宋体" w:hAnsi="宋体" w:cs="宋体" w:eastAsia="宋体" w:hint="default"/>
                <w:spacing w:val="-6"/>
                <w:sz w:val="21"/>
                <w:szCs w:val="21"/>
              </w:rPr>
              <w:t>终止经营净利润（净亏损以“－”号</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二</w:t>
            </w:r>
            <w:r>
              <w:rPr>
                <w:rFonts w:ascii="宋体" w:hAnsi="宋体" w:cs="宋体" w:eastAsia="宋体" w:hint="default"/>
                <w:sz w:val="21"/>
                <w:szCs w:val="21"/>
              </w:rPr>
              <w:t>)</w:t>
            </w:r>
            <w:r>
              <w:rPr>
                <w:rFonts w:ascii="宋体" w:hAnsi="宋体" w:cs="宋体" w:eastAsia="宋体" w:hint="default"/>
                <w:sz w:val="21"/>
                <w:szCs w:val="21"/>
              </w:rPr>
              <w:t>按所有权归属分类</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少数股东损益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-1,810,071.60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-752,955.48</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归属于母公司股东的净利润</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101,908,339.29</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70,481,586.16</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六、其他综合收益的税后净额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归属母公司所有者的其他综合收益的税</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后净额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pacing w:val="-6"/>
                <w:sz w:val="21"/>
                <w:szCs w:val="21"/>
              </w:rPr>
              <w:t>（一）以后不能重分类进损益的其他综</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合收益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重新计量设定受益计划净负债或</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净资产的变动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1"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权益法下在被投资单位不能重分</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类进损益的其他综合收益中享有的份额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0" w:right="0"/>
              <w:jc w:val="left"/>
              <w:rPr>
                <w:rFonts w:ascii="宋体" w:hAnsi="宋体" w:cs="宋体" w:eastAsia="宋体" w:hint="default"/>
                <w:sz w:val="21"/>
                <w:szCs w:val="21"/>
              </w:rPr>
            </w:pPr>
            <w:r>
              <w:rPr>
                <w:rFonts w:ascii="宋体" w:hAnsi="宋体" w:cs="宋体" w:eastAsia="宋体" w:hint="default"/>
                <w:spacing w:val="-6"/>
                <w:sz w:val="21"/>
                <w:szCs w:val="21"/>
              </w:rPr>
              <w:t>（二）以后将重分类进损益的其他综合</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firstLine="631"/>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权益法下在被投资单位以后将重</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分类进损益的其他综合收益中享有的份额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可供出售金融资产公允价值变动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持有至到期投资重分类为可供出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售金融资产损益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现金流量套期损益的有效部分</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外币财务报表折算差额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归属于少数股东的其他综合收益的税后</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57" w:footer="1195" w:top="1320" w:bottom="1380" w:left="1580" w:right="1040"/>
        </w:sectPr>
      </w:pPr>
    </w:p>
    <w:p>
      <w:pPr>
        <w:spacing w:line="240" w:lineRule="auto" w:before="8"/>
        <w:rPr>
          <w:rFonts w:ascii="Times New Roman" w:hAnsi="Times New Roman" w:cs="Times New Roman" w:eastAsia="Times New Roman" w:hint="default"/>
          <w:sz w:val="16"/>
          <w:szCs w:val="16"/>
        </w:rPr>
      </w:pPr>
    </w:p>
    <w:tbl>
      <w:tblPr>
        <w:tblW w:w="0" w:type="auto"/>
        <w:jc w:val="left"/>
        <w:tblInd w:w="102" w:type="dxa"/>
        <w:tblLayout w:type="fixed"/>
        <w:tblCellMar>
          <w:top w:w="0" w:type="dxa"/>
          <w:left w:w="0" w:type="dxa"/>
          <w:bottom w:w="0" w:type="dxa"/>
          <w:right w:w="0" w:type="dxa"/>
        </w:tblCellMar>
        <w:tblLook w:val="01E0"/>
      </w:tblPr>
      <w:tblGrid>
        <w:gridCol w:w="4126"/>
        <w:gridCol w:w="968"/>
        <w:gridCol w:w="1973"/>
        <w:gridCol w:w="1983"/>
      </w:tblGrid>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100,098,267.69</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69,728,630.68</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归属于母公司所有者的综合收益总额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101,908,339.29</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70,481,586.16</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归属于少数股东的综合收益总额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-1,810,071.60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-752,955.48</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八、每股收益：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39" w:lineRule="exact"/>
        <w:ind w:right="0"/>
        <w:jc w:val="left"/>
      </w:pPr>
      <w:r>
        <w:rPr>
          <w:spacing w:val="-5"/>
        </w:rPr>
        <w:t>本期发生同一控制下企业合并的，被合并方在合并前实现的净利润为：</w:t>
      </w:r>
      <w:r>
        <w:rPr>
          <w:rFonts w:ascii="宋体" w:hAnsi="宋体" w:cs="宋体" w:eastAsia="宋体" w:hint="default"/>
          <w:spacing w:val="-5"/>
        </w:rPr>
        <w:t>0</w:t>
      </w:r>
      <w:r>
        <w:rPr>
          <w:rFonts w:ascii="宋体" w:hAnsi="宋体" w:cs="宋体" w:eastAsia="宋体" w:hint="default"/>
          <w:spacing w:val="60"/>
        </w:rPr>
        <w:t> </w:t>
      </w:r>
      <w:r>
        <w:rPr/>
        <w:t>元</w:t>
      </w:r>
      <w:r>
        <w:rPr>
          <w:rFonts w:ascii="宋体" w:hAnsi="宋体" w:cs="宋体" w:eastAsia="宋体" w:hint="default"/>
        </w:rPr>
        <w:t>,</w:t>
      </w:r>
      <w:r>
        <w:rPr/>
        <w:t>上期被合并方实现的</w:t>
      </w:r>
    </w:p>
    <w:p>
      <w:pPr>
        <w:pStyle w:val="BodyText"/>
        <w:spacing w:line="272" w:lineRule="exact"/>
        <w:ind w:right="2757"/>
        <w:jc w:val="left"/>
      </w:pPr>
      <w:r>
        <w:rPr/>
        <w:t>净利润为：</w:t>
      </w:r>
      <w:r>
        <w:rPr>
          <w:rFonts w:ascii="宋体" w:hAnsi="宋体" w:cs="宋体" w:eastAsia="宋体" w:hint="default"/>
        </w:rPr>
        <w:t>0</w:t>
      </w:r>
      <w:r>
        <w:rPr>
          <w:rFonts w:ascii="宋体" w:hAnsi="宋体" w:cs="宋体" w:eastAsia="宋体" w:hint="default"/>
          <w:spacing w:val="3"/>
        </w:rPr>
        <w:t> </w:t>
      </w:r>
      <w:r>
        <w:rPr>
          <w:spacing w:val="-3"/>
        </w:rPr>
        <w:t>元。</w:t>
      </w:r>
      <w:r>
        <w:rPr/>
      </w:r>
    </w:p>
    <w:p>
      <w:pPr>
        <w:pStyle w:val="BodyText"/>
        <w:spacing w:line="274" w:lineRule="exact"/>
        <w:ind w:right="0"/>
        <w:jc w:val="left"/>
      </w:pPr>
      <w:r>
        <w:rPr/>
        <w:t>法定代表人：严孟宇 主管会计工作负责人：董凤良</w:t>
      </w:r>
      <w:r>
        <w:rPr>
          <w:spacing w:val="-6"/>
        </w:rPr>
        <w:t> </w:t>
      </w:r>
      <w:r>
        <w:rPr/>
        <w:t>会计机构负责人：熊婵静</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57" w:footer="1195" w:top="1320" w:bottom="1380" w:left="1580" w:right="1040"/>
        </w:sectPr>
      </w:pPr>
    </w:p>
    <w:p>
      <w:pPr>
        <w:spacing w:before="36"/>
        <w:ind w:left="3873" w:right="-16" w:firstLine="127"/>
        <w:jc w:val="left"/>
        <w:rPr>
          <w:rFonts w:ascii="宋体" w:hAnsi="宋体" w:cs="宋体" w:eastAsia="宋体" w:hint="default"/>
          <w:sz w:val="21"/>
          <w:szCs w:val="21"/>
        </w:rPr>
      </w:pPr>
      <w:r>
        <w:rPr>
          <w:rFonts w:ascii="宋体" w:hAnsi="宋体" w:cs="宋体" w:eastAsia="宋体" w:hint="default"/>
          <w:b/>
          <w:bCs/>
          <w:sz w:val="21"/>
          <w:szCs w:val="21"/>
        </w:rPr>
        <w:t>母公司利润表</w:t>
      </w:r>
      <w:r>
        <w:rPr>
          <w:rFonts w:ascii="宋体" w:hAnsi="宋体" w:cs="宋体" w:eastAsia="宋体" w:hint="default"/>
          <w:b/>
          <w:bCs/>
          <w:w w:val="100"/>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458" w:val="left" w:leader="none"/>
        </w:tabs>
        <w:spacing w:line="240" w:lineRule="auto"/>
        <w:ind w:left="1512"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000" w:bottom="280" w:left="1580" w:right="1040"/>
          <w:cols w:num="2" w:equalWidth="0">
            <w:col w:w="5399" w:space="40"/>
            <w:col w:w="3851"/>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126"/>
        <w:gridCol w:w="968"/>
        <w:gridCol w:w="1973"/>
        <w:gridCol w:w="1983"/>
      </w:tblGrid>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9"/>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3"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8"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8"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81"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176,062,724.27</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155,103,579.47</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45,084,758.63</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36,945,112.04</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税金及附加</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2,420,101.68</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2,231,672.60</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17,441,296.68</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15,811,978.95</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54,250,030.68</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41,932,233.09</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-3,200,782.92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-4,416,027.96</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353,432.29</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225,500.47</w:t>
            </w:r>
          </w:p>
        </w:tc>
      </w:tr>
      <w:tr>
        <w:trPr>
          <w:trHeight w:val="562"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311" w:right="0"/>
              <w:jc w:val="left"/>
              <w:rPr>
                <w:rFonts w:ascii="宋体" w:hAnsi="宋体" w:cs="宋体" w:eastAsia="宋体" w:hint="default"/>
                <w:sz w:val="21"/>
                <w:szCs w:val="21"/>
              </w:rPr>
            </w:pPr>
            <w:r>
              <w:rPr>
                <w:rFonts w:ascii="宋体" w:hAnsi="宋体" w:cs="宋体" w:eastAsia="宋体" w:hint="default"/>
                <w:spacing w:val="-6"/>
                <w:sz w:val="21"/>
                <w:szCs w:val="21"/>
              </w:rPr>
              <w:t>加：公允价值变动收益（损失以“－”号</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91,499,137.22</w:t>
            </w: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pacing w:val="-7"/>
                <w:sz w:val="21"/>
                <w:szCs w:val="21"/>
              </w:rPr>
              <w:t>其中：对联营企业和合营企业的投资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8"/>
              <w:jc w:val="left"/>
              <w:rPr>
                <w:rFonts w:ascii="宋体" w:hAnsi="宋体" w:cs="宋体" w:eastAsia="宋体" w:hint="default"/>
                <w:sz w:val="21"/>
                <w:szCs w:val="21"/>
              </w:rPr>
            </w:pPr>
            <w:r>
              <w:rPr>
                <w:rFonts w:ascii="宋体" w:hAnsi="宋体" w:cs="宋体" w:eastAsia="宋体" w:hint="default"/>
                <w:spacing w:val="-13"/>
                <w:sz w:val="21"/>
                <w:szCs w:val="21"/>
              </w:rPr>
              <w:t>资产处置收益（损失以“－”号填列）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7,610.98</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11,324,725.47</w:t>
            </w: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二、营业利润（亏损以“－”号填列）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162,537,749.92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62,380,721.26</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900,000.00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9,129,344.58</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501,344.26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150,000.00</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三、利润总额（亏损总额以“－”号填列）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162,936,405.66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71,360,065.84</w:t>
            </w:r>
          </w:p>
        </w:tc>
      </w:tr>
      <w:tr>
        <w:trPr>
          <w:trHeight w:val="28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7,497,094.65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10,189,608.86</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四、净利润（净亏损以“－”号填列）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155,439,311.01</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61,170,456.98</w:t>
            </w:r>
          </w:p>
        </w:tc>
      </w:tr>
      <w:tr>
        <w:trPr>
          <w:trHeight w:val="562"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3" w:right="0"/>
              <w:jc w:val="left"/>
              <w:rPr>
                <w:rFonts w:ascii="宋体" w:hAnsi="宋体" w:cs="宋体" w:eastAsia="宋体" w:hint="default"/>
                <w:sz w:val="21"/>
                <w:szCs w:val="21"/>
              </w:rPr>
            </w:pPr>
            <w:r>
              <w:rPr>
                <w:rFonts w:ascii="宋体" w:hAnsi="宋体" w:cs="宋体" w:eastAsia="宋体" w:hint="default"/>
                <w:spacing w:val="-5"/>
                <w:sz w:val="21"/>
                <w:szCs w:val="21"/>
              </w:rPr>
              <w:t>(</w:t>
            </w:r>
            <w:r>
              <w:rPr>
                <w:rFonts w:ascii="宋体" w:hAnsi="宋体" w:cs="宋体" w:eastAsia="宋体" w:hint="default"/>
                <w:spacing w:val="-5"/>
                <w:sz w:val="21"/>
                <w:szCs w:val="21"/>
              </w:rPr>
              <w:t>一</w:t>
            </w:r>
            <w:r>
              <w:rPr>
                <w:rFonts w:ascii="宋体" w:hAnsi="宋体" w:cs="宋体" w:eastAsia="宋体" w:hint="default"/>
                <w:spacing w:val="-5"/>
                <w:sz w:val="21"/>
                <w:szCs w:val="21"/>
              </w:rPr>
              <w:t>)</w:t>
            </w:r>
            <w:r>
              <w:rPr>
                <w:rFonts w:ascii="宋体" w:hAnsi="宋体" w:cs="宋体" w:eastAsia="宋体" w:hint="default"/>
                <w:spacing w:val="-5"/>
                <w:sz w:val="21"/>
                <w:szCs w:val="21"/>
              </w:rPr>
              <w:t>持续经营净利润（净亏损以“－”</w:t>
            </w:r>
          </w:p>
          <w:p>
            <w:pPr>
              <w:pStyle w:val="TableParagraph"/>
              <w:spacing w:line="273" w:lineRule="exact"/>
              <w:ind w:left="8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155,439,311.01</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61,170,456.98</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03" w:right="-8"/>
              <w:jc w:val="left"/>
              <w:rPr>
                <w:rFonts w:ascii="宋体" w:hAnsi="宋体" w:cs="宋体" w:eastAsia="宋体" w:hint="default"/>
                <w:sz w:val="21"/>
                <w:szCs w:val="21"/>
              </w:rPr>
            </w:pPr>
            <w:r>
              <w:rPr>
                <w:rFonts w:ascii="宋体" w:hAnsi="宋体" w:cs="宋体" w:eastAsia="宋体" w:hint="default"/>
                <w:spacing w:val="-11"/>
                <w:sz w:val="21"/>
                <w:szCs w:val="21"/>
              </w:rPr>
              <w:t>（二）终止经营净利润（净亏损以“－”</w:t>
            </w:r>
          </w:p>
          <w:p>
            <w:pPr>
              <w:pStyle w:val="TableParagraph"/>
              <w:spacing w:line="273" w:lineRule="exact"/>
              <w:ind w:left="8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0" w:right="0"/>
              <w:jc w:val="left"/>
              <w:rPr>
                <w:rFonts w:ascii="宋体" w:hAnsi="宋体" w:cs="宋体" w:eastAsia="宋体" w:hint="default"/>
                <w:sz w:val="21"/>
                <w:szCs w:val="21"/>
              </w:rPr>
            </w:pPr>
            <w:r>
              <w:rPr>
                <w:rFonts w:ascii="宋体" w:hAnsi="宋体" w:cs="宋体" w:eastAsia="宋体" w:hint="default"/>
                <w:sz w:val="21"/>
                <w:szCs w:val="21"/>
              </w:rPr>
              <w:t>五、其他综合收益的税后净额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pacing w:val="-6"/>
                <w:sz w:val="21"/>
                <w:szCs w:val="21"/>
              </w:rPr>
              <w:t>（一）以后不能重分类进损益的其他综合</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重新计量设定受益计划净负债或净</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资产的变动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6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权益法下在被投资单位不能重分类</w:t>
            </w:r>
          </w:p>
          <w:p>
            <w:pPr>
              <w:pStyle w:val="TableParagraph"/>
              <w:spacing w:line="274" w:lineRule="exact"/>
              <w:ind w:left="43" w:right="0"/>
              <w:jc w:val="left"/>
              <w:rPr>
                <w:rFonts w:ascii="宋体" w:hAnsi="宋体" w:cs="宋体" w:eastAsia="宋体" w:hint="default"/>
                <w:sz w:val="21"/>
                <w:szCs w:val="21"/>
              </w:rPr>
            </w:pPr>
            <w:r>
              <w:rPr>
                <w:rFonts w:ascii="宋体" w:hAnsi="宋体" w:cs="宋体" w:eastAsia="宋体" w:hint="default"/>
                <w:sz w:val="21"/>
                <w:szCs w:val="21"/>
              </w:rPr>
              <w:t>进损益的其他综合收益中享有的份额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pacing w:val="-6"/>
                <w:sz w:val="21"/>
                <w:szCs w:val="21"/>
              </w:rPr>
              <w:t>（二）以后将重分类进损益的其他综合收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000" w:bottom="280" w:left="1580" w:right="1040"/>
        </w:sectPr>
      </w:pPr>
    </w:p>
    <w:p>
      <w:pPr>
        <w:spacing w:line="240" w:lineRule="auto" w:before="9"/>
        <w:rPr>
          <w:rFonts w:ascii="宋体" w:hAnsi="宋体" w:cs="宋体" w:eastAsia="宋体"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4126"/>
        <w:gridCol w:w="968"/>
        <w:gridCol w:w="1973"/>
        <w:gridCol w:w="1983"/>
      </w:tblGrid>
      <w:tr>
        <w:trPr>
          <w:trHeight w:val="562"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权益法下在被投资单位以后将重分</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类进损益的其他综合收益中享有的份额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可供出售金融资产公允价值变动损</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持有至到期投资重分类为可供出售</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金融资产损益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现金流量套期损益的有效部分</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外币财务报表折算差额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六、综合收益总额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83" w:right="0"/>
              <w:jc w:val="left"/>
              <w:rPr>
                <w:rFonts w:ascii="宋体" w:hAnsi="宋体" w:cs="宋体" w:eastAsia="宋体" w:hint="default"/>
                <w:sz w:val="21"/>
                <w:szCs w:val="21"/>
              </w:rPr>
            </w:pPr>
            <w:r>
              <w:rPr>
                <w:rFonts w:ascii="宋体"/>
                <w:sz w:val="21"/>
              </w:rPr>
              <w:t>155,439,311.01</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4" w:right="0"/>
              <w:jc w:val="left"/>
              <w:rPr>
                <w:rFonts w:ascii="宋体" w:hAnsi="宋体" w:cs="宋体" w:eastAsia="宋体" w:hint="default"/>
                <w:sz w:val="21"/>
                <w:szCs w:val="21"/>
              </w:rPr>
            </w:pPr>
            <w:r>
              <w:rPr>
                <w:rFonts w:ascii="宋体"/>
                <w:sz w:val="21"/>
              </w:rPr>
              <w:t>61,170,456.98</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0" w:right="0"/>
              <w:jc w:val="left"/>
              <w:rPr>
                <w:rFonts w:ascii="宋体" w:hAnsi="宋体" w:cs="宋体" w:eastAsia="宋体" w:hint="default"/>
                <w:sz w:val="21"/>
                <w:szCs w:val="21"/>
              </w:rPr>
            </w:pPr>
            <w:r>
              <w:rPr>
                <w:rFonts w:ascii="宋体" w:hAnsi="宋体" w:cs="宋体" w:eastAsia="宋体" w:hint="default"/>
                <w:sz w:val="21"/>
                <w:szCs w:val="21"/>
              </w:rPr>
              <w:t>七、每股收益：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01"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1" w:lineRule="exact"/>
        <w:ind w:right="0"/>
        <w:jc w:val="left"/>
      </w:pPr>
      <w:r>
        <w:rPr/>
        <w:t>法定代表人：严孟宇 主管会计工作负责人：董凤良</w:t>
      </w:r>
      <w:r>
        <w:rPr>
          <w:spacing w:val="-6"/>
        </w:rPr>
        <w:t> </w:t>
      </w:r>
      <w:r>
        <w:rPr/>
        <w:t>会计机构负责人：熊婵静</w:t>
      </w:r>
    </w:p>
    <w:p>
      <w:pPr>
        <w:spacing w:line="240" w:lineRule="auto" w:before="11"/>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857" w:footer="1195" w:top="1320" w:bottom="1380" w:left="1580" w:right="1040"/>
        </w:sectPr>
      </w:pPr>
    </w:p>
    <w:p>
      <w:pPr>
        <w:spacing w:before="36"/>
        <w:ind w:left="3873" w:right="0" w:firstLine="21"/>
        <w:jc w:val="right"/>
        <w:rPr>
          <w:rFonts w:ascii="宋体" w:hAnsi="宋体" w:cs="宋体" w:eastAsia="宋体" w:hint="default"/>
          <w:sz w:val="21"/>
          <w:szCs w:val="21"/>
        </w:rPr>
      </w:pPr>
      <w:r>
        <w:rPr>
          <w:rFonts w:ascii="宋体" w:hAnsi="宋体" w:cs="宋体" w:eastAsia="宋体" w:hint="default"/>
          <w:b/>
          <w:bCs/>
          <w:sz w:val="21"/>
          <w:szCs w:val="21"/>
        </w:rPr>
        <w:t>合并现金流量表</w:t>
      </w:r>
      <w:r>
        <w:rPr>
          <w:rFonts w:ascii="宋体" w:hAnsi="宋体" w:cs="宋体" w:eastAsia="宋体" w:hint="default"/>
          <w:b/>
          <w:bCs/>
          <w:w w:val="100"/>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353" w:val="left" w:leader="none"/>
        </w:tabs>
        <w:spacing w:line="240" w:lineRule="auto"/>
        <w:ind w:left="1301" w:right="0"/>
        <w:jc w:val="left"/>
      </w:pPr>
      <w:r>
        <w:rPr>
          <w:spacing w:val="-1"/>
        </w:rPr>
        <w:t>单位：元</w:t>
        <w:tab/>
        <w:t>币种：人民币</w:t>
      </w:r>
    </w:p>
    <w:p>
      <w:pPr>
        <w:spacing w:after="0" w:line="240" w:lineRule="auto"/>
        <w:jc w:val="left"/>
        <w:sectPr>
          <w:type w:val="continuous"/>
          <w:pgSz w:w="11910" w:h="16840"/>
          <w:pgMar w:top="1000" w:bottom="280" w:left="1580" w:right="1040"/>
          <w:cols w:num="2" w:equalWidth="0">
            <w:col w:w="5399" w:space="40"/>
            <w:col w:w="3851"/>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16"/>
        <w:gridCol w:w="2201"/>
      </w:tblGrid>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73"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73"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66"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293,549,391.87</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254,883,720.98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客户存款和同业存放款项净增加额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向其他金融机构拆入资金净增加额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收到原保险合同保费取得的现金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收到再保险业务现金净额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当期损益的金融资产净增加额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收取利息、手续费及佣金的现金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14,132,979.82</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12,201,647.16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9,331,610.03</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7,151,677.83</w:t>
            </w: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317,013,981.72</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274,237,045.97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11,345,598.67</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8,736,296.06</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存放中央银行和同业款项净增加额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支付原保险合同赔付款项的现金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支付利息、手续费及佣金的现金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支付给职工以及为职工支付的现金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113,783,001.55</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93,801,468.11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39,884,832.82</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35,779,565.60</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48,335,012.49</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40,726,187.22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213,348,445.53</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179,043,516.99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经营活动产生的现金流量净额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103,665,536.19</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95,193,528.98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910,000,000.00</w:t>
            </w:r>
          </w:p>
        </w:tc>
        <w:tc>
          <w:tcPr>
            <w:tcW w:w="2201"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000" w:bottom="280" w:left="1580" w:right="1040"/>
        </w:sectPr>
      </w:pPr>
    </w:p>
    <w:p>
      <w:pPr>
        <w:spacing w:line="240" w:lineRule="auto" w:before="9"/>
        <w:rPr>
          <w:rFonts w:ascii="宋体" w:hAnsi="宋体" w:cs="宋体" w:eastAsia="宋体"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16"/>
        <w:gridCol w:w="2201"/>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7,174,537.49</w:t>
            </w: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期资产收回的现金净额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24,670.99</w:t>
            </w:r>
          </w:p>
        </w:tc>
      </w:tr>
      <w:tr>
        <w:trPr>
          <w:trHeight w:val="56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917,174,537.49</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24,670.99</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58,645,193.83</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3,467,691.54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1,510,000,000.00</w:t>
            </w: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1,568,645,193.83</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3,467,691.54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投资活动产生的现金流量净额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-651,470,656.34</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-3,443,020.55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409,436,245.00</w:t>
            </w: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其中：子公司吸收少数股东投资收</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409,436,245.00</w:t>
            </w: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其中：子公司支付给少数股东的股</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利、利润</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7,894,050.00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700,000.00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7,894,050.00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700,000.00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筹资活动产生的现金流量净额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401,542,195.00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-700,000.00</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影响</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-146,262,925.15</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91,050,508.43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512,834,515.41</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421,784,006.98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366,571,590.26</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512,834,515.41</w:t>
            </w:r>
          </w:p>
        </w:tc>
      </w:tr>
    </w:tbl>
    <w:p>
      <w:pPr>
        <w:pStyle w:val="BodyText"/>
        <w:spacing w:line="241" w:lineRule="exact"/>
        <w:ind w:right="0"/>
        <w:jc w:val="left"/>
      </w:pPr>
      <w:r>
        <w:rPr/>
        <w:t>法定代表人：严孟宇 主管会计工作负责人：董凤良</w:t>
      </w:r>
      <w:r>
        <w:rPr>
          <w:spacing w:val="-6"/>
        </w:rPr>
        <w:t> </w:t>
      </w:r>
      <w:r>
        <w:rPr/>
        <w:t>会计机构负责人：熊婵静</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57" w:footer="1195" w:top="1320" w:bottom="1380" w:left="1580" w:right="1040"/>
        </w:sectPr>
      </w:pPr>
    </w:p>
    <w:p>
      <w:pPr>
        <w:spacing w:line="272" w:lineRule="exact" w:before="64"/>
        <w:ind w:left="3873" w:right="-17" w:hanging="84"/>
        <w:jc w:val="left"/>
        <w:rPr>
          <w:rFonts w:ascii="宋体" w:hAnsi="宋体" w:cs="宋体" w:eastAsia="宋体" w:hint="default"/>
          <w:sz w:val="21"/>
          <w:szCs w:val="21"/>
        </w:rPr>
      </w:pPr>
      <w:r>
        <w:rPr>
          <w:rFonts w:ascii="宋体" w:hAnsi="宋体" w:cs="宋体" w:eastAsia="宋体" w:hint="default"/>
          <w:b/>
          <w:bCs/>
          <w:sz w:val="21"/>
          <w:szCs w:val="21"/>
        </w:rPr>
        <w:t>母公司现金流量表</w:t>
      </w:r>
      <w:r>
        <w:rPr>
          <w:rFonts w:ascii="宋体" w:hAnsi="宋体" w:cs="宋体" w:eastAsia="宋体" w:hint="default"/>
          <w:b/>
          <w:bCs/>
          <w:spacing w:val="-103"/>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377" w:val="left" w:leader="none"/>
        </w:tabs>
        <w:spacing w:line="240" w:lineRule="auto"/>
        <w:ind w:left="1431"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000" w:bottom="280" w:left="1580" w:right="1040"/>
          <w:cols w:num="2" w:equalWidth="0">
            <w:col w:w="5480" w:space="40"/>
            <w:col w:w="3770"/>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51"/>
        <w:gridCol w:w="996"/>
        <w:gridCol w:w="2208"/>
        <w:gridCol w:w="2194"/>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78"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68"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64"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77"/>
              <w:jc w:val="right"/>
              <w:rPr>
                <w:rFonts w:ascii="宋体" w:hAnsi="宋体" w:cs="宋体" w:eastAsia="宋体" w:hint="default"/>
                <w:sz w:val="21"/>
                <w:szCs w:val="21"/>
              </w:rPr>
            </w:pPr>
            <w:r>
              <w:rPr>
                <w:rFonts w:ascii="宋体" w:hAnsi="宋体" w:cs="宋体" w:eastAsia="宋体" w:hint="default"/>
                <w:spacing w:val="-2"/>
                <w:sz w:val="21"/>
                <w:szCs w:val="21"/>
              </w:rPr>
              <w:t>销售商品、提供劳务收到的现金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217,986,317.41</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197,207,949.45</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9,656,725.47</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8,453,674.88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77"/>
              <w:jc w:val="right"/>
              <w:rPr>
                <w:rFonts w:ascii="宋体" w:hAnsi="宋体" w:cs="宋体" w:eastAsia="宋体" w:hint="default"/>
                <w:sz w:val="21"/>
                <w:szCs w:val="21"/>
              </w:rPr>
            </w:pPr>
            <w:r>
              <w:rPr>
                <w:rFonts w:ascii="宋体" w:hAnsi="宋体" w:cs="宋体" w:eastAsia="宋体" w:hint="default"/>
                <w:spacing w:val="-2"/>
                <w:sz w:val="21"/>
                <w:szCs w:val="21"/>
              </w:rPr>
              <w:t>收到其他与经营活动有关的现金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27,981,415.01</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20,102,965.30</w:t>
            </w:r>
          </w:p>
        </w:tc>
      </w:tr>
    </w:tbl>
    <w:p>
      <w:pPr>
        <w:spacing w:after="0" w:line="243" w:lineRule="exact"/>
        <w:jc w:val="right"/>
        <w:rPr>
          <w:rFonts w:ascii="宋体" w:hAnsi="宋体" w:cs="宋体" w:eastAsia="宋体" w:hint="default"/>
          <w:sz w:val="21"/>
          <w:szCs w:val="21"/>
        </w:rPr>
        <w:sectPr>
          <w:type w:val="continuous"/>
          <w:pgSz w:w="11910" w:h="16840"/>
          <w:pgMar w:top="1000" w:bottom="280" w:left="1580" w:right="1040"/>
        </w:sectPr>
      </w:pPr>
    </w:p>
    <w:p>
      <w:pPr>
        <w:spacing w:line="240" w:lineRule="auto" w:before="9"/>
        <w:rPr>
          <w:rFonts w:ascii="宋体" w:hAnsi="宋体" w:cs="宋体" w:eastAsia="宋体"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3651"/>
        <w:gridCol w:w="996"/>
        <w:gridCol w:w="2208"/>
        <w:gridCol w:w="2194"/>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255,624,457.89</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3"/>
              <w:jc w:val="right"/>
              <w:rPr>
                <w:rFonts w:ascii="宋体" w:hAnsi="宋体" w:cs="宋体" w:eastAsia="宋体" w:hint="default"/>
                <w:sz w:val="21"/>
                <w:szCs w:val="21"/>
              </w:rPr>
            </w:pPr>
            <w:r>
              <w:rPr>
                <w:rFonts w:ascii="宋体"/>
                <w:spacing w:val="-1"/>
                <w:sz w:val="21"/>
              </w:rPr>
              <w:t>225,764,589.63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22,307,955.47</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18,956,013.68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支付给职工以及为职工支付的现金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72,866,023.61</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61,289,602.68</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27,094,081.66</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26,893,445.79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110,086,203.66</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25,262,087.02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232,354,264.40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132,401,149.17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23,270,193.49</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93,363,440.46</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850,000,000.00</w:t>
            </w: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85,572,893.66</w:t>
            </w: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期资产收回的现金净额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19,670.99</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935,572,893.66</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19,670.99</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57,745,582.93</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1,424,014.02</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1,513,347,800.00</w:t>
            </w: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1,571,093,382.93</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1,424,014.02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投资活动产生的现金流量净额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-635,520,489.27</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-1,404,343.03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409,436,245.00</w:t>
            </w: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409,436,245.00</w:t>
            </w: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7,894,050.00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700,000.00</w:t>
            </w: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7,894,050.00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700,000.00</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筹资活动产生的现金流量净额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401,542,195.00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-700,000.00</w:t>
            </w:r>
          </w:p>
        </w:tc>
      </w:tr>
      <w:tr>
        <w:trPr>
          <w:trHeight w:val="56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影响</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-210,708,100.78</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91,259,097.43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465,407,383.47</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374,148,286.04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254,699,282.69</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465,407,383.47</w:t>
            </w:r>
          </w:p>
        </w:tc>
      </w:tr>
    </w:tbl>
    <w:p>
      <w:pPr>
        <w:pStyle w:val="BodyText"/>
        <w:spacing w:line="241" w:lineRule="exact"/>
        <w:ind w:right="1332"/>
        <w:jc w:val="left"/>
      </w:pPr>
      <w:r>
        <w:rPr/>
        <w:t>法定代表人：严孟宇 主管会计工作负责人：董凤良</w:t>
      </w:r>
      <w:r>
        <w:rPr>
          <w:spacing w:val="-6"/>
        </w:rPr>
        <w:t> </w:t>
      </w:r>
      <w:r>
        <w:rPr/>
        <w:t>会计机构负责人：熊婵静</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27"/>
          <w:pgSz w:w="11910" w:h="16840"/>
          <w:pgMar w:footer="1195" w:header="857" w:top="1320" w:bottom="1380" w:left="1580" w:right="0"/>
        </w:sectPr>
      </w:pPr>
    </w:p>
    <w:p>
      <w:pPr>
        <w:spacing w:before="36"/>
        <w:ind w:left="3861" w:right="-8" w:hanging="293"/>
        <w:jc w:val="left"/>
        <w:rPr>
          <w:rFonts w:ascii="宋体" w:hAnsi="宋体" w:cs="宋体" w:eastAsia="宋体" w:hint="default"/>
          <w:sz w:val="21"/>
          <w:szCs w:val="21"/>
        </w:rPr>
      </w:pPr>
      <w:r>
        <w:rPr>
          <w:rFonts w:ascii="宋体" w:hAnsi="宋体" w:cs="宋体" w:eastAsia="宋体" w:hint="default"/>
          <w:b/>
          <w:bCs/>
          <w:spacing w:val="-1"/>
          <w:sz w:val="21"/>
          <w:szCs w:val="21"/>
        </w:rPr>
        <w:t>合并所有者权益变动表</w:t>
      </w:r>
      <w:r>
        <w:rPr>
          <w:rFonts w:ascii="宋体" w:hAnsi="宋体" w:cs="宋体" w:eastAsia="宋体" w:hint="default"/>
          <w:b/>
          <w:bCs/>
          <w:spacing w:val="-96"/>
          <w:sz w:val="21"/>
          <w:szCs w:val="21"/>
        </w:rPr>
        <w:t> </w:t>
      </w:r>
      <w:r>
        <w:rPr>
          <w:rFonts w:ascii="宋体" w:hAnsi="宋体" w:cs="宋体" w:eastAsia="宋体" w:hint="default"/>
          <w:b/>
          <w:bCs/>
          <w:spacing w:val="-96"/>
          <w:sz w:val="21"/>
          <w:szCs w:val="21"/>
        </w:rPr>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6"/>
        <w:rPr>
          <w:rFonts w:ascii="宋体" w:hAnsi="宋体" w:cs="宋体" w:eastAsia="宋体" w:hint="default"/>
          <w:sz w:val="24"/>
          <w:szCs w:val="24"/>
        </w:rPr>
      </w:pPr>
    </w:p>
    <w:p>
      <w:pPr>
        <w:pStyle w:val="BodyText"/>
        <w:tabs>
          <w:tab w:pos="2178" w:val="left" w:leader="none"/>
        </w:tabs>
        <w:spacing w:line="240" w:lineRule="auto"/>
        <w:ind w:left="1232"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000" w:bottom="280" w:left="1580" w:right="0"/>
          <w:cols w:num="2" w:equalWidth="0">
            <w:col w:w="5679" w:space="40"/>
            <w:col w:w="4611"/>
          </w:cols>
        </w:sectPr>
      </w:pPr>
    </w:p>
    <w:p>
      <w:pPr>
        <w:tabs>
          <w:tab w:pos="8938" w:val="left" w:leader="none"/>
        </w:tabs>
        <w:spacing w:before="19"/>
        <w:ind w:left="1125" w:right="0" w:firstLine="0"/>
        <w:jc w:val="left"/>
        <w:rPr>
          <w:rFonts w:ascii="宋体" w:hAnsi="宋体" w:cs="宋体" w:eastAsia="宋体" w:hint="default"/>
          <w:sz w:val="18"/>
          <w:szCs w:val="18"/>
        </w:rPr>
      </w:pPr>
      <w:r>
        <w:rPr/>
        <w:pict>
          <v:group style="position:absolute;margin-left:86.903999pt;margin-top:1.381739pt;width:508.7pt;height:13.45pt;mso-position-horizontal-relative:page;mso-position-vertical-relative:paragraph;z-index:-664240" coordorigin="1738,28" coordsize="10174,269">
            <v:group style="position:absolute;left:1748;top:37;width:2283;height:2" coordorigin="1748,37" coordsize="2283,2">
              <v:shape style="position:absolute;left:1748;top:37;width:2283;height:2" coordorigin="1748,37" coordsize="2283,0" path="m1748,37l4030,37e" filled="false" stroked="true" strokeweight=".47998pt" strokecolor="#000000">
                <v:path arrowok="t"/>
              </v:shape>
            </v:group>
            <v:group style="position:absolute;left:4040;top:37;width:7867;height:2" coordorigin="4040,37" coordsize="7867,2">
              <v:shape style="position:absolute;left:4040;top:37;width:7867;height:2" coordorigin="4040,37" coordsize="7867,0" path="m4040,37l11906,37e" filled="false" stroked="true" strokeweight=".47998pt" strokecolor="#000000">
                <v:path arrowok="t"/>
              </v:shape>
            </v:group>
            <v:group style="position:absolute;left:1743;top:32;width:2;height:260" coordorigin="1743,32" coordsize="2,260">
              <v:shape style="position:absolute;left:1743;top:32;width:2;height:260" coordorigin="1743,32" coordsize="0,260" path="m1743,32l1743,292e" filled="false" stroked="true" strokeweight=".48pt" strokecolor="#000000">
                <v:path arrowok="t"/>
              </v:shape>
            </v:group>
            <v:group style="position:absolute;left:1748;top:287;width:2283;height:2" coordorigin="1748,287" coordsize="2283,2">
              <v:shape style="position:absolute;left:1748;top:287;width:2283;height:2" coordorigin="1748,287" coordsize="2283,0" path="m1748,287l4030,287e" filled="false" stroked="true" strokeweight=".47998pt" strokecolor="#000000">
                <v:path arrowok="t"/>
              </v:shape>
            </v:group>
            <v:group style="position:absolute;left:4035;top:32;width:2;height:260" coordorigin="4035,32" coordsize="2,260">
              <v:shape style="position:absolute;left:4035;top:32;width:2;height:260" coordorigin="4035,32" coordsize="0,260" path="m4035,32l4035,292e" filled="false" stroked="true" strokeweight=".48pt" strokecolor="#000000">
                <v:path arrowok="t"/>
              </v:shape>
            </v:group>
            <v:group style="position:absolute;left:4040;top:287;width:7867;height:2" coordorigin="4040,287" coordsize="7867,2">
              <v:shape style="position:absolute;left:4040;top:287;width:7867;height:2" coordorigin="4040,287" coordsize="7867,0" path="m4040,287l11906,287e" filled="false" stroked="true" strokeweight=".47998pt" strokecolor="#000000">
                <v:path arrowok="t"/>
              </v:shape>
            </v:group>
            <w10:wrap type="none"/>
          </v:group>
        </w:pict>
      </w:r>
      <w:r>
        <w:rPr>
          <w:rFonts w:ascii="宋体" w:hAnsi="宋体" w:cs="宋体" w:eastAsia="宋体" w:hint="default"/>
          <w:sz w:val="18"/>
          <w:szCs w:val="18"/>
        </w:rPr>
        <w:t>项目</w:t>
        <w:tab/>
        <w:t>本期</w:t>
      </w:r>
    </w:p>
    <w:p>
      <w:pPr>
        <w:spacing w:after="0"/>
        <w:jc w:val="left"/>
        <w:rPr>
          <w:rFonts w:ascii="宋体" w:hAnsi="宋体" w:cs="宋体" w:eastAsia="宋体" w:hint="default"/>
          <w:sz w:val="18"/>
          <w:szCs w:val="18"/>
        </w:rPr>
        <w:sectPr>
          <w:type w:val="continuous"/>
          <w:pgSz w:w="11910" w:h="16840"/>
          <w:pgMar w:top="1000" w:bottom="280" w:left="1580" w:right="0"/>
        </w:sectPr>
      </w:pPr>
    </w:p>
    <w:p>
      <w:pPr>
        <w:spacing w:line="240" w:lineRule="auto" w:before="8"/>
        <w:rPr>
          <w:rFonts w:ascii="Times New Roman" w:hAnsi="Times New Roman" w:cs="Times New Roman" w:eastAsia="Times New Roman" w:hint="default"/>
          <w:sz w:val="16"/>
          <w:szCs w:val="16"/>
        </w:rPr>
      </w:pPr>
    </w:p>
    <w:tbl>
      <w:tblPr>
        <w:tblW w:w="0" w:type="auto"/>
        <w:jc w:val="left"/>
        <w:tblInd w:w="118" w:type="dxa"/>
        <w:tblLayout w:type="fixed"/>
        <w:tblCellMar>
          <w:top w:w="0" w:type="dxa"/>
          <w:left w:w="0" w:type="dxa"/>
          <w:bottom w:w="0" w:type="dxa"/>
          <w:right w:w="0" w:type="dxa"/>
        </w:tblCellMar>
        <w:tblLook w:val="01E0"/>
      </w:tblPr>
      <w:tblGrid>
        <w:gridCol w:w="2293"/>
        <w:gridCol w:w="852"/>
        <w:gridCol w:w="854"/>
        <w:gridCol w:w="869"/>
        <w:gridCol w:w="869"/>
        <w:gridCol w:w="871"/>
        <w:gridCol w:w="872"/>
        <w:gridCol w:w="876"/>
        <w:gridCol w:w="857"/>
        <w:gridCol w:w="874"/>
      </w:tblGrid>
      <w:tr>
        <w:trPr>
          <w:trHeight w:val="552" w:hRule="exact"/>
        </w:trPr>
        <w:tc>
          <w:tcPr>
            <w:tcW w:w="2293" w:type="dxa"/>
            <w:vMerge w:val="restart"/>
            <w:tcBorders>
              <w:top w:val="single" w:sz="4" w:space="0" w:color="000000"/>
              <w:left w:val="single" w:sz="4" w:space="0" w:color="000000"/>
              <w:right w:val="single" w:sz="4" w:space="0" w:color="000000"/>
            </w:tcBorders>
          </w:tcPr>
          <w:p>
            <w:pPr/>
          </w:p>
        </w:tc>
        <w:tc>
          <w:tcPr>
            <w:tcW w:w="7794" w:type="dxa"/>
            <w:gridSpan w:val="9"/>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4570"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r>
      <w:tr>
        <w:trPr>
          <w:trHeight w:val="360" w:hRule="exact"/>
        </w:trPr>
        <w:tc>
          <w:tcPr>
            <w:tcW w:w="2293" w:type="dxa"/>
            <w:vMerge/>
            <w:tcBorders>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59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7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871" w:type="dxa"/>
            <w:vMerge w:val="restart"/>
            <w:tcBorders>
              <w:top w:val="single" w:sz="4" w:space="0" w:color="000000"/>
              <w:left w:val="single" w:sz="4" w:space="0" w:color="000000"/>
              <w:right w:val="single" w:sz="4" w:space="0" w:color="000000"/>
            </w:tcBorders>
          </w:tcPr>
          <w:p>
            <w:pPr>
              <w:pStyle w:val="TableParagraph"/>
              <w:spacing w:line="244" w:lineRule="auto" w:before="89"/>
              <w:ind w:left="338" w:right="161"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872" w:type="dxa"/>
            <w:vMerge w:val="restart"/>
            <w:tcBorders>
              <w:top w:val="single" w:sz="4" w:space="0" w:color="000000"/>
              <w:left w:val="single" w:sz="4" w:space="0" w:color="000000"/>
              <w:right w:val="single" w:sz="4" w:space="0" w:color="000000"/>
            </w:tcBorders>
          </w:tcPr>
          <w:p>
            <w:pPr>
              <w:pStyle w:val="TableParagraph"/>
              <w:spacing w:line="244" w:lineRule="auto" w:before="89"/>
              <w:ind w:left="338" w:right="104" w:hanging="238"/>
              <w:jc w:val="left"/>
              <w:rPr>
                <w:rFonts w:ascii="宋体" w:hAnsi="宋体" w:cs="宋体" w:eastAsia="宋体" w:hint="default"/>
                <w:sz w:val="18"/>
                <w:szCs w:val="18"/>
              </w:rPr>
            </w:pPr>
            <w:r>
              <w:rPr>
                <w:rFonts w:ascii="宋体" w:hAnsi="宋体" w:cs="宋体" w:eastAsia="宋体" w:hint="default"/>
                <w:spacing w:val="-17"/>
                <w:sz w:val="18"/>
                <w:szCs w:val="18"/>
              </w:rPr>
              <w:t>减：库存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w:t>
            </w:r>
          </w:p>
        </w:tc>
        <w:tc>
          <w:tcPr>
            <w:tcW w:w="876" w:type="dxa"/>
            <w:vMerge w:val="restart"/>
            <w:tcBorders>
              <w:top w:val="single" w:sz="4" w:space="0" w:color="000000"/>
              <w:left w:val="single" w:sz="4" w:space="0" w:color="000000"/>
              <w:right w:val="single" w:sz="4" w:space="0" w:color="000000"/>
            </w:tcBorders>
          </w:tcPr>
          <w:p>
            <w:pPr>
              <w:pStyle w:val="TableParagraph"/>
              <w:spacing w:line="244" w:lineRule="auto" w:before="89"/>
              <w:ind w:left="160" w:right="163"/>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857" w:type="dxa"/>
            <w:vMerge w:val="restart"/>
            <w:tcBorders>
              <w:top w:val="single" w:sz="4" w:space="0" w:color="000000"/>
              <w:left w:val="single" w:sz="4" w:space="0" w:color="000000"/>
              <w:right w:val="single" w:sz="4" w:space="0" w:color="000000"/>
            </w:tcBorders>
          </w:tcPr>
          <w:p>
            <w:pPr>
              <w:pStyle w:val="TableParagraph"/>
              <w:spacing w:line="244" w:lineRule="auto" w:before="89"/>
              <w:ind w:left="333" w:right="151"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874" w:type="dxa"/>
            <w:vMerge w:val="restart"/>
            <w:tcBorders>
              <w:top w:val="single" w:sz="4" w:space="0" w:color="000000"/>
              <w:left w:val="single" w:sz="4" w:space="0" w:color="000000"/>
              <w:right w:val="single" w:sz="4" w:space="0" w:color="000000"/>
            </w:tcBorders>
          </w:tcPr>
          <w:p>
            <w:pPr>
              <w:pStyle w:val="TableParagraph"/>
              <w:spacing w:line="244" w:lineRule="auto" w:before="89"/>
              <w:ind w:left="340" w:right="161" w:hanging="180"/>
              <w:jc w:val="left"/>
              <w:rPr>
                <w:rFonts w:ascii="宋体" w:hAnsi="宋体" w:cs="宋体" w:eastAsia="宋体" w:hint="default"/>
                <w:sz w:val="18"/>
                <w:szCs w:val="18"/>
              </w:rPr>
            </w:pPr>
            <w:r>
              <w:rPr>
                <w:rFonts w:ascii="宋体" w:hAnsi="宋体" w:cs="宋体" w:eastAsia="宋体" w:hint="default"/>
                <w:sz w:val="18"/>
                <w:szCs w:val="18"/>
              </w:rPr>
              <w:t>盈余公 积</w:t>
            </w:r>
          </w:p>
        </w:tc>
      </w:tr>
      <w:tr>
        <w:trPr>
          <w:trHeight w:val="355" w:hRule="exact"/>
        </w:trPr>
        <w:tc>
          <w:tcPr>
            <w:tcW w:w="2293"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51"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58"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71" w:type="dxa"/>
            <w:vMerge/>
            <w:tcBorders>
              <w:left w:val="single" w:sz="4" w:space="0" w:color="000000"/>
              <w:bottom w:val="single" w:sz="4" w:space="0" w:color="000000"/>
              <w:right w:val="single" w:sz="4" w:space="0" w:color="000000"/>
            </w:tcBorders>
          </w:tcPr>
          <w:p>
            <w:pPr/>
          </w:p>
        </w:tc>
        <w:tc>
          <w:tcPr>
            <w:tcW w:w="872" w:type="dxa"/>
            <w:vMerge/>
            <w:tcBorders>
              <w:left w:val="single" w:sz="4" w:space="0" w:color="000000"/>
              <w:bottom w:val="single" w:sz="4" w:space="0" w:color="000000"/>
              <w:right w:val="single" w:sz="4" w:space="0" w:color="000000"/>
            </w:tcBorders>
          </w:tcPr>
          <w:p>
            <w:pPr/>
          </w:p>
        </w:tc>
        <w:tc>
          <w:tcPr>
            <w:tcW w:w="876" w:type="dxa"/>
            <w:vMerge/>
            <w:tcBorders>
              <w:left w:val="single" w:sz="4" w:space="0" w:color="000000"/>
              <w:bottom w:val="single" w:sz="4" w:space="0" w:color="000000"/>
              <w:right w:val="single" w:sz="4" w:space="0" w:color="000000"/>
            </w:tcBorders>
          </w:tcPr>
          <w:p>
            <w:pPr/>
          </w:p>
        </w:tc>
        <w:tc>
          <w:tcPr>
            <w:tcW w:w="857" w:type="dxa"/>
            <w:vMerge/>
            <w:tcBorders>
              <w:left w:val="single" w:sz="4" w:space="0" w:color="000000"/>
              <w:bottom w:val="single" w:sz="4" w:space="0" w:color="000000"/>
              <w:right w:val="single" w:sz="4" w:space="0" w:color="000000"/>
            </w:tcBorders>
          </w:tcPr>
          <w:p>
            <w:pPr/>
          </w:p>
        </w:tc>
        <w:tc>
          <w:tcPr>
            <w:tcW w:w="874" w:type="dxa"/>
            <w:vMerge/>
            <w:tcBorders>
              <w:left w:val="single" w:sz="4" w:space="0" w:color="000000"/>
              <w:bottom w:val="single" w:sz="4" w:space="0" w:color="000000"/>
              <w:right w:val="single" w:sz="4" w:space="0" w:color="000000"/>
            </w:tcBorders>
          </w:tcPr>
          <w:p>
            <w:pPr/>
          </w:p>
        </w:tc>
      </w:tr>
      <w:tr>
        <w:trPr>
          <w:trHeight w:val="478" w:hRule="exact"/>
        </w:trPr>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8" w:right="0"/>
              <w:jc w:val="left"/>
              <w:rPr>
                <w:rFonts w:ascii="宋体" w:hAnsi="宋体" w:cs="宋体" w:eastAsia="宋体" w:hint="default"/>
                <w:sz w:val="18"/>
                <w:szCs w:val="18"/>
              </w:rPr>
            </w:pPr>
            <w:r>
              <w:rPr>
                <w:rFonts w:ascii="宋体"/>
                <w:sz w:val="18"/>
              </w:rPr>
              <w:t>63,140,</w:t>
            </w:r>
          </w:p>
          <w:p>
            <w:pPr>
              <w:pStyle w:val="TableParagraph"/>
              <w:spacing w:line="234" w:lineRule="exact"/>
              <w:ind w:left="199" w:right="0"/>
              <w:jc w:val="left"/>
              <w:rPr>
                <w:rFonts w:ascii="宋体" w:hAnsi="宋体" w:cs="宋体" w:eastAsia="宋体" w:hint="default"/>
                <w:sz w:val="18"/>
                <w:szCs w:val="18"/>
              </w:rPr>
            </w:pPr>
            <w:r>
              <w:rPr>
                <w:rFonts w:ascii="宋体"/>
                <w:sz w:val="18"/>
              </w:rPr>
              <w:t>000.00</w:t>
            </w:r>
          </w:p>
        </w:tc>
        <w:tc>
          <w:tcPr>
            <w:tcW w:w="85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24" w:right="0"/>
              <w:jc w:val="left"/>
              <w:rPr>
                <w:rFonts w:ascii="宋体" w:hAnsi="宋体" w:cs="宋体" w:eastAsia="宋体" w:hint="default"/>
                <w:sz w:val="18"/>
                <w:szCs w:val="18"/>
              </w:rPr>
            </w:pPr>
            <w:r>
              <w:rPr>
                <w:rFonts w:ascii="宋体"/>
                <w:sz w:val="18"/>
              </w:rPr>
              <w:t>87,014,</w:t>
            </w:r>
          </w:p>
          <w:p>
            <w:pPr>
              <w:pStyle w:val="TableParagraph"/>
              <w:spacing w:line="234" w:lineRule="exact"/>
              <w:ind w:left="216" w:right="0"/>
              <w:jc w:val="left"/>
              <w:rPr>
                <w:rFonts w:ascii="宋体" w:hAnsi="宋体" w:cs="宋体" w:eastAsia="宋体" w:hint="default"/>
                <w:sz w:val="18"/>
                <w:szCs w:val="18"/>
              </w:rPr>
            </w:pPr>
            <w:r>
              <w:rPr>
                <w:rFonts w:ascii="宋体"/>
                <w:sz w:val="18"/>
              </w:rPr>
              <w:t>744.17</w:t>
            </w: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27" w:right="0"/>
              <w:jc w:val="left"/>
              <w:rPr>
                <w:rFonts w:ascii="宋体" w:hAnsi="宋体" w:cs="宋体" w:eastAsia="宋体" w:hint="default"/>
                <w:sz w:val="18"/>
                <w:szCs w:val="18"/>
              </w:rPr>
            </w:pPr>
            <w:r>
              <w:rPr>
                <w:rFonts w:ascii="宋体"/>
                <w:sz w:val="18"/>
              </w:rPr>
              <w:t>29,117,</w:t>
            </w:r>
          </w:p>
          <w:p>
            <w:pPr>
              <w:pStyle w:val="TableParagraph"/>
              <w:spacing w:line="234" w:lineRule="exact"/>
              <w:ind w:left="218" w:right="0"/>
              <w:jc w:val="left"/>
              <w:rPr>
                <w:rFonts w:ascii="宋体" w:hAnsi="宋体" w:cs="宋体" w:eastAsia="宋体" w:hint="default"/>
                <w:sz w:val="18"/>
                <w:szCs w:val="18"/>
              </w:rPr>
            </w:pPr>
            <w:r>
              <w:rPr>
                <w:rFonts w:ascii="宋体"/>
                <w:sz w:val="18"/>
              </w:rPr>
              <w:t>862.13</w:t>
            </w:r>
          </w:p>
        </w:tc>
      </w:tr>
      <w:tr>
        <w:trPr>
          <w:trHeight w:val="242" w:hRule="exact"/>
        </w:trPr>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52"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520"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52"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0"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852"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2"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8" w:right="0"/>
              <w:jc w:val="left"/>
              <w:rPr>
                <w:rFonts w:ascii="宋体" w:hAnsi="宋体" w:cs="宋体" w:eastAsia="宋体" w:hint="default"/>
                <w:sz w:val="18"/>
                <w:szCs w:val="18"/>
              </w:rPr>
            </w:pPr>
            <w:r>
              <w:rPr>
                <w:rFonts w:ascii="宋体"/>
                <w:sz w:val="18"/>
              </w:rPr>
              <w:t>63,140,</w:t>
            </w:r>
          </w:p>
          <w:p>
            <w:pPr>
              <w:pStyle w:val="TableParagraph"/>
              <w:spacing w:line="234" w:lineRule="exact"/>
              <w:ind w:left="199" w:right="0"/>
              <w:jc w:val="left"/>
              <w:rPr>
                <w:rFonts w:ascii="宋体" w:hAnsi="宋体" w:cs="宋体" w:eastAsia="宋体" w:hint="default"/>
                <w:sz w:val="18"/>
                <w:szCs w:val="18"/>
              </w:rPr>
            </w:pPr>
            <w:r>
              <w:rPr>
                <w:rFonts w:ascii="宋体"/>
                <w:sz w:val="18"/>
              </w:rPr>
              <w:t>000.00</w:t>
            </w:r>
          </w:p>
        </w:tc>
        <w:tc>
          <w:tcPr>
            <w:tcW w:w="85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4" w:right="0"/>
              <w:jc w:val="left"/>
              <w:rPr>
                <w:rFonts w:ascii="宋体" w:hAnsi="宋体" w:cs="宋体" w:eastAsia="宋体" w:hint="default"/>
                <w:sz w:val="18"/>
                <w:szCs w:val="18"/>
              </w:rPr>
            </w:pPr>
            <w:r>
              <w:rPr>
                <w:rFonts w:ascii="宋体"/>
                <w:sz w:val="18"/>
              </w:rPr>
              <w:t>87,014,</w:t>
            </w:r>
          </w:p>
          <w:p>
            <w:pPr>
              <w:pStyle w:val="TableParagraph"/>
              <w:spacing w:line="234" w:lineRule="exact"/>
              <w:ind w:left="216" w:right="0"/>
              <w:jc w:val="left"/>
              <w:rPr>
                <w:rFonts w:ascii="宋体" w:hAnsi="宋体" w:cs="宋体" w:eastAsia="宋体" w:hint="default"/>
                <w:sz w:val="18"/>
                <w:szCs w:val="18"/>
              </w:rPr>
            </w:pPr>
            <w:r>
              <w:rPr>
                <w:rFonts w:ascii="宋体"/>
                <w:sz w:val="18"/>
              </w:rPr>
              <w:t>744.17</w:t>
            </w: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7" w:right="0"/>
              <w:jc w:val="left"/>
              <w:rPr>
                <w:rFonts w:ascii="宋体" w:hAnsi="宋体" w:cs="宋体" w:eastAsia="宋体" w:hint="default"/>
                <w:sz w:val="18"/>
                <w:szCs w:val="18"/>
              </w:rPr>
            </w:pPr>
            <w:r>
              <w:rPr>
                <w:rFonts w:ascii="宋体"/>
                <w:sz w:val="18"/>
              </w:rPr>
              <w:t>29,117,</w:t>
            </w:r>
          </w:p>
          <w:p>
            <w:pPr>
              <w:pStyle w:val="TableParagraph"/>
              <w:spacing w:line="234" w:lineRule="exact"/>
              <w:ind w:left="218" w:right="0"/>
              <w:jc w:val="left"/>
              <w:rPr>
                <w:rFonts w:ascii="宋体" w:hAnsi="宋体" w:cs="宋体" w:eastAsia="宋体" w:hint="default"/>
                <w:sz w:val="18"/>
                <w:szCs w:val="18"/>
              </w:rPr>
            </w:pPr>
            <w:r>
              <w:rPr>
                <w:rFonts w:ascii="宋体"/>
                <w:sz w:val="18"/>
              </w:rPr>
              <w:t>862.13</w:t>
            </w:r>
          </w:p>
        </w:tc>
      </w:tr>
      <w:tr>
        <w:trPr>
          <w:trHeight w:val="478" w:hRule="exact"/>
        </w:trPr>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pacing w:val="-7"/>
                <w:sz w:val="18"/>
                <w:szCs w:val="18"/>
              </w:rPr>
              <w:t>三、本期增减变动金额（减</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少以“－”号填列）</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8" w:right="0"/>
              <w:jc w:val="left"/>
              <w:rPr>
                <w:rFonts w:ascii="宋体" w:hAnsi="宋体" w:cs="宋体" w:eastAsia="宋体" w:hint="default"/>
                <w:sz w:val="18"/>
                <w:szCs w:val="18"/>
              </w:rPr>
            </w:pPr>
            <w:r>
              <w:rPr>
                <w:rFonts w:ascii="宋体"/>
                <w:sz w:val="18"/>
              </w:rPr>
              <w:t>22,727,</w:t>
            </w:r>
          </w:p>
          <w:p>
            <w:pPr>
              <w:pStyle w:val="TableParagraph"/>
              <w:spacing w:line="234" w:lineRule="exact"/>
              <w:ind w:left="199" w:right="0"/>
              <w:jc w:val="left"/>
              <w:rPr>
                <w:rFonts w:ascii="宋体" w:hAnsi="宋体" w:cs="宋体" w:eastAsia="宋体" w:hint="default"/>
                <w:sz w:val="18"/>
                <w:szCs w:val="18"/>
              </w:rPr>
            </w:pPr>
            <w:r>
              <w:rPr>
                <w:rFonts w:ascii="宋体"/>
                <w:sz w:val="18"/>
              </w:rPr>
              <w:t>000.00</w:t>
            </w:r>
          </w:p>
        </w:tc>
        <w:tc>
          <w:tcPr>
            <w:tcW w:w="85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24" w:right="0"/>
              <w:jc w:val="left"/>
              <w:rPr>
                <w:rFonts w:ascii="宋体" w:hAnsi="宋体" w:cs="宋体" w:eastAsia="宋体" w:hint="default"/>
                <w:sz w:val="18"/>
                <w:szCs w:val="18"/>
              </w:rPr>
            </w:pPr>
            <w:r>
              <w:rPr>
                <w:rFonts w:ascii="宋体"/>
                <w:sz w:val="18"/>
              </w:rPr>
              <w:t>379,667</w:t>
            </w:r>
          </w:p>
          <w:p>
            <w:pPr>
              <w:pStyle w:val="TableParagraph"/>
              <w:spacing w:line="234" w:lineRule="exact"/>
              <w:ind w:left="124" w:right="0"/>
              <w:jc w:val="left"/>
              <w:rPr>
                <w:rFonts w:ascii="宋体" w:hAnsi="宋体" w:cs="宋体" w:eastAsia="宋体" w:hint="default"/>
                <w:sz w:val="18"/>
                <w:szCs w:val="18"/>
              </w:rPr>
            </w:pPr>
            <w:r>
              <w:rPr>
                <w:rFonts w:ascii="宋体"/>
                <w:sz w:val="18"/>
              </w:rPr>
              <w:t>,789.07</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24" w:right="0"/>
              <w:jc w:val="left"/>
              <w:rPr>
                <w:rFonts w:ascii="宋体" w:hAnsi="宋体" w:cs="宋体" w:eastAsia="宋体" w:hint="default"/>
                <w:sz w:val="18"/>
                <w:szCs w:val="18"/>
              </w:rPr>
            </w:pPr>
            <w:r>
              <w:rPr>
                <w:rFonts w:ascii="宋体"/>
                <w:sz w:val="18"/>
              </w:rPr>
              <w:t>38,503,</w:t>
            </w:r>
          </w:p>
          <w:p>
            <w:pPr>
              <w:pStyle w:val="TableParagraph"/>
              <w:spacing w:line="234" w:lineRule="exact"/>
              <w:ind w:left="216" w:right="0"/>
              <w:jc w:val="left"/>
              <w:rPr>
                <w:rFonts w:ascii="宋体" w:hAnsi="宋体" w:cs="宋体" w:eastAsia="宋体" w:hint="default"/>
                <w:sz w:val="18"/>
                <w:szCs w:val="18"/>
              </w:rPr>
            </w:pPr>
            <w:r>
              <w:rPr>
                <w:rFonts w:ascii="宋体"/>
                <w:sz w:val="18"/>
              </w:rPr>
              <w:t>920.00</w:t>
            </w: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27" w:right="0"/>
              <w:jc w:val="left"/>
              <w:rPr>
                <w:rFonts w:ascii="宋体" w:hAnsi="宋体" w:cs="宋体" w:eastAsia="宋体" w:hint="default"/>
                <w:sz w:val="18"/>
                <w:szCs w:val="18"/>
              </w:rPr>
            </w:pPr>
            <w:r>
              <w:rPr>
                <w:rFonts w:ascii="宋体"/>
                <w:sz w:val="18"/>
              </w:rPr>
              <w:t>13,815,</w:t>
            </w:r>
          </w:p>
          <w:p>
            <w:pPr>
              <w:pStyle w:val="TableParagraph"/>
              <w:spacing w:line="234" w:lineRule="exact"/>
              <w:ind w:left="218" w:right="0"/>
              <w:jc w:val="left"/>
              <w:rPr>
                <w:rFonts w:ascii="宋体" w:hAnsi="宋体" w:cs="宋体" w:eastAsia="宋体" w:hint="default"/>
                <w:sz w:val="18"/>
                <w:szCs w:val="18"/>
              </w:rPr>
            </w:pPr>
            <w:r>
              <w:rPr>
                <w:rFonts w:ascii="宋体"/>
                <w:sz w:val="18"/>
              </w:rPr>
              <w:t>637.87</w:t>
            </w:r>
          </w:p>
        </w:tc>
      </w:tr>
      <w:tr>
        <w:trPr>
          <w:trHeight w:val="478" w:hRule="exact"/>
        </w:trPr>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852"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1"/>
                <w:sz w:val="18"/>
                <w:szCs w:val="18"/>
              </w:rPr>
              <w:t>（</w:t>
            </w:r>
            <w:r>
              <w:rPr>
                <w:rFonts w:ascii="宋体" w:hAnsi="宋体" w:cs="宋体" w:eastAsia="宋体" w:hint="default"/>
                <w:sz w:val="18"/>
                <w:szCs w:val="18"/>
              </w:rPr>
              <w:t>二</w:t>
            </w:r>
            <w:r>
              <w:rPr>
                <w:rFonts w:ascii="宋体" w:hAnsi="宋体" w:cs="宋体" w:eastAsia="宋体" w:hint="default"/>
                <w:spacing w:val="-85"/>
                <w:sz w:val="18"/>
                <w:szCs w:val="18"/>
              </w:rPr>
              <w:t>）</w:t>
            </w:r>
            <w:r>
              <w:rPr>
                <w:rFonts w:ascii="宋体" w:hAnsi="宋体" w:cs="宋体" w:eastAsia="宋体" w:hint="default"/>
                <w:sz w:val="18"/>
                <w:szCs w:val="18"/>
              </w:rPr>
              <w:t>所有者投入和减少资</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本</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8" w:right="0"/>
              <w:jc w:val="left"/>
              <w:rPr>
                <w:rFonts w:ascii="宋体" w:hAnsi="宋体" w:cs="宋体" w:eastAsia="宋体" w:hint="default"/>
                <w:sz w:val="18"/>
                <w:szCs w:val="18"/>
              </w:rPr>
            </w:pPr>
            <w:r>
              <w:rPr>
                <w:rFonts w:ascii="宋体"/>
                <w:sz w:val="18"/>
              </w:rPr>
              <w:t>22,727,</w:t>
            </w:r>
          </w:p>
          <w:p>
            <w:pPr>
              <w:pStyle w:val="TableParagraph"/>
              <w:spacing w:line="234" w:lineRule="exact"/>
              <w:ind w:left="199" w:right="0"/>
              <w:jc w:val="left"/>
              <w:rPr>
                <w:rFonts w:ascii="宋体" w:hAnsi="宋体" w:cs="宋体" w:eastAsia="宋体" w:hint="default"/>
                <w:sz w:val="18"/>
                <w:szCs w:val="18"/>
              </w:rPr>
            </w:pPr>
            <w:r>
              <w:rPr>
                <w:rFonts w:ascii="宋体"/>
                <w:sz w:val="18"/>
              </w:rPr>
              <w:t>000.00</w:t>
            </w:r>
          </w:p>
        </w:tc>
        <w:tc>
          <w:tcPr>
            <w:tcW w:w="85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4" w:right="0"/>
              <w:jc w:val="left"/>
              <w:rPr>
                <w:rFonts w:ascii="宋体" w:hAnsi="宋体" w:cs="宋体" w:eastAsia="宋体" w:hint="default"/>
                <w:sz w:val="18"/>
                <w:szCs w:val="18"/>
              </w:rPr>
            </w:pPr>
            <w:r>
              <w:rPr>
                <w:rFonts w:ascii="宋体"/>
                <w:sz w:val="18"/>
              </w:rPr>
              <w:t>379,667</w:t>
            </w:r>
          </w:p>
          <w:p>
            <w:pPr>
              <w:pStyle w:val="TableParagraph"/>
              <w:spacing w:line="234" w:lineRule="exact"/>
              <w:ind w:left="124" w:right="0"/>
              <w:jc w:val="left"/>
              <w:rPr>
                <w:rFonts w:ascii="宋体" w:hAnsi="宋体" w:cs="宋体" w:eastAsia="宋体" w:hint="default"/>
                <w:sz w:val="18"/>
                <w:szCs w:val="18"/>
              </w:rPr>
            </w:pPr>
            <w:r>
              <w:rPr>
                <w:rFonts w:ascii="宋体"/>
                <w:sz w:val="18"/>
              </w:rPr>
              <w:t>,789.07</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4" w:right="0"/>
              <w:jc w:val="left"/>
              <w:rPr>
                <w:rFonts w:ascii="宋体" w:hAnsi="宋体" w:cs="宋体" w:eastAsia="宋体" w:hint="default"/>
                <w:sz w:val="18"/>
                <w:szCs w:val="18"/>
              </w:rPr>
            </w:pPr>
            <w:r>
              <w:rPr>
                <w:rFonts w:ascii="宋体"/>
                <w:sz w:val="18"/>
              </w:rPr>
              <w:t>38,503,</w:t>
            </w:r>
          </w:p>
          <w:p>
            <w:pPr>
              <w:pStyle w:val="TableParagraph"/>
              <w:spacing w:line="234" w:lineRule="exact"/>
              <w:ind w:left="216" w:right="0"/>
              <w:jc w:val="left"/>
              <w:rPr>
                <w:rFonts w:ascii="宋体" w:hAnsi="宋体" w:cs="宋体" w:eastAsia="宋体" w:hint="default"/>
                <w:sz w:val="18"/>
                <w:szCs w:val="18"/>
              </w:rPr>
            </w:pPr>
            <w:r>
              <w:rPr>
                <w:rFonts w:ascii="宋体"/>
                <w:sz w:val="18"/>
              </w:rPr>
              <w:t>920.00</w:t>
            </w: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8" w:right="0"/>
              <w:jc w:val="left"/>
              <w:rPr>
                <w:rFonts w:ascii="宋体" w:hAnsi="宋体" w:cs="宋体" w:eastAsia="宋体" w:hint="default"/>
                <w:sz w:val="18"/>
                <w:szCs w:val="18"/>
              </w:rPr>
            </w:pPr>
            <w:r>
              <w:rPr>
                <w:rFonts w:ascii="宋体"/>
                <w:sz w:val="18"/>
              </w:rPr>
              <w:t>22,727,</w:t>
            </w:r>
          </w:p>
          <w:p>
            <w:pPr>
              <w:pStyle w:val="TableParagraph"/>
              <w:spacing w:line="234" w:lineRule="exact"/>
              <w:ind w:left="199" w:right="0"/>
              <w:jc w:val="left"/>
              <w:rPr>
                <w:rFonts w:ascii="宋体" w:hAnsi="宋体" w:cs="宋体" w:eastAsia="宋体" w:hint="default"/>
                <w:sz w:val="18"/>
                <w:szCs w:val="18"/>
              </w:rPr>
            </w:pPr>
            <w:r>
              <w:rPr>
                <w:rFonts w:ascii="宋体"/>
                <w:sz w:val="18"/>
              </w:rPr>
              <w:t>000.00</w:t>
            </w:r>
          </w:p>
        </w:tc>
        <w:tc>
          <w:tcPr>
            <w:tcW w:w="85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4" w:right="0"/>
              <w:jc w:val="left"/>
              <w:rPr>
                <w:rFonts w:ascii="宋体" w:hAnsi="宋体" w:cs="宋体" w:eastAsia="宋体" w:hint="default"/>
                <w:sz w:val="18"/>
                <w:szCs w:val="18"/>
              </w:rPr>
            </w:pPr>
            <w:r>
              <w:rPr>
                <w:rFonts w:ascii="宋体"/>
                <w:sz w:val="18"/>
              </w:rPr>
              <w:t>377,777</w:t>
            </w:r>
          </w:p>
          <w:p>
            <w:pPr>
              <w:pStyle w:val="TableParagraph"/>
              <w:spacing w:line="234" w:lineRule="exact"/>
              <w:ind w:left="124" w:right="0"/>
              <w:jc w:val="left"/>
              <w:rPr>
                <w:rFonts w:ascii="宋体" w:hAnsi="宋体" w:cs="宋体" w:eastAsia="宋体" w:hint="default"/>
                <w:sz w:val="18"/>
                <w:szCs w:val="18"/>
              </w:rPr>
            </w:pPr>
            <w:r>
              <w:rPr>
                <w:rFonts w:ascii="宋体"/>
                <w:sz w:val="18"/>
              </w:rPr>
              <w:t>,320.94</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4" w:right="0"/>
              <w:jc w:val="left"/>
              <w:rPr>
                <w:rFonts w:ascii="宋体" w:hAnsi="宋体" w:cs="宋体" w:eastAsia="宋体" w:hint="default"/>
                <w:sz w:val="18"/>
                <w:szCs w:val="18"/>
              </w:rPr>
            </w:pPr>
            <w:r>
              <w:rPr>
                <w:rFonts w:ascii="宋体"/>
                <w:sz w:val="18"/>
              </w:rPr>
              <w:t>38,503,</w:t>
            </w:r>
          </w:p>
          <w:p>
            <w:pPr>
              <w:pStyle w:val="TableParagraph"/>
              <w:spacing w:line="234" w:lineRule="exact"/>
              <w:ind w:left="216" w:right="0"/>
              <w:jc w:val="left"/>
              <w:rPr>
                <w:rFonts w:ascii="宋体" w:hAnsi="宋体" w:cs="宋体" w:eastAsia="宋体" w:hint="default"/>
                <w:sz w:val="18"/>
                <w:szCs w:val="18"/>
              </w:rPr>
            </w:pPr>
            <w:r>
              <w:rPr>
                <w:rFonts w:ascii="宋体"/>
                <w:sz w:val="18"/>
              </w:rPr>
              <w:t>920.00</w:t>
            </w: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．其他权益工具持有者投</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入资本</w:t>
            </w:r>
          </w:p>
        </w:tc>
        <w:tc>
          <w:tcPr>
            <w:tcW w:w="852"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．股份支付计入所有者权</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益的金额</w:t>
            </w:r>
          </w:p>
        </w:tc>
        <w:tc>
          <w:tcPr>
            <w:tcW w:w="852"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9" w:right="0"/>
              <w:jc w:val="center"/>
              <w:rPr>
                <w:rFonts w:ascii="宋体" w:hAnsi="宋体" w:cs="宋体" w:eastAsia="宋体" w:hint="default"/>
                <w:sz w:val="18"/>
                <w:szCs w:val="18"/>
              </w:rPr>
            </w:pPr>
            <w:r>
              <w:rPr>
                <w:rFonts w:ascii="宋体"/>
                <w:sz w:val="18"/>
              </w:rPr>
              <w:t>1,890,4</w:t>
            </w:r>
          </w:p>
          <w:p>
            <w:pPr>
              <w:pStyle w:val="TableParagraph"/>
              <w:spacing w:line="234" w:lineRule="exact"/>
              <w:ind w:left="199" w:right="0"/>
              <w:jc w:val="center"/>
              <w:rPr>
                <w:rFonts w:ascii="宋体" w:hAnsi="宋体" w:cs="宋体" w:eastAsia="宋体" w:hint="default"/>
                <w:sz w:val="18"/>
                <w:szCs w:val="18"/>
              </w:rPr>
            </w:pPr>
            <w:r>
              <w:rPr>
                <w:rFonts w:ascii="宋体"/>
                <w:sz w:val="18"/>
              </w:rPr>
              <w:t>68.13</w:t>
            </w: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852"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852"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13,815,</w:t>
            </w:r>
          </w:p>
          <w:p>
            <w:pPr>
              <w:pStyle w:val="TableParagraph"/>
              <w:spacing w:line="240" w:lineRule="auto"/>
              <w:ind w:left="218" w:right="0"/>
              <w:jc w:val="left"/>
              <w:rPr>
                <w:rFonts w:ascii="宋体" w:hAnsi="宋体" w:cs="宋体" w:eastAsia="宋体" w:hint="default"/>
                <w:sz w:val="18"/>
                <w:szCs w:val="18"/>
              </w:rPr>
            </w:pPr>
            <w:r>
              <w:rPr>
                <w:rFonts w:ascii="宋体"/>
                <w:sz w:val="18"/>
              </w:rPr>
              <w:t>637.87</w:t>
            </w:r>
          </w:p>
        </w:tc>
      </w:tr>
      <w:tr>
        <w:trPr>
          <w:trHeight w:val="475" w:hRule="exact"/>
        </w:trPr>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852"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7" w:right="0"/>
              <w:jc w:val="left"/>
              <w:rPr>
                <w:rFonts w:ascii="宋体" w:hAnsi="宋体" w:cs="宋体" w:eastAsia="宋体" w:hint="default"/>
                <w:sz w:val="18"/>
                <w:szCs w:val="18"/>
              </w:rPr>
            </w:pPr>
            <w:r>
              <w:rPr>
                <w:rFonts w:ascii="宋体"/>
                <w:sz w:val="18"/>
              </w:rPr>
              <w:t>13,815,</w:t>
            </w:r>
          </w:p>
          <w:p>
            <w:pPr>
              <w:pStyle w:val="TableParagraph"/>
              <w:spacing w:line="234" w:lineRule="exact"/>
              <w:ind w:left="218" w:right="0"/>
              <w:jc w:val="left"/>
              <w:rPr>
                <w:rFonts w:ascii="宋体" w:hAnsi="宋体" w:cs="宋体" w:eastAsia="宋体" w:hint="default"/>
                <w:sz w:val="18"/>
                <w:szCs w:val="18"/>
              </w:rPr>
            </w:pPr>
            <w:r>
              <w:rPr>
                <w:rFonts w:ascii="宋体"/>
                <w:sz w:val="18"/>
              </w:rPr>
              <w:t>637.87</w:t>
            </w:r>
          </w:p>
        </w:tc>
      </w:tr>
      <w:tr>
        <w:trPr>
          <w:trHeight w:val="245" w:hRule="exact"/>
        </w:trPr>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p>
        </w:tc>
        <w:tc>
          <w:tcPr>
            <w:tcW w:w="852"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．对所有者（或股东）的</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分配</w:t>
            </w:r>
          </w:p>
        </w:tc>
        <w:tc>
          <w:tcPr>
            <w:tcW w:w="852"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852"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
                <w:sz w:val="18"/>
                <w:szCs w:val="18"/>
              </w:rPr>
              <w:t>（</w:t>
            </w:r>
            <w:r>
              <w:rPr>
                <w:rFonts w:ascii="宋体" w:hAnsi="宋体" w:cs="宋体" w:eastAsia="宋体" w:hint="default"/>
                <w:sz w:val="18"/>
                <w:szCs w:val="18"/>
              </w:rPr>
              <w:t>四</w:t>
            </w:r>
            <w:r>
              <w:rPr>
                <w:rFonts w:ascii="宋体" w:hAnsi="宋体" w:cs="宋体" w:eastAsia="宋体" w:hint="default"/>
                <w:spacing w:val="-85"/>
                <w:sz w:val="18"/>
                <w:szCs w:val="18"/>
              </w:rPr>
              <w:t>）</w:t>
            </w:r>
            <w:r>
              <w:rPr>
                <w:rFonts w:ascii="宋体" w:hAnsi="宋体" w:cs="宋体" w:eastAsia="宋体" w:hint="default"/>
                <w:sz w:val="18"/>
                <w:szCs w:val="18"/>
              </w:rPr>
              <w:t>所有者权益内部结转</w:t>
            </w:r>
          </w:p>
        </w:tc>
        <w:tc>
          <w:tcPr>
            <w:tcW w:w="852"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852"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852"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852"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852"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852"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852"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852"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852"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8" w:right="0"/>
              <w:jc w:val="left"/>
              <w:rPr>
                <w:rFonts w:ascii="宋体" w:hAnsi="宋体" w:cs="宋体" w:eastAsia="宋体" w:hint="default"/>
                <w:sz w:val="18"/>
                <w:szCs w:val="18"/>
              </w:rPr>
            </w:pPr>
            <w:r>
              <w:rPr>
                <w:rFonts w:ascii="宋体"/>
                <w:sz w:val="18"/>
              </w:rPr>
              <w:t>85,867,</w:t>
            </w:r>
          </w:p>
          <w:p>
            <w:pPr>
              <w:pStyle w:val="TableParagraph"/>
              <w:spacing w:line="234" w:lineRule="exact"/>
              <w:ind w:left="199" w:right="0"/>
              <w:jc w:val="left"/>
              <w:rPr>
                <w:rFonts w:ascii="宋体" w:hAnsi="宋体" w:cs="宋体" w:eastAsia="宋体" w:hint="default"/>
                <w:sz w:val="18"/>
                <w:szCs w:val="18"/>
              </w:rPr>
            </w:pPr>
            <w:r>
              <w:rPr>
                <w:rFonts w:ascii="宋体"/>
                <w:sz w:val="18"/>
              </w:rPr>
              <w:t>000.00</w:t>
            </w:r>
          </w:p>
        </w:tc>
        <w:tc>
          <w:tcPr>
            <w:tcW w:w="85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24" w:right="0"/>
              <w:jc w:val="left"/>
              <w:rPr>
                <w:rFonts w:ascii="宋体" w:hAnsi="宋体" w:cs="宋体" w:eastAsia="宋体" w:hint="default"/>
                <w:sz w:val="18"/>
                <w:szCs w:val="18"/>
              </w:rPr>
            </w:pPr>
            <w:r>
              <w:rPr>
                <w:rFonts w:ascii="宋体"/>
                <w:sz w:val="18"/>
              </w:rPr>
              <w:t>466,682</w:t>
            </w:r>
          </w:p>
          <w:p>
            <w:pPr>
              <w:pStyle w:val="TableParagraph"/>
              <w:spacing w:line="234" w:lineRule="exact"/>
              <w:ind w:left="124" w:right="0"/>
              <w:jc w:val="left"/>
              <w:rPr>
                <w:rFonts w:ascii="宋体" w:hAnsi="宋体" w:cs="宋体" w:eastAsia="宋体" w:hint="default"/>
                <w:sz w:val="18"/>
                <w:szCs w:val="18"/>
              </w:rPr>
            </w:pPr>
            <w:r>
              <w:rPr>
                <w:rFonts w:ascii="宋体"/>
                <w:sz w:val="18"/>
              </w:rPr>
              <w:t>,533.24</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24" w:right="0"/>
              <w:jc w:val="left"/>
              <w:rPr>
                <w:rFonts w:ascii="宋体" w:hAnsi="宋体" w:cs="宋体" w:eastAsia="宋体" w:hint="default"/>
                <w:sz w:val="18"/>
                <w:szCs w:val="18"/>
              </w:rPr>
            </w:pPr>
            <w:r>
              <w:rPr>
                <w:rFonts w:ascii="宋体"/>
                <w:sz w:val="18"/>
              </w:rPr>
              <w:t>38,503,</w:t>
            </w:r>
          </w:p>
          <w:p>
            <w:pPr>
              <w:pStyle w:val="TableParagraph"/>
              <w:spacing w:line="234" w:lineRule="exact"/>
              <w:ind w:left="216" w:right="0"/>
              <w:jc w:val="left"/>
              <w:rPr>
                <w:rFonts w:ascii="宋体" w:hAnsi="宋体" w:cs="宋体" w:eastAsia="宋体" w:hint="default"/>
                <w:sz w:val="18"/>
                <w:szCs w:val="18"/>
              </w:rPr>
            </w:pPr>
            <w:r>
              <w:rPr>
                <w:rFonts w:ascii="宋体"/>
                <w:sz w:val="18"/>
              </w:rPr>
              <w:t>920.00</w:t>
            </w: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27" w:right="0"/>
              <w:jc w:val="left"/>
              <w:rPr>
                <w:rFonts w:ascii="宋体" w:hAnsi="宋体" w:cs="宋体" w:eastAsia="宋体" w:hint="default"/>
                <w:sz w:val="18"/>
                <w:szCs w:val="18"/>
              </w:rPr>
            </w:pPr>
            <w:r>
              <w:rPr>
                <w:rFonts w:ascii="宋体"/>
                <w:sz w:val="18"/>
              </w:rPr>
              <w:t>42,933,</w:t>
            </w:r>
          </w:p>
          <w:p>
            <w:pPr>
              <w:pStyle w:val="TableParagraph"/>
              <w:spacing w:line="234" w:lineRule="exact"/>
              <w:ind w:left="218" w:right="0"/>
              <w:jc w:val="left"/>
              <w:rPr>
                <w:rFonts w:ascii="宋体" w:hAnsi="宋体" w:cs="宋体" w:eastAsia="宋体" w:hint="default"/>
                <w:sz w:val="18"/>
                <w:szCs w:val="18"/>
              </w:rPr>
            </w:pPr>
            <w:r>
              <w:rPr>
                <w:rFonts w:ascii="宋体"/>
                <w:sz w:val="18"/>
              </w:rPr>
              <w:t>500.00</w:t>
            </w:r>
          </w:p>
        </w:tc>
      </w:tr>
    </w:tbl>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2285"/>
        <w:gridCol w:w="869"/>
        <w:gridCol w:w="859"/>
        <w:gridCol w:w="857"/>
        <w:gridCol w:w="883"/>
        <w:gridCol w:w="871"/>
        <w:gridCol w:w="857"/>
        <w:gridCol w:w="886"/>
        <w:gridCol w:w="857"/>
        <w:gridCol w:w="872"/>
      </w:tblGrid>
      <w:tr>
        <w:trPr>
          <w:trHeight w:val="250" w:hRule="exact"/>
        </w:trPr>
        <w:tc>
          <w:tcPr>
            <w:tcW w:w="228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811" w:type="dxa"/>
            <w:gridSpan w:val="9"/>
            <w:tcBorders>
              <w:top w:val="single" w:sz="4" w:space="0" w:color="000000"/>
              <w:left w:val="single" w:sz="4" w:space="0" w:color="000000"/>
              <w:bottom w:val="single" w:sz="4" w:space="0" w:color="000000"/>
              <w:right w:val="nil" w:sz="6" w:space="0" w:color="auto"/>
            </w:tcBorders>
          </w:tcPr>
          <w:p>
            <w:pPr>
              <w:pStyle w:val="TableParagraph"/>
              <w:spacing w:line="213" w:lineRule="exact"/>
              <w:ind w:right="953"/>
              <w:jc w:val="right"/>
              <w:rPr>
                <w:rFonts w:ascii="宋体" w:hAnsi="宋体" w:cs="宋体" w:eastAsia="宋体" w:hint="default"/>
                <w:sz w:val="18"/>
                <w:szCs w:val="18"/>
              </w:rPr>
            </w:pPr>
            <w:r>
              <w:rPr>
                <w:rFonts w:ascii="宋体" w:hAnsi="宋体" w:cs="宋体" w:eastAsia="宋体" w:hint="default"/>
                <w:sz w:val="18"/>
                <w:szCs w:val="18"/>
              </w:rPr>
              <w:t>上期</w:t>
            </w:r>
          </w:p>
        </w:tc>
      </w:tr>
      <w:tr>
        <w:trPr>
          <w:trHeight w:val="482" w:hRule="exact"/>
        </w:trPr>
        <w:tc>
          <w:tcPr>
            <w:tcW w:w="2285" w:type="dxa"/>
            <w:vMerge/>
            <w:tcBorders>
              <w:left w:val="single" w:sz="4" w:space="0" w:color="000000"/>
              <w:right w:val="single" w:sz="4" w:space="0" w:color="000000"/>
            </w:tcBorders>
          </w:tcPr>
          <w:p>
            <w:pPr/>
          </w:p>
        </w:tc>
        <w:tc>
          <w:tcPr>
            <w:tcW w:w="7811" w:type="dxa"/>
            <w:gridSpan w:val="9"/>
            <w:tcBorders>
              <w:top w:val="single" w:sz="4" w:space="0" w:color="000000"/>
              <w:left w:val="single" w:sz="4" w:space="0" w:color="000000"/>
              <w:bottom w:val="single" w:sz="4" w:space="0" w:color="000000"/>
              <w:right w:val="nil" w:sz="6" w:space="0" w:color="auto"/>
            </w:tcBorders>
          </w:tcPr>
          <w:p>
            <w:pPr>
              <w:pStyle w:val="TableParagraph"/>
              <w:spacing w:line="240" w:lineRule="auto" w:before="94"/>
              <w:ind w:left="4584"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r>
      <w:tr>
        <w:trPr>
          <w:trHeight w:val="394" w:hRule="exact"/>
        </w:trPr>
        <w:tc>
          <w:tcPr>
            <w:tcW w:w="2285" w:type="dxa"/>
            <w:vMerge/>
            <w:tcBorders>
              <w:left w:val="single" w:sz="4" w:space="0" w:color="000000"/>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6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871" w:type="dxa"/>
            <w:vMerge w:val="restart"/>
            <w:tcBorders>
              <w:top w:val="single" w:sz="4" w:space="0" w:color="000000"/>
              <w:left w:val="single" w:sz="4" w:space="0" w:color="000000"/>
              <w:right w:val="single" w:sz="4" w:space="0" w:color="000000"/>
            </w:tcBorders>
          </w:tcPr>
          <w:p>
            <w:pPr>
              <w:pStyle w:val="TableParagraph"/>
              <w:spacing w:line="244" w:lineRule="auto" w:before="85"/>
              <w:ind w:left="338" w:right="161"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857" w:type="dxa"/>
            <w:vMerge w:val="restart"/>
            <w:tcBorders>
              <w:top w:val="single" w:sz="4" w:space="0" w:color="000000"/>
              <w:left w:val="single" w:sz="4" w:space="0" w:color="000000"/>
              <w:right w:val="single" w:sz="4" w:space="0" w:color="000000"/>
            </w:tcBorders>
          </w:tcPr>
          <w:p>
            <w:pPr>
              <w:pStyle w:val="TableParagraph"/>
              <w:spacing w:line="244" w:lineRule="auto" w:before="85"/>
              <w:ind w:left="333" w:right="101" w:hanging="231"/>
              <w:jc w:val="left"/>
              <w:rPr>
                <w:rFonts w:ascii="宋体" w:hAnsi="宋体" w:cs="宋体" w:eastAsia="宋体" w:hint="default"/>
                <w:sz w:val="18"/>
                <w:szCs w:val="18"/>
              </w:rPr>
            </w:pPr>
            <w:r>
              <w:rPr>
                <w:rFonts w:ascii="宋体" w:hAnsi="宋体" w:cs="宋体" w:eastAsia="宋体" w:hint="default"/>
                <w:spacing w:val="-20"/>
                <w:sz w:val="18"/>
                <w:szCs w:val="18"/>
              </w:rPr>
              <w:t>减：库存</w:t>
            </w:r>
            <w:r>
              <w:rPr>
                <w:rFonts w:ascii="宋体" w:hAnsi="宋体" w:cs="宋体" w:eastAsia="宋体" w:hint="default"/>
                <w:sz w:val="18"/>
                <w:szCs w:val="18"/>
              </w:rPr>
              <w:t> 股</w:t>
            </w:r>
          </w:p>
        </w:tc>
        <w:tc>
          <w:tcPr>
            <w:tcW w:w="886" w:type="dxa"/>
            <w:vMerge w:val="restart"/>
            <w:tcBorders>
              <w:top w:val="single" w:sz="4" w:space="0" w:color="000000"/>
              <w:left w:val="single" w:sz="4" w:space="0" w:color="000000"/>
              <w:right w:val="single" w:sz="4" w:space="0" w:color="000000"/>
            </w:tcBorders>
          </w:tcPr>
          <w:p>
            <w:pPr>
              <w:pStyle w:val="TableParagraph"/>
              <w:spacing w:line="244" w:lineRule="auto" w:before="85"/>
              <w:ind w:left="167" w:right="16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857" w:type="dxa"/>
            <w:vMerge w:val="restart"/>
            <w:tcBorders>
              <w:top w:val="single" w:sz="4" w:space="0" w:color="000000"/>
              <w:left w:val="single" w:sz="4" w:space="0" w:color="000000"/>
              <w:right w:val="single" w:sz="4" w:space="0" w:color="000000"/>
            </w:tcBorders>
          </w:tcPr>
          <w:p>
            <w:pPr>
              <w:pStyle w:val="TableParagraph"/>
              <w:spacing w:line="244" w:lineRule="auto" w:before="85"/>
              <w:ind w:left="331" w:right="1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872" w:type="dxa"/>
            <w:vMerge w:val="restart"/>
            <w:tcBorders>
              <w:top w:val="single" w:sz="4" w:space="0" w:color="000000"/>
              <w:left w:val="single" w:sz="4" w:space="0" w:color="000000"/>
              <w:right w:val="single" w:sz="4" w:space="0" w:color="000000"/>
            </w:tcBorders>
          </w:tcPr>
          <w:p>
            <w:pPr>
              <w:pStyle w:val="TableParagraph"/>
              <w:spacing w:line="244" w:lineRule="auto" w:before="85"/>
              <w:ind w:left="338" w:right="161" w:hanging="180"/>
              <w:jc w:val="left"/>
              <w:rPr>
                <w:rFonts w:ascii="宋体" w:hAnsi="宋体" w:cs="宋体" w:eastAsia="宋体" w:hint="default"/>
                <w:sz w:val="18"/>
                <w:szCs w:val="18"/>
              </w:rPr>
            </w:pPr>
            <w:r>
              <w:rPr>
                <w:rFonts w:ascii="宋体" w:hAnsi="宋体" w:cs="宋体" w:eastAsia="宋体" w:hint="default"/>
                <w:sz w:val="18"/>
                <w:szCs w:val="18"/>
              </w:rPr>
              <w:t>盈余公 积</w:t>
            </w:r>
          </w:p>
        </w:tc>
      </w:tr>
      <w:tr>
        <w:trPr>
          <w:trHeight w:val="312" w:hRule="exact"/>
        </w:trPr>
        <w:tc>
          <w:tcPr>
            <w:tcW w:w="2285"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53"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51"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5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71" w:type="dxa"/>
            <w:vMerge/>
            <w:tcBorders>
              <w:left w:val="single" w:sz="4" w:space="0" w:color="000000"/>
              <w:bottom w:val="single" w:sz="4" w:space="0" w:color="000000"/>
              <w:right w:val="single" w:sz="4" w:space="0" w:color="000000"/>
            </w:tcBorders>
          </w:tcPr>
          <w:p>
            <w:pPr/>
          </w:p>
        </w:tc>
        <w:tc>
          <w:tcPr>
            <w:tcW w:w="857"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57" w:type="dxa"/>
            <w:vMerge/>
            <w:tcBorders>
              <w:left w:val="single" w:sz="4" w:space="0" w:color="000000"/>
              <w:bottom w:val="single" w:sz="4" w:space="0" w:color="000000"/>
              <w:right w:val="single" w:sz="4" w:space="0" w:color="000000"/>
            </w:tcBorders>
          </w:tcPr>
          <w:p>
            <w:pPr/>
          </w:p>
        </w:tc>
        <w:tc>
          <w:tcPr>
            <w:tcW w:w="872" w:type="dxa"/>
            <w:vMerge/>
            <w:tcBorders>
              <w:left w:val="single" w:sz="4" w:space="0" w:color="000000"/>
              <w:bottom w:val="single" w:sz="4" w:space="0" w:color="000000"/>
              <w:right w:val="single" w:sz="4" w:space="0" w:color="000000"/>
            </w:tcBorders>
          </w:tcPr>
          <w:p>
            <w:pP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4" w:right="0"/>
              <w:jc w:val="left"/>
              <w:rPr>
                <w:rFonts w:ascii="宋体" w:hAnsi="宋体" w:cs="宋体" w:eastAsia="宋体" w:hint="default"/>
                <w:sz w:val="18"/>
                <w:szCs w:val="18"/>
              </w:rPr>
            </w:pPr>
            <w:r>
              <w:rPr>
                <w:rFonts w:ascii="宋体"/>
                <w:sz w:val="18"/>
              </w:rPr>
              <w:t>63,140,</w:t>
            </w:r>
          </w:p>
          <w:p>
            <w:pPr>
              <w:pStyle w:val="TableParagraph"/>
              <w:spacing w:line="234" w:lineRule="exact"/>
              <w:ind w:left="215" w:right="0"/>
              <w:jc w:val="left"/>
              <w:rPr>
                <w:rFonts w:ascii="宋体" w:hAnsi="宋体" w:cs="宋体" w:eastAsia="宋体" w:hint="default"/>
                <w:sz w:val="18"/>
                <w:szCs w:val="18"/>
              </w:rPr>
            </w:pPr>
            <w:r>
              <w:rPr>
                <w:rFonts w:ascii="宋体"/>
                <w:sz w:val="18"/>
              </w:rPr>
              <w:t>000.00</w:t>
            </w:r>
          </w:p>
        </w:tc>
        <w:tc>
          <w:tcPr>
            <w:tcW w:w="859"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4" w:right="0"/>
              <w:jc w:val="left"/>
              <w:rPr>
                <w:rFonts w:ascii="宋体" w:hAnsi="宋体" w:cs="宋体" w:eastAsia="宋体" w:hint="default"/>
                <w:sz w:val="18"/>
                <w:szCs w:val="18"/>
              </w:rPr>
            </w:pPr>
            <w:r>
              <w:rPr>
                <w:rFonts w:ascii="宋体"/>
                <w:sz w:val="18"/>
              </w:rPr>
              <w:t>87,014,</w:t>
            </w:r>
          </w:p>
          <w:p>
            <w:pPr>
              <w:pStyle w:val="TableParagraph"/>
              <w:spacing w:line="234" w:lineRule="exact"/>
              <w:ind w:left="216" w:right="0"/>
              <w:jc w:val="left"/>
              <w:rPr>
                <w:rFonts w:ascii="宋体" w:hAnsi="宋体" w:cs="宋体" w:eastAsia="宋体" w:hint="default"/>
                <w:sz w:val="18"/>
                <w:szCs w:val="18"/>
              </w:rPr>
            </w:pPr>
            <w:r>
              <w:rPr>
                <w:rFonts w:ascii="宋体"/>
                <w:sz w:val="18"/>
              </w:rPr>
              <w:t>744.17</w:t>
            </w: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4" w:right="0"/>
              <w:jc w:val="left"/>
              <w:rPr>
                <w:rFonts w:ascii="宋体" w:hAnsi="宋体" w:cs="宋体" w:eastAsia="宋体" w:hint="default"/>
                <w:sz w:val="18"/>
                <w:szCs w:val="18"/>
              </w:rPr>
            </w:pPr>
            <w:r>
              <w:rPr>
                <w:rFonts w:ascii="宋体"/>
                <w:sz w:val="18"/>
              </w:rPr>
              <w:t>23,000,</w:t>
            </w:r>
          </w:p>
          <w:p>
            <w:pPr>
              <w:pStyle w:val="TableParagraph"/>
              <w:spacing w:line="234" w:lineRule="exact"/>
              <w:ind w:left="216" w:right="0"/>
              <w:jc w:val="left"/>
              <w:rPr>
                <w:rFonts w:ascii="宋体" w:hAnsi="宋体" w:cs="宋体" w:eastAsia="宋体" w:hint="default"/>
                <w:sz w:val="18"/>
                <w:szCs w:val="18"/>
              </w:rPr>
            </w:pPr>
            <w:r>
              <w:rPr>
                <w:rFonts w:ascii="宋体"/>
                <w:sz w:val="18"/>
              </w:rPr>
              <w:t>816.44</w:t>
            </w:r>
          </w:p>
        </w:tc>
      </w:tr>
    </w:tbl>
    <w:p>
      <w:pPr>
        <w:spacing w:after="0" w:line="234" w:lineRule="exact"/>
        <w:jc w:val="left"/>
        <w:rPr>
          <w:rFonts w:ascii="宋体" w:hAnsi="宋体" w:cs="宋体" w:eastAsia="宋体" w:hint="default"/>
          <w:sz w:val="18"/>
          <w:szCs w:val="18"/>
        </w:rPr>
        <w:sectPr>
          <w:footerReference w:type="default" r:id="rId28"/>
          <w:pgSz w:w="11910" w:h="16840"/>
          <w:pgMar w:footer="1195" w:header="857" w:top="1320" w:bottom="1380" w:left="1620" w:right="0"/>
          <w:pgNumType w:start="71"/>
        </w:sectPr>
      </w:pPr>
    </w:p>
    <w:p>
      <w:pPr>
        <w:spacing w:line="240" w:lineRule="auto" w:before="8"/>
        <w:rPr>
          <w:rFonts w:ascii="Times New Roman" w:hAnsi="Times New Roman" w:cs="Times New Roman" w:eastAsia="Times New Roman" w:hint="default"/>
          <w:sz w:val="16"/>
          <w:szCs w:val="16"/>
        </w:rPr>
      </w:pPr>
    </w:p>
    <w:tbl>
      <w:tblPr>
        <w:tblW w:w="0" w:type="auto"/>
        <w:jc w:val="left"/>
        <w:tblInd w:w="103" w:type="dxa"/>
        <w:tblLayout w:type="fixed"/>
        <w:tblCellMar>
          <w:top w:w="0" w:type="dxa"/>
          <w:left w:w="0" w:type="dxa"/>
          <w:bottom w:w="0" w:type="dxa"/>
          <w:right w:w="0" w:type="dxa"/>
        </w:tblCellMar>
        <w:tblLook w:val="01E0"/>
      </w:tblPr>
      <w:tblGrid>
        <w:gridCol w:w="2285"/>
        <w:gridCol w:w="869"/>
        <w:gridCol w:w="859"/>
        <w:gridCol w:w="857"/>
        <w:gridCol w:w="883"/>
        <w:gridCol w:w="871"/>
        <w:gridCol w:w="857"/>
        <w:gridCol w:w="886"/>
        <w:gridCol w:w="857"/>
        <w:gridCol w:w="872"/>
      </w:tblGrid>
      <w:tr>
        <w:trPr>
          <w:trHeight w:val="24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69"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69"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3"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869"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9"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sz w:val="18"/>
              </w:rPr>
              <w:t>63,140,</w:t>
            </w:r>
          </w:p>
          <w:p>
            <w:pPr>
              <w:pStyle w:val="TableParagraph"/>
              <w:spacing w:line="240" w:lineRule="auto"/>
              <w:ind w:left="215" w:right="0"/>
              <w:jc w:val="left"/>
              <w:rPr>
                <w:rFonts w:ascii="宋体" w:hAnsi="宋体" w:cs="宋体" w:eastAsia="宋体" w:hint="default"/>
                <w:sz w:val="18"/>
                <w:szCs w:val="18"/>
              </w:rPr>
            </w:pPr>
            <w:r>
              <w:rPr>
                <w:rFonts w:ascii="宋体"/>
                <w:sz w:val="18"/>
              </w:rPr>
              <w:t>000.00</w:t>
            </w:r>
          </w:p>
        </w:tc>
        <w:tc>
          <w:tcPr>
            <w:tcW w:w="859"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sz w:val="18"/>
              </w:rPr>
              <w:t>87,014,</w:t>
            </w:r>
          </w:p>
          <w:p>
            <w:pPr>
              <w:pStyle w:val="TableParagraph"/>
              <w:spacing w:line="240" w:lineRule="auto"/>
              <w:ind w:left="216" w:right="0"/>
              <w:jc w:val="left"/>
              <w:rPr>
                <w:rFonts w:ascii="宋体" w:hAnsi="宋体" w:cs="宋体" w:eastAsia="宋体" w:hint="default"/>
                <w:sz w:val="18"/>
                <w:szCs w:val="18"/>
              </w:rPr>
            </w:pPr>
            <w:r>
              <w:rPr>
                <w:rFonts w:ascii="宋体"/>
                <w:sz w:val="18"/>
              </w:rPr>
              <w:t>744.17</w:t>
            </w: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sz w:val="18"/>
              </w:rPr>
              <w:t>23,000,</w:t>
            </w:r>
          </w:p>
          <w:p>
            <w:pPr>
              <w:pStyle w:val="TableParagraph"/>
              <w:spacing w:line="240" w:lineRule="auto"/>
              <w:ind w:left="216" w:right="0"/>
              <w:jc w:val="left"/>
              <w:rPr>
                <w:rFonts w:ascii="宋体" w:hAnsi="宋体" w:cs="宋体" w:eastAsia="宋体" w:hint="default"/>
                <w:sz w:val="18"/>
                <w:szCs w:val="18"/>
              </w:rPr>
            </w:pPr>
            <w:r>
              <w:rPr>
                <w:rFonts w:ascii="宋体"/>
                <w:sz w:val="18"/>
              </w:rPr>
              <w:t>816.44</w:t>
            </w: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8"/>
                <w:sz w:val="18"/>
                <w:szCs w:val="18"/>
              </w:rPr>
              <w:t>三、本期增减变动金额（减</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少以“－”号填列）</w:t>
            </w:r>
          </w:p>
        </w:tc>
        <w:tc>
          <w:tcPr>
            <w:tcW w:w="869"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9" w:right="0"/>
              <w:jc w:val="center"/>
              <w:rPr>
                <w:rFonts w:ascii="宋体" w:hAnsi="宋体" w:cs="宋体" w:eastAsia="宋体" w:hint="default"/>
                <w:sz w:val="18"/>
                <w:szCs w:val="18"/>
              </w:rPr>
            </w:pPr>
            <w:r>
              <w:rPr>
                <w:rFonts w:ascii="宋体"/>
                <w:sz w:val="18"/>
              </w:rPr>
              <w:t>6,117,0</w:t>
            </w:r>
          </w:p>
          <w:p>
            <w:pPr>
              <w:pStyle w:val="TableParagraph"/>
              <w:spacing w:line="234" w:lineRule="exact"/>
              <w:ind w:left="199" w:right="0"/>
              <w:jc w:val="center"/>
              <w:rPr>
                <w:rFonts w:ascii="宋体" w:hAnsi="宋体" w:cs="宋体" w:eastAsia="宋体" w:hint="default"/>
                <w:sz w:val="18"/>
                <w:szCs w:val="18"/>
              </w:rPr>
            </w:pPr>
            <w:r>
              <w:rPr>
                <w:rFonts w:ascii="宋体"/>
                <w:sz w:val="18"/>
              </w:rPr>
              <w:t>45.69</w:t>
            </w:r>
          </w:p>
        </w:tc>
      </w:tr>
      <w:tr>
        <w:trPr>
          <w:trHeight w:val="47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869"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（二）所有者投入和减少</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869"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869"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．其他权益工具持有者投</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入资本</w:t>
            </w:r>
          </w:p>
        </w:tc>
        <w:tc>
          <w:tcPr>
            <w:tcW w:w="869"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．股份支付计入所有者权</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益的金额</w:t>
            </w:r>
          </w:p>
        </w:tc>
        <w:tc>
          <w:tcPr>
            <w:tcW w:w="869"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869"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869"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 w:right="0"/>
              <w:jc w:val="center"/>
              <w:rPr>
                <w:rFonts w:ascii="宋体" w:hAnsi="宋体" w:cs="宋体" w:eastAsia="宋体" w:hint="default"/>
                <w:sz w:val="18"/>
                <w:szCs w:val="18"/>
              </w:rPr>
            </w:pPr>
            <w:r>
              <w:rPr>
                <w:rFonts w:ascii="宋体"/>
                <w:sz w:val="18"/>
              </w:rPr>
              <w:t>6,117,0</w:t>
            </w:r>
          </w:p>
          <w:p>
            <w:pPr>
              <w:pStyle w:val="TableParagraph"/>
              <w:spacing w:line="240" w:lineRule="auto"/>
              <w:ind w:left="199" w:right="0"/>
              <w:jc w:val="center"/>
              <w:rPr>
                <w:rFonts w:ascii="宋体" w:hAnsi="宋体" w:cs="宋体" w:eastAsia="宋体" w:hint="default"/>
                <w:sz w:val="18"/>
                <w:szCs w:val="18"/>
              </w:rPr>
            </w:pPr>
            <w:r>
              <w:rPr>
                <w:rFonts w:ascii="宋体"/>
                <w:sz w:val="18"/>
              </w:rPr>
              <w:t>45.69</w:t>
            </w: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869"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9" w:right="0"/>
              <w:jc w:val="center"/>
              <w:rPr>
                <w:rFonts w:ascii="宋体" w:hAnsi="宋体" w:cs="宋体" w:eastAsia="宋体" w:hint="default"/>
                <w:sz w:val="18"/>
                <w:szCs w:val="18"/>
              </w:rPr>
            </w:pPr>
            <w:r>
              <w:rPr>
                <w:rFonts w:ascii="宋体"/>
                <w:sz w:val="18"/>
              </w:rPr>
              <w:t>6,117,0</w:t>
            </w:r>
          </w:p>
          <w:p>
            <w:pPr>
              <w:pStyle w:val="TableParagraph"/>
              <w:spacing w:line="234" w:lineRule="exact"/>
              <w:ind w:left="199" w:right="0"/>
              <w:jc w:val="center"/>
              <w:rPr>
                <w:rFonts w:ascii="宋体" w:hAnsi="宋体" w:cs="宋体" w:eastAsia="宋体" w:hint="default"/>
                <w:sz w:val="18"/>
                <w:szCs w:val="18"/>
              </w:rPr>
            </w:pPr>
            <w:r>
              <w:rPr>
                <w:rFonts w:ascii="宋体"/>
                <w:sz w:val="18"/>
              </w:rPr>
              <w:t>45.69</w:t>
            </w:r>
          </w:p>
        </w:tc>
      </w:tr>
      <w:tr>
        <w:trPr>
          <w:trHeight w:val="24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p>
        </w:tc>
        <w:tc>
          <w:tcPr>
            <w:tcW w:w="869"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．对所有者（或股东）的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分配</w:t>
            </w:r>
          </w:p>
        </w:tc>
        <w:tc>
          <w:tcPr>
            <w:tcW w:w="869"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869"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（四）所有者权益内部结</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转</w:t>
            </w:r>
          </w:p>
        </w:tc>
        <w:tc>
          <w:tcPr>
            <w:tcW w:w="869"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869"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869"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869"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869"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869"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869"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869"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869"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4" w:right="0"/>
              <w:jc w:val="left"/>
              <w:rPr>
                <w:rFonts w:ascii="宋体" w:hAnsi="宋体" w:cs="宋体" w:eastAsia="宋体" w:hint="default"/>
                <w:sz w:val="18"/>
                <w:szCs w:val="18"/>
              </w:rPr>
            </w:pPr>
            <w:r>
              <w:rPr>
                <w:rFonts w:ascii="宋体"/>
                <w:sz w:val="18"/>
              </w:rPr>
              <w:t>63,140,</w:t>
            </w:r>
          </w:p>
          <w:p>
            <w:pPr>
              <w:pStyle w:val="TableParagraph"/>
              <w:spacing w:line="234" w:lineRule="exact"/>
              <w:ind w:left="215" w:right="0"/>
              <w:jc w:val="left"/>
              <w:rPr>
                <w:rFonts w:ascii="宋体" w:hAnsi="宋体" w:cs="宋体" w:eastAsia="宋体" w:hint="default"/>
                <w:sz w:val="18"/>
                <w:szCs w:val="18"/>
              </w:rPr>
            </w:pPr>
            <w:r>
              <w:rPr>
                <w:rFonts w:ascii="宋体"/>
                <w:sz w:val="18"/>
              </w:rPr>
              <w:t>000.00</w:t>
            </w:r>
          </w:p>
        </w:tc>
        <w:tc>
          <w:tcPr>
            <w:tcW w:w="859"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4" w:right="0"/>
              <w:jc w:val="left"/>
              <w:rPr>
                <w:rFonts w:ascii="宋体" w:hAnsi="宋体" w:cs="宋体" w:eastAsia="宋体" w:hint="default"/>
                <w:sz w:val="18"/>
                <w:szCs w:val="18"/>
              </w:rPr>
            </w:pPr>
            <w:r>
              <w:rPr>
                <w:rFonts w:ascii="宋体"/>
                <w:sz w:val="18"/>
              </w:rPr>
              <w:t>87,014,</w:t>
            </w:r>
          </w:p>
          <w:p>
            <w:pPr>
              <w:pStyle w:val="TableParagraph"/>
              <w:spacing w:line="234" w:lineRule="exact"/>
              <w:ind w:left="216" w:right="0"/>
              <w:jc w:val="left"/>
              <w:rPr>
                <w:rFonts w:ascii="宋体" w:hAnsi="宋体" w:cs="宋体" w:eastAsia="宋体" w:hint="default"/>
                <w:sz w:val="18"/>
                <w:szCs w:val="18"/>
              </w:rPr>
            </w:pPr>
            <w:r>
              <w:rPr>
                <w:rFonts w:ascii="宋体"/>
                <w:sz w:val="18"/>
              </w:rPr>
              <w:t>744.17</w:t>
            </w: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4" w:right="0"/>
              <w:jc w:val="left"/>
              <w:rPr>
                <w:rFonts w:ascii="宋体" w:hAnsi="宋体" w:cs="宋体" w:eastAsia="宋体" w:hint="default"/>
                <w:sz w:val="18"/>
                <w:szCs w:val="18"/>
              </w:rPr>
            </w:pPr>
            <w:r>
              <w:rPr>
                <w:rFonts w:ascii="宋体"/>
                <w:sz w:val="18"/>
              </w:rPr>
              <w:t>29,117,</w:t>
            </w:r>
          </w:p>
          <w:p>
            <w:pPr>
              <w:pStyle w:val="TableParagraph"/>
              <w:spacing w:line="234" w:lineRule="exact"/>
              <w:ind w:left="216" w:right="0"/>
              <w:jc w:val="left"/>
              <w:rPr>
                <w:rFonts w:ascii="宋体" w:hAnsi="宋体" w:cs="宋体" w:eastAsia="宋体" w:hint="default"/>
                <w:sz w:val="18"/>
                <w:szCs w:val="18"/>
              </w:rPr>
            </w:pPr>
            <w:r>
              <w:rPr>
                <w:rFonts w:ascii="宋体"/>
                <w:sz w:val="18"/>
              </w:rPr>
              <w:t>862.13</w:t>
            </w:r>
          </w:p>
        </w:tc>
      </w:tr>
    </w:tbl>
    <w:p>
      <w:pPr>
        <w:pStyle w:val="BodyText"/>
        <w:spacing w:line="241" w:lineRule="exact"/>
        <w:ind w:left="178" w:right="0"/>
        <w:jc w:val="left"/>
      </w:pPr>
      <w:r>
        <w:rPr/>
        <w:t>法定代表人：严孟宇 主管会计工作负责人：董凤良</w:t>
      </w:r>
      <w:r>
        <w:rPr>
          <w:spacing w:val="-6"/>
        </w:rPr>
        <w:t> </w:t>
      </w:r>
      <w:r>
        <w:rPr/>
        <w:t>会计机构负责人：熊婵静</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57" w:footer="1195" w:top="1320" w:bottom="1380" w:left="1620" w:right="0"/>
        </w:sectPr>
      </w:pPr>
    </w:p>
    <w:p>
      <w:pPr>
        <w:spacing w:before="36"/>
        <w:ind w:left="3821" w:right="-6" w:hanging="399"/>
        <w:jc w:val="left"/>
        <w:rPr>
          <w:rFonts w:ascii="宋体" w:hAnsi="宋体" w:cs="宋体" w:eastAsia="宋体" w:hint="default"/>
          <w:sz w:val="21"/>
          <w:szCs w:val="21"/>
        </w:rPr>
      </w:pPr>
      <w:r>
        <w:rPr>
          <w:rFonts w:ascii="宋体" w:hAnsi="宋体" w:cs="宋体" w:eastAsia="宋体" w:hint="default"/>
          <w:b/>
          <w:bCs/>
          <w:spacing w:val="-1"/>
          <w:sz w:val="21"/>
          <w:szCs w:val="21"/>
        </w:rPr>
        <w:t>母公司所有者权益变动表</w:t>
      </w:r>
      <w:r>
        <w:rPr>
          <w:rFonts w:ascii="宋体" w:hAnsi="宋体" w:cs="宋体" w:eastAsia="宋体" w:hint="default"/>
          <w:b/>
          <w:bCs/>
          <w:spacing w:val="-94"/>
          <w:sz w:val="21"/>
          <w:szCs w:val="21"/>
        </w:rPr>
        <w:t> </w:t>
      </w:r>
      <w:r>
        <w:rPr>
          <w:rFonts w:ascii="宋体" w:hAnsi="宋体" w:cs="宋体" w:eastAsia="宋体" w:hint="default"/>
          <w:b/>
          <w:bCs/>
          <w:spacing w:val="-94"/>
          <w:sz w:val="21"/>
          <w:szCs w:val="21"/>
        </w:rPr>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072" w:val="left" w:leader="none"/>
        </w:tabs>
        <w:spacing w:line="240" w:lineRule="auto"/>
        <w:ind w:left="1126" w:right="0"/>
        <w:jc w:val="left"/>
      </w:pPr>
      <w:r>
        <w:rPr/>
        <w:pict>
          <v:shape style="position:absolute;margin-left:86.783997pt;margin-top:15.383699pt;width:509.3pt;height:130.6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51"/>
                    <w:gridCol w:w="1078"/>
                    <w:gridCol w:w="1049"/>
                    <w:gridCol w:w="1078"/>
                    <w:gridCol w:w="1092"/>
                    <w:gridCol w:w="1037"/>
                    <w:gridCol w:w="1063"/>
                    <w:gridCol w:w="1023"/>
                    <w:gridCol w:w="293"/>
                  </w:tblGrid>
                  <w:tr>
                    <w:trPr>
                      <w:trHeight w:val="247" w:hRule="exact"/>
                    </w:trPr>
                    <w:tc>
                      <w:tcPr>
                        <w:tcW w:w="2451" w:type="dxa"/>
                        <w:vMerge w:val="restart"/>
                        <w:tcBorders>
                          <w:top w:val="single" w:sz="6" w:space="0" w:color="000000"/>
                          <w:left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7713" w:type="dxa"/>
                        <w:gridSpan w:val="8"/>
                        <w:tcBorders>
                          <w:top w:val="single" w:sz="6" w:space="0" w:color="000000"/>
                          <w:left w:val="single" w:sz="6" w:space="0" w:color="000000"/>
                          <w:bottom w:val="single" w:sz="6" w:space="0" w:color="000000"/>
                          <w:right w:val="nil" w:sz="6" w:space="0" w:color="auto"/>
                        </w:tcBorders>
                      </w:tcPr>
                      <w:p>
                        <w:pPr>
                          <w:pStyle w:val="TableParagraph"/>
                          <w:spacing w:line="205" w:lineRule="exact"/>
                          <w:ind w:right="1776"/>
                          <w:jc w:val="right"/>
                          <w:rPr>
                            <w:rFonts w:ascii="宋体" w:hAnsi="宋体" w:cs="宋体" w:eastAsia="宋体" w:hint="default"/>
                            <w:sz w:val="18"/>
                            <w:szCs w:val="18"/>
                          </w:rPr>
                        </w:pPr>
                        <w:r>
                          <w:rPr>
                            <w:rFonts w:ascii="宋体" w:hAnsi="宋体" w:cs="宋体" w:eastAsia="宋体" w:hint="default"/>
                            <w:sz w:val="18"/>
                            <w:szCs w:val="18"/>
                          </w:rPr>
                          <w:t>本期</w:t>
                        </w:r>
                      </w:p>
                    </w:tc>
                  </w:tr>
                  <w:tr>
                    <w:trPr>
                      <w:trHeight w:val="329" w:hRule="exact"/>
                    </w:trPr>
                    <w:tc>
                      <w:tcPr>
                        <w:tcW w:w="2451" w:type="dxa"/>
                        <w:vMerge/>
                        <w:tcBorders>
                          <w:left w:val="single" w:sz="6" w:space="0" w:color="000000"/>
                          <w:right w:val="single" w:sz="6" w:space="0" w:color="000000"/>
                        </w:tcBorders>
                      </w:tcPr>
                      <w:p>
                        <w:pPr/>
                      </w:p>
                    </w:tc>
                    <w:tc>
                      <w:tcPr>
                        <w:tcW w:w="1078" w:type="dxa"/>
                        <w:vMerge w:val="restart"/>
                        <w:tcBorders>
                          <w:top w:val="single" w:sz="6" w:space="0" w:color="000000"/>
                          <w:left w:val="single" w:sz="6"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219"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10"/>
                          <w:ind w:left="106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037"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63"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pacing w:val="-11"/>
                            <w:sz w:val="18"/>
                            <w:szCs w:val="18"/>
                          </w:rPr>
                          <w:t>减：库存股</w:t>
                        </w:r>
                      </w:p>
                    </w:tc>
                    <w:tc>
                      <w:tcPr>
                        <w:tcW w:w="1023" w:type="dxa"/>
                        <w:vMerge w:val="restart"/>
                        <w:tcBorders>
                          <w:top w:val="single" w:sz="6" w:space="0" w:color="000000"/>
                          <w:left w:val="single" w:sz="6" w:space="0" w:color="000000"/>
                          <w:right w:val="single" w:sz="6" w:space="0" w:color="000000"/>
                        </w:tcBorders>
                      </w:tcPr>
                      <w:p>
                        <w:pPr>
                          <w:pStyle w:val="TableParagraph"/>
                          <w:spacing w:line="232" w:lineRule="exact" w:before="73"/>
                          <w:ind w:left="324" w:right="142"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293" w:type="dxa"/>
                        <w:vMerge w:val="restart"/>
                        <w:tcBorders>
                          <w:top w:val="single" w:sz="6" w:space="0" w:color="000000"/>
                          <w:left w:val="single" w:sz="6" w:space="0" w:color="000000"/>
                          <w:right w:val="nil" w:sz="6" w:space="0" w:color="auto"/>
                        </w:tcBorders>
                      </w:tcPr>
                      <w:p>
                        <w:pPr/>
                      </w:p>
                    </w:tc>
                  </w:tr>
                  <w:tr>
                    <w:trPr>
                      <w:trHeight w:val="310" w:hRule="exact"/>
                    </w:trPr>
                    <w:tc>
                      <w:tcPr>
                        <w:tcW w:w="2451" w:type="dxa"/>
                        <w:vMerge/>
                        <w:tcBorders>
                          <w:left w:val="single" w:sz="6" w:space="0" w:color="000000"/>
                          <w:bottom w:val="single" w:sz="6" w:space="0" w:color="000000"/>
                          <w:right w:val="single" w:sz="6" w:space="0" w:color="000000"/>
                        </w:tcBorders>
                      </w:tcPr>
                      <w:p>
                        <w:pPr/>
                      </w:p>
                    </w:tc>
                    <w:tc>
                      <w:tcPr>
                        <w:tcW w:w="1078" w:type="dxa"/>
                        <w:vMerge/>
                        <w:tcBorders>
                          <w:left w:val="single" w:sz="6" w:space="0" w:color="000000"/>
                          <w:bottom w:val="single" w:sz="6" w:space="0" w:color="000000"/>
                          <w:right w:val="single" w:sz="4" w:space="0" w:color="000000"/>
                        </w:tcBorders>
                      </w:tcPr>
                      <w:p>
                        <w:pPr/>
                      </w:p>
                    </w:tc>
                    <w:tc>
                      <w:tcPr>
                        <w:tcW w:w="1049"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3"/>
                          <w:ind w:left="24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1078"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3"/>
                          <w:ind w:left="264"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092"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3"/>
                          <w:ind w:left="35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37" w:type="dxa"/>
                        <w:vMerge/>
                        <w:tcBorders>
                          <w:left w:val="single" w:sz="6" w:space="0" w:color="000000"/>
                          <w:bottom w:val="single" w:sz="6" w:space="0" w:color="000000"/>
                          <w:right w:val="single" w:sz="6" w:space="0" w:color="000000"/>
                        </w:tcBorders>
                      </w:tcPr>
                      <w:p>
                        <w:pPr/>
                      </w:p>
                    </w:tc>
                    <w:tc>
                      <w:tcPr>
                        <w:tcW w:w="1063" w:type="dxa"/>
                        <w:vMerge/>
                        <w:tcBorders>
                          <w:left w:val="single" w:sz="6" w:space="0" w:color="000000"/>
                          <w:bottom w:val="single" w:sz="6" w:space="0" w:color="000000"/>
                          <w:right w:val="single" w:sz="6" w:space="0" w:color="000000"/>
                        </w:tcBorders>
                      </w:tcPr>
                      <w:p>
                        <w:pPr/>
                      </w:p>
                    </w:tc>
                    <w:tc>
                      <w:tcPr>
                        <w:tcW w:w="1023" w:type="dxa"/>
                        <w:vMerge/>
                        <w:tcBorders>
                          <w:left w:val="single" w:sz="6" w:space="0" w:color="000000"/>
                          <w:bottom w:val="single" w:sz="6" w:space="0" w:color="000000"/>
                          <w:right w:val="single" w:sz="6" w:space="0" w:color="000000"/>
                        </w:tcBorders>
                      </w:tcPr>
                      <w:p>
                        <w:pPr/>
                      </w:p>
                    </w:tc>
                    <w:tc>
                      <w:tcPr>
                        <w:tcW w:w="293" w:type="dxa"/>
                        <w:vMerge/>
                        <w:tcBorders>
                          <w:left w:val="single" w:sz="6" w:space="0" w:color="000000"/>
                          <w:bottom w:val="single" w:sz="6" w:space="0" w:color="000000"/>
                          <w:right w:val="nil" w:sz="6" w:space="0" w:color="auto"/>
                        </w:tcBorders>
                      </w:tcPr>
                      <w:p>
                        <w:pP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96"/>
                          <w:jc w:val="right"/>
                          <w:rPr>
                            <w:rFonts w:ascii="宋体" w:hAnsi="宋体" w:cs="宋体" w:eastAsia="宋体" w:hint="default"/>
                            <w:sz w:val="18"/>
                            <w:szCs w:val="18"/>
                          </w:rPr>
                        </w:pPr>
                        <w:r>
                          <w:rPr>
                            <w:rFonts w:ascii="宋体" w:hAnsi="宋体" w:cs="宋体" w:eastAsia="宋体" w:hint="default"/>
                            <w:spacing w:val="-1"/>
                            <w:sz w:val="18"/>
                            <w:szCs w:val="18"/>
                          </w:rPr>
                          <w:t>一、上年期末余额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6" w:lineRule="exact"/>
                          <w:ind w:left="148" w:right="0"/>
                          <w:jc w:val="left"/>
                          <w:rPr>
                            <w:rFonts w:ascii="宋体" w:hAnsi="宋体" w:cs="宋体" w:eastAsia="宋体" w:hint="default"/>
                            <w:sz w:val="18"/>
                            <w:szCs w:val="18"/>
                          </w:rPr>
                        </w:pPr>
                        <w:r>
                          <w:rPr>
                            <w:rFonts w:ascii="宋体"/>
                            <w:sz w:val="18"/>
                          </w:rPr>
                          <w:t>63,140,00</w:t>
                        </w:r>
                      </w:p>
                      <w:p>
                        <w:pPr>
                          <w:pStyle w:val="TableParagraph"/>
                          <w:spacing w:line="234" w:lineRule="exact"/>
                          <w:ind w:left="600" w:right="0"/>
                          <w:jc w:val="left"/>
                          <w:rPr>
                            <w:rFonts w:ascii="宋体" w:hAnsi="宋体" w:cs="宋体" w:eastAsia="宋体" w:hint="default"/>
                            <w:sz w:val="18"/>
                            <w:szCs w:val="18"/>
                          </w:rPr>
                        </w:pPr>
                        <w:r>
                          <w:rPr>
                            <w:rFonts w:ascii="宋体"/>
                            <w:sz w:val="18"/>
                          </w:rPr>
                          <w:t>0.00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Style w:val="TableParagraph"/>
                          <w:spacing w:line="206" w:lineRule="exact"/>
                          <w:ind w:left="112" w:right="0"/>
                          <w:jc w:val="left"/>
                          <w:rPr>
                            <w:rFonts w:ascii="宋体" w:hAnsi="宋体" w:cs="宋体" w:eastAsia="宋体" w:hint="default"/>
                            <w:sz w:val="18"/>
                            <w:szCs w:val="18"/>
                          </w:rPr>
                        </w:pPr>
                        <w:r>
                          <w:rPr>
                            <w:rFonts w:ascii="宋体"/>
                            <w:sz w:val="18"/>
                          </w:rPr>
                          <w:t>86,999,99</w:t>
                        </w:r>
                      </w:p>
                      <w:p>
                        <w:pPr>
                          <w:pStyle w:val="TableParagraph"/>
                          <w:spacing w:line="234" w:lineRule="exact"/>
                          <w:ind w:left="564" w:right="0"/>
                          <w:jc w:val="left"/>
                          <w:rPr>
                            <w:rFonts w:ascii="宋体" w:hAnsi="宋体" w:cs="宋体" w:eastAsia="宋体" w:hint="default"/>
                            <w:sz w:val="18"/>
                            <w:szCs w:val="18"/>
                          </w:rPr>
                        </w:pPr>
                        <w:r>
                          <w:rPr>
                            <w:rFonts w:ascii="宋体"/>
                            <w:sz w:val="18"/>
                          </w:rPr>
                          <w:t>0.03</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3" w:type="dxa"/>
                        <w:tcBorders>
                          <w:top w:val="single" w:sz="6" w:space="0" w:color="000000"/>
                          <w:left w:val="single" w:sz="6" w:space="0" w:color="000000"/>
                          <w:bottom w:val="single" w:sz="6" w:space="0" w:color="000000"/>
                          <w:right w:val="single" w:sz="6" w:space="0" w:color="000000"/>
                        </w:tcBorders>
                      </w:tcPr>
                      <w:p>
                        <w:pPr/>
                      </w:p>
                    </w:tc>
                    <w:tc>
                      <w:tcPr>
                        <w:tcW w:w="293" w:type="dxa"/>
                        <w:tcBorders>
                          <w:top w:val="single" w:sz="6" w:space="0" w:color="000000"/>
                          <w:left w:val="single" w:sz="6" w:space="0" w:color="000000"/>
                          <w:bottom w:val="single" w:sz="6" w:space="0" w:color="000000"/>
                          <w:right w:val="nil" w:sz="6" w:space="0" w:color="auto"/>
                        </w:tcBorders>
                      </w:tcPr>
                      <w:p>
                        <w:pPr/>
                      </w:p>
                    </w:tc>
                  </w:tr>
                  <w:tr>
                    <w:trPr>
                      <w:trHeight w:val="250"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96"/>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3" w:type="dxa"/>
                        <w:tcBorders>
                          <w:top w:val="single" w:sz="6" w:space="0" w:color="000000"/>
                          <w:left w:val="single" w:sz="6" w:space="0" w:color="000000"/>
                          <w:bottom w:val="single" w:sz="6" w:space="0" w:color="000000"/>
                          <w:right w:val="single" w:sz="6" w:space="0" w:color="000000"/>
                        </w:tcBorders>
                      </w:tcPr>
                      <w:p>
                        <w:pPr/>
                      </w:p>
                    </w:tc>
                    <w:tc>
                      <w:tcPr>
                        <w:tcW w:w="293" w:type="dxa"/>
                        <w:tcBorders>
                          <w:top w:val="single" w:sz="6" w:space="0" w:color="000000"/>
                          <w:left w:val="single" w:sz="6" w:space="0" w:color="000000"/>
                          <w:bottom w:val="single" w:sz="6" w:space="0" w:color="000000"/>
                          <w:right w:val="nil" w:sz="6" w:space="0" w:color="auto"/>
                        </w:tcBorders>
                      </w:tcPr>
                      <w:p>
                        <w:pPr/>
                      </w:p>
                    </w:tc>
                  </w:tr>
                  <w:tr>
                    <w:trPr>
                      <w:trHeight w:val="247"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36"/>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3" w:type="dxa"/>
                        <w:tcBorders>
                          <w:top w:val="single" w:sz="6" w:space="0" w:color="000000"/>
                          <w:left w:val="single" w:sz="6" w:space="0" w:color="000000"/>
                          <w:bottom w:val="single" w:sz="6" w:space="0" w:color="000000"/>
                          <w:right w:val="single" w:sz="6" w:space="0" w:color="000000"/>
                        </w:tcBorders>
                      </w:tcPr>
                      <w:p>
                        <w:pPr/>
                      </w:p>
                    </w:tc>
                    <w:tc>
                      <w:tcPr>
                        <w:tcW w:w="293" w:type="dxa"/>
                        <w:tcBorders>
                          <w:top w:val="single" w:sz="6" w:space="0" w:color="000000"/>
                          <w:left w:val="single" w:sz="6" w:space="0" w:color="000000"/>
                          <w:bottom w:val="single" w:sz="6" w:space="0" w:color="000000"/>
                          <w:right w:val="nil" w:sz="6" w:space="0" w:color="auto"/>
                        </w:tcBorders>
                      </w:tcPr>
                      <w:p>
                        <w:pPr/>
                      </w:p>
                    </w:tc>
                  </w:tr>
                  <w:tr>
                    <w:trPr>
                      <w:trHeight w:val="250"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1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3" w:type="dxa"/>
                        <w:tcBorders>
                          <w:top w:val="single" w:sz="6" w:space="0" w:color="000000"/>
                          <w:left w:val="single" w:sz="6" w:space="0" w:color="000000"/>
                          <w:bottom w:val="single" w:sz="6" w:space="0" w:color="000000"/>
                          <w:right w:val="single" w:sz="6" w:space="0" w:color="000000"/>
                        </w:tcBorders>
                      </w:tcPr>
                      <w:p>
                        <w:pPr/>
                      </w:p>
                    </w:tc>
                    <w:tc>
                      <w:tcPr>
                        <w:tcW w:w="293" w:type="dxa"/>
                        <w:tcBorders>
                          <w:top w:val="single" w:sz="6" w:space="0" w:color="000000"/>
                          <w:left w:val="single" w:sz="6" w:space="0" w:color="000000"/>
                          <w:bottom w:val="single" w:sz="6" w:space="0" w:color="000000"/>
                          <w:right w:val="nil" w:sz="6" w:space="0" w:color="auto"/>
                        </w:tcBorders>
                      </w:tcPr>
                      <w:p>
                        <w:pP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96"/>
                          <w:jc w:val="right"/>
                          <w:rPr>
                            <w:rFonts w:ascii="宋体" w:hAnsi="宋体" w:cs="宋体" w:eastAsia="宋体" w:hint="default"/>
                            <w:sz w:val="18"/>
                            <w:szCs w:val="18"/>
                          </w:rPr>
                        </w:pPr>
                        <w:r>
                          <w:rPr>
                            <w:rFonts w:ascii="宋体" w:hAnsi="宋体" w:cs="宋体" w:eastAsia="宋体" w:hint="default"/>
                            <w:spacing w:val="-1"/>
                            <w:sz w:val="18"/>
                            <w:szCs w:val="18"/>
                          </w:rPr>
                          <w:t>二、本年期初余额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4" w:lineRule="exact"/>
                          <w:ind w:left="148" w:right="0"/>
                          <w:jc w:val="left"/>
                          <w:rPr>
                            <w:rFonts w:ascii="宋体" w:hAnsi="宋体" w:cs="宋体" w:eastAsia="宋体" w:hint="default"/>
                            <w:sz w:val="18"/>
                            <w:szCs w:val="18"/>
                          </w:rPr>
                        </w:pPr>
                        <w:r>
                          <w:rPr>
                            <w:rFonts w:ascii="宋体"/>
                            <w:sz w:val="18"/>
                          </w:rPr>
                          <w:t>63,140,00</w:t>
                        </w:r>
                      </w:p>
                      <w:p>
                        <w:pPr>
                          <w:pStyle w:val="TableParagraph"/>
                          <w:spacing w:line="234" w:lineRule="exact"/>
                          <w:ind w:left="600" w:right="0"/>
                          <w:jc w:val="left"/>
                          <w:rPr>
                            <w:rFonts w:ascii="宋体" w:hAnsi="宋体" w:cs="宋体" w:eastAsia="宋体" w:hint="default"/>
                            <w:sz w:val="18"/>
                            <w:szCs w:val="18"/>
                          </w:rPr>
                        </w:pPr>
                        <w:r>
                          <w:rPr>
                            <w:rFonts w:ascii="宋体"/>
                            <w:sz w:val="18"/>
                          </w:rPr>
                          <w:t>0.00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Style w:val="TableParagraph"/>
                          <w:spacing w:line="204" w:lineRule="exact"/>
                          <w:ind w:left="112" w:right="0"/>
                          <w:jc w:val="left"/>
                          <w:rPr>
                            <w:rFonts w:ascii="宋体" w:hAnsi="宋体" w:cs="宋体" w:eastAsia="宋体" w:hint="default"/>
                            <w:sz w:val="18"/>
                            <w:szCs w:val="18"/>
                          </w:rPr>
                        </w:pPr>
                        <w:r>
                          <w:rPr>
                            <w:rFonts w:ascii="宋体"/>
                            <w:sz w:val="18"/>
                          </w:rPr>
                          <w:t>86,999,99</w:t>
                        </w:r>
                      </w:p>
                      <w:p>
                        <w:pPr>
                          <w:pStyle w:val="TableParagraph"/>
                          <w:spacing w:line="234" w:lineRule="exact"/>
                          <w:ind w:left="564" w:right="0"/>
                          <w:jc w:val="left"/>
                          <w:rPr>
                            <w:rFonts w:ascii="宋体" w:hAnsi="宋体" w:cs="宋体" w:eastAsia="宋体" w:hint="default"/>
                            <w:sz w:val="18"/>
                            <w:szCs w:val="18"/>
                          </w:rPr>
                        </w:pPr>
                        <w:r>
                          <w:rPr>
                            <w:rFonts w:ascii="宋体"/>
                            <w:sz w:val="18"/>
                          </w:rPr>
                          <w:t>0.03</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3" w:type="dxa"/>
                        <w:tcBorders>
                          <w:top w:val="single" w:sz="6" w:space="0" w:color="000000"/>
                          <w:left w:val="single" w:sz="6" w:space="0" w:color="000000"/>
                          <w:bottom w:val="single" w:sz="6" w:space="0" w:color="000000"/>
                          <w:right w:val="single" w:sz="6" w:space="0" w:color="000000"/>
                        </w:tcBorders>
                      </w:tcPr>
                      <w:p>
                        <w:pPr/>
                      </w:p>
                    </w:tc>
                    <w:tc>
                      <w:tcPr>
                        <w:tcW w:w="293" w:type="dxa"/>
                        <w:tcBorders>
                          <w:top w:val="single" w:sz="6" w:space="0" w:color="000000"/>
                          <w:left w:val="single" w:sz="6" w:space="0" w:color="000000"/>
                          <w:bottom w:val="single" w:sz="6" w:space="0" w:color="000000"/>
                          <w:right w:val="nil" w:sz="6" w:space="0" w:color="auto"/>
                        </w:tcBorders>
                      </w:tcPr>
                      <w:p>
                        <w:pPr/>
                      </w:p>
                    </w:tc>
                  </w:tr>
                </w:tbl>
                <w:p>
                  <w:pPr/>
                </w:p>
              </w:txbxContent>
            </v:textbox>
            <w10:wrap type="none"/>
          </v:shape>
        </w:pict>
      </w: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000" w:bottom="280" w:left="1620" w:right="0"/>
          <w:cols w:num="2" w:equalWidth="0">
            <w:col w:w="5745" w:space="40"/>
            <w:col w:w="4505"/>
          </w:cols>
        </w:sectPr>
      </w:pPr>
    </w:p>
    <w:p>
      <w:pPr>
        <w:spacing w:line="240" w:lineRule="auto" w:before="5"/>
        <w:rPr>
          <w:rFonts w:ascii="Times New Roman" w:hAnsi="Times New Roman" w:cs="Times New Roman" w:eastAsia="Times New Roman" w:hint="default"/>
          <w:sz w:val="17"/>
          <w:szCs w:val="17"/>
        </w:rPr>
      </w:pPr>
      <w:r>
        <w:rPr/>
        <w:pict>
          <v:shape style="position:absolute;margin-left:86.783997pt;margin-top:76.199982pt;width:509.3pt;height:401.85pt;mso-position-horizontal-relative:page;mso-position-vertical-relative:page;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51"/>
                    <w:gridCol w:w="1078"/>
                    <w:gridCol w:w="1049"/>
                    <w:gridCol w:w="1078"/>
                    <w:gridCol w:w="1092"/>
                    <w:gridCol w:w="1037"/>
                    <w:gridCol w:w="1063"/>
                    <w:gridCol w:w="1023"/>
                    <w:gridCol w:w="293"/>
                  </w:tblGrid>
                  <w:tr>
                    <w:trPr>
                      <w:trHeight w:val="483"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hAnsi="宋体" w:cs="宋体" w:eastAsia="宋体" w:hint="default"/>
                            <w:sz w:val="18"/>
                            <w:szCs w:val="18"/>
                          </w:rPr>
                          <w:t>三、本期增减变动金额（减</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少以“－”号填列）</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7" w:lineRule="exact"/>
                          <w:ind w:left="148" w:right="0"/>
                          <w:jc w:val="left"/>
                          <w:rPr>
                            <w:rFonts w:ascii="宋体" w:hAnsi="宋体" w:cs="宋体" w:eastAsia="宋体" w:hint="default"/>
                            <w:sz w:val="18"/>
                            <w:szCs w:val="18"/>
                          </w:rPr>
                        </w:pPr>
                        <w:r>
                          <w:rPr>
                            <w:rFonts w:ascii="宋体"/>
                            <w:sz w:val="18"/>
                          </w:rPr>
                          <w:t>22,727,00</w:t>
                        </w:r>
                      </w:p>
                      <w:p>
                        <w:pPr>
                          <w:pStyle w:val="TableParagraph"/>
                          <w:spacing w:line="234" w:lineRule="exact"/>
                          <w:ind w:left="600" w:right="0"/>
                          <w:jc w:val="left"/>
                          <w:rPr>
                            <w:rFonts w:ascii="宋体" w:hAnsi="宋体" w:cs="宋体" w:eastAsia="宋体" w:hint="default"/>
                            <w:sz w:val="18"/>
                            <w:szCs w:val="18"/>
                          </w:rPr>
                        </w:pPr>
                        <w:r>
                          <w:rPr>
                            <w:rFonts w:ascii="宋体"/>
                            <w:sz w:val="18"/>
                          </w:rPr>
                          <w:t>0.00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10" w:right="0"/>
                          <w:jc w:val="left"/>
                          <w:rPr>
                            <w:rFonts w:ascii="宋体" w:hAnsi="宋体" w:cs="宋体" w:eastAsia="宋体" w:hint="default"/>
                            <w:sz w:val="18"/>
                            <w:szCs w:val="18"/>
                          </w:rPr>
                        </w:pPr>
                        <w:r>
                          <w:rPr>
                            <w:rFonts w:ascii="宋体"/>
                            <w:sz w:val="18"/>
                          </w:rPr>
                          <w:t>379,667,7</w:t>
                        </w:r>
                      </w:p>
                      <w:p>
                        <w:pPr>
                          <w:pStyle w:val="TableParagraph"/>
                          <w:spacing w:line="234" w:lineRule="exact"/>
                          <w:ind w:left="471" w:right="0"/>
                          <w:jc w:val="left"/>
                          <w:rPr>
                            <w:rFonts w:ascii="宋体" w:hAnsi="宋体" w:cs="宋体" w:eastAsia="宋体" w:hint="default"/>
                            <w:sz w:val="18"/>
                            <w:szCs w:val="18"/>
                          </w:rPr>
                        </w:pPr>
                        <w:r>
                          <w:rPr>
                            <w:rFonts w:ascii="宋体"/>
                            <w:sz w:val="18"/>
                          </w:rPr>
                          <w:t>89.07</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34" w:right="0"/>
                          <w:jc w:val="left"/>
                          <w:rPr>
                            <w:rFonts w:ascii="宋体" w:hAnsi="宋体" w:cs="宋体" w:eastAsia="宋体" w:hint="default"/>
                            <w:sz w:val="18"/>
                            <w:szCs w:val="18"/>
                          </w:rPr>
                        </w:pPr>
                        <w:r>
                          <w:rPr>
                            <w:rFonts w:ascii="宋体"/>
                            <w:sz w:val="18"/>
                          </w:rPr>
                          <w:t>38,503,92</w:t>
                        </w:r>
                      </w:p>
                      <w:p>
                        <w:pPr>
                          <w:pStyle w:val="TableParagraph"/>
                          <w:spacing w:line="234" w:lineRule="exact"/>
                          <w:ind w:left="585" w:right="0"/>
                          <w:jc w:val="left"/>
                          <w:rPr>
                            <w:rFonts w:ascii="宋体" w:hAnsi="宋体" w:cs="宋体" w:eastAsia="宋体" w:hint="default"/>
                            <w:sz w:val="18"/>
                            <w:szCs w:val="18"/>
                          </w:rPr>
                        </w:pPr>
                        <w:r>
                          <w:rPr>
                            <w:rFonts w:ascii="宋体"/>
                            <w:sz w:val="18"/>
                          </w:rPr>
                          <w:t>0.00</w:t>
                        </w:r>
                      </w:p>
                    </w:tc>
                    <w:tc>
                      <w:tcPr>
                        <w:tcW w:w="1023" w:type="dxa"/>
                        <w:tcBorders>
                          <w:top w:val="single" w:sz="6" w:space="0" w:color="000000"/>
                          <w:left w:val="single" w:sz="6" w:space="0" w:color="000000"/>
                          <w:bottom w:val="single" w:sz="6" w:space="0" w:color="000000"/>
                          <w:right w:val="single" w:sz="6" w:space="0" w:color="000000"/>
                        </w:tcBorders>
                      </w:tcPr>
                      <w:p>
                        <w:pPr/>
                      </w:p>
                    </w:tc>
                    <w:tc>
                      <w:tcPr>
                        <w:tcW w:w="293" w:type="dxa"/>
                        <w:tcBorders>
                          <w:top w:val="single" w:sz="6" w:space="0" w:color="000000"/>
                          <w:left w:val="single" w:sz="6" w:space="0" w:color="000000"/>
                          <w:bottom w:val="single" w:sz="6" w:space="0" w:color="000000"/>
                          <w:right w:val="nil" w:sz="6" w:space="0" w:color="auto"/>
                        </w:tcBorders>
                      </w:tcPr>
                      <w:p>
                        <w:pP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3" w:type="dxa"/>
                        <w:tcBorders>
                          <w:top w:val="single" w:sz="6" w:space="0" w:color="000000"/>
                          <w:left w:val="single" w:sz="6" w:space="0" w:color="000000"/>
                          <w:bottom w:val="single" w:sz="6" w:space="0" w:color="000000"/>
                          <w:right w:val="single" w:sz="6" w:space="0" w:color="000000"/>
                        </w:tcBorders>
                      </w:tcPr>
                      <w:p>
                        <w:pPr/>
                      </w:p>
                    </w:tc>
                    <w:tc>
                      <w:tcPr>
                        <w:tcW w:w="293" w:type="dxa"/>
                        <w:tcBorders>
                          <w:top w:val="single" w:sz="6" w:space="0" w:color="000000"/>
                          <w:left w:val="single" w:sz="6" w:space="0" w:color="000000"/>
                          <w:bottom w:val="single" w:sz="6" w:space="0" w:color="000000"/>
                          <w:right w:val="nil" w:sz="6" w:space="0" w:color="auto"/>
                        </w:tcBorders>
                      </w:tcPr>
                      <w:p>
                        <w:pP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98" w:right="0"/>
                          <w:jc w:val="left"/>
                          <w:rPr>
                            <w:rFonts w:ascii="宋体" w:hAnsi="宋体" w:cs="宋体" w:eastAsia="宋体" w:hint="default"/>
                            <w:sz w:val="18"/>
                            <w:szCs w:val="18"/>
                          </w:rPr>
                        </w:pPr>
                        <w:r>
                          <w:rPr>
                            <w:rFonts w:ascii="宋体" w:hAnsi="宋体" w:cs="宋体" w:eastAsia="宋体" w:hint="default"/>
                            <w:sz w:val="18"/>
                            <w:szCs w:val="18"/>
                          </w:rPr>
                          <w:t>（二）所有者投入和减少资</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4" w:lineRule="exact"/>
                          <w:ind w:left="148" w:right="0"/>
                          <w:jc w:val="left"/>
                          <w:rPr>
                            <w:rFonts w:ascii="宋体" w:hAnsi="宋体" w:cs="宋体" w:eastAsia="宋体" w:hint="default"/>
                            <w:sz w:val="18"/>
                            <w:szCs w:val="18"/>
                          </w:rPr>
                        </w:pPr>
                        <w:r>
                          <w:rPr>
                            <w:rFonts w:ascii="宋体"/>
                            <w:sz w:val="18"/>
                          </w:rPr>
                          <w:t>22,727,00</w:t>
                        </w:r>
                      </w:p>
                      <w:p>
                        <w:pPr>
                          <w:pStyle w:val="TableParagraph"/>
                          <w:spacing w:line="234" w:lineRule="exact"/>
                          <w:ind w:left="600" w:right="0"/>
                          <w:jc w:val="left"/>
                          <w:rPr>
                            <w:rFonts w:ascii="宋体" w:hAnsi="宋体" w:cs="宋体" w:eastAsia="宋体" w:hint="default"/>
                            <w:sz w:val="18"/>
                            <w:szCs w:val="18"/>
                          </w:rPr>
                        </w:pPr>
                        <w:r>
                          <w:rPr>
                            <w:rFonts w:ascii="宋体"/>
                            <w:sz w:val="18"/>
                          </w:rPr>
                          <w:t>0.00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10" w:right="0"/>
                          <w:jc w:val="left"/>
                          <w:rPr>
                            <w:rFonts w:ascii="宋体" w:hAnsi="宋体" w:cs="宋体" w:eastAsia="宋体" w:hint="default"/>
                            <w:sz w:val="18"/>
                            <w:szCs w:val="18"/>
                          </w:rPr>
                        </w:pPr>
                        <w:r>
                          <w:rPr>
                            <w:rFonts w:ascii="宋体"/>
                            <w:sz w:val="18"/>
                          </w:rPr>
                          <w:t>379,667,7</w:t>
                        </w:r>
                      </w:p>
                      <w:p>
                        <w:pPr>
                          <w:pStyle w:val="TableParagraph"/>
                          <w:spacing w:line="234" w:lineRule="exact"/>
                          <w:ind w:left="471" w:right="0"/>
                          <w:jc w:val="left"/>
                          <w:rPr>
                            <w:rFonts w:ascii="宋体" w:hAnsi="宋体" w:cs="宋体" w:eastAsia="宋体" w:hint="default"/>
                            <w:sz w:val="18"/>
                            <w:szCs w:val="18"/>
                          </w:rPr>
                        </w:pPr>
                        <w:r>
                          <w:rPr>
                            <w:rFonts w:ascii="宋体"/>
                            <w:sz w:val="18"/>
                          </w:rPr>
                          <w:t>89.07</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34" w:right="0"/>
                          <w:jc w:val="left"/>
                          <w:rPr>
                            <w:rFonts w:ascii="宋体" w:hAnsi="宋体" w:cs="宋体" w:eastAsia="宋体" w:hint="default"/>
                            <w:sz w:val="18"/>
                            <w:szCs w:val="18"/>
                          </w:rPr>
                        </w:pPr>
                        <w:r>
                          <w:rPr>
                            <w:rFonts w:ascii="宋体"/>
                            <w:sz w:val="18"/>
                          </w:rPr>
                          <w:t>38,503,92</w:t>
                        </w:r>
                      </w:p>
                      <w:p>
                        <w:pPr>
                          <w:pStyle w:val="TableParagraph"/>
                          <w:spacing w:line="234" w:lineRule="exact"/>
                          <w:ind w:left="585" w:right="0"/>
                          <w:jc w:val="left"/>
                          <w:rPr>
                            <w:rFonts w:ascii="宋体" w:hAnsi="宋体" w:cs="宋体" w:eastAsia="宋体" w:hint="default"/>
                            <w:sz w:val="18"/>
                            <w:szCs w:val="18"/>
                          </w:rPr>
                        </w:pPr>
                        <w:r>
                          <w:rPr>
                            <w:rFonts w:ascii="宋体"/>
                            <w:sz w:val="18"/>
                          </w:rPr>
                          <w:t>0.00</w:t>
                        </w:r>
                      </w:p>
                    </w:tc>
                    <w:tc>
                      <w:tcPr>
                        <w:tcW w:w="1023" w:type="dxa"/>
                        <w:tcBorders>
                          <w:top w:val="single" w:sz="6" w:space="0" w:color="000000"/>
                          <w:left w:val="single" w:sz="6" w:space="0" w:color="000000"/>
                          <w:bottom w:val="single" w:sz="6" w:space="0" w:color="000000"/>
                          <w:right w:val="single" w:sz="6" w:space="0" w:color="000000"/>
                        </w:tcBorders>
                      </w:tcPr>
                      <w:p>
                        <w:pPr/>
                      </w:p>
                    </w:tc>
                    <w:tc>
                      <w:tcPr>
                        <w:tcW w:w="293" w:type="dxa"/>
                        <w:tcBorders>
                          <w:top w:val="single" w:sz="6" w:space="0" w:color="000000"/>
                          <w:left w:val="single" w:sz="6" w:space="0" w:color="000000"/>
                          <w:bottom w:val="single" w:sz="6" w:space="0" w:color="000000"/>
                          <w:right w:val="nil" w:sz="6" w:space="0" w:color="auto"/>
                        </w:tcBorders>
                      </w:tcPr>
                      <w:p>
                        <w:pP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4" w:lineRule="exact"/>
                          <w:ind w:left="148" w:right="0"/>
                          <w:jc w:val="left"/>
                          <w:rPr>
                            <w:rFonts w:ascii="宋体" w:hAnsi="宋体" w:cs="宋体" w:eastAsia="宋体" w:hint="default"/>
                            <w:sz w:val="18"/>
                            <w:szCs w:val="18"/>
                          </w:rPr>
                        </w:pPr>
                        <w:r>
                          <w:rPr>
                            <w:rFonts w:ascii="宋体"/>
                            <w:sz w:val="18"/>
                          </w:rPr>
                          <w:t>22,727,00</w:t>
                        </w:r>
                      </w:p>
                      <w:p>
                        <w:pPr>
                          <w:pStyle w:val="TableParagraph"/>
                          <w:spacing w:line="234" w:lineRule="exact"/>
                          <w:ind w:left="600" w:right="0"/>
                          <w:jc w:val="left"/>
                          <w:rPr>
                            <w:rFonts w:ascii="宋体" w:hAnsi="宋体" w:cs="宋体" w:eastAsia="宋体" w:hint="default"/>
                            <w:sz w:val="18"/>
                            <w:szCs w:val="18"/>
                          </w:rPr>
                        </w:pPr>
                        <w:r>
                          <w:rPr>
                            <w:rFonts w:ascii="宋体"/>
                            <w:sz w:val="18"/>
                          </w:rPr>
                          <w:t>0.00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10" w:right="0"/>
                          <w:jc w:val="left"/>
                          <w:rPr>
                            <w:rFonts w:ascii="宋体" w:hAnsi="宋体" w:cs="宋体" w:eastAsia="宋体" w:hint="default"/>
                            <w:sz w:val="18"/>
                            <w:szCs w:val="18"/>
                          </w:rPr>
                        </w:pPr>
                        <w:r>
                          <w:rPr>
                            <w:rFonts w:ascii="宋体"/>
                            <w:sz w:val="18"/>
                          </w:rPr>
                          <w:t>377,777,3</w:t>
                        </w:r>
                      </w:p>
                      <w:p>
                        <w:pPr>
                          <w:pStyle w:val="TableParagraph"/>
                          <w:spacing w:line="234" w:lineRule="exact"/>
                          <w:ind w:left="471" w:right="0"/>
                          <w:jc w:val="left"/>
                          <w:rPr>
                            <w:rFonts w:ascii="宋体" w:hAnsi="宋体" w:cs="宋体" w:eastAsia="宋体" w:hint="default"/>
                            <w:sz w:val="18"/>
                            <w:szCs w:val="18"/>
                          </w:rPr>
                        </w:pPr>
                        <w:r>
                          <w:rPr>
                            <w:rFonts w:ascii="宋体"/>
                            <w:sz w:val="18"/>
                          </w:rPr>
                          <w:t>20.94</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34" w:right="0"/>
                          <w:jc w:val="left"/>
                          <w:rPr>
                            <w:rFonts w:ascii="宋体" w:hAnsi="宋体" w:cs="宋体" w:eastAsia="宋体" w:hint="default"/>
                            <w:sz w:val="18"/>
                            <w:szCs w:val="18"/>
                          </w:rPr>
                        </w:pPr>
                        <w:r>
                          <w:rPr>
                            <w:rFonts w:ascii="宋体"/>
                            <w:sz w:val="18"/>
                          </w:rPr>
                          <w:t>38,503,92</w:t>
                        </w:r>
                      </w:p>
                      <w:p>
                        <w:pPr>
                          <w:pStyle w:val="TableParagraph"/>
                          <w:spacing w:line="234" w:lineRule="exact"/>
                          <w:ind w:left="585" w:right="0"/>
                          <w:jc w:val="left"/>
                          <w:rPr>
                            <w:rFonts w:ascii="宋体" w:hAnsi="宋体" w:cs="宋体" w:eastAsia="宋体" w:hint="default"/>
                            <w:sz w:val="18"/>
                            <w:szCs w:val="18"/>
                          </w:rPr>
                        </w:pPr>
                        <w:r>
                          <w:rPr>
                            <w:rFonts w:ascii="宋体"/>
                            <w:sz w:val="18"/>
                          </w:rPr>
                          <w:t>0.00</w:t>
                        </w:r>
                      </w:p>
                    </w:tc>
                    <w:tc>
                      <w:tcPr>
                        <w:tcW w:w="1023" w:type="dxa"/>
                        <w:tcBorders>
                          <w:top w:val="single" w:sz="6" w:space="0" w:color="000000"/>
                          <w:left w:val="single" w:sz="6" w:space="0" w:color="000000"/>
                          <w:bottom w:val="single" w:sz="6" w:space="0" w:color="000000"/>
                          <w:right w:val="single" w:sz="6" w:space="0" w:color="000000"/>
                        </w:tcBorders>
                      </w:tcPr>
                      <w:p>
                        <w:pPr/>
                      </w:p>
                    </w:tc>
                    <w:tc>
                      <w:tcPr>
                        <w:tcW w:w="293" w:type="dxa"/>
                        <w:tcBorders>
                          <w:top w:val="single" w:sz="6" w:space="0" w:color="000000"/>
                          <w:left w:val="single" w:sz="6" w:space="0" w:color="000000"/>
                          <w:bottom w:val="single" w:sz="6" w:space="0" w:color="000000"/>
                          <w:right w:val="nil" w:sz="6" w:space="0" w:color="auto"/>
                        </w:tcBorders>
                      </w:tcPr>
                      <w:p>
                        <w:pPr/>
                      </w:p>
                    </w:tc>
                  </w:tr>
                  <w:tr>
                    <w:trPr>
                      <w:trHeight w:val="480"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98"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．其他权益工具持有者投入</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3" w:type="dxa"/>
                        <w:tcBorders>
                          <w:top w:val="single" w:sz="6" w:space="0" w:color="000000"/>
                          <w:left w:val="single" w:sz="6" w:space="0" w:color="000000"/>
                          <w:bottom w:val="single" w:sz="6" w:space="0" w:color="000000"/>
                          <w:right w:val="single" w:sz="6" w:space="0" w:color="000000"/>
                        </w:tcBorders>
                      </w:tcPr>
                      <w:p>
                        <w:pPr/>
                      </w:p>
                    </w:tc>
                    <w:tc>
                      <w:tcPr>
                        <w:tcW w:w="293" w:type="dxa"/>
                        <w:tcBorders>
                          <w:top w:val="single" w:sz="6" w:space="0" w:color="000000"/>
                          <w:left w:val="single" w:sz="6" w:space="0" w:color="000000"/>
                          <w:bottom w:val="single" w:sz="6" w:space="0" w:color="000000"/>
                          <w:right w:val="nil" w:sz="6" w:space="0" w:color="auto"/>
                        </w:tcBorders>
                      </w:tcPr>
                      <w:p>
                        <w:pP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98"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．股份支付计入所有者权益</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的金额</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10" w:right="0"/>
                          <w:jc w:val="left"/>
                          <w:rPr>
                            <w:rFonts w:ascii="宋体" w:hAnsi="宋体" w:cs="宋体" w:eastAsia="宋体" w:hint="default"/>
                            <w:sz w:val="18"/>
                            <w:szCs w:val="18"/>
                          </w:rPr>
                        </w:pPr>
                        <w:r>
                          <w:rPr>
                            <w:rFonts w:ascii="宋体"/>
                            <w:sz w:val="18"/>
                          </w:rPr>
                          <w:t>1,890,468</w:t>
                        </w:r>
                      </w:p>
                      <w:p>
                        <w:pPr>
                          <w:pStyle w:val="TableParagraph"/>
                          <w:spacing w:line="234" w:lineRule="exact"/>
                          <w:ind w:left="651" w:right="0"/>
                          <w:jc w:val="left"/>
                          <w:rPr>
                            <w:rFonts w:ascii="宋体" w:hAnsi="宋体" w:cs="宋体" w:eastAsia="宋体" w:hint="default"/>
                            <w:sz w:val="18"/>
                            <w:szCs w:val="18"/>
                          </w:rPr>
                        </w:pPr>
                        <w:r>
                          <w:rPr>
                            <w:rFonts w:ascii="宋体"/>
                            <w:sz w:val="18"/>
                          </w:rPr>
                          <w:t>.13</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3" w:type="dxa"/>
                        <w:tcBorders>
                          <w:top w:val="single" w:sz="6" w:space="0" w:color="000000"/>
                          <w:left w:val="single" w:sz="6" w:space="0" w:color="000000"/>
                          <w:bottom w:val="single" w:sz="6" w:space="0" w:color="000000"/>
                          <w:right w:val="single" w:sz="6" w:space="0" w:color="000000"/>
                        </w:tcBorders>
                      </w:tcPr>
                      <w:p>
                        <w:pPr/>
                      </w:p>
                    </w:tc>
                    <w:tc>
                      <w:tcPr>
                        <w:tcW w:w="293" w:type="dxa"/>
                        <w:tcBorders>
                          <w:top w:val="single" w:sz="6" w:space="0" w:color="000000"/>
                          <w:left w:val="single" w:sz="6" w:space="0" w:color="000000"/>
                          <w:bottom w:val="single" w:sz="6" w:space="0" w:color="000000"/>
                          <w:right w:val="nil" w:sz="6" w:space="0" w:color="auto"/>
                        </w:tcBorders>
                      </w:tcPr>
                      <w:p>
                        <w:pPr/>
                      </w:p>
                    </w:tc>
                  </w:tr>
                  <w:tr>
                    <w:trPr>
                      <w:trHeight w:val="250"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3" w:type="dxa"/>
                        <w:tcBorders>
                          <w:top w:val="single" w:sz="6" w:space="0" w:color="000000"/>
                          <w:left w:val="single" w:sz="6" w:space="0" w:color="000000"/>
                          <w:bottom w:val="single" w:sz="6" w:space="0" w:color="000000"/>
                          <w:right w:val="single" w:sz="6" w:space="0" w:color="000000"/>
                        </w:tcBorders>
                      </w:tcPr>
                      <w:p>
                        <w:pPr/>
                      </w:p>
                    </w:tc>
                    <w:tc>
                      <w:tcPr>
                        <w:tcW w:w="293" w:type="dxa"/>
                        <w:tcBorders>
                          <w:top w:val="single" w:sz="6" w:space="0" w:color="000000"/>
                          <w:left w:val="single" w:sz="6" w:space="0" w:color="000000"/>
                          <w:bottom w:val="single" w:sz="6" w:space="0" w:color="000000"/>
                          <w:right w:val="nil" w:sz="6" w:space="0" w:color="auto"/>
                        </w:tcBorders>
                      </w:tcPr>
                      <w:p>
                        <w:pPr/>
                      </w:p>
                    </w:tc>
                  </w:tr>
                  <w:tr>
                    <w:trPr>
                      <w:trHeight w:val="481"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3" w:type="dxa"/>
                        <w:tcBorders>
                          <w:top w:val="single" w:sz="6" w:space="0" w:color="000000"/>
                          <w:left w:val="single" w:sz="6" w:space="0" w:color="000000"/>
                          <w:bottom w:val="single" w:sz="6" w:space="0" w:color="000000"/>
                          <w:right w:val="single" w:sz="6" w:space="0" w:color="000000"/>
                        </w:tcBorders>
                      </w:tcPr>
                      <w:p>
                        <w:pPr/>
                      </w:p>
                    </w:tc>
                    <w:tc>
                      <w:tcPr>
                        <w:tcW w:w="293" w:type="dxa"/>
                        <w:tcBorders>
                          <w:top w:val="single" w:sz="6" w:space="0" w:color="000000"/>
                          <w:left w:val="single" w:sz="6" w:space="0" w:color="000000"/>
                          <w:bottom w:val="single" w:sz="6" w:space="0" w:color="000000"/>
                          <w:right w:val="nil" w:sz="6" w:space="0" w:color="auto"/>
                        </w:tcBorders>
                      </w:tcPr>
                      <w:p>
                        <w:pP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9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3" w:type="dxa"/>
                        <w:tcBorders>
                          <w:top w:val="single" w:sz="6" w:space="0" w:color="000000"/>
                          <w:left w:val="single" w:sz="6" w:space="0" w:color="000000"/>
                          <w:bottom w:val="single" w:sz="6" w:space="0" w:color="000000"/>
                          <w:right w:val="single" w:sz="6" w:space="0" w:color="000000"/>
                        </w:tcBorders>
                      </w:tcPr>
                      <w:p>
                        <w:pPr/>
                      </w:p>
                    </w:tc>
                    <w:tc>
                      <w:tcPr>
                        <w:tcW w:w="293" w:type="dxa"/>
                        <w:tcBorders>
                          <w:top w:val="single" w:sz="6" w:space="0" w:color="000000"/>
                          <w:left w:val="single" w:sz="6" w:space="0" w:color="000000"/>
                          <w:bottom w:val="single" w:sz="6" w:space="0" w:color="000000"/>
                          <w:right w:val="nil" w:sz="6" w:space="0" w:color="auto"/>
                        </w:tcBorders>
                      </w:tcPr>
                      <w:p>
                        <w:pP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．对所有者（或股东）的分</w:t>
                        </w: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配</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3" w:type="dxa"/>
                        <w:tcBorders>
                          <w:top w:val="single" w:sz="6" w:space="0" w:color="000000"/>
                          <w:left w:val="single" w:sz="6" w:space="0" w:color="000000"/>
                          <w:bottom w:val="single" w:sz="6" w:space="0" w:color="000000"/>
                          <w:right w:val="single" w:sz="6" w:space="0" w:color="000000"/>
                        </w:tcBorders>
                      </w:tcPr>
                      <w:p>
                        <w:pPr/>
                      </w:p>
                    </w:tc>
                    <w:tc>
                      <w:tcPr>
                        <w:tcW w:w="293" w:type="dxa"/>
                        <w:tcBorders>
                          <w:top w:val="single" w:sz="6" w:space="0" w:color="000000"/>
                          <w:left w:val="single" w:sz="6" w:space="0" w:color="000000"/>
                          <w:bottom w:val="single" w:sz="6" w:space="0" w:color="000000"/>
                          <w:right w:val="nil" w:sz="6" w:space="0" w:color="auto"/>
                        </w:tcBorders>
                      </w:tcPr>
                      <w:p>
                        <w:pPr/>
                      </w:p>
                    </w:tc>
                  </w:tr>
                  <w:tr>
                    <w:trPr>
                      <w:trHeight w:val="247"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3" w:type="dxa"/>
                        <w:tcBorders>
                          <w:top w:val="single" w:sz="6" w:space="0" w:color="000000"/>
                          <w:left w:val="single" w:sz="6" w:space="0" w:color="000000"/>
                          <w:bottom w:val="single" w:sz="6" w:space="0" w:color="000000"/>
                          <w:right w:val="single" w:sz="6" w:space="0" w:color="000000"/>
                        </w:tcBorders>
                      </w:tcPr>
                      <w:p>
                        <w:pPr/>
                      </w:p>
                    </w:tc>
                    <w:tc>
                      <w:tcPr>
                        <w:tcW w:w="293" w:type="dxa"/>
                        <w:tcBorders>
                          <w:top w:val="single" w:sz="6" w:space="0" w:color="000000"/>
                          <w:left w:val="single" w:sz="6" w:space="0" w:color="000000"/>
                          <w:bottom w:val="single" w:sz="6" w:space="0" w:color="000000"/>
                          <w:right w:val="nil" w:sz="6" w:space="0" w:color="auto"/>
                        </w:tcBorders>
                      </w:tcPr>
                      <w:p>
                        <w:pPr/>
                      </w:p>
                    </w:tc>
                  </w:tr>
                  <w:tr>
                    <w:trPr>
                      <w:trHeight w:val="250"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98"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3" w:type="dxa"/>
                        <w:tcBorders>
                          <w:top w:val="single" w:sz="6" w:space="0" w:color="000000"/>
                          <w:left w:val="single" w:sz="6" w:space="0" w:color="000000"/>
                          <w:bottom w:val="single" w:sz="6" w:space="0" w:color="000000"/>
                          <w:right w:val="single" w:sz="6" w:space="0" w:color="000000"/>
                        </w:tcBorders>
                      </w:tcPr>
                      <w:p>
                        <w:pPr/>
                      </w:p>
                    </w:tc>
                    <w:tc>
                      <w:tcPr>
                        <w:tcW w:w="293" w:type="dxa"/>
                        <w:tcBorders>
                          <w:top w:val="single" w:sz="6" w:space="0" w:color="000000"/>
                          <w:left w:val="single" w:sz="6" w:space="0" w:color="000000"/>
                          <w:bottom w:val="single" w:sz="6" w:space="0" w:color="000000"/>
                          <w:right w:val="nil" w:sz="6" w:space="0" w:color="auto"/>
                        </w:tcBorders>
                      </w:tcPr>
                      <w:p>
                        <w:pP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．资本公积转增资本（或股</w:t>
                        </w: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3" w:type="dxa"/>
                        <w:tcBorders>
                          <w:top w:val="single" w:sz="6" w:space="0" w:color="000000"/>
                          <w:left w:val="single" w:sz="6" w:space="0" w:color="000000"/>
                          <w:bottom w:val="single" w:sz="6" w:space="0" w:color="000000"/>
                          <w:right w:val="single" w:sz="6" w:space="0" w:color="000000"/>
                        </w:tcBorders>
                      </w:tcPr>
                      <w:p>
                        <w:pPr/>
                      </w:p>
                    </w:tc>
                    <w:tc>
                      <w:tcPr>
                        <w:tcW w:w="293" w:type="dxa"/>
                        <w:tcBorders>
                          <w:top w:val="single" w:sz="6" w:space="0" w:color="000000"/>
                          <w:left w:val="single" w:sz="6" w:space="0" w:color="000000"/>
                          <w:bottom w:val="single" w:sz="6" w:space="0" w:color="000000"/>
                          <w:right w:val="nil" w:sz="6" w:space="0" w:color="auto"/>
                        </w:tcBorders>
                      </w:tcPr>
                      <w:p>
                        <w:pP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98"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．盈余公积转增资本（或股</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3" w:type="dxa"/>
                        <w:tcBorders>
                          <w:top w:val="single" w:sz="6" w:space="0" w:color="000000"/>
                          <w:left w:val="single" w:sz="6" w:space="0" w:color="000000"/>
                          <w:bottom w:val="single" w:sz="6" w:space="0" w:color="000000"/>
                          <w:right w:val="single" w:sz="6" w:space="0" w:color="000000"/>
                        </w:tcBorders>
                      </w:tcPr>
                      <w:p>
                        <w:pPr/>
                      </w:p>
                    </w:tc>
                    <w:tc>
                      <w:tcPr>
                        <w:tcW w:w="293" w:type="dxa"/>
                        <w:tcBorders>
                          <w:top w:val="single" w:sz="6" w:space="0" w:color="000000"/>
                          <w:left w:val="single" w:sz="6" w:space="0" w:color="000000"/>
                          <w:bottom w:val="single" w:sz="6" w:space="0" w:color="000000"/>
                          <w:right w:val="nil" w:sz="6" w:space="0" w:color="auto"/>
                        </w:tcBorders>
                      </w:tcPr>
                      <w:p>
                        <w:pPr/>
                      </w:p>
                    </w:tc>
                  </w:tr>
                  <w:tr>
                    <w:trPr>
                      <w:trHeight w:val="247"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3" w:type="dxa"/>
                        <w:tcBorders>
                          <w:top w:val="single" w:sz="6" w:space="0" w:color="000000"/>
                          <w:left w:val="single" w:sz="6" w:space="0" w:color="000000"/>
                          <w:bottom w:val="single" w:sz="6" w:space="0" w:color="000000"/>
                          <w:right w:val="single" w:sz="6" w:space="0" w:color="000000"/>
                        </w:tcBorders>
                      </w:tcPr>
                      <w:p>
                        <w:pPr/>
                      </w:p>
                    </w:tc>
                    <w:tc>
                      <w:tcPr>
                        <w:tcW w:w="293" w:type="dxa"/>
                        <w:tcBorders>
                          <w:top w:val="single" w:sz="6" w:space="0" w:color="000000"/>
                          <w:left w:val="single" w:sz="6" w:space="0" w:color="000000"/>
                          <w:bottom w:val="single" w:sz="6" w:space="0" w:color="000000"/>
                          <w:right w:val="nil" w:sz="6" w:space="0" w:color="auto"/>
                        </w:tcBorders>
                      </w:tcPr>
                      <w:p>
                        <w:pPr/>
                      </w:p>
                    </w:tc>
                  </w:tr>
                  <w:tr>
                    <w:trPr>
                      <w:trHeight w:val="250"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3" w:type="dxa"/>
                        <w:tcBorders>
                          <w:top w:val="single" w:sz="6" w:space="0" w:color="000000"/>
                          <w:left w:val="single" w:sz="6" w:space="0" w:color="000000"/>
                          <w:bottom w:val="single" w:sz="6" w:space="0" w:color="000000"/>
                          <w:right w:val="single" w:sz="6" w:space="0" w:color="000000"/>
                        </w:tcBorders>
                      </w:tcPr>
                      <w:p>
                        <w:pPr/>
                      </w:p>
                    </w:tc>
                    <w:tc>
                      <w:tcPr>
                        <w:tcW w:w="293" w:type="dxa"/>
                        <w:tcBorders>
                          <w:top w:val="single" w:sz="6" w:space="0" w:color="000000"/>
                          <w:left w:val="single" w:sz="6" w:space="0" w:color="000000"/>
                          <w:bottom w:val="single" w:sz="6" w:space="0" w:color="000000"/>
                          <w:right w:val="nil" w:sz="6" w:space="0" w:color="auto"/>
                        </w:tcBorders>
                      </w:tcPr>
                      <w:p>
                        <w:pPr/>
                      </w:p>
                    </w:tc>
                  </w:tr>
                  <w:tr>
                    <w:trPr>
                      <w:trHeight w:val="248"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89"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3" w:type="dxa"/>
                        <w:tcBorders>
                          <w:top w:val="single" w:sz="6" w:space="0" w:color="000000"/>
                          <w:left w:val="single" w:sz="6" w:space="0" w:color="000000"/>
                          <w:bottom w:val="single" w:sz="6" w:space="0" w:color="000000"/>
                          <w:right w:val="single" w:sz="6" w:space="0" w:color="000000"/>
                        </w:tcBorders>
                      </w:tcPr>
                      <w:p>
                        <w:pPr/>
                      </w:p>
                    </w:tc>
                    <w:tc>
                      <w:tcPr>
                        <w:tcW w:w="293" w:type="dxa"/>
                        <w:tcBorders>
                          <w:top w:val="single" w:sz="6" w:space="0" w:color="000000"/>
                          <w:left w:val="single" w:sz="6" w:space="0" w:color="000000"/>
                          <w:bottom w:val="single" w:sz="6" w:space="0" w:color="000000"/>
                          <w:right w:val="nil" w:sz="6" w:space="0" w:color="auto"/>
                        </w:tcBorders>
                      </w:tcPr>
                      <w:p>
                        <w:pPr/>
                      </w:p>
                    </w:tc>
                  </w:tr>
                  <w:tr>
                    <w:trPr>
                      <w:trHeight w:val="250"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3" w:type="dxa"/>
                        <w:tcBorders>
                          <w:top w:val="single" w:sz="6" w:space="0" w:color="000000"/>
                          <w:left w:val="single" w:sz="6" w:space="0" w:color="000000"/>
                          <w:bottom w:val="single" w:sz="6" w:space="0" w:color="000000"/>
                          <w:right w:val="single" w:sz="6" w:space="0" w:color="000000"/>
                        </w:tcBorders>
                      </w:tcPr>
                      <w:p>
                        <w:pPr/>
                      </w:p>
                    </w:tc>
                    <w:tc>
                      <w:tcPr>
                        <w:tcW w:w="293" w:type="dxa"/>
                        <w:tcBorders>
                          <w:top w:val="single" w:sz="6" w:space="0" w:color="000000"/>
                          <w:left w:val="single" w:sz="6" w:space="0" w:color="000000"/>
                          <w:bottom w:val="single" w:sz="6" w:space="0" w:color="000000"/>
                          <w:right w:val="nil" w:sz="6" w:space="0" w:color="auto"/>
                        </w:tcBorders>
                      </w:tcPr>
                      <w:p>
                        <w:pPr/>
                      </w:p>
                    </w:tc>
                  </w:tr>
                  <w:tr>
                    <w:trPr>
                      <w:trHeight w:val="247"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3" w:type="dxa"/>
                        <w:tcBorders>
                          <w:top w:val="single" w:sz="6" w:space="0" w:color="000000"/>
                          <w:left w:val="single" w:sz="6" w:space="0" w:color="000000"/>
                          <w:bottom w:val="single" w:sz="6" w:space="0" w:color="000000"/>
                          <w:right w:val="single" w:sz="6" w:space="0" w:color="000000"/>
                        </w:tcBorders>
                      </w:tcPr>
                      <w:p>
                        <w:pPr/>
                      </w:p>
                    </w:tc>
                    <w:tc>
                      <w:tcPr>
                        <w:tcW w:w="293" w:type="dxa"/>
                        <w:tcBorders>
                          <w:top w:val="single" w:sz="6" w:space="0" w:color="000000"/>
                          <w:left w:val="single" w:sz="6" w:space="0" w:color="000000"/>
                          <w:bottom w:val="single" w:sz="6" w:space="0" w:color="000000"/>
                          <w:right w:val="nil" w:sz="6" w:space="0" w:color="auto"/>
                        </w:tcBorders>
                      </w:tcPr>
                      <w:p>
                        <w:pPr/>
                      </w:p>
                    </w:tc>
                  </w:tr>
                  <w:tr>
                    <w:trPr>
                      <w:trHeight w:val="250"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3" w:type="dxa"/>
                        <w:tcBorders>
                          <w:top w:val="single" w:sz="6" w:space="0" w:color="000000"/>
                          <w:left w:val="single" w:sz="6" w:space="0" w:color="000000"/>
                          <w:bottom w:val="single" w:sz="6" w:space="0" w:color="000000"/>
                          <w:right w:val="single" w:sz="6" w:space="0" w:color="000000"/>
                        </w:tcBorders>
                      </w:tcPr>
                      <w:p>
                        <w:pPr/>
                      </w:p>
                    </w:tc>
                    <w:tc>
                      <w:tcPr>
                        <w:tcW w:w="293" w:type="dxa"/>
                        <w:tcBorders>
                          <w:top w:val="single" w:sz="6" w:space="0" w:color="000000"/>
                          <w:left w:val="single" w:sz="6" w:space="0" w:color="000000"/>
                          <w:bottom w:val="single" w:sz="6" w:space="0" w:color="000000"/>
                          <w:right w:val="nil" w:sz="6" w:space="0" w:color="auto"/>
                        </w:tcBorders>
                      </w:tcPr>
                      <w:p>
                        <w:pP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4" w:lineRule="exact"/>
                          <w:ind w:left="148" w:right="0"/>
                          <w:jc w:val="left"/>
                          <w:rPr>
                            <w:rFonts w:ascii="宋体" w:hAnsi="宋体" w:cs="宋体" w:eastAsia="宋体" w:hint="default"/>
                            <w:sz w:val="18"/>
                            <w:szCs w:val="18"/>
                          </w:rPr>
                        </w:pPr>
                        <w:r>
                          <w:rPr>
                            <w:rFonts w:ascii="宋体"/>
                            <w:sz w:val="18"/>
                          </w:rPr>
                          <w:t>85,867,00</w:t>
                        </w:r>
                      </w:p>
                      <w:p>
                        <w:pPr>
                          <w:pStyle w:val="TableParagraph"/>
                          <w:spacing w:line="234" w:lineRule="exact"/>
                          <w:ind w:left="600" w:right="0"/>
                          <w:jc w:val="left"/>
                          <w:rPr>
                            <w:rFonts w:ascii="宋体" w:hAnsi="宋体" w:cs="宋体" w:eastAsia="宋体" w:hint="default"/>
                            <w:sz w:val="18"/>
                            <w:szCs w:val="18"/>
                          </w:rPr>
                        </w:pPr>
                        <w:r>
                          <w:rPr>
                            <w:rFonts w:ascii="宋体"/>
                            <w:sz w:val="18"/>
                          </w:rPr>
                          <w:t>0.00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10" w:right="0"/>
                          <w:jc w:val="left"/>
                          <w:rPr>
                            <w:rFonts w:ascii="宋体" w:hAnsi="宋体" w:cs="宋体" w:eastAsia="宋体" w:hint="default"/>
                            <w:sz w:val="18"/>
                            <w:szCs w:val="18"/>
                          </w:rPr>
                        </w:pPr>
                        <w:r>
                          <w:rPr>
                            <w:rFonts w:ascii="宋体"/>
                            <w:sz w:val="18"/>
                          </w:rPr>
                          <w:t>466,667,7</w:t>
                        </w:r>
                      </w:p>
                      <w:p>
                        <w:pPr>
                          <w:pStyle w:val="TableParagraph"/>
                          <w:spacing w:line="234" w:lineRule="exact"/>
                          <w:ind w:left="471" w:right="0"/>
                          <w:jc w:val="left"/>
                          <w:rPr>
                            <w:rFonts w:ascii="宋体" w:hAnsi="宋体" w:cs="宋体" w:eastAsia="宋体" w:hint="default"/>
                            <w:sz w:val="18"/>
                            <w:szCs w:val="18"/>
                          </w:rPr>
                        </w:pPr>
                        <w:r>
                          <w:rPr>
                            <w:rFonts w:ascii="宋体"/>
                            <w:sz w:val="18"/>
                          </w:rPr>
                          <w:t>79.10</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34" w:right="0"/>
                          <w:jc w:val="left"/>
                          <w:rPr>
                            <w:rFonts w:ascii="宋体" w:hAnsi="宋体" w:cs="宋体" w:eastAsia="宋体" w:hint="default"/>
                            <w:sz w:val="18"/>
                            <w:szCs w:val="18"/>
                          </w:rPr>
                        </w:pPr>
                        <w:r>
                          <w:rPr>
                            <w:rFonts w:ascii="宋体"/>
                            <w:sz w:val="18"/>
                          </w:rPr>
                          <w:t>38,503,92</w:t>
                        </w:r>
                      </w:p>
                      <w:p>
                        <w:pPr>
                          <w:pStyle w:val="TableParagraph"/>
                          <w:spacing w:line="234" w:lineRule="exact"/>
                          <w:ind w:left="585" w:right="0"/>
                          <w:jc w:val="left"/>
                          <w:rPr>
                            <w:rFonts w:ascii="宋体" w:hAnsi="宋体" w:cs="宋体" w:eastAsia="宋体" w:hint="default"/>
                            <w:sz w:val="18"/>
                            <w:szCs w:val="18"/>
                          </w:rPr>
                        </w:pPr>
                        <w:r>
                          <w:rPr>
                            <w:rFonts w:ascii="宋体"/>
                            <w:sz w:val="18"/>
                          </w:rPr>
                          <w:t>0.00</w:t>
                        </w:r>
                      </w:p>
                    </w:tc>
                    <w:tc>
                      <w:tcPr>
                        <w:tcW w:w="1023" w:type="dxa"/>
                        <w:tcBorders>
                          <w:top w:val="single" w:sz="6" w:space="0" w:color="000000"/>
                          <w:left w:val="single" w:sz="6" w:space="0" w:color="000000"/>
                          <w:bottom w:val="single" w:sz="6" w:space="0" w:color="000000"/>
                          <w:right w:val="single" w:sz="6" w:space="0" w:color="000000"/>
                        </w:tcBorders>
                      </w:tcPr>
                      <w:p>
                        <w:pPr/>
                      </w:p>
                    </w:tc>
                    <w:tc>
                      <w:tcPr>
                        <w:tcW w:w="293" w:type="dxa"/>
                        <w:tcBorders>
                          <w:top w:val="single" w:sz="6" w:space="0" w:color="000000"/>
                          <w:left w:val="single" w:sz="6" w:space="0" w:color="000000"/>
                          <w:bottom w:val="single" w:sz="6" w:space="0" w:color="000000"/>
                          <w:right w:val="nil" w:sz="6" w:space="0" w:color="auto"/>
                        </w:tcBorders>
                      </w:tcPr>
                      <w:p>
                        <w:pPr/>
                      </w:p>
                    </w:tc>
                  </w:tr>
                </w:tbl>
                <w:p>
                  <w:pPr/>
                </w:p>
              </w:txbxContent>
            </v:textbox>
            <w10:wrap type="none"/>
          </v:shape>
        </w:pict>
      </w:r>
      <w:r>
        <w:rPr/>
        <w:pict>
          <v:shape style="position:absolute;margin-left:89.543999pt;margin-top:505.269989pt;width:506.5pt;height:263.45pt;mso-position-horizontal-relative:page;mso-position-vertical-relative:page;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96"/>
                    <w:gridCol w:w="1078"/>
                    <w:gridCol w:w="1049"/>
                    <w:gridCol w:w="1078"/>
                    <w:gridCol w:w="1092"/>
                    <w:gridCol w:w="1037"/>
                    <w:gridCol w:w="1063"/>
                    <w:gridCol w:w="1023"/>
                    <w:gridCol w:w="293"/>
                  </w:tblGrid>
                  <w:tr>
                    <w:trPr>
                      <w:trHeight w:val="247" w:hRule="exact"/>
                    </w:trPr>
                    <w:tc>
                      <w:tcPr>
                        <w:tcW w:w="2396" w:type="dxa"/>
                        <w:vMerge w:val="restart"/>
                        <w:tcBorders>
                          <w:top w:val="single" w:sz="6" w:space="0" w:color="000000"/>
                          <w:left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7713" w:type="dxa"/>
                        <w:gridSpan w:val="8"/>
                        <w:tcBorders>
                          <w:top w:val="single" w:sz="6" w:space="0" w:color="000000"/>
                          <w:left w:val="single" w:sz="6" w:space="0" w:color="000000"/>
                          <w:bottom w:val="single" w:sz="6" w:space="0" w:color="000000"/>
                          <w:right w:val="nil" w:sz="6" w:space="0" w:color="auto"/>
                        </w:tcBorders>
                      </w:tcPr>
                      <w:p>
                        <w:pPr>
                          <w:pStyle w:val="TableParagraph"/>
                          <w:spacing w:line="205" w:lineRule="exact"/>
                          <w:ind w:right="1776"/>
                          <w:jc w:val="right"/>
                          <w:rPr>
                            <w:rFonts w:ascii="宋体" w:hAnsi="宋体" w:cs="宋体" w:eastAsia="宋体" w:hint="default"/>
                            <w:sz w:val="18"/>
                            <w:szCs w:val="18"/>
                          </w:rPr>
                        </w:pPr>
                        <w:r>
                          <w:rPr>
                            <w:rFonts w:ascii="宋体" w:hAnsi="宋体" w:cs="宋体" w:eastAsia="宋体" w:hint="default"/>
                            <w:sz w:val="18"/>
                            <w:szCs w:val="18"/>
                          </w:rPr>
                          <w:t>上期</w:t>
                        </w:r>
                      </w:p>
                    </w:tc>
                  </w:tr>
                  <w:tr>
                    <w:trPr>
                      <w:trHeight w:val="329" w:hRule="exact"/>
                    </w:trPr>
                    <w:tc>
                      <w:tcPr>
                        <w:tcW w:w="2396" w:type="dxa"/>
                        <w:vMerge/>
                        <w:tcBorders>
                          <w:left w:val="single" w:sz="6" w:space="0" w:color="000000"/>
                          <w:right w:val="single" w:sz="6" w:space="0" w:color="000000"/>
                        </w:tcBorders>
                      </w:tcPr>
                      <w:p>
                        <w:pPr/>
                      </w:p>
                    </w:tc>
                    <w:tc>
                      <w:tcPr>
                        <w:tcW w:w="1078" w:type="dxa"/>
                        <w:vMerge w:val="restart"/>
                        <w:tcBorders>
                          <w:top w:val="single" w:sz="6" w:space="0" w:color="000000"/>
                          <w:left w:val="single" w:sz="6"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219"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10"/>
                          <w:ind w:left="106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037"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63"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pacing w:val="-11"/>
                            <w:sz w:val="18"/>
                            <w:szCs w:val="18"/>
                          </w:rPr>
                          <w:t>减：库存股</w:t>
                        </w:r>
                      </w:p>
                    </w:tc>
                    <w:tc>
                      <w:tcPr>
                        <w:tcW w:w="1023" w:type="dxa"/>
                        <w:vMerge w:val="restart"/>
                        <w:tcBorders>
                          <w:top w:val="single" w:sz="6" w:space="0" w:color="000000"/>
                          <w:left w:val="single" w:sz="6" w:space="0" w:color="000000"/>
                          <w:right w:val="single" w:sz="6" w:space="0" w:color="000000"/>
                        </w:tcBorders>
                      </w:tcPr>
                      <w:p>
                        <w:pPr>
                          <w:pStyle w:val="TableParagraph"/>
                          <w:spacing w:line="232" w:lineRule="exact" w:before="73"/>
                          <w:ind w:left="324" w:right="142"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293" w:type="dxa"/>
                        <w:vMerge w:val="restart"/>
                        <w:tcBorders>
                          <w:top w:val="single" w:sz="6" w:space="0" w:color="000000"/>
                          <w:left w:val="single" w:sz="6" w:space="0" w:color="000000"/>
                          <w:right w:val="nil" w:sz="6" w:space="0" w:color="auto"/>
                        </w:tcBorders>
                      </w:tcPr>
                      <w:p>
                        <w:pPr/>
                      </w:p>
                    </w:tc>
                  </w:tr>
                  <w:tr>
                    <w:trPr>
                      <w:trHeight w:val="310" w:hRule="exact"/>
                    </w:trPr>
                    <w:tc>
                      <w:tcPr>
                        <w:tcW w:w="2396" w:type="dxa"/>
                        <w:vMerge/>
                        <w:tcBorders>
                          <w:left w:val="single" w:sz="6" w:space="0" w:color="000000"/>
                          <w:bottom w:val="single" w:sz="6" w:space="0" w:color="000000"/>
                          <w:right w:val="single" w:sz="6" w:space="0" w:color="000000"/>
                        </w:tcBorders>
                      </w:tcPr>
                      <w:p>
                        <w:pPr/>
                      </w:p>
                    </w:tc>
                    <w:tc>
                      <w:tcPr>
                        <w:tcW w:w="1078" w:type="dxa"/>
                        <w:vMerge/>
                        <w:tcBorders>
                          <w:left w:val="single" w:sz="6" w:space="0" w:color="000000"/>
                          <w:bottom w:val="single" w:sz="6" w:space="0" w:color="000000"/>
                          <w:right w:val="single" w:sz="4" w:space="0" w:color="000000"/>
                        </w:tcBorders>
                      </w:tcPr>
                      <w:p>
                        <w:pPr/>
                      </w:p>
                    </w:tc>
                    <w:tc>
                      <w:tcPr>
                        <w:tcW w:w="1049"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5"/>
                          <w:ind w:left="24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1078"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5"/>
                          <w:ind w:left="264"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092"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5"/>
                          <w:ind w:left="35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37" w:type="dxa"/>
                        <w:vMerge/>
                        <w:tcBorders>
                          <w:left w:val="single" w:sz="6" w:space="0" w:color="000000"/>
                          <w:bottom w:val="single" w:sz="6" w:space="0" w:color="000000"/>
                          <w:right w:val="single" w:sz="6" w:space="0" w:color="000000"/>
                        </w:tcBorders>
                      </w:tcPr>
                      <w:p>
                        <w:pPr/>
                      </w:p>
                    </w:tc>
                    <w:tc>
                      <w:tcPr>
                        <w:tcW w:w="1063" w:type="dxa"/>
                        <w:vMerge/>
                        <w:tcBorders>
                          <w:left w:val="single" w:sz="6" w:space="0" w:color="000000"/>
                          <w:bottom w:val="single" w:sz="6" w:space="0" w:color="000000"/>
                          <w:right w:val="single" w:sz="6" w:space="0" w:color="000000"/>
                        </w:tcBorders>
                      </w:tcPr>
                      <w:p>
                        <w:pPr/>
                      </w:p>
                    </w:tc>
                    <w:tc>
                      <w:tcPr>
                        <w:tcW w:w="1023" w:type="dxa"/>
                        <w:vMerge/>
                        <w:tcBorders>
                          <w:left w:val="single" w:sz="6" w:space="0" w:color="000000"/>
                          <w:bottom w:val="single" w:sz="6" w:space="0" w:color="000000"/>
                          <w:right w:val="single" w:sz="6" w:space="0" w:color="000000"/>
                        </w:tcBorders>
                      </w:tcPr>
                      <w:p>
                        <w:pPr/>
                      </w:p>
                    </w:tc>
                    <w:tc>
                      <w:tcPr>
                        <w:tcW w:w="293" w:type="dxa"/>
                        <w:vMerge/>
                        <w:tcBorders>
                          <w:left w:val="single" w:sz="6" w:space="0" w:color="000000"/>
                          <w:bottom w:val="single" w:sz="6" w:space="0" w:color="000000"/>
                          <w:right w:val="nil" w:sz="6" w:space="0" w:color="auto"/>
                        </w:tcBorders>
                      </w:tcPr>
                      <w:p>
                        <w:pPr/>
                      </w:p>
                    </w:tc>
                  </w:tr>
                  <w:tr>
                    <w:trPr>
                      <w:trHeight w:val="483"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7" w:lineRule="exact"/>
                          <w:ind w:left="148" w:right="0"/>
                          <w:jc w:val="left"/>
                          <w:rPr>
                            <w:rFonts w:ascii="宋体" w:hAnsi="宋体" w:cs="宋体" w:eastAsia="宋体" w:hint="default"/>
                            <w:sz w:val="18"/>
                            <w:szCs w:val="18"/>
                          </w:rPr>
                        </w:pPr>
                        <w:r>
                          <w:rPr>
                            <w:rFonts w:ascii="宋体"/>
                            <w:sz w:val="18"/>
                          </w:rPr>
                          <w:t>63,140,00</w:t>
                        </w:r>
                      </w:p>
                      <w:p>
                        <w:pPr>
                          <w:pStyle w:val="TableParagraph"/>
                          <w:spacing w:line="234" w:lineRule="exact"/>
                          <w:ind w:left="600" w:right="0"/>
                          <w:jc w:val="left"/>
                          <w:rPr>
                            <w:rFonts w:ascii="宋体" w:hAnsi="宋体" w:cs="宋体" w:eastAsia="宋体" w:hint="default"/>
                            <w:sz w:val="18"/>
                            <w:szCs w:val="18"/>
                          </w:rPr>
                        </w:pPr>
                        <w:r>
                          <w:rPr>
                            <w:rFonts w:ascii="宋体"/>
                            <w:sz w:val="18"/>
                          </w:rPr>
                          <w:t>0.00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left="112" w:right="0"/>
                          <w:jc w:val="left"/>
                          <w:rPr>
                            <w:rFonts w:ascii="宋体" w:hAnsi="宋体" w:cs="宋体" w:eastAsia="宋体" w:hint="default"/>
                            <w:sz w:val="18"/>
                            <w:szCs w:val="18"/>
                          </w:rPr>
                        </w:pPr>
                        <w:r>
                          <w:rPr>
                            <w:rFonts w:ascii="宋体"/>
                            <w:sz w:val="18"/>
                          </w:rPr>
                          <w:t>86,999,99</w:t>
                        </w:r>
                      </w:p>
                      <w:p>
                        <w:pPr>
                          <w:pStyle w:val="TableParagraph"/>
                          <w:spacing w:line="234" w:lineRule="exact"/>
                          <w:ind w:left="564" w:right="0"/>
                          <w:jc w:val="left"/>
                          <w:rPr>
                            <w:rFonts w:ascii="宋体" w:hAnsi="宋体" w:cs="宋体" w:eastAsia="宋体" w:hint="default"/>
                            <w:sz w:val="18"/>
                            <w:szCs w:val="18"/>
                          </w:rPr>
                        </w:pPr>
                        <w:r>
                          <w:rPr>
                            <w:rFonts w:ascii="宋体"/>
                            <w:sz w:val="18"/>
                          </w:rPr>
                          <w:t>0.03</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3" w:type="dxa"/>
                        <w:tcBorders>
                          <w:top w:val="single" w:sz="6" w:space="0" w:color="000000"/>
                          <w:left w:val="single" w:sz="6" w:space="0" w:color="000000"/>
                          <w:bottom w:val="single" w:sz="6" w:space="0" w:color="000000"/>
                          <w:right w:val="single" w:sz="6" w:space="0" w:color="000000"/>
                        </w:tcBorders>
                      </w:tcPr>
                      <w:p>
                        <w:pPr/>
                      </w:p>
                    </w:tc>
                    <w:tc>
                      <w:tcPr>
                        <w:tcW w:w="293" w:type="dxa"/>
                        <w:tcBorders>
                          <w:top w:val="single" w:sz="6" w:space="0" w:color="000000"/>
                          <w:left w:val="single" w:sz="6" w:space="0" w:color="000000"/>
                          <w:bottom w:val="single" w:sz="6" w:space="0" w:color="000000"/>
                          <w:right w:val="nil" w:sz="6" w:space="0" w:color="auto"/>
                        </w:tcBorders>
                      </w:tcPr>
                      <w:p>
                        <w:pP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3" w:type="dxa"/>
                        <w:tcBorders>
                          <w:top w:val="single" w:sz="6" w:space="0" w:color="000000"/>
                          <w:left w:val="single" w:sz="6" w:space="0" w:color="000000"/>
                          <w:bottom w:val="single" w:sz="6" w:space="0" w:color="000000"/>
                          <w:right w:val="single" w:sz="6" w:space="0" w:color="000000"/>
                        </w:tcBorders>
                      </w:tcPr>
                      <w:p>
                        <w:pPr/>
                      </w:p>
                    </w:tc>
                    <w:tc>
                      <w:tcPr>
                        <w:tcW w:w="293" w:type="dxa"/>
                        <w:tcBorders>
                          <w:top w:val="single" w:sz="6" w:space="0" w:color="000000"/>
                          <w:left w:val="single" w:sz="6" w:space="0" w:color="000000"/>
                          <w:bottom w:val="single" w:sz="6" w:space="0" w:color="000000"/>
                          <w:right w:val="nil" w:sz="6" w:space="0" w:color="auto"/>
                        </w:tcBorders>
                      </w:tcPr>
                      <w:p>
                        <w:pP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20"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3" w:type="dxa"/>
                        <w:tcBorders>
                          <w:top w:val="single" w:sz="6" w:space="0" w:color="000000"/>
                          <w:left w:val="single" w:sz="6" w:space="0" w:color="000000"/>
                          <w:bottom w:val="single" w:sz="6" w:space="0" w:color="000000"/>
                          <w:right w:val="single" w:sz="6" w:space="0" w:color="000000"/>
                        </w:tcBorders>
                      </w:tcPr>
                      <w:p>
                        <w:pPr/>
                      </w:p>
                    </w:tc>
                    <w:tc>
                      <w:tcPr>
                        <w:tcW w:w="293" w:type="dxa"/>
                        <w:tcBorders>
                          <w:top w:val="single" w:sz="6" w:space="0" w:color="000000"/>
                          <w:left w:val="single" w:sz="6" w:space="0" w:color="000000"/>
                          <w:bottom w:val="single" w:sz="6" w:space="0" w:color="000000"/>
                          <w:right w:val="nil" w:sz="6" w:space="0" w:color="auto"/>
                        </w:tcBorders>
                      </w:tcPr>
                      <w:p>
                        <w:pP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2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3" w:type="dxa"/>
                        <w:tcBorders>
                          <w:top w:val="single" w:sz="6" w:space="0" w:color="000000"/>
                          <w:left w:val="single" w:sz="6" w:space="0" w:color="000000"/>
                          <w:bottom w:val="single" w:sz="6" w:space="0" w:color="000000"/>
                          <w:right w:val="single" w:sz="6" w:space="0" w:color="000000"/>
                        </w:tcBorders>
                      </w:tcPr>
                      <w:p>
                        <w:pPr/>
                      </w:p>
                    </w:tc>
                    <w:tc>
                      <w:tcPr>
                        <w:tcW w:w="293" w:type="dxa"/>
                        <w:tcBorders>
                          <w:top w:val="single" w:sz="6" w:space="0" w:color="000000"/>
                          <w:left w:val="single" w:sz="6" w:space="0" w:color="000000"/>
                          <w:bottom w:val="single" w:sz="6" w:space="0" w:color="000000"/>
                          <w:right w:val="nil" w:sz="6" w:space="0" w:color="auto"/>
                        </w:tcBorders>
                      </w:tcPr>
                      <w:p>
                        <w:pP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4" w:lineRule="exact"/>
                          <w:ind w:left="148" w:right="0"/>
                          <w:jc w:val="left"/>
                          <w:rPr>
                            <w:rFonts w:ascii="宋体" w:hAnsi="宋体" w:cs="宋体" w:eastAsia="宋体" w:hint="default"/>
                            <w:sz w:val="18"/>
                            <w:szCs w:val="18"/>
                          </w:rPr>
                        </w:pPr>
                        <w:r>
                          <w:rPr>
                            <w:rFonts w:ascii="宋体"/>
                            <w:sz w:val="18"/>
                          </w:rPr>
                          <w:t>63,140,00</w:t>
                        </w:r>
                      </w:p>
                      <w:p>
                        <w:pPr>
                          <w:pStyle w:val="TableParagraph"/>
                          <w:spacing w:line="234" w:lineRule="exact"/>
                          <w:ind w:left="600" w:right="0"/>
                          <w:jc w:val="left"/>
                          <w:rPr>
                            <w:rFonts w:ascii="宋体" w:hAnsi="宋体" w:cs="宋体" w:eastAsia="宋体" w:hint="default"/>
                            <w:sz w:val="18"/>
                            <w:szCs w:val="18"/>
                          </w:rPr>
                        </w:pPr>
                        <w:r>
                          <w:rPr>
                            <w:rFonts w:ascii="宋体"/>
                            <w:sz w:val="18"/>
                          </w:rPr>
                          <w:t>0.00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Style w:val="TableParagraph"/>
                          <w:spacing w:line="204" w:lineRule="exact"/>
                          <w:ind w:left="112" w:right="0"/>
                          <w:jc w:val="left"/>
                          <w:rPr>
                            <w:rFonts w:ascii="宋体" w:hAnsi="宋体" w:cs="宋体" w:eastAsia="宋体" w:hint="default"/>
                            <w:sz w:val="18"/>
                            <w:szCs w:val="18"/>
                          </w:rPr>
                        </w:pPr>
                        <w:r>
                          <w:rPr>
                            <w:rFonts w:ascii="宋体"/>
                            <w:sz w:val="18"/>
                          </w:rPr>
                          <w:t>86,999,99</w:t>
                        </w:r>
                      </w:p>
                      <w:p>
                        <w:pPr>
                          <w:pStyle w:val="TableParagraph"/>
                          <w:spacing w:line="234" w:lineRule="exact"/>
                          <w:ind w:left="564" w:right="0"/>
                          <w:jc w:val="left"/>
                          <w:rPr>
                            <w:rFonts w:ascii="宋体" w:hAnsi="宋体" w:cs="宋体" w:eastAsia="宋体" w:hint="default"/>
                            <w:sz w:val="18"/>
                            <w:szCs w:val="18"/>
                          </w:rPr>
                        </w:pPr>
                        <w:r>
                          <w:rPr>
                            <w:rFonts w:ascii="宋体"/>
                            <w:sz w:val="18"/>
                          </w:rPr>
                          <w:t>0.03</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3" w:type="dxa"/>
                        <w:tcBorders>
                          <w:top w:val="single" w:sz="6" w:space="0" w:color="000000"/>
                          <w:left w:val="single" w:sz="6" w:space="0" w:color="000000"/>
                          <w:bottom w:val="single" w:sz="6" w:space="0" w:color="000000"/>
                          <w:right w:val="single" w:sz="6" w:space="0" w:color="000000"/>
                        </w:tcBorders>
                      </w:tcPr>
                      <w:p>
                        <w:pPr/>
                      </w:p>
                    </w:tc>
                    <w:tc>
                      <w:tcPr>
                        <w:tcW w:w="293" w:type="dxa"/>
                        <w:tcBorders>
                          <w:top w:val="single" w:sz="6" w:space="0" w:color="000000"/>
                          <w:left w:val="single" w:sz="6" w:space="0" w:color="000000"/>
                          <w:bottom w:val="single" w:sz="6" w:space="0" w:color="000000"/>
                          <w:right w:val="nil" w:sz="6" w:space="0" w:color="auto"/>
                        </w:tcBorders>
                      </w:tcPr>
                      <w:p>
                        <w:pPr/>
                      </w:p>
                    </w:tc>
                  </w:tr>
                  <w:tr>
                    <w:trPr>
                      <w:trHeight w:val="48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三、本期增减变动金额（减</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少以“－”号填列）</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3" w:type="dxa"/>
                        <w:tcBorders>
                          <w:top w:val="single" w:sz="6" w:space="0" w:color="000000"/>
                          <w:left w:val="single" w:sz="6" w:space="0" w:color="000000"/>
                          <w:bottom w:val="single" w:sz="6" w:space="0" w:color="000000"/>
                          <w:right w:val="single" w:sz="6" w:space="0" w:color="000000"/>
                        </w:tcBorders>
                      </w:tcPr>
                      <w:p>
                        <w:pPr/>
                      </w:p>
                    </w:tc>
                    <w:tc>
                      <w:tcPr>
                        <w:tcW w:w="293" w:type="dxa"/>
                        <w:tcBorders>
                          <w:top w:val="single" w:sz="6" w:space="0" w:color="000000"/>
                          <w:left w:val="single" w:sz="6" w:space="0" w:color="000000"/>
                          <w:bottom w:val="single" w:sz="6" w:space="0" w:color="000000"/>
                          <w:right w:val="nil" w:sz="6" w:space="0" w:color="auto"/>
                        </w:tcBorders>
                      </w:tcPr>
                      <w:p>
                        <w:pP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3" w:type="dxa"/>
                        <w:tcBorders>
                          <w:top w:val="single" w:sz="6" w:space="0" w:color="000000"/>
                          <w:left w:val="single" w:sz="6" w:space="0" w:color="000000"/>
                          <w:bottom w:val="single" w:sz="6" w:space="0" w:color="000000"/>
                          <w:right w:val="single" w:sz="6" w:space="0" w:color="000000"/>
                        </w:tcBorders>
                      </w:tcPr>
                      <w:p>
                        <w:pPr/>
                      </w:p>
                    </w:tc>
                    <w:tc>
                      <w:tcPr>
                        <w:tcW w:w="293" w:type="dxa"/>
                        <w:tcBorders>
                          <w:top w:val="single" w:sz="6" w:space="0" w:color="000000"/>
                          <w:left w:val="single" w:sz="6" w:space="0" w:color="000000"/>
                          <w:bottom w:val="single" w:sz="6" w:space="0" w:color="000000"/>
                          <w:right w:val="nil" w:sz="6" w:space="0" w:color="auto"/>
                        </w:tcBorders>
                      </w:tcPr>
                      <w:p>
                        <w:pP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（二）所有者投入和减少资</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3" w:type="dxa"/>
                        <w:tcBorders>
                          <w:top w:val="single" w:sz="6" w:space="0" w:color="000000"/>
                          <w:left w:val="single" w:sz="6" w:space="0" w:color="000000"/>
                          <w:bottom w:val="single" w:sz="6" w:space="0" w:color="000000"/>
                          <w:right w:val="single" w:sz="6" w:space="0" w:color="000000"/>
                        </w:tcBorders>
                      </w:tcPr>
                      <w:p>
                        <w:pPr/>
                      </w:p>
                    </w:tc>
                    <w:tc>
                      <w:tcPr>
                        <w:tcW w:w="293" w:type="dxa"/>
                        <w:tcBorders>
                          <w:top w:val="single" w:sz="6" w:space="0" w:color="000000"/>
                          <w:left w:val="single" w:sz="6" w:space="0" w:color="000000"/>
                          <w:bottom w:val="single" w:sz="6" w:space="0" w:color="000000"/>
                          <w:right w:val="nil" w:sz="6" w:space="0" w:color="auto"/>
                        </w:tcBorders>
                      </w:tcPr>
                      <w:p>
                        <w:pP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3" w:type="dxa"/>
                        <w:tcBorders>
                          <w:top w:val="single" w:sz="6" w:space="0" w:color="000000"/>
                          <w:left w:val="single" w:sz="6" w:space="0" w:color="000000"/>
                          <w:bottom w:val="single" w:sz="6" w:space="0" w:color="000000"/>
                          <w:right w:val="single" w:sz="6" w:space="0" w:color="000000"/>
                        </w:tcBorders>
                      </w:tcPr>
                      <w:p>
                        <w:pPr/>
                      </w:p>
                    </w:tc>
                    <w:tc>
                      <w:tcPr>
                        <w:tcW w:w="293" w:type="dxa"/>
                        <w:tcBorders>
                          <w:top w:val="single" w:sz="6" w:space="0" w:color="000000"/>
                          <w:left w:val="single" w:sz="6" w:space="0" w:color="000000"/>
                          <w:bottom w:val="single" w:sz="6" w:space="0" w:color="000000"/>
                          <w:right w:val="nil" w:sz="6" w:space="0" w:color="auto"/>
                        </w:tcBorders>
                      </w:tcPr>
                      <w:p>
                        <w:pPr/>
                      </w:p>
                    </w:tc>
                  </w:tr>
                  <w:tr>
                    <w:trPr>
                      <w:trHeight w:val="483"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pacing w:val="1"/>
                            <w:sz w:val="18"/>
                            <w:szCs w:val="18"/>
                          </w:rPr>
                          <w:t>2</w:t>
                        </w:r>
                        <w:r>
                          <w:rPr>
                            <w:rFonts w:ascii="宋体" w:hAnsi="宋体" w:cs="宋体" w:eastAsia="宋体" w:hint="default"/>
                            <w:spacing w:val="-72"/>
                            <w:sz w:val="18"/>
                            <w:szCs w:val="18"/>
                          </w:rPr>
                          <w:t>．</w:t>
                        </w:r>
                        <w:r>
                          <w:rPr>
                            <w:rFonts w:ascii="宋体" w:hAnsi="宋体" w:cs="宋体" w:eastAsia="宋体" w:hint="default"/>
                            <w:sz w:val="18"/>
                            <w:szCs w:val="18"/>
                          </w:rPr>
                          <w:t>其他权益工具持有者投入</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3" w:type="dxa"/>
                        <w:tcBorders>
                          <w:top w:val="single" w:sz="6" w:space="0" w:color="000000"/>
                          <w:left w:val="single" w:sz="6" w:space="0" w:color="000000"/>
                          <w:bottom w:val="single" w:sz="6" w:space="0" w:color="000000"/>
                          <w:right w:val="single" w:sz="6" w:space="0" w:color="000000"/>
                        </w:tcBorders>
                      </w:tcPr>
                      <w:p>
                        <w:pPr/>
                      </w:p>
                    </w:tc>
                    <w:tc>
                      <w:tcPr>
                        <w:tcW w:w="293" w:type="dxa"/>
                        <w:tcBorders>
                          <w:top w:val="single" w:sz="6" w:space="0" w:color="000000"/>
                          <w:left w:val="single" w:sz="6" w:space="0" w:color="000000"/>
                          <w:bottom w:val="single" w:sz="6" w:space="0" w:color="000000"/>
                          <w:right w:val="nil" w:sz="6" w:space="0" w:color="auto"/>
                        </w:tcBorders>
                      </w:tcPr>
                      <w:p>
                        <w:pP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
                            <w:sz w:val="18"/>
                            <w:szCs w:val="18"/>
                          </w:rPr>
                          <w:t>3</w:t>
                        </w:r>
                        <w:r>
                          <w:rPr>
                            <w:rFonts w:ascii="宋体" w:hAnsi="宋体" w:cs="宋体" w:eastAsia="宋体" w:hint="default"/>
                            <w:spacing w:val="-72"/>
                            <w:sz w:val="18"/>
                            <w:szCs w:val="18"/>
                          </w:rPr>
                          <w:t>．</w:t>
                        </w:r>
                        <w:r>
                          <w:rPr>
                            <w:rFonts w:ascii="宋体" w:hAnsi="宋体" w:cs="宋体" w:eastAsia="宋体" w:hint="default"/>
                            <w:sz w:val="18"/>
                            <w:szCs w:val="18"/>
                          </w:rPr>
                          <w:t>股份支付计入所有者权益</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的金额</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3" w:type="dxa"/>
                        <w:tcBorders>
                          <w:top w:val="single" w:sz="6" w:space="0" w:color="000000"/>
                          <w:left w:val="single" w:sz="6" w:space="0" w:color="000000"/>
                          <w:bottom w:val="single" w:sz="6" w:space="0" w:color="000000"/>
                          <w:right w:val="single" w:sz="6" w:space="0" w:color="000000"/>
                        </w:tcBorders>
                      </w:tcPr>
                      <w:p>
                        <w:pPr/>
                      </w:p>
                    </w:tc>
                    <w:tc>
                      <w:tcPr>
                        <w:tcW w:w="293" w:type="dxa"/>
                        <w:tcBorders>
                          <w:top w:val="single" w:sz="6" w:space="0" w:color="000000"/>
                          <w:left w:val="single" w:sz="6" w:space="0" w:color="000000"/>
                          <w:bottom w:val="single" w:sz="6" w:space="0" w:color="000000"/>
                          <w:right w:val="nil" w:sz="6" w:space="0" w:color="auto"/>
                        </w:tcBorders>
                      </w:tcPr>
                      <w:p>
                        <w:pPr/>
                      </w:p>
                    </w:tc>
                  </w:tr>
                </w:tbl>
                <w:p>
                  <w:pPr/>
                </w:p>
              </w:txbxContent>
            </v:textbox>
            <w10:wrap type="none"/>
          </v:shape>
        </w:pict>
      </w:r>
    </w:p>
    <w:p>
      <w:pPr>
        <w:spacing w:after="0" w:line="240" w:lineRule="auto"/>
        <w:rPr>
          <w:rFonts w:ascii="Times New Roman" w:hAnsi="Times New Roman" w:cs="Times New Roman" w:eastAsia="Times New Roman" w:hint="default"/>
          <w:sz w:val="17"/>
          <w:szCs w:val="17"/>
        </w:rPr>
        <w:sectPr>
          <w:pgSz w:w="11910" w:h="16840"/>
          <w:pgMar w:header="857" w:footer="1195" w:top="1320" w:bottom="1380" w:left="162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7"/>
          <w:szCs w:val="17"/>
        </w:rPr>
      </w:pPr>
    </w:p>
    <w:p>
      <w:pPr>
        <w:pStyle w:val="BodyText"/>
        <w:spacing w:line="240" w:lineRule="auto" w:before="36"/>
        <w:ind w:left="138" w:right="0"/>
        <w:jc w:val="both"/>
      </w:pPr>
      <w:r>
        <w:rPr/>
        <w:pict>
          <v:shape style="position:absolute;margin-left:89.543999pt;margin-top:-253.706314pt;width:506.5pt;height:257.25pt;mso-position-horizontal-relative:page;mso-position-vertical-relative:paragraph;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96"/>
                    <w:gridCol w:w="1078"/>
                    <w:gridCol w:w="1049"/>
                    <w:gridCol w:w="1078"/>
                    <w:gridCol w:w="1092"/>
                    <w:gridCol w:w="1037"/>
                    <w:gridCol w:w="1063"/>
                    <w:gridCol w:w="1023"/>
                    <w:gridCol w:w="293"/>
                  </w:tblGrid>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3" w:type="dxa"/>
                        <w:tcBorders>
                          <w:top w:val="single" w:sz="6" w:space="0" w:color="000000"/>
                          <w:left w:val="single" w:sz="6" w:space="0" w:color="000000"/>
                          <w:bottom w:val="single" w:sz="6" w:space="0" w:color="000000"/>
                          <w:right w:val="single" w:sz="6" w:space="0" w:color="000000"/>
                        </w:tcBorders>
                      </w:tcPr>
                      <w:p>
                        <w:pPr/>
                      </w:p>
                    </w:tc>
                    <w:tc>
                      <w:tcPr>
                        <w:tcW w:w="293" w:type="dxa"/>
                        <w:tcBorders>
                          <w:top w:val="single" w:sz="6" w:space="0" w:color="000000"/>
                          <w:left w:val="single" w:sz="6" w:space="0" w:color="000000"/>
                          <w:bottom w:val="single" w:sz="6" w:space="0" w:color="000000"/>
                          <w:right w:val="nil" w:sz="6" w:space="0" w:color="auto"/>
                        </w:tcBorders>
                      </w:tcPr>
                      <w:p>
                        <w:pP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3" w:type="dxa"/>
                        <w:tcBorders>
                          <w:top w:val="single" w:sz="6" w:space="0" w:color="000000"/>
                          <w:left w:val="single" w:sz="6" w:space="0" w:color="000000"/>
                          <w:bottom w:val="single" w:sz="6" w:space="0" w:color="000000"/>
                          <w:right w:val="single" w:sz="6" w:space="0" w:color="000000"/>
                        </w:tcBorders>
                      </w:tcPr>
                      <w:p>
                        <w:pPr/>
                      </w:p>
                    </w:tc>
                    <w:tc>
                      <w:tcPr>
                        <w:tcW w:w="293" w:type="dxa"/>
                        <w:tcBorders>
                          <w:top w:val="single" w:sz="6" w:space="0" w:color="000000"/>
                          <w:left w:val="single" w:sz="6" w:space="0" w:color="000000"/>
                          <w:bottom w:val="single" w:sz="6" w:space="0" w:color="000000"/>
                          <w:right w:val="nil" w:sz="6" w:space="0" w:color="auto"/>
                        </w:tcBorders>
                      </w:tcPr>
                      <w:p>
                        <w:pPr/>
                      </w:p>
                    </w:tc>
                  </w:tr>
                  <w:tr>
                    <w:trPr>
                      <w:trHeight w:val="48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3" w:type="dxa"/>
                        <w:tcBorders>
                          <w:top w:val="single" w:sz="6" w:space="0" w:color="000000"/>
                          <w:left w:val="single" w:sz="6" w:space="0" w:color="000000"/>
                          <w:bottom w:val="single" w:sz="6" w:space="0" w:color="000000"/>
                          <w:right w:val="single" w:sz="6" w:space="0" w:color="000000"/>
                        </w:tcBorders>
                      </w:tcPr>
                      <w:p>
                        <w:pPr/>
                      </w:p>
                    </w:tc>
                    <w:tc>
                      <w:tcPr>
                        <w:tcW w:w="293" w:type="dxa"/>
                        <w:tcBorders>
                          <w:top w:val="single" w:sz="6" w:space="0" w:color="000000"/>
                          <w:left w:val="single" w:sz="6" w:space="0" w:color="000000"/>
                          <w:bottom w:val="single" w:sz="6" w:space="0" w:color="000000"/>
                          <w:right w:val="nil" w:sz="6" w:space="0" w:color="auto"/>
                        </w:tcBorders>
                      </w:tcPr>
                      <w:p>
                        <w:pP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6"/>
                            <w:sz w:val="18"/>
                            <w:szCs w:val="18"/>
                          </w:rPr>
                          <w:t>2</w:t>
                        </w:r>
                        <w:r>
                          <w:rPr>
                            <w:rFonts w:ascii="宋体" w:hAnsi="宋体" w:cs="宋体" w:eastAsia="宋体" w:hint="default"/>
                            <w:spacing w:val="-6"/>
                            <w:sz w:val="18"/>
                            <w:szCs w:val="18"/>
                          </w:rPr>
                          <w:t>．对所有者（或股东）的分</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配</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3" w:type="dxa"/>
                        <w:tcBorders>
                          <w:top w:val="single" w:sz="6" w:space="0" w:color="000000"/>
                          <w:left w:val="single" w:sz="6" w:space="0" w:color="000000"/>
                          <w:bottom w:val="single" w:sz="6" w:space="0" w:color="000000"/>
                          <w:right w:val="single" w:sz="6" w:space="0" w:color="000000"/>
                        </w:tcBorders>
                      </w:tcPr>
                      <w:p>
                        <w:pPr/>
                      </w:p>
                    </w:tc>
                    <w:tc>
                      <w:tcPr>
                        <w:tcW w:w="293" w:type="dxa"/>
                        <w:tcBorders>
                          <w:top w:val="single" w:sz="6" w:space="0" w:color="000000"/>
                          <w:left w:val="single" w:sz="6" w:space="0" w:color="000000"/>
                          <w:bottom w:val="single" w:sz="6" w:space="0" w:color="000000"/>
                          <w:right w:val="nil" w:sz="6" w:space="0" w:color="auto"/>
                        </w:tcBorders>
                      </w:tcPr>
                      <w:p>
                        <w:pP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3" w:type="dxa"/>
                        <w:tcBorders>
                          <w:top w:val="single" w:sz="6" w:space="0" w:color="000000"/>
                          <w:left w:val="single" w:sz="6" w:space="0" w:color="000000"/>
                          <w:bottom w:val="single" w:sz="6" w:space="0" w:color="000000"/>
                          <w:right w:val="single" w:sz="6" w:space="0" w:color="000000"/>
                        </w:tcBorders>
                      </w:tcPr>
                      <w:p>
                        <w:pPr/>
                      </w:p>
                    </w:tc>
                    <w:tc>
                      <w:tcPr>
                        <w:tcW w:w="293" w:type="dxa"/>
                        <w:tcBorders>
                          <w:top w:val="single" w:sz="6" w:space="0" w:color="000000"/>
                          <w:left w:val="single" w:sz="6" w:space="0" w:color="000000"/>
                          <w:bottom w:val="single" w:sz="6" w:space="0" w:color="000000"/>
                          <w:right w:val="nil" w:sz="6" w:space="0" w:color="auto"/>
                        </w:tcBorders>
                      </w:tcPr>
                      <w:p>
                        <w:pP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3" w:type="dxa"/>
                        <w:tcBorders>
                          <w:top w:val="single" w:sz="6" w:space="0" w:color="000000"/>
                          <w:left w:val="single" w:sz="6" w:space="0" w:color="000000"/>
                          <w:bottom w:val="single" w:sz="6" w:space="0" w:color="000000"/>
                          <w:right w:val="single" w:sz="6" w:space="0" w:color="000000"/>
                        </w:tcBorders>
                      </w:tcPr>
                      <w:p>
                        <w:pPr/>
                      </w:p>
                    </w:tc>
                    <w:tc>
                      <w:tcPr>
                        <w:tcW w:w="293" w:type="dxa"/>
                        <w:tcBorders>
                          <w:top w:val="single" w:sz="6" w:space="0" w:color="000000"/>
                          <w:left w:val="single" w:sz="6" w:space="0" w:color="000000"/>
                          <w:bottom w:val="single" w:sz="6" w:space="0" w:color="000000"/>
                          <w:right w:val="nil" w:sz="6" w:space="0" w:color="auto"/>
                        </w:tcBorders>
                      </w:tcPr>
                      <w:p>
                        <w:pP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6"/>
                            <w:sz w:val="18"/>
                            <w:szCs w:val="18"/>
                          </w:rPr>
                          <w:t>1</w:t>
                        </w:r>
                        <w:r>
                          <w:rPr>
                            <w:rFonts w:ascii="宋体" w:hAnsi="宋体" w:cs="宋体" w:eastAsia="宋体" w:hint="default"/>
                            <w:spacing w:val="-6"/>
                            <w:sz w:val="18"/>
                            <w:szCs w:val="18"/>
                          </w:rPr>
                          <w:t>．资本公积转增资本（或股</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3" w:type="dxa"/>
                        <w:tcBorders>
                          <w:top w:val="single" w:sz="6" w:space="0" w:color="000000"/>
                          <w:left w:val="single" w:sz="6" w:space="0" w:color="000000"/>
                          <w:bottom w:val="single" w:sz="6" w:space="0" w:color="000000"/>
                          <w:right w:val="single" w:sz="6" w:space="0" w:color="000000"/>
                        </w:tcBorders>
                      </w:tcPr>
                      <w:p>
                        <w:pPr/>
                      </w:p>
                    </w:tc>
                    <w:tc>
                      <w:tcPr>
                        <w:tcW w:w="293" w:type="dxa"/>
                        <w:tcBorders>
                          <w:top w:val="single" w:sz="6" w:space="0" w:color="000000"/>
                          <w:left w:val="single" w:sz="6" w:space="0" w:color="000000"/>
                          <w:bottom w:val="single" w:sz="6" w:space="0" w:color="000000"/>
                          <w:right w:val="nil" w:sz="6" w:space="0" w:color="auto"/>
                        </w:tcBorders>
                      </w:tcPr>
                      <w:p>
                        <w:pP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6"/>
                            <w:sz w:val="18"/>
                            <w:szCs w:val="18"/>
                          </w:rPr>
                          <w:t>2</w:t>
                        </w:r>
                        <w:r>
                          <w:rPr>
                            <w:rFonts w:ascii="宋体" w:hAnsi="宋体" w:cs="宋体" w:eastAsia="宋体" w:hint="default"/>
                            <w:spacing w:val="-6"/>
                            <w:sz w:val="18"/>
                            <w:szCs w:val="18"/>
                          </w:rPr>
                          <w:t>．盈余公积转增资本（或股</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3" w:type="dxa"/>
                        <w:tcBorders>
                          <w:top w:val="single" w:sz="6" w:space="0" w:color="000000"/>
                          <w:left w:val="single" w:sz="6" w:space="0" w:color="000000"/>
                          <w:bottom w:val="single" w:sz="6" w:space="0" w:color="000000"/>
                          <w:right w:val="single" w:sz="6" w:space="0" w:color="000000"/>
                        </w:tcBorders>
                      </w:tcPr>
                      <w:p>
                        <w:pPr/>
                      </w:p>
                    </w:tc>
                    <w:tc>
                      <w:tcPr>
                        <w:tcW w:w="293" w:type="dxa"/>
                        <w:tcBorders>
                          <w:top w:val="single" w:sz="6" w:space="0" w:color="000000"/>
                          <w:left w:val="single" w:sz="6" w:space="0" w:color="000000"/>
                          <w:bottom w:val="single" w:sz="6" w:space="0" w:color="000000"/>
                          <w:right w:val="nil" w:sz="6" w:space="0" w:color="auto"/>
                        </w:tcBorders>
                      </w:tcPr>
                      <w:p>
                        <w:pPr/>
                      </w:p>
                    </w:tc>
                  </w:tr>
                  <w:tr>
                    <w:trPr>
                      <w:trHeight w:val="248"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3" w:type="dxa"/>
                        <w:tcBorders>
                          <w:top w:val="single" w:sz="6" w:space="0" w:color="000000"/>
                          <w:left w:val="single" w:sz="6" w:space="0" w:color="000000"/>
                          <w:bottom w:val="single" w:sz="6" w:space="0" w:color="000000"/>
                          <w:right w:val="single" w:sz="6" w:space="0" w:color="000000"/>
                        </w:tcBorders>
                      </w:tcPr>
                      <w:p>
                        <w:pPr/>
                      </w:p>
                    </w:tc>
                    <w:tc>
                      <w:tcPr>
                        <w:tcW w:w="293" w:type="dxa"/>
                        <w:tcBorders>
                          <w:top w:val="single" w:sz="6" w:space="0" w:color="000000"/>
                          <w:left w:val="single" w:sz="6" w:space="0" w:color="000000"/>
                          <w:bottom w:val="single" w:sz="6" w:space="0" w:color="000000"/>
                          <w:right w:val="nil" w:sz="6" w:space="0" w:color="auto"/>
                        </w:tcBorders>
                      </w:tcPr>
                      <w:p>
                        <w:pP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3" w:type="dxa"/>
                        <w:tcBorders>
                          <w:top w:val="single" w:sz="6" w:space="0" w:color="000000"/>
                          <w:left w:val="single" w:sz="6" w:space="0" w:color="000000"/>
                          <w:bottom w:val="single" w:sz="6" w:space="0" w:color="000000"/>
                          <w:right w:val="single" w:sz="6" w:space="0" w:color="000000"/>
                        </w:tcBorders>
                      </w:tcPr>
                      <w:p>
                        <w:pPr/>
                      </w:p>
                    </w:tc>
                    <w:tc>
                      <w:tcPr>
                        <w:tcW w:w="293" w:type="dxa"/>
                        <w:tcBorders>
                          <w:top w:val="single" w:sz="6" w:space="0" w:color="000000"/>
                          <w:left w:val="single" w:sz="6" w:space="0" w:color="000000"/>
                          <w:bottom w:val="single" w:sz="6" w:space="0" w:color="000000"/>
                          <w:right w:val="nil" w:sz="6" w:space="0" w:color="auto"/>
                        </w:tcBorders>
                      </w:tcPr>
                      <w:p>
                        <w:pP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9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3" w:type="dxa"/>
                        <w:tcBorders>
                          <w:top w:val="single" w:sz="6" w:space="0" w:color="000000"/>
                          <w:left w:val="single" w:sz="6" w:space="0" w:color="000000"/>
                          <w:bottom w:val="single" w:sz="6" w:space="0" w:color="000000"/>
                          <w:right w:val="single" w:sz="6" w:space="0" w:color="000000"/>
                        </w:tcBorders>
                      </w:tcPr>
                      <w:p>
                        <w:pPr/>
                      </w:p>
                    </w:tc>
                    <w:tc>
                      <w:tcPr>
                        <w:tcW w:w="293" w:type="dxa"/>
                        <w:tcBorders>
                          <w:top w:val="single" w:sz="6" w:space="0" w:color="000000"/>
                          <w:left w:val="single" w:sz="6" w:space="0" w:color="000000"/>
                          <w:bottom w:val="single" w:sz="6" w:space="0" w:color="000000"/>
                          <w:right w:val="nil" w:sz="6" w:space="0" w:color="auto"/>
                        </w:tcBorders>
                      </w:tcPr>
                      <w:p>
                        <w:pP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3" w:type="dxa"/>
                        <w:tcBorders>
                          <w:top w:val="single" w:sz="6" w:space="0" w:color="000000"/>
                          <w:left w:val="single" w:sz="6" w:space="0" w:color="000000"/>
                          <w:bottom w:val="single" w:sz="6" w:space="0" w:color="000000"/>
                          <w:right w:val="single" w:sz="6" w:space="0" w:color="000000"/>
                        </w:tcBorders>
                      </w:tcPr>
                      <w:p>
                        <w:pPr/>
                      </w:p>
                    </w:tc>
                    <w:tc>
                      <w:tcPr>
                        <w:tcW w:w="293" w:type="dxa"/>
                        <w:tcBorders>
                          <w:top w:val="single" w:sz="6" w:space="0" w:color="000000"/>
                          <w:left w:val="single" w:sz="6" w:space="0" w:color="000000"/>
                          <w:bottom w:val="single" w:sz="6" w:space="0" w:color="000000"/>
                          <w:right w:val="nil" w:sz="6" w:space="0" w:color="auto"/>
                        </w:tcBorders>
                      </w:tcPr>
                      <w:p>
                        <w:pP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3" w:type="dxa"/>
                        <w:tcBorders>
                          <w:top w:val="single" w:sz="6" w:space="0" w:color="000000"/>
                          <w:left w:val="single" w:sz="6" w:space="0" w:color="000000"/>
                          <w:bottom w:val="single" w:sz="6" w:space="0" w:color="000000"/>
                          <w:right w:val="single" w:sz="6" w:space="0" w:color="000000"/>
                        </w:tcBorders>
                      </w:tcPr>
                      <w:p>
                        <w:pPr/>
                      </w:p>
                    </w:tc>
                    <w:tc>
                      <w:tcPr>
                        <w:tcW w:w="293" w:type="dxa"/>
                        <w:tcBorders>
                          <w:top w:val="single" w:sz="6" w:space="0" w:color="000000"/>
                          <w:left w:val="single" w:sz="6" w:space="0" w:color="000000"/>
                          <w:bottom w:val="single" w:sz="6" w:space="0" w:color="000000"/>
                          <w:right w:val="nil" w:sz="6" w:space="0" w:color="auto"/>
                        </w:tcBorders>
                      </w:tcPr>
                      <w:p>
                        <w:pP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3" w:type="dxa"/>
                        <w:tcBorders>
                          <w:top w:val="single" w:sz="6" w:space="0" w:color="000000"/>
                          <w:left w:val="single" w:sz="6" w:space="0" w:color="000000"/>
                          <w:bottom w:val="single" w:sz="6" w:space="0" w:color="000000"/>
                          <w:right w:val="single" w:sz="6" w:space="0" w:color="000000"/>
                        </w:tcBorders>
                      </w:tcPr>
                      <w:p>
                        <w:pPr/>
                      </w:p>
                    </w:tc>
                    <w:tc>
                      <w:tcPr>
                        <w:tcW w:w="293" w:type="dxa"/>
                        <w:tcBorders>
                          <w:top w:val="single" w:sz="6" w:space="0" w:color="000000"/>
                          <w:left w:val="single" w:sz="6" w:space="0" w:color="000000"/>
                          <w:bottom w:val="single" w:sz="6" w:space="0" w:color="000000"/>
                          <w:right w:val="nil" w:sz="6" w:space="0" w:color="auto"/>
                        </w:tcBorders>
                      </w:tcPr>
                      <w:p>
                        <w:pP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4" w:lineRule="exact"/>
                          <w:ind w:left="148" w:right="0"/>
                          <w:jc w:val="left"/>
                          <w:rPr>
                            <w:rFonts w:ascii="宋体" w:hAnsi="宋体" w:cs="宋体" w:eastAsia="宋体" w:hint="default"/>
                            <w:sz w:val="18"/>
                            <w:szCs w:val="18"/>
                          </w:rPr>
                        </w:pPr>
                        <w:r>
                          <w:rPr>
                            <w:rFonts w:ascii="宋体"/>
                            <w:sz w:val="18"/>
                          </w:rPr>
                          <w:t>63,140,00</w:t>
                        </w:r>
                      </w:p>
                      <w:p>
                        <w:pPr>
                          <w:pStyle w:val="TableParagraph"/>
                          <w:spacing w:line="234" w:lineRule="exact"/>
                          <w:ind w:left="600" w:right="0"/>
                          <w:jc w:val="left"/>
                          <w:rPr>
                            <w:rFonts w:ascii="宋体" w:hAnsi="宋体" w:cs="宋体" w:eastAsia="宋体" w:hint="default"/>
                            <w:sz w:val="18"/>
                            <w:szCs w:val="18"/>
                          </w:rPr>
                        </w:pPr>
                        <w:r>
                          <w:rPr>
                            <w:rFonts w:ascii="宋体"/>
                            <w:sz w:val="18"/>
                          </w:rPr>
                          <w:t>0.00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10" w:right="0"/>
                          <w:jc w:val="left"/>
                          <w:rPr>
                            <w:rFonts w:ascii="宋体" w:hAnsi="宋体" w:cs="宋体" w:eastAsia="宋体" w:hint="default"/>
                            <w:sz w:val="18"/>
                            <w:szCs w:val="18"/>
                          </w:rPr>
                        </w:pPr>
                        <w:r>
                          <w:rPr>
                            <w:rFonts w:ascii="宋体"/>
                            <w:sz w:val="18"/>
                          </w:rPr>
                          <w:t>86,999,99</w:t>
                        </w:r>
                      </w:p>
                      <w:p>
                        <w:pPr>
                          <w:pStyle w:val="TableParagraph"/>
                          <w:spacing w:line="234" w:lineRule="exact"/>
                          <w:ind w:left="562" w:right="0"/>
                          <w:jc w:val="left"/>
                          <w:rPr>
                            <w:rFonts w:ascii="宋体" w:hAnsi="宋体" w:cs="宋体" w:eastAsia="宋体" w:hint="default"/>
                            <w:sz w:val="18"/>
                            <w:szCs w:val="18"/>
                          </w:rPr>
                        </w:pPr>
                        <w:r>
                          <w:rPr>
                            <w:rFonts w:ascii="宋体"/>
                            <w:sz w:val="18"/>
                          </w:rPr>
                          <w:t>0.03</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3" w:type="dxa"/>
                        <w:tcBorders>
                          <w:top w:val="single" w:sz="6" w:space="0" w:color="000000"/>
                          <w:left w:val="single" w:sz="6" w:space="0" w:color="000000"/>
                          <w:bottom w:val="single" w:sz="6" w:space="0" w:color="000000"/>
                          <w:right w:val="single" w:sz="6" w:space="0" w:color="000000"/>
                        </w:tcBorders>
                      </w:tcPr>
                      <w:p>
                        <w:pPr/>
                      </w:p>
                    </w:tc>
                    <w:tc>
                      <w:tcPr>
                        <w:tcW w:w="293" w:type="dxa"/>
                        <w:tcBorders>
                          <w:top w:val="single" w:sz="6" w:space="0" w:color="000000"/>
                          <w:left w:val="single" w:sz="6" w:space="0" w:color="000000"/>
                          <w:bottom w:val="single" w:sz="6" w:space="0" w:color="000000"/>
                          <w:right w:val="nil" w:sz="6" w:space="0" w:color="auto"/>
                        </w:tcBorders>
                      </w:tcPr>
                      <w:p>
                        <w:pPr/>
                      </w:p>
                    </w:tc>
                  </w:tr>
                </w:tbl>
                <w:p>
                  <w:pPr/>
                </w:p>
              </w:txbxContent>
            </v:textbox>
            <w10:wrap type="none"/>
          </v:shape>
        </w:pict>
      </w:r>
      <w:r>
        <w:rPr/>
        <w:t>法定代表人：严孟宇 主管会计工作负责人：董凤良</w:t>
      </w:r>
      <w:r>
        <w:rPr>
          <w:spacing w:val="-6"/>
        </w:rPr>
        <w:t> </w:t>
      </w:r>
      <w:r>
        <w:rPr/>
        <w:t>会计机构负责人：熊婵静</w:t>
      </w:r>
    </w:p>
    <w:p>
      <w:pPr>
        <w:spacing w:line="240" w:lineRule="auto" w:before="3"/>
        <w:rPr>
          <w:rFonts w:ascii="宋体" w:hAnsi="宋体" w:cs="宋体" w:eastAsia="宋体" w:hint="default"/>
          <w:sz w:val="25"/>
          <w:szCs w:val="25"/>
        </w:rPr>
      </w:pPr>
    </w:p>
    <w:p>
      <w:pPr>
        <w:pStyle w:val="Heading3"/>
        <w:spacing w:line="288" w:lineRule="auto"/>
        <w:ind w:left="138" w:right="8401"/>
        <w:jc w:val="left"/>
        <w:rPr>
          <w:rFonts w:ascii="宋体" w:hAnsi="宋体" w:cs="宋体" w:eastAsia="宋体" w:hint="default"/>
          <w:b w:val="0"/>
          <w:bCs w:val="0"/>
        </w:rPr>
      </w:pPr>
      <w:r>
        <w:rPr/>
        <w:t>三、公司基本情况</w:t>
      </w:r>
      <w:r>
        <w:rPr>
          <w:spacing w:val="-101"/>
        </w:rPr>
        <w:t> </w:t>
      </w:r>
      <w:r>
        <w:rPr>
          <w:spacing w:val="-101"/>
        </w:rPr>
      </w:r>
      <w:r>
        <w:rPr>
          <w:rFonts w:ascii="宋体" w:hAnsi="宋体" w:cs="宋体" w:eastAsia="宋体" w:hint="default"/>
        </w:rPr>
        <w:t>1.</w:t>
      </w:r>
      <w:r>
        <w:rPr>
          <w:rFonts w:ascii="宋体" w:hAnsi="宋体" w:cs="宋体" w:eastAsia="宋体" w:hint="default"/>
          <w:b w:val="0"/>
          <w:bCs w:val="0"/>
        </w:rPr>
      </w:r>
    </w:p>
    <w:p>
      <w:pPr>
        <w:pStyle w:val="BodyText"/>
        <w:tabs>
          <w:tab w:pos="980" w:val="left" w:leader="none"/>
        </w:tabs>
        <w:spacing w:line="240" w:lineRule="auto" w:before="14"/>
        <w:ind w:left="558" w:right="1488" w:hanging="420"/>
        <w:jc w:val="left"/>
        <w:rPr>
          <w:rFonts w:ascii="宋体" w:hAnsi="宋体" w:cs="宋体" w:eastAsia="宋体" w:hint="default"/>
        </w:rPr>
      </w:pPr>
      <w:r>
        <w:rPr>
          <w:spacing w:val="-1"/>
        </w:rPr>
        <w:t>√适用</w:t>
        <w:tab/>
      </w:r>
      <w:r>
        <w:rPr>
          <w:spacing w:val="-2"/>
        </w:rPr>
        <w:t>□不适用</w:t>
      </w:r>
      <w:r>
        <w:rPr>
          <w:spacing w:val="-99"/>
        </w:rPr>
        <w:t> </w:t>
      </w:r>
      <w:r>
        <w:rPr>
          <w:spacing w:val="-99"/>
        </w:rPr>
      </w:r>
      <w:r>
        <w:rPr>
          <w:spacing w:val="-2"/>
        </w:rPr>
        <w:t>福建顶点软件股份有限公司</w:t>
      </w:r>
      <w:r>
        <w:rPr>
          <w:rFonts w:ascii="宋体" w:hAnsi="宋体" w:cs="宋体" w:eastAsia="宋体" w:hint="default"/>
          <w:spacing w:val="-2"/>
        </w:rPr>
        <w:t>(</w:t>
      </w:r>
      <w:r>
        <w:rPr>
          <w:spacing w:val="-2"/>
        </w:rPr>
        <w:t>以下简称“本公司”)是经福建省人民政府闽政体股</w:t>
      </w:r>
      <w:r>
        <w:rPr>
          <w:rFonts w:ascii="宋体" w:hAnsi="宋体" w:cs="宋体" w:eastAsia="宋体" w:hint="default"/>
          <w:spacing w:val="-2"/>
        </w:rPr>
        <w:t>[2000]25</w:t>
      </w:r>
    </w:p>
    <w:p>
      <w:pPr>
        <w:pStyle w:val="BodyText"/>
        <w:spacing w:line="271" w:lineRule="exact"/>
        <w:ind w:left="138" w:right="0"/>
        <w:jc w:val="both"/>
      </w:pPr>
      <w:r>
        <w:rPr>
          <w:spacing w:val="-3"/>
        </w:rPr>
        <w:t>号文批准，以福州顶点软件公司</w:t>
      </w:r>
      <w:r>
        <w:rPr>
          <w:spacing w:val="-44"/>
        </w:rPr>
        <w:t> </w:t>
      </w:r>
      <w:r>
        <w:rPr>
          <w:rFonts w:ascii="宋体" w:hAnsi="宋体" w:cs="宋体" w:eastAsia="宋体" w:hint="default"/>
        </w:rPr>
        <w:t>2000</w:t>
      </w:r>
      <w:r>
        <w:rPr>
          <w:rFonts w:ascii="宋体" w:hAnsi="宋体" w:cs="宋体" w:eastAsia="宋体" w:hint="default"/>
          <w:spacing w:val="-44"/>
        </w:rPr>
        <w:t> </w:t>
      </w:r>
      <w:r>
        <w:rPr/>
        <w:t>年</w:t>
      </w:r>
      <w:r>
        <w:rPr>
          <w:spacing w:val="-46"/>
        </w:rPr>
        <w:t> </w:t>
      </w:r>
      <w:r>
        <w:rPr>
          <w:rFonts w:ascii="宋体" w:hAnsi="宋体" w:cs="宋体" w:eastAsia="宋体" w:hint="default"/>
        </w:rPr>
        <w:t>7</w:t>
      </w:r>
      <w:r>
        <w:rPr>
          <w:rFonts w:ascii="宋体" w:hAnsi="宋体" w:cs="宋体" w:eastAsia="宋体" w:hint="default"/>
          <w:spacing w:val="-44"/>
        </w:rPr>
        <w:t> </w:t>
      </w:r>
      <w:r>
        <w:rPr/>
        <w:t>月</w:t>
      </w:r>
      <w:r>
        <w:rPr>
          <w:spacing w:val="-46"/>
        </w:rPr>
        <w:t> </w:t>
      </w:r>
      <w:r>
        <w:rPr>
          <w:rFonts w:ascii="宋体" w:hAnsi="宋体" w:cs="宋体" w:eastAsia="宋体" w:hint="default"/>
        </w:rPr>
        <w:t>31</w:t>
      </w:r>
      <w:r>
        <w:rPr>
          <w:rFonts w:ascii="宋体" w:hAnsi="宋体" w:cs="宋体" w:eastAsia="宋体" w:hint="default"/>
          <w:spacing w:val="-44"/>
        </w:rPr>
        <w:t> </w:t>
      </w:r>
      <w:r>
        <w:rPr>
          <w:spacing w:val="-3"/>
        </w:rPr>
        <w:t>日账面净资产折股变更为股份有限公司。</w:t>
      </w:r>
      <w:r>
        <w:rPr>
          <w:rFonts w:ascii="宋体" w:hAnsi="宋体" w:cs="宋体" w:eastAsia="宋体" w:hint="default"/>
          <w:spacing w:val="-3"/>
        </w:rPr>
        <w:t>2017</w:t>
      </w:r>
      <w:r>
        <w:rPr>
          <w:rFonts w:ascii="宋体" w:hAnsi="宋体" w:cs="宋体" w:eastAsia="宋体" w:hint="default"/>
          <w:spacing w:val="-46"/>
        </w:rPr>
        <w:t> </w:t>
      </w:r>
      <w:r>
        <w:rPr/>
        <w:t>年</w:t>
      </w:r>
    </w:p>
    <w:p>
      <w:pPr>
        <w:pStyle w:val="BodyText"/>
        <w:spacing w:line="272" w:lineRule="exact" w:before="27"/>
        <w:ind w:left="138" w:right="1267"/>
        <w:jc w:val="both"/>
      </w:pPr>
      <w:r>
        <w:rPr>
          <w:rFonts w:ascii="宋体" w:hAnsi="宋体" w:cs="宋体" w:eastAsia="宋体" w:hint="default"/>
        </w:rPr>
        <w:t>4</w:t>
      </w:r>
      <w:r>
        <w:rPr>
          <w:rFonts w:ascii="宋体" w:hAnsi="宋体" w:cs="宋体" w:eastAsia="宋体" w:hint="default"/>
          <w:spacing w:val="-42"/>
        </w:rPr>
        <w:t> </w:t>
      </w:r>
      <w:r>
        <w:rPr>
          <w:spacing w:val="-5"/>
        </w:rPr>
        <w:t>月经中国证券监督管理委员会证监许可〔</w:t>
      </w:r>
      <w:r>
        <w:rPr>
          <w:rFonts w:ascii="宋体" w:hAnsi="宋体" w:cs="宋体" w:eastAsia="宋体" w:hint="default"/>
          <w:spacing w:val="-5"/>
        </w:rPr>
        <w:t>2017</w:t>
      </w:r>
      <w:r>
        <w:rPr>
          <w:spacing w:val="-5"/>
        </w:rPr>
        <w:t>〕</w:t>
      </w:r>
      <w:r>
        <w:rPr>
          <w:rFonts w:ascii="宋体" w:hAnsi="宋体" w:cs="宋体" w:eastAsia="宋体" w:hint="default"/>
          <w:spacing w:val="-5"/>
        </w:rPr>
        <w:t>615</w:t>
      </w:r>
      <w:r>
        <w:rPr>
          <w:rFonts w:ascii="宋体" w:hAnsi="宋体" w:cs="宋体" w:eastAsia="宋体" w:hint="default"/>
          <w:spacing w:val="-40"/>
        </w:rPr>
        <w:t> </w:t>
      </w:r>
      <w:r>
        <w:rPr/>
        <w:t>号“关于核准福建顶点软件股份有限公司首</w:t>
      </w:r>
      <w:r>
        <w:rPr>
          <w:spacing w:val="-101"/>
        </w:rPr>
        <w:t> </w:t>
      </w:r>
      <w:r>
        <w:rPr>
          <w:spacing w:val="-101"/>
        </w:rPr>
      </w:r>
      <w:r>
        <w:rPr>
          <w:spacing w:val="-3"/>
        </w:rPr>
        <w:t>次公开发行股票的批复”核准，本公司向社会公众发行人民币普通股（</w:t>
      </w:r>
      <w:r>
        <w:rPr>
          <w:rFonts w:ascii="宋体" w:hAnsi="宋体" w:cs="宋体" w:eastAsia="宋体" w:hint="default"/>
          <w:spacing w:val="-3"/>
        </w:rPr>
        <w:t>A</w:t>
      </w:r>
      <w:r>
        <w:rPr>
          <w:rFonts w:ascii="宋体" w:hAnsi="宋体" w:cs="宋体" w:eastAsia="宋体" w:hint="default"/>
          <w:spacing w:val="-31"/>
        </w:rPr>
        <w:t> </w:t>
      </w:r>
      <w:r>
        <w:rPr>
          <w:spacing w:val="-4"/>
        </w:rPr>
        <w:t>股）</w:t>
      </w:r>
      <w:r>
        <w:rPr>
          <w:rFonts w:ascii="宋体" w:hAnsi="宋体" w:cs="宋体" w:eastAsia="宋体" w:hint="default"/>
          <w:spacing w:val="-4"/>
        </w:rPr>
        <w:t>2,105</w:t>
      </w:r>
      <w:r>
        <w:rPr>
          <w:rFonts w:ascii="宋体" w:hAnsi="宋体" w:cs="宋体" w:eastAsia="宋体" w:hint="default"/>
          <w:spacing w:val="-30"/>
        </w:rPr>
        <w:t> </w:t>
      </w:r>
      <w:r>
        <w:rPr>
          <w:spacing w:val="-5"/>
        </w:rPr>
        <w:t>万股，每股面</w:t>
      </w:r>
      <w:r>
        <w:rPr>
          <w:spacing w:val="-96"/>
        </w:rPr>
        <w:t> </w:t>
      </w:r>
      <w:r>
        <w:rPr>
          <w:spacing w:val="-96"/>
        </w:rPr>
      </w:r>
      <w:r>
        <w:rPr/>
        <w:t>值</w:t>
      </w:r>
      <w:r>
        <w:rPr>
          <w:spacing w:val="-54"/>
        </w:rPr>
        <w:t> </w:t>
      </w:r>
      <w:r>
        <w:rPr>
          <w:rFonts w:ascii="宋体" w:hAnsi="宋体" w:cs="宋体" w:eastAsia="宋体" w:hint="default"/>
        </w:rPr>
        <w:t>1</w:t>
      </w:r>
      <w:r>
        <w:rPr>
          <w:rFonts w:ascii="宋体" w:hAnsi="宋体" w:cs="宋体" w:eastAsia="宋体" w:hint="default"/>
          <w:spacing w:val="-54"/>
        </w:rPr>
        <w:t> </w:t>
      </w:r>
      <w:r>
        <w:rPr/>
        <w:t>元，每股发行价为</w:t>
      </w:r>
      <w:r>
        <w:rPr>
          <w:spacing w:val="-53"/>
        </w:rPr>
        <w:t> </w:t>
      </w:r>
      <w:r>
        <w:rPr>
          <w:rFonts w:ascii="宋体" w:hAnsi="宋体" w:cs="宋体" w:eastAsia="宋体" w:hint="default"/>
        </w:rPr>
        <w:t>19.05</w:t>
      </w:r>
      <w:r>
        <w:rPr>
          <w:rFonts w:ascii="宋体" w:hAnsi="宋体" w:cs="宋体" w:eastAsia="宋体" w:hint="default"/>
          <w:spacing w:val="-54"/>
        </w:rPr>
        <w:t> </w:t>
      </w:r>
      <w:r>
        <w:rPr/>
        <w:t>元。</w:t>
      </w:r>
      <w:r>
        <w:rPr>
          <w:rFonts w:ascii="宋体" w:hAnsi="宋体" w:cs="宋体" w:eastAsia="宋体" w:hint="default"/>
        </w:rPr>
        <w:t>2017</w:t>
      </w:r>
      <w:r>
        <w:rPr>
          <w:rFonts w:ascii="宋体" w:hAnsi="宋体" w:cs="宋体" w:eastAsia="宋体" w:hint="default"/>
          <w:spacing w:val="-3"/>
        </w:rPr>
        <w:t> </w:t>
      </w:r>
      <w:r>
        <w:rPr/>
        <w:t>年</w:t>
      </w:r>
      <w:r>
        <w:rPr>
          <w:spacing w:val="-1"/>
        </w:rPr>
        <w:t> </w:t>
      </w:r>
      <w:r>
        <w:rPr>
          <w:rFonts w:ascii="宋体" w:hAnsi="宋体" w:cs="宋体" w:eastAsia="宋体" w:hint="default"/>
        </w:rPr>
        <w:t>7</w:t>
      </w:r>
      <w:r>
        <w:rPr>
          <w:rFonts w:ascii="宋体" w:hAnsi="宋体" w:cs="宋体" w:eastAsia="宋体" w:hint="default"/>
          <w:spacing w:val="-3"/>
        </w:rPr>
        <w:t> </w:t>
      </w:r>
      <w:r>
        <w:rPr/>
        <w:t>月</w:t>
      </w:r>
      <w:r>
        <w:rPr>
          <w:spacing w:val="-1"/>
        </w:rPr>
        <w:t> </w:t>
      </w:r>
      <w:r>
        <w:rPr>
          <w:rFonts w:ascii="宋体" w:hAnsi="宋体" w:cs="宋体" w:eastAsia="宋体" w:hint="default"/>
        </w:rPr>
        <w:t>26</w:t>
      </w:r>
      <w:r>
        <w:rPr>
          <w:rFonts w:ascii="宋体" w:hAnsi="宋体" w:cs="宋体" w:eastAsia="宋体" w:hint="default"/>
          <w:spacing w:val="-3"/>
        </w:rPr>
        <w:t> </w:t>
      </w:r>
      <w:r>
        <w:rPr/>
        <w:t>日召开</w:t>
      </w:r>
      <w:r>
        <w:rPr>
          <w:spacing w:val="-1"/>
        </w:rPr>
        <w:t> </w:t>
      </w:r>
      <w:r>
        <w:rPr>
          <w:rFonts w:ascii="宋体" w:hAnsi="宋体" w:cs="宋体" w:eastAsia="宋体" w:hint="default"/>
        </w:rPr>
        <w:t>2017</w:t>
      </w:r>
      <w:r>
        <w:rPr>
          <w:rFonts w:ascii="宋体" w:hAnsi="宋体" w:cs="宋体" w:eastAsia="宋体" w:hint="default"/>
          <w:spacing w:val="-3"/>
        </w:rPr>
        <w:t> </w:t>
      </w:r>
      <w:r>
        <w:rPr/>
        <w:t>年第三次临时股东大会审议通</w:t>
      </w:r>
    </w:p>
    <w:p>
      <w:pPr>
        <w:pStyle w:val="BodyText"/>
        <w:spacing w:line="247" w:lineRule="exact"/>
        <w:ind w:left="138" w:right="0"/>
        <w:jc w:val="both"/>
      </w:pPr>
      <w:r>
        <w:rPr/>
        <w:t>过了股票激励计划相关议案，</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7</w:t>
      </w:r>
      <w:r>
        <w:rPr>
          <w:rFonts w:ascii="宋体" w:hAnsi="宋体" w:cs="宋体" w:eastAsia="宋体" w:hint="default"/>
          <w:spacing w:val="-55"/>
        </w:rPr>
        <w:t> </w:t>
      </w:r>
      <w:r>
        <w:rPr/>
        <w:t>月</w:t>
      </w:r>
      <w:r>
        <w:rPr>
          <w:spacing w:val="-53"/>
        </w:rPr>
        <w:t> </w:t>
      </w:r>
      <w:r>
        <w:rPr>
          <w:rFonts w:ascii="宋体" w:hAnsi="宋体" w:cs="宋体" w:eastAsia="宋体" w:hint="default"/>
        </w:rPr>
        <w:t>27</w:t>
      </w:r>
      <w:r>
        <w:rPr>
          <w:rFonts w:ascii="宋体" w:hAnsi="宋体" w:cs="宋体" w:eastAsia="宋体" w:hint="default"/>
          <w:spacing w:val="-55"/>
        </w:rPr>
        <w:t> </w:t>
      </w:r>
      <w:r>
        <w:rPr/>
        <w:t>日第七届董事会第二次会议审议通过了调整公司限</w:t>
      </w:r>
    </w:p>
    <w:p>
      <w:pPr>
        <w:pStyle w:val="BodyText"/>
        <w:spacing w:line="272" w:lineRule="exact"/>
        <w:ind w:left="138" w:right="0"/>
        <w:jc w:val="both"/>
      </w:pPr>
      <w:r>
        <w:rPr>
          <w:spacing w:val="-3"/>
        </w:rPr>
        <w:t>制性股票激励计划激励对象和授予数量的议案，确定授予 </w:t>
      </w:r>
      <w:r>
        <w:rPr>
          <w:rFonts w:ascii="宋体" w:hAnsi="宋体" w:cs="宋体" w:eastAsia="宋体" w:hint="default"/>
        </w:rPr>
        <w:t>134 </w:t>
      </w:r>
      <w:r>
        <w:rPr/>
        <w:t>名激励对象 </w:t>
      </w:r>
      <w:r>
        <w:rPr>
          <w:rFonts w:ascii="宋体" w:hAnsi="宋体" w:cs="宋体" w:eastAsia="宋体" w:hint="default"/>
        </w:rPr>
        <w:t>167.70</w:t>
      </w:r>
      <w:r>
        <w:rPr>
          <w:rFonts w:ascii="宋体" w:hAnsi="宋体" w:cs="宋体" w:eastAsia="宋体" w:hint="default"/>
          <w:spacing w:val="-21"/>
        </w:rPr>
        <w:t> </w:t>
      </w:r>
      <w:r>
        <w:rPr/>
        <w:t>万股限制性股</w:t>
      </w:r>
    </w:p>
    <w:p>
      <w:pPr>
        <w:pStyle w:val="BodyText"/>
        <w:spacing w:line="272" w:lineRule="exact"/>
        <w:ind w:left="138" w:right="0"/>
        <w:jc w:val="both"/>
      </w:pPr>
      <w:r>
        <w:rPr/>
        <w:t>票，股票面值</w:t>
      </w:r>
      <w:r>
        <w:rPr>
          <w:spacing w:val="-54"/>
        </w:rPr>
        <w:t> </w:t>
      </w:r>
      <w:r>
        <w:rPr>
          <w:rFonts w:ascii="宋体" w:hAnsi="宋体" w:cs="宋体" w:eastAsia="宋体" w:hint="default"/>
        </w:rPr>
        <w:t>1</w:t>
      </w:r>
      <w:r>
        <w:rPr>
          <w:rFonts w:ascii="宋体" w:hAnsi="宋体" w:cs="宋体" w:eastAsia="宋体" w:hint="default"/>
          <w:spacing w:val="-56"/>
        </w:rPr>
        <w:t> </w:t>
      </w:r>
      <w:r>
        <w:rPr/>
        <w:t>元，授予价格为</w:t>
      </w:r>
      <w:r>
        <w:rPr>
          <w:spacing w:val="-53"/>
        </w:rPr>
        <w:t> </w:t>
      </w:r>
      <w:r>
        <w:rPr>
          <w:rFonts w:ascii="宋体" w:hAnsi="宋体" w:cs="宋体" w:eastAsia="宋体" w:hint="default"/>
        </w:rPr>
        <w:t>22.96</w:t>
      </w:r>
      <w:r>
        <w:rPr>
          <w:rFonts w:ascii="宋体" w:hAnsi="宋体" w:cs="宋体" w:eastAsia="宋体" w:hint="default"/>
          <w:spacing w:val="-54"/>
        </w:rPr>
        <w:t> </w:t>
      </w:r>
      <w:r>
        <w:rPr/>
        <w:t>元</w:t>
      </w:r>
      <w:r>
        <w:rPr>
          <w:rFonts w:ascii="宋体" w:hAnsi="宋体" w:cs="宋体" w:eastAsia="宋体" w:hint="default"/>
        </w:rPr>
        <w:t>/</w:t>
      </w:r>
      <w:r>
        <w:rPr/>
        <w:t>股。增加注册资本人民币</w:t>
      </w:r>
      <w:r>
        <w:rPr>
          <w:spacing w:val="-54"/>
        </w:rPr>
        <w:t> </w:t>
      </w:r>
      <w:r>
        <w:rPr>
          <w:rFonts w:ascii="宋体" w:hAnsi="宋体" w:cs="宋体" w:eastAsia="宋体" w:hint="default"/>
        </w:rPr>
        <w:t>167.70</w:t>
      </w:r>
      <w:r>
        <w:rPr>
          <w:rFonts w:ascii="宋体" w:hAnsi="宋体" w:cs="宋体" w:eastAsia="宋体" w:hint="default"/>
          <w:spacing w:val="-56"/>
        </w:rPr>
        <w:t> </w:t>
      </w:r>
      <w:r>
        <w:rPr/>
        <w:t>万元，变更后的注册</w:t>
      </w:r>
    </w:p>
    <w:p>
      <w:pPr>
        <w:pStyle w:val="BodyText"/>
        <w:spacing w:line="240" w:lineRule="auto"/>
        <w:ind w:left="558" w:right="0" w:hanging="420"/>
        <w:jc w:val="left"/>
      </w:pPr>
      <w:r>
        <w:rPr/>
        <w:t>资本为人民币</w:t>
      </w:r>
      <w:r>
        <w:rPr>
          <w:spacing w:val="-53"/>
        </w:rPr>
        <w:t> </w:t>
      </w:r>
      <w:r>
        <w:rPr>
          <w:rFonts w:ascii="宋体" w:hAnsi="宋体" w:cs="宋体" w:eastAsia="宋体" w:hint="default"/>
        </w:rPr>
        <w:t>8,586.70</w:t>
      </w:r>
      <w:r>
        <w:rPr>
          <w:rFonts w:ascii="宋体" w:hAnsi="宋体" w:cs="宋体" w:eastAsia="宋体" w:hint="default"/>
          <w:spacing w:val="-55"/>
        </w:rPr>
        <w:t> </w:t>
      </w:r>
      <w:r>
        <w:rPr/>
        <w:t>万元。</w:t>
      </w:r>
      <w:r>
        <w:rPr>
          <w:w w:val="100"/>
        </w:rPr>
        <w:t> </w:t>
      </w:r>
      <w:r>
        <w:rPr>
          <w:spacing w:val="-2"/>
        </w:rPr>
        <w:t>本公司统一社会信用代码：</w:t>
      </w:r>
      <w:r>
        <w:rPr>
          <w:rFonts w:ascii="宋体" w:hAnsi="宋体" w:cs="宋体" w:eastAsia="宋体" w:hint="default"/>
          <w:spacing w:val="-2"/>
        </w:rPr>
        <w:t>91350000260188521B</w:t>
      </w:r>
      <w:r>
        <w:rPr>
          <w:spacing w:val="-2"/>
        </w:rPr>
        <w:t>；注册地址：福建省福州市鼓楼区铜盘路软</w:t>
      </w:r>
    </w:p>
    <w:p>
      <w:pPr>
        <w:pStyle w:val="BodyText"/>
        <w:spacing w:line="274" w:lineRule="exact" w:before="22"/>
        <w:ind w:left="558" w:right="5054" w:hanging="420"/>
        <w:jc w:val="left"/>
      </w:pPr>
      <w:r>
        <w:rPr/>
        <w:t>件大道</w:t>
      </w:r>
      <w:r>
        <w:rPr>
          <w:spacing w:val="-52"/>
        </w:rPr>
        <w:t> </w:t>
      </w:r>
      <w:r>
        <w:rPr>
          <w:rFonts w:ascii="宋体" w:hAnsi="宋体" w:cs="宋体" w:eastAsia="宋体" w:hint="default"/>
        </w:rPr>
        <w:t>89</w:t>
      </w:r>
      <w:r>
        <w:rPr>
          <w:rFonts w:ascii="宋体" w:hAnsi="宋体" w:cs="宋体" w:eastAsia="宋体" w:hint="default"/>
          <w:spacing w:val="-55"/>
        </w:rPr>
        <w:t> </w:t>
      </w:r>
      <w:r>
        <w:rPr/>
        <w:t>号</w:t>
      </w:r>
      <w:r>
        <w:rPr>
          <w:spacing w:val="-52"/>
        </w:rPr>
        <w:t> </w:t>
      </w:r>
      <w:r>
        <w:rPr>
          <w:rFonts w:ascii="宋体" w:hAnsi="宋体" w:cs="宋体" w:eastAsia="宋体" w:hint="default"/>
        </w:rPr>
        <w:t>A</w:t>
      </w:r>
      <w:r>
        <w:rPr>
          <w:rFonts w:ascii="宋体" w:hAnsi="宋体" w:cs="宋体" w:eastAsia="宋体" w:hint="default"/>
          <w:spacing w:val="-55"/>
        </w:rPr>
        <w:t> </w:t>
      </w:r>
      <w:r>
        <w:rPr/>
        <w:t>区</w:t>
      </w:r>
      <w:r>
        <w:rPr>
          <w:spacing w:val="-52"/>
        </w:rPr>
        <w:t> </w:t>
      </w:r>
      <w:r>
        <w:rPr>
          <w:rFonts w:ascii="宋体" w:hAnsi="宋体" w:cs="宋体" w:eastAsia="宋体" w:hint="default"/>
        </w:rPr>
        <w:t>13</w:t>
      </w:r>
      <w:r>
        <w:rPr>
          <w:rFonts w:ascii="宋体" w:hAnsi="宋体" w:cs="宋体" w:eastAsia="宋体" w:hint="default"/>
          <w:spacing w:val="-55"/>
        </w:rPr>
        <w:t> </w:t>
      </w:r>
      <w:r>
        <w:rPr/>
        <w:t>号楼；公司法定代表人：严孟宇。</w:t>
      </w:r>
      <w:r>
        <w:rPr>
          <w:w w:val="100"/>
        </w:rPr>
        <w:t> </w:t>
      </w:r>
      <w:r>
        <w:rPr/>
        <w:t>本公司实际控制人为严孟宇。</w:t>
      </w:r>
    </w:p>
    <w:p>
      <w:pPr>
        <w:pStyle w:val="BodyText"/>
        <w:spacing w:line="245" w:lineRule="exact"/>
        <w:ind w:left="138" w:right="0" w:firstLine="419"/>
        <w:jc w:val="both"/>
      </w:pPr>
      <w:r>
        <w:rPr/>
        <w:t>本公司建立了股东大会、董事会、监事会的法人治理结构，目前设事业部、核心平台研发中</w:t>
      </w:r>
    </w:p>
    <w:p>
      <w:pPr>
        <w:pStyle w:val="BodyText"/>
        <w:spacing w:line="237" w:lineRule="auto" w:before="2"/>
        <w:ind w:left="138" w:right="1268"/>
        <w:jc w:val="both"/>
      </w:pPr>
      <w:r>
        <w:rPr>
          <w:spacing w:val="-11"/>
        </w:rPr>
        <w:t>心、财务部、人力资源部等部门，拥有福州顶点数码科技有限公司（以下简称“顶点数码公司”）、</w:t>
      </w:r>
      <w:r>
        <w:rPr>
          <w:spacing w:val="-36"/>
        </w:rPr>
        <w:t> </w:t>
      </w:r>
      <w:r>
        <w:rPr>
          <w:spacing w:val="-36"/>
        </w:rPr>
      </w:r>
      <w:r>
        <w:rPr>
          <w:spacing w:val="-2"/>
        </w:rPr>
        <w:t>北京顶点时代软件技术有限公司（以下简称“北京顶点公司”）、上海顶点软件有限公司（以下</w:t>
      </w:r>
      <w:r>
        <w:rPr>
          <w:spacing w:val="-25"/>
        </w:rPr>
        <w:t> </w:t>
      </w:r>
      <w:r>
        <w:rPr>
          <w:spacing w:val="-25"/>
        </w:rPr>
      </w:r>
      <w:r>
        <w:rPr>
          <w:spacing w:val="-2"/>
        </w:rPr>
        <w:t>简称“上海顶点公司”）、福州顶点信息管理有限公司（以下简称“顶点信息公司”）、武汉顶</w:t>
      </w:r>
      <w:r>
        <w:rPr>
          <w:spacing w:val="-25"/>
        </w:rPr>
        <w:t> </w:t>
      </w:r>
      <w:r>
        <w:rPr>
          <w:spacing w:val="-25"/>
        </w:rPr>
      </w:r>
      <w:r>
        <w:rPr>
          <w:spacing w:val="-2"/>
        </w:rPr>
        <w:t>点软件有限公司（以下简称“武汉顶点公司”）以及上海亿维航软件有限公司（以下简称“亿维</w:t>
      </w:r>
      <w:r>
        <w:rPr>
          <w:spacing w:val="-25"/>
        </w:rPr>
        <w:t> </w:t>
      </w:r>
      <w:r>
        <w:rPr>
          <w:spacing w:val="-25"/>
        </w:rPr>
      </w:r>
      <w:r>
        <w:rPr/>
        <w:t>航公司”）共</w:t>
      </w:r>
      <w:r>
        <w:rPr>
          <w:spacing w:val="-53"/>
        </w:rPr>
        <w:t> </w:t>
      </w:r>
      <w:r>
        <w:rPr>
          <w:rFonts w:ascii="宋体" w:hAnsi="宋体" w:cs="宋体" w:eastAsia="宋体" w:hint="default"/>
        </w:rPr>
        <w:t>6</w:t>
      </w:r>
      <w:r>
        <w:rPr>
          <w:rFonts w:ascii="宋体" w:hAnsi="宋体" w:cs="宋体" w:eastAsia="宋体" w:hint="default"/>
          <w:spacing w:val="-55"/>
        </w:rPr>
        <w:t> </w:t>
      </w:r>
      <w:r>
        <w:rPr/>
        <w:t>家子公司。</w:t>
      </w:r>
    </w:p>
    <w:p>
      <w:pPr>
        <w:pStyle w:val="BodyText"/>
        <w:spacing w:line="237" w:lineRule="auto"/>
        <w:ind w:left="138" w:right="1277" w:firstLine="419"/>
        <w:jc w:val="both"/>
      </w:pPr>
      <w:r>
        <w:rPr>
          <w:spacing w:val="-2"/>
        </w:rPr>
        <w:t>本公司业务性质为电子计算机软件开发、销售，经营范围主要包括：电子计算机软件开发、</w:t>
      </w:r>
      <w:r>
        <w:rPr>
          <w:w w:val="100"/>
        </w:rPr>
        <w:t> </w:t>
      </w:r>
      <w:r>
        <w:rPr>
          <w:spacing w:val="-2"/>
        </w:rPr>
        <w:t>销售；电子计算机批发、零售；计算机网络工程的设计及安装服务；电子计算机技术服务、技术</w:t>
      </w:r>
      <w:r>
        <w:rPr>
          <w:spacing w:val="-25"/>
        </w:rPr>
        <w:t> </w:t>
      </w:r>
      <w:r>
        <w:rPr>
          <w:spacing w:val="-25"/>
        </w:rPr>
      </w:r>
      <w:r>
        <w:rPr/>
        <w:t>咨询。</w:t>
      </w:r>
    </w:p>
    <w:p>
      <w:pPr>
        <w:pStyle w:val="BodyText"/>
        <w:spacing w:line="274" w:lineRule="exact"/>
        <w:ind w:left="558" w:right="0"/>
        <w:jc w:val="left"/>
      </w:pPr>
      <w:r>
        <w:rPr/>
        <w:t>本财务报表及财务报表附注业经本公司第七届董事会第十一次会议于</w:t>
      </w:r>
      <w:r>
        <w:rPr>
          <w:spacing w:val="-53"/>
        </w:rPr>
        <w:t> </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4</w:t>
      </w:r>
      <w:r>
        <w:rPr>
          <w:rFonts w:ascii="宋体" w:hAnsi="宋体" w:cs="宋体" w:eastAsia="宋体" w:hint="default"/>
          <w:spacing w:val="-55"/>
        </w:rPr>
        <w:t> </w:t>
      </w:r>
      <w:r>
        <w:rPr/>
        <w:t>月</w:t>
      </w:r>
      <w:r>
        <w:rPr>
          <w:spacing w:val="-53"/>
        </w:rPr>
        <w:t> </w:t>
      </w:r>
      <w:r>
        <w:rPr>
          <w:rFonts w:ascii="宋体" w:hAnsi="宋体" w:cs="宋体" w:eastAsia="宋体" w:hint="default"/>
        </w:rPr>
        <w:t>2</w:t>
      </w:r>
      <w:r>
        <w:rPr>
          <w:rFonts w:ascii="宋体" w:hAnsi="宋体" w:cs="宋体" w:eastAsia="宋体" w:hint="default"/>
          <w:spacing w:val="-53"/>
        </w:rPr>
        <w:t> </w:t>
      </w:r>
      <w:r>
        <w:rPr/>
        <w:t>日批准。</w:t>
      </w:r>
    </w:p>
    <w:p>
      <w:pPr>
        <w:spacing w:line="240" w:lineRule="auto" w:before="3"/>
        <w:rPr>
          <w:rFonts w:ascii="宋体" w:hAnsi="宋体" w:cs="宋体" w:eastAsia="宋体" w:hint="default"/>
          <w:sz w:val="25"/>
          <w:szCs w:val="25"/>
        </w:rPr>
      </w:pPr>
    </w:p>
    <w:p>
      <w:pPr>
        <w:pStyle w:val="Heading3"/>
        <w:spacing w:line="240" w:lineRule="auto"/>
        <w:ind w:left="138" w:right="0"/>
        <w:jc w:val="both"/>
        <w:rPr>
          <w:b w:val="0"/>
          <w:bCs w:val="0"/>
        </w:rPr>
      </w:pPr>
      <w:r>
        <w:rPr>
          <w:rFonts w:ascii="宋体" w:hAnsi="宋体" w:cs="宋体" w:eastAsia="宋体" w:hint="default"/>
        </w:rPr>
        <w:t>2.</w:t>
      </w:r>
      <w:r>
        <w:rPr>
          <w:rFonts w:ascii="宋体" w:hAnsi="宋体" w:cs="宋体" w:eastAsia="宋体" w:hint="default"/>
          <w:spacing w:val="105"/>
        </w:rPr>
        <w:t> </w:t>
      </w:r>
      <w:r>
        <w:rPr/>
        <w:t>合并财务报表范围</w:t>
      </w:r>
      <w:r>
        <w:rPr>
          <w:b w:val="0"/>
          <w:bCs w:val="0"/>
        </w:rPr>
      </w:r>
    </w:p>
    <w:p>
      <w:pPr>
        <w:pStyle w:val="BodyText"/>
        <w:spacing w:line="240" w:lineRule="auto" w:before="56"/>
        <w:ind w:left="138" w:right="0"/>
        <w:jc w:val="both"/>
      </w:pPr>
      <w:r>
        <w:rPr/>
        <w:t>√适用</w:t>
      </w:r>
      <w:r>
        <w:rPr>
          <w:spacing w:val="104"/>
        </w:rPr>
        <w:t> </w:t>
      </w:r>
      <w:r>
        <w:rPr/>
        <w:t>□不适用</w:t>
      </w:r>
    </w:p>
    <w:p>
      <w:pPr>
        <w:spacing w:after="0" w:line="240" w:lineRule="auto"/>
        <w:jc w:val="both"/>
        <w:sectPr>
          <w:pgSz w:w="11910" w:h="16840"/>
          <w:pgMar w:header="857" w:footer="1195" w:top="1320" w:bottom="1380" w:left="1660" w:right="0"/>
        </w:sectPr>
      </w:pPr>
    </w:p>
    <w:p>
      <w:pPr>
        <w:spacing w:line="240" w:lineRule="auto" w:before="4"/>
        <w:rPr>
          <w:rFonts w:ascii="宋体" w:hAnsi="宋体" w:cs="宋体" w:eastAsia="宋体" w:hint="default"/>
          <w:sz w:val="9"/>
          <w:szCs w:val="9"/>
        </w:rPr>
      </w:pPr>
    </w:p>
    <w:p>
      <w:pPr>
        <w:pStyle w:val="BodyText"/>
        <w:spacing w:line="240" w:lineRule="auto" w:before="36"/>
        <w:ind w:left="138" w:right="0"/>
        <w:jc w:val="left"/>
      </w:pPr>
      <w:r>
        <w:rPr/>
        <w:t>本公司本期合并财务报表范围无变动，子公司具体情况详见</w:t>
      </w:r>
      <w:r>
        <w:rPr>
          <w:spacing w:val="1"/>
        </w:rPr>
        <w:t> </w:t>
      </w:r>
      <w:r>
        <w:rPr/>
        <w:t>“附注七、在其他主体中的权益”。</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3"/>
        <w:tabs>
          <w:tab w:pos="562" w:val="left" w:leader="none"/>
        </w:tabs>
        <w:spacing w:line="290" w:lineRule="auto"/>
        <w:ind w:left="138" w:right="6720"/>
        <w:jc w:val="left"/>
        <w:rPr>
          <w:b w:val="0"/>
          <w:bCs w:val="0"/>
        </w:rPr>
      </w:pPr>
      <w:r>
        <w:rPr/>
        <w:t>四、财务报表的编制基础</w:t>
      </w:r>
      <w:r>
        <w:rPr>
          <w:spacing w:val="-100"/>
        </w:rPr>
        <w:t> </w:t>
      </w:r>
      <w:r>
        <w:rPr>
          <w:spacing w:val="-100"/>
        </w:rPr>
      </w:r>
      <w:r>
        <w:rPr>
          <w:rFonts w:ascii="宋体" w:hAnsi="宋体" w:cs="宋体" w:eastAsia="宋体" w:hint="default"/>
          <w:w w:val="95"/>
        </w:rPr>
        <w:t>1.</w:t>
        <w:tab/>
      </w:r>
      <w:r>
        <w:rPr/>
        <w:t>编制基础</w:t>
      </w:r>
      <w:r>
        <w:rPr>
          <w:b w:val="0"/>
          <w:bCs w:val="0"/>
        </w:rPr>
      </w:r>
    </w:p>
    <w:p>
      <w:pPr>
        <w:pStyle w:val="BodyText"/>
        <w:spacing w:line="272" w:lineRule="exact" w:before="42"/>
        <w:ind w:left="558" w:right="0"/>
        <w:jc w:val="left"/>
      </w:pPr>
      <w:r>
        <w:rPr/>
        <w:t>本公司财务报表以持续经营为编制基础。</w:t>
      </w:r>
      <w:r>
        <w:rPr>
          <w:w w:val="100"/>
        </w:rPr>
        <w:t> </w:t>
      </w:r>
      <w:r>
        <w:rPr>
          <w:spacing w:val="-2"/>
        </w:rPr>
        <w:t>本财务报表按照财政部颁布的企业会计准则及其应用指南、解释及其他有关规定（统称“企</w:t>
      </w:r>
    </w:p>
    <w:p>
      <w:pPr>
        <w:pStyle w:val="BodyText"/>
        <w:spacing w:line="272" w:lineRule="exact" w:before="1"/>
        <w:ind w:left="138" w:right="227"/>
        <w:jc w:val="left"/>
      </w:pPr>
      <w:r>
        <w:rPr>
          <w:spacing w:val="-2"/>
        </w:rPr>
        <w:t>业会计准则”）编制。此外，本公司还按照中国证监会《公开发行证券的公司信息披露编报规则</w:t>
      </w:r>
      <w:r>
        <w:rPr>
          <w:spacing w:val="-25"/>
        </w:rPr>
        <w:t> </w:t>
      </w:r>
      <w:r>
        <w:rPr>
          <w:spacing w:val="-25"/>
        </w:rPr>
      </w:r>
      <w:r>
        <w:rPr/>
        <w:t>第</w:t>
      </w:r>
      <w:r>
        <w:rPr>
          <w:spacing w:val="-54"/>
        </w:rPr>
        <w:t> </w:t>
      </w:r>
      <w:r>
        <w:rPr>
          <w:rFonts w:ascii="宋体" w:hAnsi="宋体" w:cs="宋体" w:eastAsia="宋体" w:hint="default"/>
        </w:rPr>
        <w:t>15</w:t>
      </w:r>
      <w:r>
        <w:rPr>
          <w:rFonts w:ascii="宋体" w:hAnsi="宋体" w:cs="宋体" w:eastAsia="宋体" w:hint="default"/>
          <w:spacing w:val="-56"/>
        </w:rPr>
        <w:t> </w:t>
      </w:r>
      <w:r>
        <w:rPr/>
        <w:t>号—财务报告的一般规定》（</w:t>
      </w:r>
      <w:r>
        <w:rPr>
          <w:rFonts w:ascii="宋体" w:hAnsi="宋体" w:cs="宋体" w:eastAsia="宋体" w:hint="default"/>
        </w:rPr>
        <w:t>2014</w:t>
      </w:r>
      <w:r>
        <w:rPr>
          <w:rFonts w:ascii="宋体" w:hAnsi="宋体" w:cs="宋体" w:eastAsia="宋体" w:hint="default"/>
          <w:spacing w:val="-56"/>
        </w:rPr>
        <w:t> </w:t>
      </w:r>
      <w:r>
        <w:rPr/>
        <w:t>年修订）披露有关财务信息。</w:t>
      </w:r>
    </w:p>
    <w:p>
      <w:pPr>
        <w:pStyle w:val="BodyText"/>
        <w:spacing w:line="272" w:lineRule="exact" w:before="1"/>
        <w:ind w:left="138" w:right="0" w:firstLine="419"/>
        <w:jc w:val="left"/>
      </w:pPr>
      <w:r>
        <w:rPr>
          <w:spacing w:val="-2"/>
        </w:rPr>
        <w:t>本公司会计核算以权责发生制为基础。除某些金融工具外，本财务报表均以历史成本为计量</w:t>
      </w:r>
      <w:r>
        <w:rPr>
          <w:w w:val="100"/>
        </w:rPr>
        <w:t> </w:t>
      </w:r>
      <w:r>
        <w:rPr/>
        <w:t>基础。资产如果发生减值，则按照相关规定计提相应的减值准备。</w:t>
      </w:r>
    </w:p>
    <w:p>
      <w:pPr>
        <w:spacing w:line="240" w:lineRule="auto" w:before="5"/>
        <w:rPr>
          <w:rFonts w:ascii="宋体" w:hAnsi="宋体" w:cs="宋体" w:eastAsia="宋体" w:hint="default"/>
          <w:sz w:val="23"/>
          <w:szCs w:val="23"/>
        </w:rPr>
      </w:pPr>
    </w:p>
    <w:p>
      <w:pPr>
        <w:pStyle w:val="Heading3"/>
        <w:tabs>
          <w:tab w:pos="562" w:val="left" w:leader="none"/>
        </w:tabs>
        <w:spacing w:line="240" w:lineRule="auto"/>
        <w:ind w:left="138" w:right="0"/>
        <w:jc w:val="left"/>
        <w:rPr>
          <w:b w:val="0"/>
          <w:bCs w:val="0"/>
        </w:rPr>
      </w:pPr>
      <w:r>
        <w:rPr>
          <w:rFonts w:ascii="宋体" w:hAnsi="宋体" w:cs="宋体" w:eastAsia="宋体" w:hint="default"/>
          <w:w w:val="95"/>
        </w:rPr>
        <w:t>2.</w:t>
        <w:tab/>
      </w:r>
      <w:r>
        <w:rPr/>
        <w:t>持续经营</w:t>
      </w:r>
      <w:r>
        <w:rPr>
          <w:b w:val="0"/>
          <w:bCs w:val="0"/>
        </w:rPr>
      </w:r>
    </w:p>
    <w:p>
      <w:pPr>
        <w:pStyle w:val="BodyText"/>
        <w:tabs>
          <w:tab w:pos="980" w:val="left" w:leader="none"/>
        </w:tabs>
        <w:spacing w:line="272" w:lineRule="exact" w:before="86"/>
        <w:ind w:left="138" w:right="5681"/>
        <w:jc w:val="left"/>
      </w:pPr>
      <w:r>
        <w:rPr>
          <w:spacing w:val="-1"/>
        </w:rPr>
        <w:t>√适用</w:t>
        <w:tab/>
      </w:r>
      <w:r>
        <w:rPr>
          <w:spacing w:val="-2"/>
        </w:rPr>
        <w:t>□不适用</w:t>
      </w:r>
      <w:r>
        <w:rPr>
          <w:spacing w:val="-99"/>
        </w:rPr>
        <w:t> </w:t>
      </w:r>
      <w:r>
        <w:rPr>
          <w:spacing w:val="-99"/>
        </w:rPr>
      </w:r>
      <w:r>
        <w:rPr>
          <w:spacing w:val="-2"/>
        </w:rPr>
        <w:t>本财务报表以持续经营为基础列报。</w:t>
      </w:r>
    </w:p>
    <w:p>
      <w:pPr>
        <w:spacing w:line="240" w:lineRule="auto" w:before="4"/>
        <w:rPr>
          <w:rFonts w:ascii="宋体" w:hAnsi="宋体" w:cs="宋体" w:eastAsia="宋体" w:hint="default"/>
          <w:sz w:val="23"/>
          <w:szCs w:val="23"/>
        </w:rPr>
      </w:pPr>
    </w:p>
    <w:p>
      <w:pPr>
        <w:spacing w:line="290" w:lineRule="auto" w:before="0"/>
        <w:ind w:left="138" w:right="6101" w:firstLine="0"/>
        <w:jc w:val="left"/>
        <w:rPr>
          <w:rFonts w:ascii="宋体" w:hAnsi="宋体" w:cs="宋体" w:eastAsia="宋体" w:hint="default"/>
          <w:sz w:val="21"/>
          <w:szCs w:val="21"/>
        </w:rPr>
      </w:pPr>
      <w:r>
        <w:rPr>
          <w:rFonts w:ascii="宋体" w:hAnsi="宋体" w:cs="宋体" w:eastAsia="宋体" w:hint="default"/>
          <w:b/>
          <w:bCs/>
          <w:sz w:val="21"/>
          <w:szCs w:val="21"/>
        </w:rPr>
        <w:t>五、重要会计政策及会计估计</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spacing w:val="-2"/>
          <w:sz w:val="21"/>
          <w:szCs w:val="21"/>
        </w:rPr>
        <w:t>具体会计政策和会计估计提示：</w:t>
      </w:r>
    </w:p>
    <w:p>
      <w:pPr>
        <w:pStyle w:val="BodyText"/>
        <w:spacing w:line="225" w:lineRule="exact"/>
        <w:ind w:left="138" w:right="0"/>
        <w:jc w:val="left"/>
      </w:pPr>
      <w:r>
        <w:rPr/>
        <w:t>√适用</w:t>
      </w:r>
      <w:r>
        <w:rPr>
          <w:spacing w:val="-1"/>
        </w:rPr>
        <w:t> </w:t>
      </w:r>
      <w:r>
        <w:rPr/>
        <w:t>□不适用</w:t>
      </w:r>
    </w:p>
    <w:p>
      <w:pPr>
        <w:pStyle w:val="BodyText"/>
        <w:spacing w:line="240" w:lineRule="auto"/>
        <w:ind w:left="138" w:right="0"/>
        <w:jc w:val="left"/>
      </w:pPr>
      <w:r>
        <w:rPr>
          <w:spacing w:val="-2"/>
        </w:rPr>
        <w:t>本公司根据自身生产经营特点，确定固定资产折旧、无形资产摊销、研发费用资本化条件以及收</w:t>
      </w:r>
      <w:r>
        <w:rPr>
          <w:spacing w:val="-25"/>
        </w:rPr>
        <w:t> </w:t>
      </w:r>
      <w:r>
        <w:rPr>
          <w:spacing w:val="-25"/>
        </w:rPr>
      </w:r>
      <w:r>
        <w:rPr/>
        <w:t>入确认政策，具体会计政策参见附注固定资产、附注无形资产和附注收入。</w:t>
      </w:r>
    </w:p>
    <w:p>
      <w:pPr>
        <w:spacing w:line="240" w:lineRule="auto" w:before="3"/>
        <w:rPr>
          <w:rFonts w:ascii="宋体" w:hAnsi="宋体" w:cs="宋体" w:eastAsia="宋体" w:hint="default"/>
          <w:sz w:val="25"/>
          <w:szCs w:val="25"/>
        </w:rPr>
      </w:pPr>
    </w:p>
    <w:p>
      <w:pPr>
        <w:pStyle w:val="Heading3"/>
        <w:tabs>
          <w:tab w:pos="562" w:val="left" w:leader="none"/>
        </w:tabs>
        <w:spacing w:line="240" w:lineRule="auto"/>
        <w:ind w:left="138" w:right="0"/>
        <w:jc w:val="left"/>
        <w:rPr>
          <w:b w:val="0"/>
          <w:bCs w:val="0"/>
        </w:rPr>
      </w:pPr>
      <w:r>
        <w:rPr>
          <w:rFonts w:ascii="宋体" w:hAnsi="宋体" w:cs="宋体" w:eastAsia="宋体" w:hint="default"/>
          <w:w w:val="95"/>
        </w:rPr>
        <w:t>1.</w:t>
        <w:tab/>
      </w:r>
      <w:r>
        <w:rPr/>
        <w:t>遵循企业会计准则的声明</w:t>
      </w:r>
      <w:r>
        <w:rPr>
          <w:b w:val="0"/>
          <w:bCs w:val="0"/>
        </w:rPr>
      </w:r>
    </w:p>
    <w:p>
      <w:pPr>
        <w:pStyle w:val="BodyText"/>
        <w:spacing w:line="240" w:lineRule="auto" w:before="56"/>
        <w:ind w:left="138" w:right="0"/>
        <w:jc w:val="left"/>
      </w:pPr>
      <w:r>
        <w:rPr>
          <w:spacing w:val="-2"/>
        </w:rPr>
        <w:t>本公司所编制的财务报表符合企业会计准则的要求，真实、完整地反映了公司的财务状况、经营</w:t>
      </w:r>
      <w:r>
        <w:rPr>
          <w:spacing w:val="-25"/>
        </w:rPr>
        <w:t> </w:t>
      </w:r>
      <w:r>
        <w:rPr>
          <w:spacing w:val="-25"/>
        </w:rPr>
      </w:r>
      <w:r>
        <w:rPr/>
        <w:t>成果、股东权益变动和现金流量等有关信息。</w:t>
      </w:r>
    </w:p>
    <w:p>
      <w:pPr>
        <w:spacing w:line="240" w:lineRule="auto" w:before="3"/>
        <w:rPr>
          <w:rFonts w:ascii="宋体" w:hAnsi="宋体" w:cs="宋体" w:eastAsia="宋体" w:hint="default"/>
          <w:sz w:val="25"/>
          <w:szCs w:val="25"/>
        </w:rPr>
      </w:pPr>
    </w:p>
    <w:p>
      <w:pPr>
        <w:pStyle w:val="Heading3"/>
        <w:tabs>
          <w:tab w:pos="562" w:val="left" w:leader="none"/>
        </w:tabs>
        <w:spacing w:line="240" w:lineRule="auto"/>
        <w:ind w:left="138" w:right="0"/>
        <w:jc w:val="left"/>
        <w:rPr>
          <w:b w:val="0"/>
          <w:bCs w:val="0"/>
        </w:rPr>
      </w:pPr>
      <w:r>
        <w:rPr>
          <w:rFonts w:ascii="宋体" w:hAnsi="宋体" w:cs="宋体" w:eastAsia="宋体" w:hint="default"/>
          <w:w w:val="95"/>
        </w:rPr>
        <w:t>2.</w:t>
        <w:tab/>
      </w:r>
      <w:r>
        <w:rPr/>
        <w:t>会计期间</w:t>
      </w:r>
      <w:r>
        <w:rPr>
          <w:b w:val="0"/>
          <w:bCs w:val="0"/>
        </w:rPr>
      </w:r>
    </w:p>
    <w:p>
      <w:pPr>
        <w:pStyle w:val="BodyText"/>
        <w:spacing w:line="240" w:lineRule="auto" w:before="56"/>
        <w:ind w:left="138" w:right="0"/>
        <w:jc w:val="left"/>
      </w:pPr>
      <w:r>
        <w:rPr/>
        <w:t>本公司会计年度自公历</w:t>
      </w:r>
      <w:r>
        <w:rPr>
          <w:spacing w:val="-52"/>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1</w:t>
      </w:r>
      <w:r>
        <w:rPr>
          <w:rFonts w:ascii="宋体" w:hAnsi="宋体" w:cs="宋体" w:eastAsia="宋体" w:hint="default"/>
          <w:spacing w:val="-53"/>
        </w:rPr>
        <w:t> </w:t>
      </w:r>
      <w:r>
        <w:rPr/>
        <w:t>日起至</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日止。</w:t>
      </w:r>
    </w:p>
    <w:p>
      <w:pPr>
        <w:spacing w:line="240" w:lineRule="auto" w:before="3"/>
        <w:rPr>
          <w:rFonts w:ascii="宋体" w:hAnsi="宋体" w:cs="宋体" w:eastAsia="宋体" w:hint="default"/>
          <w:sz w:val="25"/>
          <w:szCs w:val="25"/>
        </w:rPr>
      </w:pPr>
    </w:p>
    <w:p>
      <w:pPr>
        <w:pStyle w:val="Heading3"/>
        <w:tabs>
          <w:tab w:pos="562" w:val="left" w:leader="none"/>
        </w:tabs>
        <w:spacing w:line="240" w:lineRule="auto"/>
        <w:ind w:left="138" w:right="0"/>
        <w:jc w:val="left"/>
        <w:rPr>
          <w:b w:val="0"/>
          <w:bCs w:val="0"/>
        </w:rPr>
      </w:pPr>
      <w:r>
        <w:rPr>
          <w:rFonts w:ascii="宋体" w:hAnsi="宋体" w:cs="宋体" w:eastAsia="宋体" w:hint="default"/>
          <w:w w:val="95"/>
        </w:rPr>
        <w:t>3.</w:t>
        <w:tab/>
      </w:r>
      <w:r>
        <w:rPr/>
        <w:t>营业周期</w:t>
      </w:r>
      <w:r>
        <w:rPr>
          <w:b w:val="0"/>
          <w:bCs w:val="0"/>
        </w:rPr>
      </w:r>
    </w:p>
    <w:p>
      <w:pPr>
        <w:pStyle w:val="BodyText"/>
        <w:tabs>
          <w:tab w:pos="980" w:val="left" w:leader="none"/>
        </w:tabs>
        <w:spacing w:line="272" w:lineRule="exact" w:before="86"/>
        <w:ind w:left="138" w:right="6101"/>
        <w:jc w:val="left"/>
      </w:pPr>
      <w:r>
        <w:rPr>
          <w:spacing w:val="-1"/>
        </w:rPr>
        <w:t>√适用</w:t>
        <w:tab/>
      </w:r>
      <w:r>
        <w:rPr>
          <w:spacing w:val="-2"/>
        </w:rPr>
        <w:t>□不适用</w:t>
      </w:r>
      <w:r>
        <w:rPr>
          <w:spacing w:val="-99"/>
        </w:rPr>
        <w:t> </w:t>
      </w:r>
      <w:r>
        <w:rPr>
          <w:spacing w:val="-99"/>
        </w:rPr>
      </w:r>
      <w:r>
        <w:rPr>
          <w:spacing w:val="-2"/>
        </w:rPr>
        <w:t>本公司的记账本位币为人民币。</w:t>
      </w:r>
    </w:p>
    <w:p>
      <w:pPr>
        <w:spacing w:line="240" w:lineRule="auto" w:before="5"/>
        <w:rPr>
          <w:rFonts w:ascii="宋体" w:hAnsi="宋体" w:cs="宋体" w:eastAsia="宋体" w:hint="default"/>
          <w:sz w:val="23"/>
          <w:szCs w:val="23"/>
        </w:rPr>
      </w:pPr>
    </w:p>
    <w:p>
      <w:pPr>
        <w:tabs>
          <w:tab w:pos="562" w:val="left" w:leader="none"/>
        </w:tabs>
        <w:spacing w:line="290" w:lineRule="auto" w:before="0"/>
        <w:ind w:left="138" w:right="6101" w:firstLine="0"/>
        <w:jc w:val="left"/>
        <w:rPr>
          <w:rFonts w:ascii="宋体" w:hAnsi="宋体" w:cs="宋体" w:eastAsia="宋体" w:hint="default"/>
          <w:sz w:val="21"/>
          <w:szCs w:val="21"/>
        </w:rPr>
      </w:pPr>
      <w:r>
        <w:rPr>
          <w:rFonts w:ascii="宋体" w:hAnsi="宋体" w:cs="宋体" w:eastAsia="宋体" w:hint="default"/>
          <w:b/>
          <w:bCs/>
          <w:w w:val="95"/>
          <w:sz w:val="21"/>
          <w:szCs w:val="21"/>
        </w:rPr>
        <w:t>4.</w:t>
        <w:tab/>
      </w:r>
      <w:r>
        <w:rPr>
          <w:rFonts w:ascii="宋体" w:hAnsi="宋体" w:cs="宋体" w:eastAsia="宋体" w:hint="default"/>
          <w:b/>
          <w:bCs/>
          <w:sz w:val="21"/>
          <w:szCs w:val="21"/>
        </w:rPr>
        <w:t>记账本位币</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本公司的记账本位币为人民币。</w:t>
      </w:r>
    </w:p>
    <w:p>
      <w:pPr>
        <w:spacing w:line="240" w:lineRule="auto" w:before="11"/>
        <w:rPr>
          <w:rFonts w:ascii="宋体" w:hAnsi="宋体" w:cs="宋体" w:eastAsia="宋体" w:hint="default"/>
          <w:sz w:val="21"/>
          <w:szCs w:val="21"/>
        </w:rPr>
      </w:pPr>
    </w:p>
    <w:p>
      <w:pPr>
        <w:pStyle w:val="Heading3"/>
        <w:tabs>
          <w:tab w:pos="562" w:val="left" w:leader="none"/>
        </w:tabs>
        <w:spacing w:line="240" w:lineRule="auto"/>
        <w:ind w:left="138" w:right="0"/>
        <w:jc w:val="left"/>
        <w:rPr>
          <w:b w:val="0"/>
          <w:bCs w:val="0"/>
        </w:rPr>
      </w:pPr>
      <w:r>
        <w:rPr>
          <w:rFonts w:ascii="宋体" w:hAnsi="宋体" w:cs="宋体" w:eastAsia="宋体" w:hint="default"/>
          <w:w w:val="95"/>
        </w:rPr>
        <w:t>5.</w:t>
        <w:tab/>
      </w:r>
      <w:r>
        <w:rPr/>
        <w:t>同一控制下和非同一控制下企业合并的会计处理方法</w:t>
      </w:r>
      <w:r>
        <w:rPr>
          <w:b w:val="0"/>
          <w:bCs w:val="0"/>
        </w:rPr>
      </w:r>
    </w:p>
    <w:p>
      <w:pPr>
        <w:pStyle w:val="BodyText"/>
        <w:tabs>
          <w:tab w:pos="1083" w:val="left" w:leader="none"/>
        </w:tabs>
        <w:spacing w:line="240" w:lineRule="auto" w:before="56"/>
        <w:ind w:left="138" w:right="0"/>
        <w:jc w:val="left"/>
      </w:pPr>
      <w:r>
        <w:rPr>
          <w:spacing w:val="-1"/>
        </w:rPr>
        <w:t>□适用</w:t>
        <w:tab/>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3"/>
        <w:tabs>
          <w:tab w:pos="562" w:val="left" w:leader="none"/>
        </w:tabs>
        <w:spacing w:line="240" w:lineRule="auto"/>
        <w:ind w:left="138" w:right="0"/>
        <w:jc w:val="left"/>
        <w:rPr>
          <w:b w:val="0"/>
          <w:bCs w:val="0"/>
        </w:rPr>
      </w:pPr>
      <w:r>
        <w:rPr>
          <w:rFonts w:ascii="宋体" w:hAnsi="宋体" w:cs="宋体" w:eastAsia="宋体" w:hint="default"/>
          <w:w w:val="95"/>
        </w:rPr>
        <w:t>6.</w:t>
        <w:tab/>
      </w:r>
      <w:r>
        <w:rPr/>
        <w:t>合并财务报表的编制方法</w:t>
      </w:r>
      <w:r>
        <w:rPr>
          <w:b w:val="0"/>
          <w:bCs w:val="0"/>
        </w:rPr>
      </w:r>
    </w:p>
    <w:p>
      <w:pPr>
        <w:pStyle w:val="BodyText"/>
        <w:tabs>
          <w:tab w:pos="980" w:val="left" w:leader="none"/>
        </w:tabs>
        <w:spacing w:line="273" w:lineRule="exact" w:before="58"/>
        <w:ind w:left="138" w:right="0"/>
        <w:jc w:val="left"/>
      </w:pPr>
      <w:r>
        <w:rPr>
          <w:spacing w:val="-1"/>
        </w:rPr>
        <w:t>√适用</w:t>
        <w:tab/>
      </w:r>
      <w:r>
        <w:rPr>
          <w:spacing w:val="-2"/>
        </w:rPr>
        <w:t>□不适用</w:t>
      </w:r>
    </w:p>
    <w:p>
      <w:pPr>
        <w:pStyle w:val="BodyText"/>
        <w:spacing w:line="272" w:lineRule="exact"/>
        <w:ind w:left="138" w:right="0"/>
        <w:jc w:val="left"/>
      </w:pPr>
      <w:r>
        <w:rPr/>
        <w:t>（</w:t>
      </w:r>
      <w:r>
        <w:rPr>
          <w:rFonts w:ascii="宋体" w:hAnsi="宋体" w:cs="宋体" w:eastAsia="宋体" w:hint="default"/>
        </w:rPr>
        <w:t>1</w:t>
      </w:r>
      <w:r>
        <w:rPr/>
        <w:t>）合并范围</w:t>
      </w:r>
    </w:p>
    <w:p>
      <w:pPr>
        <w:pStyle w:val="BodyText"/>
        <w:spacing w:line="272" w:lineRule="exact" w:before="27"/>
        <w:ind w:left="138" w:right="0" w:firstLine="419"/>
        <w:jc w:val="left"/>
      </w:pPr>
      <w:r>
        <w:rPr>
          <w:spacing w:val="-4"/>
          <w:w w:val="100"/>
        </w:rPr>
        <w:t>合并财务报表的合并范围以控制为基础予以确定。控制是指本公司拥有对被投资单位的权力，</w:t>
      </w:r>
      <w:r>
        <w:rPr>
          <w:w w:val="100"/>
        </w:rPr>
        <w:t> </w:t>
      </w:r>
      <w:r>
        <w:rPr/>
        <w:t>通过参与被投资单位的相关活动而享有可变回报，并且有能力运用对被投资单位的权力影响其回</w:t>
      </w:r>
    </w:p>
    <w:p>
      <w:pPr>
        <w:spacing w:after="0" w:line="272" w:lineRule="exact"/>
        <w:jc w:val="left"/>
        <w:sectPr>
          <w:pgSz w:w="11910" w:h="16840"/>
          <w:pgMar w:header="857" w:footer="1195" w:top="1320" w:bottom="1380" w:left="1660" w:right="1060"/>
        </w:sectPr>
      </w:pPr>
    </w:p>
    <w:p>
      <w:pPr>
        <w:spacing w:line="240" w:lineRule="auto" w:before="4"/>
        <w:rPr>
          <w:rFonts w:ascii="宋体" w:hAnsi="宋体" w:cs="宋体" w:eastAsia="宋体" w:hint="default"/>
          <w:sz w:val="9"/>
          <w:szCs w:val="9"/>
        </w:rPr>
      </w:pPr>
    </w:p>
    <w:p>
      <w:pPr>
        <w:pStyle w:val="BodyText"/>
        <w:spacing w:line="240" w:lineRule="auto" w:before="36"/>
        <w:ind w:left="138" w:right="0"/>
        <w:jc w:val="left"/>
      </w:pPr>
      <w:r>
        <w:rPr>
          <w:spacing w:val="-2"/>
        </w:rPr>
        <w:t>报金额。子公司，是指被本公司控制的主体（含企业、被投资单位中可分割的部分，以及企业所</w:t>
      </w:r>
      <w:r>
        <w:rPr>
          <w:spacing w:val="-25"/>
        </w:rPr>
        <w:t> </w:t>
      </w:r>
      <w:r>
        <w:rPr>
          <w:spacing w:val="-25"/>
        </w:rPr>
      </w:r>
      <w:r>
        <w:rPr/>
        <w:t>控制的结构化主体等）。</w:t>
      </w:r>
    </w:p>
    <w:p>
      <w:pPr>
        <w:pStyle w:val="BodyText"/>
        <w:spacing w:line="274" w:lineRule="exact" w:before="22"/>
        <w:ind w:left="558" w:right="0" w:hanging="420"/>
        <w:jc w:val="left"/>
      </w:pPr>
      <w:r>
        <w:rPr/>
        <w:t>（</w:t>
      </w:r>
      <w:r>
        <w:rPr>
          <w:rFonts w:ascii="宋体" w:hAnsi="宋体" w:cs="宋体" w:eastAsia="宋体" w:hint="default"/>
        </w:rPr>
        <w:t>2</w:t>
      </w:r>
      <w:r>
        <w:rPr/>
        <w:t>）合并财务报表的编制方法</w:t>
      </w:r>
      <w:r>
        <w:rPr>
          <w:w w:val="100"/>
        </w:rPr>
        <w:t> </w:t>
      </w:r>
      <w:r>
        <w:rPr>
          <w:spacing w:val="-2"/>
        </w:rPr>
        <w:t>合并财务报表以本公司和子公司的财务报表为基础，根据其他有关资料，由本公司编制。在</w:t>
      </w:r>
    </w:p>
    <w:p>
      <w:pPr>
        <w:pStyle w:val="BodyText"/>
        <w:spacing w:line="245" w:lineRule="exact"/>
        <w:ind w:left="138" w:right="0"/>
        <w:jc w:val="left"/>
      </w:pPr>
      <w:r>
        <w:rPr/>
        <w:t>编制合并财务报表时，本公司和子公司的会计政策和会计期间要求保持一致，公司间的重大交易</w:t>
      </w:r>
    </w:p>
    <w:p>
      <w:pPr>
        <w:pStyle w:val="BodyText"/>
        <w:spacing w:line="272" w:lineRule="exact" w:before="27"/>
        <w:ind w:left="558" w:right="0" w:hanging="420"/>
        <w:jc w:val="left"/>
      </w:pPr>
      <w:r>
        <w:rPr/>
        <w:t>和往来余额予以抵销。</w:t>
      </w:r>
      <w:r>
        <w:rPr>
          <w:w w:val="100"/>
        </w:rPr>
        <w:t> </w:t>
      </w:r>
      <w:r>
        <w:rPr>
          <w:spacing w:val="-2"/>
        </w:rPr>
        <w:t>在报告期内因同一控制下企业合并增加的子公司以及业务，视同该子公司以及业务自同受最</w:t>
      </w:r>
    </w:p>
    <w:p>
      <w:pPr>
        <w:pStyle w:val="BodyText"/>
        <w:spacing w:line="272" w:lineRule="exact" w:before="1"/>
        <w:ind w:left="138" w:right="0"/>
        <w:jc w:val="left"/>
      </w:pPr>
      <w:r>
        <w:rPr>
          <w:spacing w:val="-2"/>
        </w:rPr>
        <w:t>终控制方控制之日起纳入本公司的合并范围，将其自同受最终控制方控制之日起的经营成果和现</w:t>
      </w:r>
      <w:r>
        <w:rPr>
          <w:spacing w:val="-25"/>
        </w:rPr>
        <w:t> </w:t>
      </w:r>
      <w:r>
        <w:rPr>
          <w:spacing w:val="-25"/>
        </w:rPr>
      </w:r>
      <w:r>
        <w:rPr/>
        <w:t>金流量纳入合并利润表和合并现金流量表中。</w:t>
      </w:r>
    </w:p>
    <w:p>
      <w:pPr>
        <w:pStyle w:val="BodyText"/>
        <w:spacing w:line="272" w:lineRule="exact" w:before="1"/>
        <w:ind w:left="138" w:right="217" w:firstLine="419"/>
        <w:jc w:val="both"/>
      </w:pPr>
      <w:r>
        <w:rPr>
          <w:spacing w:val="-2"/>
        </w:rPr>
        <w:t>因非同一控制下企业合并增加的子公司以及业务，将该子公司以及业务自购买日至报告期末</w:t>
      </w:r>
      <w:r>
        <w:rPr>
          <w:w w:val="100"/>
        </w:rPr>
        <w:t> </w:t>
      </w:r>
      <w:r>
        <w:rPr/>
        <w:t>的收入、费用、利润纳入合并利润表，将其现金流量纳入合并现金流量表。</w:t>
      </w:r>
    </w:p>
    <w:p>
      <w:pPr>
        <w:pStyle w:val="BodyText"/>
        <w:spacing w:line="272" w:lineRule="exact" w:before="1"/>
        <w:ind w:left="138" w:right="217" w:firstLine="419"/>
        <w:jc w:val="both"/>
      </w:pPr>
      <w:r>
        <w:rPr>
          <w:spacing w:val="-2"/>
        </w:rPr>
        <w:t>子公司的股东权益中不属于本公司所拥有的部分作为少数股东权益在合并资产负债表中股东</w:t>
      </w:r>
      <w:r>
        <w:rPr>
          <w:w w:val="100"/>
        </w:rPr>
        <w:t> </w:t>
      </w:r>
      <w:r>
        <w:rPr>
          <w:spacing w:val="-2"/>
        </w:rPr>
        <w:t>权益项下单独列示。子公司当期净损益中属于少数股东权益的份额，在合并利润表中净利润项目</w:t>
      </w:r>
    </w:p>
    <w:p>
      <w:pPr>
        <w:pStyle w:val="BodyText"/>
        <w:spacing w:line="272" w:lineRule="exact" w:before="1"/>
        <w:ind w:left="138" w:right="0"/>
        <w:jc w:val="left"/>
      </w:pPr>
      <w:r>
        <w:rPr>
          <w:spacing w:val="-2"/>
        </w:rPr>
        <w:t>下以“少数股东损益”项目列示。少数股东分担的子公司的亏损超过了少数股东在该子公司期初</w:t>
      </w:r>
      <w:r>
        <w:rPr>
          <w:spacing w:val="-25"/>
        </w:rPr>
        <w:t> </w:t>
      </w:r>
      <w:r>
        <w:rPr>
          <w:spacing w:val="-25"/>
        </w:rPr>
      </w:r>
      <w:r>
        <w:rPr/>
        <w:t>所有者权益中所享有的份额，其余额仍冲减少数股东权益。</w:t>
      </w:r>
    </w:p>
    <w:p>
      <w:pPr>
        <w:pStyle w:val="BodyText"/>
        <w:spacing w:line="272" w:lineRule="exact" w:before="1"/>
        <w:ind w:left="138" w:right="0" w:firstLine="419"/>
        <w:jc w:val="left"/>
      </w:pPr>
      <w:r>
        <w:rPr/>
        <w:t>对于购买子公司少数股权或因处置部分股权投资但没有丧失对该子公司控制权的交易，作为</w:t>
      </w:r>
      <w:r>
        <w:rPr>
          <w:w w:val="100"/>
        </w:rPr>
        <w:t> </w:t>
      </w:r>
      <w:r>
        <w:rPr/>
        <w:t>权益性交易核算，调整归属于母公司所有者权益和少数股东权益的账面价值以反映其在子公司中</w:t>
      </w:r>
    </w:p>
    <w:p>
      <w:pPr>
        <w:pStyle w:val="BodyText"/>
        <w:spacing w:line="272" w:lineRule="exact" w:before="1"/>
        <w:ind w:left="138" w:right="0"/>
        <w:jc w:val="left"/>
      </w:pPr>
      <w:r>
        <w:rPr>
          <w:spacing w:val="-2"/>
        </w:rPr>
        <w:t>相关权益的变化。少数股东权益的调整额与支付</w:t>
      </w:r>
      <w:r>
        <w:rPr>
          <w:rFonts w:ascii="宋体" w:hAnsi="宋体" w:cs="宋体" w:eastAsia="宋体" w:hint="default"/>
          <w:spacing w:val="-2"/>
        </w:rPr>
        <w:t>/</w:t>
      </w:r>
      <w:r>
        <w:rPr>
          <w:spacing w:val="-2"/>
        </w:rPr>
        <w:t>收到对价的公允价值之间的差额调整资本公积，</w:t>
      </w:r>
      <w:r>
        <w:rPr>
          <w:spacing w:val="-18"/>
        </w:rPr>
        <w:t> </w:t>
      </w:r>
      <w:r>
        <w:rPr>
          <w:spacing w:val="-18"/>
        </w:rPr>
      </w:r>
      <w:r>
        <w:rPr/>
        <w:t>资本公积不足冲减的，调整留存收益。</w:t>
      </w:r>
    </w:p>
    <w:p>
      <w:pPr>
        <w:pStyle w:val="BodyText"/>
        <w:spacing w:line="246" w:lineRule="exact"/>
        <w:ind w:left="138" w:right="0"/>
        <w:jc w:val="left"/>
      </w:pPr>
      <w:r>
        <w:rPr/>
        <w:t>（</w:t>
      </w:r>
      <w:r>
        <w:rPr>
          <w:rFonts w:ascii="宋体" w:hAnsi="宋体" w:cs="宋体" w:eastAsia="宋体" w:hint="default"/>
        </w:rPr>
        <w:t>3</w:t>
      </w:r>
      <w:r>
        <w:rPr/>
        <w:t>）丧失子公司控制权的处理</w:t>
      </w:r>
    </w:p>
    <w:p>
      <w:pPr>
        <w:pStyle w:val="BodyText"/>
        <w:spacing w:line="237" w:lineRule="auto" w:before="2"/>
        <w:ind w:left="138" w:right="217" w:firstLine="419"/>
        <w:jc w:val="both"/>
      </w:pPr>
      <w:r>
        <w:rPr>
          <w:spacing w:val="-2"/>
        </w:rPr>
        <w:t>因处置部分股权投资或其他原因丧失了对原有子公司控制权的，剩余股权按照其在丧失控制</w:t>
      </w:r>
      <w:r>
        <w:rPr>
          <w:w w:val="100"/>
        </w:rPr>
        <w:t> </w:t>
      </w:r>
      <w:r>
        <w:rPr>
          <w:spacing w:val="-2"/>
        </w:rPr>
        <w:t>权日的公允价值进行重新计量；处置股权取得的对价与剩余股权公允价值之和，减去按原持股比</w:t>
      </w:r>
      <w:r>
        <w:rPr>
          <w:spacing w:val="-25"/>
        </w:rPr>
        <w:t> </w:t>
      </w:r>
      <w:r>
        <w:rPr>
          <w:spacing w:val="-25"/>
        </w:rPr>
      </w:r>
      <w:r>
        <w:rPr>
          <w:spacing w:val="-2"/>
        </w:rPr>
        <w:t>例计算应享有原子公司自购买日开始持续计算的净资产的份额与商誉之和的差额，计入丧失控制</w:t>
      </w:r>
      <w:r>
        <w:rPr>
          <w:spacing w:val="-25"/>
        </w:rPr>
        <w:t> </w:t>
      </w:r>
      <w:r>
        <w:rPr>
          <w:spacing w:val="-25"/>
        </w:rPr>
      </w:r>
      <w:r>
        <w:rPr/>
        <w:t>权当期的投资收益。</w:t>
      </w:r>
    </w:p>
    <w:p>
      <w:pPr>
        <w:pStyle w:val="BodyText"/>
        <w:spacing w:line="237" w:lineRule="auto" w:before="2"/>
        <w:ind w:left="138" w:right="217" w:firstLine="419"/>
        <w:jc w:val="both"/>
      </w:pPr>
      <w:r>
        <w:rPr>
          <w:spacing w:val="-2"/>
        </w:rPr>
        <w:t>与原有子公司的股权投资相关的其他综合收益、其他所有者权益变动，应当在丧失控制权时</w:t>
      </w:r>
      <w:r>
        <w:rPr>
          <w:w w:val="100"/>
        </w:rPr>
        <w:t> </w:t>
      </w:r>
      <w:r>
        <w:rPr>
          <w:spacing w:val="-2"/>
        </w:rPr>
        <w:t>转入当期损益，由于被投资方重新计量设定收益计划净负债或净资产变动而产生的其他综合收益</w:t>
      </w:r>
      <w:r>
        <w:rPr>
          <w:spacing w:val="-25"/>
        </w:rPr>
        <w:t> </w:t>
      </w:r>
      <w:r>
        <w:rPr>
          <w:spacing w:val="-25"/>
        </w:rPr>
      </w:r>
      <w:r>
        <w:rPr/>
        <w:t>除外。</w:t>
      </w:r>
    </w:p>
    <w:p>
      <w:pPr>
        <w:spacing w:line="240" w:lineRule="auto" w:before="3"/>
        <w:rPr>
          <w:rFonts w:ascii="宋体" w:hAnsi="宋体" w:cs="宋体" w:eastAsia="宋体" w:hint="default"/>
          <w:sz w:val="25"/>
          <w:szCs w:val="25"/>
        </w:rPr>
      </w:pPr>
    </w:p>
    <w:p>
      <w:pPr>
        <w:pStyle w:val="Heading3"/>
        <w:tabs>
          <w:tab w:pos="562" w:val="left" w:leader="none"/>
        </w:tabs>
        <w:spacing w:line="240" w:lineRule="auto"/>
        <w:ind w:left="138" w:right="0"/>
        <w:jc w:val="left"/>
        <w:rPr>
          <w:b w:val="0"/>
          <w:bCs w:val="0"/>
        </w:rPr>
      </w:pPr>
      <w:r>
        <w:rPr>
          <w:rFonts w:ascii="宋体" w:hAnsi="宋体" w:cs="宋体" w:eastAsia="宋体" w:hint="default"/>
          <w:w w:val="95"/>
        </w:rPr>
        <w:t>7.</w:t>
        <w:tab/>
      </w:r>
      <w:r>
        <w:rPr/>
        <w:t>合营安排分类及共同经营会计处理方法</w:t>
      </w:r>
      <w:r>
        <w:rPr>
          <w:b w:val="0"/>
          <w:bCs w:val="0"/>
        </w:rPr>
      </w:r>
    </w:p>
    <w:p>
      <w:pPr>
        <w:pStyle w:val="BodyText"/>
        <w:tabs>
          <w:tab w:pos="980" w:val="left" w:leader="none"/>
        </w:tabs>
        <w:spacing w:line="240" w:lineRule="auto" w:before="56"/>
        <w:ind w:left="138"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3"/>
        <w:tabs>
          <w:tab w:pos="562" w:val="left" w:leader="none"/>
        </w:tabs>
        <w:spacing w:line="240" w:lineRule="auto"/>
        <w:ind w:left="138" w:right="0"/>
        <w:jc w:val="left"/>
        <w:rPr>
          <w:b w:val="0"/>
          <w:bCs w:val="0"/>
        </w:rPr>
      </w:pPr>
      <w:r>
        <w:rPr>
          <w:rFonts w:ascii="宋体" w:hAnsi="宋体" w:cs="宋体" w:eastAsia="宋体" w:hint="default"/>
          <w:w w:val="95"/>
        </w:rPr>
        <w:t>8.</w:t>
        <w:tab/>
      </w:r>
      <w:r>
        <w:rPr/>
        <w:t>现金及现金等价物的确定标准</w:t>
      </w:r>
      <w:r>
        <w:rPr>
          <w:b w:val="0"/>
          <w:bCs w:val="0"/>
        </w:rPr>
      </w:r>
    </w:p>
    <w:p>
      <w:pPr>
        <w:pStyle w:val="BodyText"/>
        <w:spacing w:line="300" w:lineRule="exact" w:before="64"/>
        <w:ind w:left="138" w:right="0"/>
        <w:jc w:val="left"/>
        <w:rPr>
          <w:rFonts w:ascii="宋体" w:hAnsi="宋体" w:cs="宋体" w:eastAsia="宋体" w:hint="default"/>
          <w:sz w:val="24"/>
          <w:szCs w:val="24"/>
        </w:rPr>
      </w:pPr>
      <w:r>
        <w:rPr>
          <w:spacing w:val="-2"/>
        </w:rPr>
        <w:t>现金是指库存现金以及可以随时用于支付的存款。现金等价物，是指本公司持有的期限短、流动</w:t>
      </w:r>
      <w:r>
        <w:rPr>
          <w:spacing w:val="-25"/>
        </w:rPr>
        <w:t> </w:t>
      </w:r>
      <w:r>
        <w:rPr>
          <w:spacing w:val="-25"/>
        </w:rPr>
      </w:r>
      <w:r>
        <w:rPr/>
        <w:t>性强、易于转换为已知金额现金、价值变动风险很小的投资</w:t>
      </w:r>
      <w:r>
        <w:rPr>
          <w:rFonts w:ascii="宋体" w:hAnsi="宋体" w:cs="宋体" w:eastAsia="宋体" w:hint="default"/>
          <w:sz w:val="24"/>
          <w:szCs w:val="24"/>
        </w:rPr>
        <w:t>。</w:t>
      </w:r>
    </w:p>
    <w:p>
      <w:pPr>
        <w:spacing w:line="240" w:lineRule="auto" w:before="0"/>
        <w:rPr>
          <w:rFonts w:ascii="宋体" w:hAnsi="宋体" w:cs="宋体" w:eastAsia="宋体" w:hint="default"/>
          <w:sz w:val="24"/>
          <w:szCs w:val="24"/>
        </w:rPr>
      </w:pPr>
    </w:p>
    <w:p>
      <w:pPr>
        <w:pStyle w:val="Heading3"/>
        <w:tabs>
          <w:tab w:pos="562" w:val="left" w:leader="none"/>
        </w:tabs>
        <w:spacing w:line="240" w:lineRule="auto" w:before="211"/>
        <w:ind w:left="138" w:right="0"/>
        <w:jc w:val="left"/>
        <w:rPr>
          <w:b w:val="0"/>
          <w:bCs w:val="0"/>
        </w:rPr>
      </w:pPr>
      <w:r>
        <w:rPr>
          <w:rFonts w:ascii="宋体" w:hAnsi="宋体" w:cs="宋体" w:eastAsia="宋体" w:hint="default"/>
          <w:w w:val="95"/>
        </w:rPr>
        <w:t>9.</w:t>
        <w:tab/>
      </w:r>
      <w:r>
        <w:rPr/>
        <w:t>外币业务和外币报表折算</w:t>
      </w:r>
      <w:r>
        <w:rPr>
          <w:b w:val="0"/>
          <w:bCs w:val="0"/>
        </w:rPr>
      </w:r>
    </w:p>
    <w:p>
      <w:pPr>
        <w:pStyle w:val="BodyText"/>
        <w:tabs>
          <w:tab w:pos="980" w:val="left" w:leader="none"/>
        </w:tabs>
        <w:spacing w:line="240" w:lineRule="auto" w:before="58"/>
        <w:ind w:left="138"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3"/>
        <w:spacing w:line="240" w:lineRule="auto"/>
        <w:ind w:left="138" w:right="0"/>
        <w:jc w:val="left"/>
        <w:rPr>
          <w:b w:val="0"/>
          <w:bCs w:val="0"/>
        </w:rPr>
      </w:pPr>
      <w:r>
        <w:rPr>
          <w:rFonts w:ascii="宋体" w:hAnsi="宋体" w:cs="宋体" w:eastAsia="宋体" w:hint="default"/>
        </w:rPr>
        <w:t>10.</w:t>
      </w:r>
      <w:r>
        <w:rPr>
          <w:rFonts w:ascii="宋体" w:hAnsi="宋体" w:cs="宋体" w:eastAsia="宋体" w:hint="default"/>
          <w:spacing w:val="2"/>
        </w:rPr>
        <w:t> </w:t>
      </w:r>
      <w:r>
        <w:rPr/>
        <w:t>金融工具</w:t>
      </w:r>
      <w:r>
        <w:rPr>
          <w:b w:val="0"/>
          <w:bCs w:val="0"/>
        </w:rPr>
      </w:r>
    </w:p>
    <w:p>
      <w:pPr>
        <w:pStyle w:val="BodyText"/>
        <w:tabs>
          <w:tab w:pos="980" w:val="left" w:leader="none"/>
        </w:tabs>
        <w:spacing w:line="240" w:lineRule="auto" w:before="56"/>
        <w:ind w:left="558" w:right="429" w:hanging="420"/>
        <w:jc w:val="left"/>
      </w:pPr>
      <w:r>
        <w:rPr>
          <w:spacing w:val="-1"/>
        </w:rPr>
        <w:t>√适用</w:t>
        <w:tab/>
      </w:r>
      <w:r>
        <w:rPr>
          <w:spacing w:val="-2"/>
        </w:rPr>
        <w:t>□不适用</w:t>
      </w:r>
      <w:r>
        <w:rPr>
          <w:spacing w:val="-99"/>
        </w:rPr>
        <w:t> </w:t>
      </w:r>
      <w:r>
        <w:rPr>
          <w:spacing w:val="-99"/>
        </w:rPr>
      </w:r>
      <w:r>
        <w:rPr>
          <w:spacing w:val="-2"/>
        </w:rPr>
        <w:t>金融工具是指形成一个企业的金融资产，并形成其他单位的金融负债或权益工具的合同。</w:t>
      </w:r>
    </w:p>
    <w:p>
      <w:pPr>
        <w:pStyle w:val="BodyText"/>
        <w:spacing w:line="237" w:lineRule="auto"/>
        <w:ind w:left="558" w:right="0"/>
        <w:jc w:val="left"/>
      </w:pPr>
      <w:r>
        <w:rPr/>
        <w:t>（</w:t>
      </w:r>
      <w:r>
        <w:rPr>
          <w:rFonts w:ascii="宋体" w:hAnsi="宋体" w:cs="宋体" w:eastAsia="宋体" w:hint="default"/>
        </w:rPr>
        <w:t>1</w:t>
      </w:r>
      <w:r>
        <w:rPr/>
        <w:t>）金融工具的确认和终止确认</w:t>
      </w:r>
      <w:r>
        <w:rPr>
          <w:w w:val="100"/>
        </w:rPr>
        <w:t> </w:t>
      </w:r>
      <w:r>
        <w:rPr>
          <w:spacing w:val="-2"/>
        </w:rPr>
        <w:t>本公司于成为金融工具合同的一方时确认一项金融资产或金融负债。</w:t>
      </w:r>
      <w:r>
        <w:rPr>
          <w:spacing w:val="-48"/>
        </w:rPr>
        <w:t> </w:t>
      </w:r>
      <w:r>
        <w:rPr>
          <w:spacing w:val="-48"/>
        </w:rPr>
      </w:r>
      <w:r>
        <w:rPr/>
        <w:t>金融资产满足下列条件之一的，终止确认：</w:t>
      </w:r>
    </w:p>
    <w:p>
      <w:pPr>
        <w:pStyle w:val="BodyText"/>
        <w:spacing w:line="272" w:lineRule="exact"/>
        <w:ind w:left="558" w:right="0"/>
        <w:jc w:val="left"/>
      </w:pPr>
      <w:r>
        <w:rPr/>
        <w:t>①</w:t>
      </w:r>
      <w:r>
        <w:rPr>
          <w:spacing w:val="-3"/>
        </w:rPr>
        <w:t> </w:t>
      </w:r>
      <w:r>
        <w:rPr/>
        <w:t>收取该金融资产现金流量的合同权利终止；</w:t>
      </w:r>
    </w:p>
    <w:p>
      <w:pPr>
        <w:pStyle w:val="BodyText"/>
        <w:spacing w:line="273" w:lineRule="exact"/>
        <w:ind w:left="558" w:right="0"/>
        <w:jc w:val="left"/>
      </w:pPr>
      <w:r>
        <w:rPr/>
        <w:t>②</w:t>
      </w:r>
      <w:r>
        <w:rPr>
          <w:spacing w:val="-5"/>
        </w:rPr>
        <w:t> </w:t>
      </w:r>
      <w:r>
        <w:rPr/>
        <w:t>该金融资产已转移，且符合下述金融资产转移的终止确认条件。</w:t>
      </w:r>
    </w:p>
    <w:p>
      <w:pPr>
        <w:spacing w:after="0" w:line="273" w:lineRule="exact"/>
        <w:jc w:val="left"/>
        <w:sectPr>
          <w:pgSz w:w="11910" w:h="16840"/>
          <w:pgMar w:header="857" w:footer="1195" w:top="1320" w:bottom="1380" w:left="1660" w:right="1060"/>
        </w:sectPr>
      </w:pPr>
    </w:p>
    <w:p>
      <w:pPr>
        <w:spacing w:line="240" w:lineRule="auto" w:before="4"/>
        <w:rPr>
          <w:rFonts w:ascii="宋体" w:hAnsi="宋体" w:cs="宋体" w:eastAsia="宋体" w:hint="default"/>
          <w:sz w:val="9"/>
          <w:szCs w:val="9"/>
        </w:rPr>
      </w:pPr>
    </w:p>
    <w:p>
      <w:pPr>
        <w:pStyle w:val="BodyText"/>
        <w:spacing w:line="237" w:lineRule="auto" w:before="38"/>
        <w:ind w:left="138" w:right="217" w:firstLine="419"/>
        <w:jc w:val="both"/>
      </w:pPr>
      <w:r>
        <w:rPr>
          <w:spacing w:val="-2"/>
        </w:rPr>
        <w:t>金融负债的现时义务全部或部分已经解除的，终止确认该金融负债或其一部分。本公司（债</w:t>
      </w:r>
      <w:r>
        <w:rPr>
          <w:w w:val="100"/>
        </w:rPr>
        <w:t> </w:t>
      </w:r>
      <w:r>
        <w:rPr>
          <w:spacing w:val="-2"/>
        </w:rPr>
        <w:t>务人）与债权人之间签订协议，以承担新金融负债方式替换现存金融负债，且新金融负债与现存</w:t>
      </w:r>
      <w:r>
        <w:rPr>
          <w:spacing w:val="-25"/>
        </w:rPr>
        <w:t> </w:t>
      </w:r>
      <w:r>
        <w:rPr>
          <w:spacing w:val="-25"/>
        </w:rPr>
      </w:r>
      <w:r>
        <w:rPr/>
        <w:t>金融负债的合同条款实质上不同的，终止确认现存金融负债，并同时确认新金融负债。</w:t>
      </w:r>
    </w:p>
    <w:p>
      <w:pPr>
        <w:pStyle w:val="BodyText"/>
        <w:spacing w:line="272" w:lineRule="exact"/>
        <w:ind w:left="558" w:right="0"/>
        <w:jc w:val="left"/>
      </w:pPr>
      <w:r>
        <w:rPr/>
        <w:t>以常规方式买卖金融资产，按交易日进行会计确认和终止确认。</w:t>
      </w:r>
    </w:p>
    <w:p>
      <w:pPr>
        <w:pStyle w:val="BodyText"/>
        <w:spacing w:line="240" w:lineRule="auto"/>
        <w:ind w:left="558" w:right="0"/>
        <w:jc w:val="left"/>
      </w:pPr>
      <w:r>
        <w:rPr/>
        <w:t>（</w:t>
      </w:r>
      <w:r>
        <w:rPr>
          <w:rFonts w:ascii="宋体" w:hAnsi="宋体" w:cs="宋体" w:eastAsia="宋体" w:hint="default"/>
        </w:rPr>
        <w:t>2</w:t>
      </w:r>
      <w:r>
        <w:rPr/>
        <w:t>）金融资产分类和计量</w:t>
      </w:r>
      <w:r>
        <w:rPr>
          <w:w w:val="100"/>
        </w:rPr>
        <w:t> </w:t>
      </w:r>
      <w:r>
        <w:rPr>
          <w:spacing w:val="-2"/>
        </w:rPr>
        <w:t>本公司的金融资产于初始确认时分为以下四类：以公允价值计量且其变动计入当期损益的金</w:t>
      </w:r>
    </w:p>
    <w:p>
      <w:pPr>
        <w:pStyle w:val="BodyText"/>
        <w:spacing w:line="237" w:lineRule="auto"/>
        <w:ind w:left="138" w:right="217"/>
        <w:jc w:val="both"/>
      </w:pPr>
      <w:r>
        <w:rPr>
          <w:spacing w:val="-2"/>
        </w:rPr>
        <w:t>融资产、持有至到期投资、贷款和应收款项、可供出售金融资产。金融资产在初始确认时以公允</w:t>
      </w:r>
      <w:r>
        <w:rPr>
          <w:spacing w:val="-25"/>
        </w:rPr>
        <w:t> </w:t>
      </w:r>
      <w:r>
        <w:rPr>
          <w:spacing w:val="-25"/>
        </w:rPr>
      </w:r>
      <w:r>
        <w:rPr>
          <w:spacing w:val="-2"/>
        </w:rPr>
        <w:t>价值计量。对于以公允价值计量且其变动计入当期损益的金融资产，相关交易费用直接计入当期</w:t>
      </w:r>
      <w:r>
        <w:rPr>
          <w:spacing w:val="-25"/>
        </w:rPr>
        <w:t> </w:t>
      </w:r>
      <w:r>
        <w:rPr>
          <w:spacing w:val="-25"/>
        </w:rPr>
      </w:r>
      <w:r>
        <w:rPr/>
        <w:t>损益，其他类别的金融资产相关交易费用计入其初始确认金额。</w:t>
      </w:r>
    </w:p>
    <w:p>
      <w:pPr>
        <w:pStyle w:val="BodyText"/>
        <w:spacing w:line="272" w:lineRule="exact" w:before="26"/>
        <w:ind w:left="138" w:right="217" w:firstLine="419"/>
        <w:jc w:val="both"/>
      </w:pPr>
      <w:r>
        <w:rPr>
          <w:spacing w:val="-2"/>
        </w:rPr>
        <w:t>本公司的金融资产主要系应收款项。应收款项是指在活跃市场中没有报价、回收金额固定或</w:t>
      </w:r>
      <w:r>
        <w:rPr>
          <w:w w:val="100"/>
        </w:rPr>
        <w:t> </w:t>
      </w:r>
      <w:r>
        <w:rPr/>
        <w:t>可确定的非衍生金融资产，包括应收账款和其他应收款等。</w:t>
      </w:r>
    </w:p>
    <w:p>
      <w:pPr>
        <w:pStyle w:val="BodyText"/>
        <w:spacing w:line="272" w:lineRule="exact" w:before="1"/>
        <w:ind w:left="558" w:right="0"/>
        <w:jc w:val="left"/>
      </w:pPr>
      <w:r>
        <w:rPr/>
        <w:t>（</w:t>
      </w:r>
      <w:r>
        <w:rPr>
          <w:rFonts w:ascii="宋体" w:hAnsi="宋体" w:cs="宋体" w:eastAsia="宋体" w:hint="default"/>
        </w:rPr>
        <w:t>3</w:t>
      </w:r>
      <w:r>
        <w:rPr/>
        <w:t>）金融负债分类和计量</w:t>
      </w:r>
      <w:r>
        <w:rPr>
          <w:w w:val="100"/>
        </w:rPr>
        <w:t> </w:t>
      </w:r>
      <w:r>
        <w:rPr>
          <w:spacing w:val="-4"/>
          <w:w w:val="100"/>
        </w:rPr>
        <w:t>本公司的金融负债于初始确认时分类为：以公允价值计量且其变动计入当期损益的金融负债、</w:t>
      </w:r>
    </w:p>
    <w:p>
      <w:pPr>
        <w:pStyle w:val="BodyText"/>
        <w:spacing w:line="272" w:lineRule="exact" w:before="1"/>
        <w:ind w:left="138" w:right="217"/>
        <w:jc w:val="both"/>
      </w:pPr>
      <w:r>
        <w:rPr>
          <w:spacing w:val="-2"/>
        </w:rPr>
        <w:t>其他金融负债。对于未划分为以公允价值计量且其变动计入当期损益的金融负债的，相关交易费</w:t>
      </w:r>
      <w:r>
        <w:rPr>
          <w:spacing w:val="-26"/>
        </w:rPr>
        <w:t> </w:t>
      </w:r>
      <w:r>
        <w:rPr>
          <w:spacing w:val="-26"/>
        </w:rPr>
      </w:r>
      <w:r>
        <w:rPr/>
        <w:t>用计入其初始确认金额。</w:t>
      </w:r>
    </w:p>
    <w:p>
      <w:pPr>
        <w:pStyle w:val="BodyText"/>
        <w:spacing w:line="272" w:lineRule="exact" w:before="1"/>
        <w:ind w:left="138" w:right="217" w:firstLine="419"/>
        <w:jc w:val="both"/>
      </w:pPr>
      <w:r>
        <w:rPr>
          <w:spacing w:val="-2"/>
        </w:rPr>
        <w:t>本公司的金融负债主要包括因购买商品或接受劳务等所产生的应付账款、其他应付款等其他</w:t>
      </w:r>
      <w:r>
        <w:rPr>
          <w:w w:val="100"/>
        </w:rPr>
        <w:t> </w:t>
      </w:r>
      <w:r>
        <w:rPr/>
        <w:t>金融负债。</w:t>
      </w:r>
    </w:p>
    <w:p>
      <w:pPr>
        <w:pStyle w:val="BodyText"/>
        <w:spacing w:line="272" w:lineRule="exact" w:before="1"/>
        <w:ind w:left="558" w:right="1138"/>
        <w:jc w:val="left"/>
      </w:pPr>
      <w:r>
        <w:rPr/>
        <w:t>（</w:t>
      </w:r>
      <w:r>
        <w:rPr>
          <w:rFonts w:ascii="宋体" w:hAnsi="宋体" w:cs="宋体" w:eastAsia="宋体" w:hint="default"/>
        </w:rPr>
        <w:t>4</w:t>
      </w:r>
      <w:r>
        <w:rPr/>
        <w:t>）金融工具的公允价值</w:t>
      </w:r>
      <w:r>
        <w:rPr>
          <w:w w:val="100"/>
        </w:rPr>
        <w:t> </w:t>
      </w:r>
      <w:r>
        <w:rPr>
          <w:spacing w:val="-2"/>
        </w:rPr>
        <w:t>金融资产和金融负债的公允价值确定方法见附注三、</w:t>
      </w:r>
      <w:r>
        <w:rPr>
          <w:rFonts w:ascii="宋体" w:hAnsi="宋体" w:cs="宋体" w:eastAsia="宋体" w:hint="default"/>
          <w:spacing w:val="-2"/>
        </w:rPr>
        <w:t>8</w:t>
      </w:r>
      <w:r>
        <w:rPr>
          <w:spacing w:val="-2"/>
        </w:rPr>
        <w:t>。</w:t>
      </w:r>
    </w:p>
    <w:p>
      <w:pPr>
        <w:pStyle w:val="BodyText"/>
        <w:spacing w:line="246" w:lineRule="exact"/>
        <w:ind w:left="558" w:right="0"/>
        <w:jc w:val="left"/>
      </w:pPr>
      <w:r>
        <w:rPr/>
        <w:t>（</w:t>
      </w:r>
      <w:r>
        <w:rPr>
          <w:rFonts w:ascii="宋体" w:hAnsi="宋体" w:cs="宋体" w:eastAsia="宋体" w:hint="default"/>
        </w:rPr>
        <w:t>5</w:t>
      </w:r>
      <w:r>
        <w:rPr/>
        <w:t>）金融资产减值</w:t>
      </w:r>
    </w:p>
    <w:p>
      <w:pPr>
        <w:pStyle w:val="BodyText"/>
        <w:spacing w:line="237" w:lineRule="auto" w:before="2"/>
        <w:ind w:left="138" w:right="217" w:firstLine="419"/>
        <w:jc w:val="both"/>
      </w:pPr>
      <w:r>
        <w:rPr>
          <w:spacing w:val="-2"/>
        </w:rPr>
        <w:t>除了以公允价值计量且其变动计入当期损益的金融资产外，本公司于资产负债表日对其他金</w:t>
      </w:r>
      <w:r>
        <w:rPr>
          <w:w w:val="100"/>
        </w:rPr>
        <w:t> </w:t>
      </w:r>
      <w:r>
        <w:rPr>
          <w:spacing w:val="-2"/>
        </w:rPr>
        <w:t>融资产的账面价值进行检查，有客观证据表明该金融资产发生减值的，计提减值准备。表明金融</w:t>
      </w:r>
      <w:r>
        <w:rPr>
          <w:spacing w:val="-25"/>
        </w:rPr>
        <w:t> </w:t>
      </w:r>
      <w:r>
        <w:rPr>
          <w:spacing w:val="-25"/>
        </w:rPr>
      </w:r>
      <w:r>
        <w:rPr>
          <w:spacing w:val="-2"/>
        </w:rPr>
        <w:t>资产发生减值的客观证据，是指金融资产初始确认后实际发生的、对该金融资产的预计未来现金</w:t>
      </w:r>
      <w:r>
        <w:rPr>
          <w:spacing w:val="-25"/>
        </w:rPr>
        <w:t> </w:t>
      </w:r>
      <w:r>
        <w:rPr>
          <w:spacing w:val="-25"/>
        </w:rPr>
      </w:r>
      <w:r>
        <w:rPr/>
        <w:t>流量有影响，且企业能够对该影响进行可靠计量的事项。</w:t>
      </w:r>
    </w:p>
    <w:p>
      <w:pPr>
        <w:pStyle w:val="BodyText"/>
        <w:spacing w:line="272" w:lineRule="exact"/>
        <w:ind w:left="558" w:right="0"/>
        <w:jc w:val="left"/>
      </w:pPr>
      <w:r>
        <w:rPr/>
        <w:t>金融资产发生减值的客观证据，包括下列可观察到的情形：</w:t>
      </w:r>
    </w:p>
    <w:p>
      <w:pPr>
        <w:pStyle w:val="BodyText"/>
        <w:spacing w:line="272" w:lineRule="exact"/>
        <w:ind w:left="558" w:right="0"/>
        <w:jc w:val="left"/>
      </w:pPr>
      <w:r>
        <w:rPr/>
        <w:t>①发行方或债务人发生严重财务困难；</w:t>
      </w:r>
    </w:p>
    <w:p>
      <w:pPr>
        <w:pStyle w:val="BodyText"/>
        <w:spacing w:line="272" w:lineRule="exact"/>
        <w:ind w:left="558" w:right="0"/>
        <w:jc w:val="left"/>
      </w:pPr>
      <w:r>
        <w:rPr/>
        <w:t>②债务人违反了合同条款，如偿付利息或本金发生违约或逾期等；</w:t>
      </w:r>
    </w:p>
    <w:p>
      <w:pPr>
        <w:pStyle w:val="BodyText"/>
        <w:spacing w:line="272" w:lineRule="exact"/>
        <w:ind w:left="558" w:right="0"/>
        <w:jc w:val="left"/>
      </w:pPr>
      <w:r>
        <w:rPr/>
        <w:t>③本公司出于经济或法律等方面因素的考虑，对发生财务困难的债务人作出让步；</w:t>
      </w:r>
    </w:p>
    <w:p>
      <w:pPr>
        <w:pStyle w:val="BodyText"/>
        <w:spacing w:line="272" w:lineRule="exact"/>
        <w:ind w:left="558" w:right="0"/>
        <w:jc w:val="left"/>
      </w:pPr>
      <w:r>
        <w:rPr/>
        <w:t>④债务人很可能倒闭或者进行其他财务重组；</w:t>
      </w:r>
    </w:p>
    <w:p>
      <w:pPr>
        <w:pStyle w:val="BodyText"/>
        <w:spacing w:line="272" w:lineRule="exact"/>
        <w:ind w:left="558" w:right="0"/>
        <w:jc w:val="left"/>
      </w:pPr>
      <w:r>
        <w:rPr/>
        <w:t>⑤因发行方发生重大财务困难，导致金融资产无法在活跃市场继续交易；</w:t>
      </w:r>
    </w:p>
    <w:p>
      <w:pPr>
        <w:pStyle w:val="BodyText"/>
        <w:spacing w:line="272" w:lineRule="exact" w:before="27"/>
        <w:ind w:left="138" w:right="210" w:firstLine="419"/>
        <w:jc w:val="both"/>
      </w:pPr>
      <w:r>
        <w:rPr>
          <w:spacing w:val="-2"/>
        </w:rPr>
        <w:t>⑥无法辨认一组金融资产中的某项资产的现金流量是否已经减少，但根据公开的数据对其进</w:t>
      </w:r>
      <w:r>
        <w:rPr>
          <w:w w:val="100"/>
        </w:rPr>
        <w:t> </w:t>
      </w:r>
      <w:r>
        <w:rPr>
          <w:spacing w:val="-6"/>
          <w:w w:val="100"/>
        </w:rPr>
        <w:t>行总体评价后发现，该组金融资产自初始确认以来的预计未来现金流量确已减少且可计量，包括：</w:t>
      </w:r>
    </w:p>
    <w:p>
      <w:pPr>
        <w:pStyle w:val="BodyText"/>
        <w:spacing w:line="247" w:lineRule="exact"/>
        <w:ind w:left="978" w:right="0"/>
        <w:jc w:val="left"/>
      </w:pPr>
      <w:r>
        <w:rPr>
          <w:rFonts w:ascii="宋体" w:hAnsi="宋体" w:cs="宋体" w:eastAsia="宋体" w:hint="default"/>
        </w:rPr>
        <w:t>-</w:t>
      </w:r>
      <w:r>
        <w:rPr>
          <w:rFonts w:ascii="宋体" w:hAnsi="宋体" w:cs="宋体" w:eastAsia="宋体" w:hint="default"/>
          <w:spacing w:val="-1"/>
        </w:rPr>
        <w:t> </w:t>
      </w:r>
      <w:r>
        <w:rPr/>
        <w:t>该组金融资产的债务人支付能力逐步恶化；</w:t>
      </w:r>
    </w:p>
    <w:p>
      <w:pPr>
        <w:pStyle w:val="BodyText"/>
        <w:spacing w:line="272" w:lineRule="exact"/>
        <w:ind w:left="978" w:right="0"/>
        <w:jc w:val="left"/>
      </w:pPr>
      <w:r>
        <w:rPr>
          <w:rFonts w:ascii="宋体" w:hAnsi="宋体" w:cs="宋体" w:eastAsia="宋体" w:hint="default"/>
        </w:rPr>
        <w:t>-</w:t>
      </w:r>
      <w:r>
        <w:rPr>
          <w:rFonts w:ascii="宋体" w:hAnsi="宋体" w:cs="宋体" w:eastAsia="宋体" w:hint="default"/>
          <w:spacing w:val="-5"/>
        </w:rPr>
        <w:t> </w:t>
      </w:r>
      <w:r>
        <w:rPr/>
        <w:t>债务人所在国家或地区经济出现了可能导致该组金融资产无法支付的状况；</w:t>
      </w:r>
    </w:p>
    <w:p>
      <w:pPr>
        <w:pStyle w:val="BodyText"/>
        <w:spacing w:line="272" w:lineRule="exact" w:before="27"/>
        <w:ind w:left="138" w:right="217" w:firstLine="419"/>
        <w:jc w:val="both"/>
      </w:pPr>
      <w:r>
        <w:rPr>
          <w:spacing w:val="-2"/>
        </w:rPr>
        <w:t>⑦债务人经营所处的技术、市场、经济或法律环境等发生重大不利变化，使权益工具投资人</w:t>
      </w:r>
      <w:r>
        <w:rPr>
          <w:w w:val="100"/>
        </w:rPr>
        <w:t> </w:t>
      </w:r>
      <w:r>
        <w:rPr/>
        <w:t>可能无法收回投资成本；</w:t>
      </w:r>
    </w:p>
    <w:p>
      <w:pPr>
        <w:pStyle w:val="BodyText"/>
        <w:spacing w:line="272" w:lineRule="exact" w:before="2"/>
        <w:ind w:left="558" w:right="4118"/>
        <w:jc w:val="left"/>
      </w:pPr>
      <w:r>
        <w:rPr>
          <w:spacing w:val="-2"/>
        </w:rPr>
        <w:t>⑧其他表明金融资产发生减值的客观证据。</w:t>
      </w:r>
      <w:r>
        <w:rPr>
          <w:spacing w:val="-69"/>
        </w:rPr>
        <w:t> </w:t>
      </w:r>
      <w:r>
        <w:rPr>
          <w:spacing w:val="-69"/>
        </w:rPr>
      </w:r>
      <w:r>
        <w:rPr/>
        <w:t>以摊余成本计量的金融资产</w:t>
      </w:r>
    </w:p>
    <w:p>
      <w:pPr>
        <w:pStyle w:val="BodyText"/>
        <w:spacing w:line="272" w:lineRule="exact" w:before="1"/>
        <w:ind w:left="138" w:right="208" w:firstLine="419"/>
        <w:jc w:val="both"/>
      </w:pPr>
      <w:r>
        <w:rPr>
          <w:spacing w:val="-2"/>
        </w:rPr>
        <w:t>如果有客观证据表明该金融资产发生减值，则将该金融资产的账面价值减记至预计未来现金</w:t>
      </w:r>
      <w:r>
        <w:rPr>
          <w:w w:val="100"/>
        </w:rPr>
        <w:t> </w:t>
      </w:r>
      <w:r>
        <w:rPr>
          <w:spacing w:val="-6"/>
        </w:rPr>
        <w:t>流量（不包括尚未发生的未来信用损失）现值，减记金额计入当期损益。预计未来现金流量现值，</w:t>
      </w:r>
      <w:r>
        <w:rPr>
          <w:spacing w:val="-54"/>
        </w:rPr>
        <w:t> </w:t>
      </w:r>
      <w:r>
        <w:rPr>
          <w:spacing w:val="-54"/>
        </w:rPr>
      </w:r>
      <w:r>
        <w:rPr/>
        <w:t>按照该金融资产原实际利率折现确定，并考虑相关担保物的价值。</w:t>
      </w:r>
    </w:p>
    <w:p>
      <w:pPr>
        <w:pStyle w:val="BodyText"/>
        <w:spacing w:line="272" w:lineRule="exact" w:before="1"/>
        <w:ind w:left="138" w:right="217" w:firstLine="419"/>
        <w:jc w:val="both"/>
      </w:pPr>
      <w:r>
        <w:rPr>
          <w:spacing w:val="-2"/>
        </w:rPr>
        <w:t>对单项金额重大的金融资产和单项金额不重大的金融资产单独进行减值测试，如有客观证据</w:t>
      </w:r>
      <w:r>
        <w:rPr>
          <w:w w:val="100"/>
        </w:rPr>
        <w:t> </w:t>
      </w:r>
      <w:r>
        <w:rPr>
          <w:spacing w:val="-2"/>
        </w:rPr>
        <w:t>表明其已发生减值，确认减值损失，计入当期损益。单独测试未发生减值的金融资产（包括单项</w:t>
      </w:r>
    </w:p>
    <w:p>
      <w:pPr>
        <w:pStyle w:val="BodyText"/>
        <w:spacing w:line="272" w:lineRule="exact" w:before="1"/>
        <w:ind w:left="138" w:right="217"/>
        <w:jc w:val="both"/>
      </w:pPr>
      <w:r>
        <w:rPr>
          <w:spacing w:val="-2"/>
        </w:rPr>
        <w:t>金额重大和不重大的金融资产），包括在具有类似信用风险特征的金融资产组合中再进行减值测</w:t>
      </w:r>
      <w:r>
        <w:rPr>
          <w:spacing w:val="-25"/>
        </w:rPr>
        <w:t> </w:t>
      </w:r>
      <w:r>
        <w:rPr>
          <w:spacing w:val="-25"/>
        </w:rPr>
      </w:r>
      <w:r>
        <w:rPr>
          <w:spacing w:val="-2"/>
        </w:rPr>
        <w:t>试。已单项确认减值损失的金融资产，不包括在具有类似信用风险特征的金融资产组合中进行减</w:t>
      </w:r>
    </w:p>
    <w:p>
      <w:pPr>
        <w:pStyle w:val="BodyText"/>
        <w:spacing w:line="247" w:lineRule="exact"/>
        <w:ind w:left="138" w:right="0"/>
        <w:jc w:val="both"/>
      </w:pPr>
      <w:r>
        <w:rPr/>
        <w:t>值测试。</w:t>
      </w:r>
    </w:p>
    <w:p>
      <w:pPr>
        <w:pStyle w:val="BodyText"/>
        <w:spacing w:line="237" w:lineRule="auto"/>
        <w:ind w:left="138" w:right="217" w:firstLine="419"/>
        <w:jc w:val="both"/>
      </w:pPr>
      <w:r>
        <w:rPr>
          <w:spacing w:val="-2"/>
        </w:rPr>
        <w:t>本公司对以摊余成本计量的金融资产确认减值损失后，如有客观证据表明该金融资产价值已</w:t>
      </w:r>
      <w:r>
        <w:rPr>
          <w:w w:val="100"/>
        </w:rPr>
        <w:t> </w:t>
      </w:r>
      <w:r>
        <w:rPr>
          <w:spacing w:val="-2"/>
        </w:rPr>
        <w:t>恢复，且客观上与确认该损失后发生的事项有关，原确认的减值损失予以转回，计入当期损益。</w:t>
      </w:r>
      <w:r>
        <w:rPr>
          <w:spacing w:val="-25"/>
        </w:rPr>
        <w:t> </w:t>
      </w:r>
      <w:r>
        <w:rPr>
          <w:spacing w:val="-25"/>
        </w:rPr>
      </w:r>
      <w:r>
        <w:rPr>
          <w:spacing w:val="-2"/>
        </w:rPr>
        <w:t>但是，该转回后的账面价值不超过假定不计提减值准备情况下该金融资产在转回日的摊余成本。</w:t>
      </w:r>
    </w:p>
    <w:p>
      <w:pPr>
        <w:pStyle w:val="BodyText"/>
        <w:spacing w:line="274" w:lineRule="exact"/>
        <w:ind w:left="558" w:right="0"/>
        <w:jc w:val="left"/>
      </w:pPr>
      <w:r>
        <w:rPr/>
        <w:t>可供出售金融资产</w:t>
      </w:r>
    </w:p>
    <w:p>
      <w:pPr>
        <w:spacing w:after="0" w:line="274" w:lineRule="exact"/>
        <w:jc w:val="left"/>
        <w:sectPr>
          <w:pgSz w:w="11910" w:h="16840"/>
          <w:pgMar w:header="857" w:footer="1195" w:top="1320" w:bottom="1380" w:left="1660" w:right="1060"/>
        </w:sectPr>
      </w:pPr>
    </w:p>
    <w:p>
      <w:pPr>
        <w:spacing w:line="240" w:lineRule="auto" w:before="4"/>
        <w:rPr>
          <w:rFonts w:ascii="宋体" w:hAnsi="宋体" w:cs="宋体" w:eastAsia="宋体" w:hint="default"/>
          <w:sz w:val="9"/>
          <w:szCs w:val="9"/>
        </w:rPr>
      </w:pPr>
    </w:p>
    <w:p>
      <w:pPr>
        <w:pStyle w:val="BodyText"/>
        <w:spacing w:line="237" w:lineRule="auto" w:before="38"/>
        <w:ind w:right="237" w:firstLine="419"/>
        <w:jc w:val="both"/>
      </w:pPr>
      <w:r>
        <w:rPr>
          <w:spacing w:val="-2"/>
        </w:rPr>
        <w:t>如果有客观证据表明该金融资产发生减值，原直接计入其他综合收益的因公允价值下降形成</w:t>
      </w:r>
      <w:r>
        <w:rPr>
          <w:w w:val="100"/>
        </w:rPr>
        <w:t> </w:t>
      </w:r>
      <w:r>
        <w:rPr>
          <w:spacing w:val="-2"/>
        </w:rPr>
        <w:t>的累计损失，予以转出，计入当期损益。该转出的累计损失，为可供出售金融资产的初始取得成</w:t>
      </w:r>
      <w:r>
        <w:rPr>
          <w:spacing w:val="-25"/>
        </w:rPr>
        <w:t> </w:t>
      </w:r>
      <w:r>
        <w:rPr>
          <w:spacing w:val="-25"/>
        </w:rPr>
      </w:r>
      <w:r>
        <w:rPr/>
        <w:t>本扣除已收回本金和已摊销金额、当前公允价值和原已计入损益的减值损失后的余额。</w:t>
      </w:r>
    </w:p>
    <w:p>
      <w:pPr>
        <w:pStyle w:val="BodyText"/>
        <w:spacing w:line="237" w:lineRule="auto" w:before="1"/>
        <w:ind w:right="237" w:firstLine="419"/>
        <w:jc w:val="both"/>
      </w:pPr>
      <w:r>
        <w:rPr>
          <w:spacing w:val="-2"/>
        </w:rPr>
        <w:t>对于已确认减值损失的可供出售债务工具，在随后的会计期间公允价值已上升且客观上与确</w:t>
      </w:r>
      <w:r>
        <w:rPr>
          <w:w w:val="100"/>
        </w:rPr>
        <w:t> </w:t>
      </w:r>
      <w:r>
        <w:rPr>
          <w:spacing w:val="-2"/>
        </w:rPr>
        <w:t>认原减值损失确认后发生的事项有关的，原确认的减值损失予以转回，计入当期损益。可供出售</w:t>
      </w:r>
      <w:r>
        <w:rPr>
          <w:spacing w:val="-25"/>
        </w:rPr>
        <w:t> </w:t>
      </w:r>
      <w:r>
        <w:rPr>
          <w:spacing w:val="-25"/>
        </w:rPr>
      </w:r>
      <w:r>
        <w:rPr/>
        <w:t>权益工具投资发生的减值损失，不通过损益转回。</w:t>
      </w:r>
    </w:p>
    <w:p>
      <w:pPr>
        <w:pStyle w:val="BodyText"/>
        <w:spacing w:line="274" w:lineRule="exact" w:before="22"/>
        <w:ind w:left="638" w:right="0"/>
        <w:jc w:val="left"/>
      </w:pPr>
      <w:r>
        <w:rPr/>
        <w:t>以成本计量的金融资产</w:t>
      </w:r>
      <w:r>
        <w:rPr>
          <w:w w:val="100"/>
        </w:rPr>
        <w:t> </w:t>
      </w:r>
      <w:r>
        <w:rPr>
          <w:spacing w:val="-2"/>
        </w:rPr>
        <w:t>在活跃市场中没有报价且其公允价值不能可靠计量的权益工具投资，或与该权益工具挂钩并</w:t>
      </w:r>
    </w:p>
    <w:p>
      <w:pPr>
        <w:pStyle w:val="BodyText"/>
        <w:spacing w:line="245" w:lineRule="exact"/>
        <w:ind w:right="0"/>
        <w:jc w:val="left"/>
      </w:pPr>
      <w:r>
        <w:rPr/>
        <w:t>须通过交付该权益工具结算的衍生金融资产发生减值时，将该金融资产的账面价值，与按照类似</w:t>
      </w:r>
    </w:p>
    <w:p>
      <w:pPr>
        <w:pStyle w:val="BodyText"/>
        <w:spacing w:line="272" w:lineRule="exact" w:before="27"/>
        <w:ind w:right="0"/>
        <w:jc w:val="left"/>
      </w:pPr>
      <w:r>
        <w:rPr>
          <w:spacing w:val="-2"/>
        </w:rPr>
        <w:t>金融资产当时市场收益率对未来现金流量折现确定的现值之间的差额，确认为减值损失，计入当</w:t>
      </w:r>
      <w:r>
        <w:rPr>
          <w:spacing w:val="-25"/>
        </w:rPr>
        <w:t> </w:t>
      </w:r>
      <w:r>
        <w:rPr>
          <w:spacing w:val="-25"/>
        </w:rPr>
      </w:r>
      <w:r>
        <w:rPr/>
        <w:t>期损益。发生的减值损失一经确认，不得转回。</w:t>
      </w:r>
    </w:p>
    <w:p>
      <w:pPr>
        <w:pStyle w:val="BodyText"/>
        <w:spacing w:line="272" w:lineRule="exact" w:before="1"/>
        <w:ind w:left="638" w:right="0"/>
        <w:jc w:val="left"/>
      </w:pPr>
      <w:r>
        <w:rPr/>
        <w:t>（</w:t>
      </w:r>
      <w:r>
        <w:rPr>
          <w:rFonts w:ascii="宋体" w:hAnsi="宋体" w:cs="宋体" w:eastAsia="宋体" w:hint="default"/>
        </w:rPr>
        <w:t>6</w:t>
      </w:r>
      <w:r>
        <w:rPr/>
        <w:t>）金融资产转移</w:t>
      </w:r>
      <w:r>
        <w:rPr>
          <w:w w:val="100"/>
        </w:rPr>
        <w:t> </w:t>
      </w:r>
      <w:r>
        <w:rPr/>
        <w:t>金融资产转移，是指将金融资产让与或交付给该金融资产发行方以外的另一方（转入方）。</w:t>
      </w:r>
    </w:p>
    <w:p>
      <w:pPr>
        <w:pStyle w:val="BodyText"/>
        <w:spacing w:line="272" w:lineRule="exact" w:before="1"/>
        <w:ind w:right="0" w:firstLine="419"/>
        <w:jc w:val="left"/>
      </w:pPr>
      <w:r>
        <w:rPr>
          <w:spacing w:val="-4"/>
          <w:w w:val="100"/>
        </w:rPr>
        <w:t>本公司已将金融资产所有权上几乎所有的风险和报酬转移给转入方的，终止确认该金融资产；</w:t>
      </w:r>
      <w:r>
        <w:rPr>
          <w:w w:val="100"/>
        </w:rPr>
        <w:t> </w:t>
      </w:r>
      <w:r>
        <w:rPr/>
        <w:t>保留了金融资产所有权上几乎所有的风险和报酬的，不终止确认该金融资产。</w:t>
      </w:r>
    </w:p>
    <w:p>
      <w:pPr>
        <w:pStyle w:val="BodyText"/>
        <w:spacing w:line="272" w:lineRule="exact" w:before="1"/>
        <w:ind w:right="230" w:firstLine="419"/>
        <w:jc w:val="both"/>
      </w:pPr>
      <w:r>
        <w:rPr>
          <w:spacing w:val="-2"/>
        </w:rPr>
        <w:t>本公司既没有转移也没有保留金融资产所有权上几乎所有的风险和报酬的，分别下列情况处</w:t>
      </w:r>
      <w:r>
        <w:rPr>
          <w:w w:val="100"/>
        </w:rPr>
        <w:t> </w:t>
      </w:r>
      <w:r>
        <w:rPr>
          <w:spacing w:val="-2"/>
        </w:rPr>
        <w:t>理：放弃了对该金融资产控制的，终止确认该金融资产并确认产生的资产和负债；未放弃对该金</w:t>
      </w:r>
    </w:p>
    <w:p>
      <w:pPr>
        <w:pStyle w:val="BodyText"/>
        <w:spacing w:line="247" w:lineRule="exact"/>
        <w:ind w:right="0"/>
        <w:jc w:val="left"/>
      </w:pPr>
      <w:r>
        <w:rPr>
          <w:w w:val="100"/>
        </w:rPr>
        <w:t>融资</w:t>
      </w:r>
      <w:r>
        <w:rPr>
          <w:spacing w:val="-3"/>
          <w:w w:val="100"/>
        </w:rPr>
        <w:t>产</w:t>
      </w:r>
      <w:r>
        <w:rPr>
          <w:w w:val="100"/>
        </w:rPr>
        <w:t>控</w:t>
      </w:r>
      <w:r>
        <w:rPr>
          <w:spacing w:val="-3"/>
          <w:w w:val="100"/>
        </w:rPr>
        <w:t>制</w:t>
      </w:r>
      <w:r>
        <w:rPr>
          <w:w w:val="100"/>
        </w:rPr>
        <w:t>的</w:t>
      </w:r>
      <w:r>
        <w:rPr>
          <w:spacing w:val="-101"/>
          <w:w w:val="100"/>
        </w:rPr>
        <w:t>，</w:t>
      </w:r>
      <w:r>
        <w:rPr>
          <w:w w:val="100"/>
        </w:rPr>
        <w:t>按</w:t>
      </w:r>
      <w:r>
        <w:rPr>
          <w:spacing w:val="-3"/>
          <w:w w:val="100"/>
        </w:rPr>
        <w:t>照</w:t>
      </w:r>
      <w:r>
        <w:rPr>
          <w:w w:val="100"/>
        </w:rPr>
        <w:t>其</w:t>
      </w:r>
      <w:r>
        <w:rPr>
          <w:spacing w:val="-3"/>
          <w:w w:val="100"/>
        </w:rPr>
        <w:t>继续</w:t>
      </w:r>
      <w:r>
        <w:rPr>
          <w:w w:val="100"/>
        </w:rPr>
        <w:t>涉入</w:t>
      </w:r>
      <w:r>
        <w:rPr>
          <w:spacing w:val="-3"/>
          <w:w w:val="100"/>
        </w:rPr>
        <w:t>所</w:t>
      </w:r>
      <w:r>
        <w:rPr>
          <w:w w:val="100"/>
        </w:rPr>
        <w:t>转</w:t>
      </w:r>
      <w:r>
        <w:rPr>
          <w:spacing w:val="-3"/>
          <w:w w:val="100"/>
        </w:rPr>
        <w:t>移</w:t>
      </w:r>
      <w:r>
        <w:rPr>
          <w:w w:val="100"/>
        </w:rPr>
        <w:t>金</w:t>
      </w:r>
      <w:r>
        <w:rPr>
          <w:spacing w:val="-3"/>
          <w:w w:val="100"/>
        </w:rPr>
        <w:t>融</w:t>
      </w:r>
      <w:r>
        <w:rPr>
          <w:w w:val="100"/>
        </w:rPr>
        <w:t>资</w:t>
      </w:r>
      <w:r>
        <w:rPr>
          <w:spacing w:val="-3"/>
          <w:w w:val="100"/>
        </w:rPr>
        <w:t>产</w:t>
      </w:r>
      <w:r>
        <w:rPr>
          <w:w w:val="100"/>
        </w:rPr>
        <w:t>的</w:t>
      </w:r>
      <w:r>
        <w:rPr>
          <w:spacing w:val="-3"/>
          <w:w w:val="100"/>
        </w:rPr>
        <w:t>程</w:t>
      </w:r>
      <w:r>
        <w:rPr>
          <w:w w:val="100"/>
        </w:rPr>
        <w:t>度确</w:t>
      </w:r>
      <w:r>
        <w:rPr>
          <w:spacing w:val="-3"/>
          <w:w w:val="100"/>
        </w:rPr>
        <w:t>认</w:t>
      </w:r>
      <w:r>
        <w:rPr>
          <w:w w:val="100"/>
        </w:rPr>
        <w:t>有</w:t>
      </w:r>
      <w:r>
        <w:rPr>
          <w:spacing w:val="-3"/>
          <w:w w:val="100"/>
        </w:rPr>
        <w:t>关</w:t>
      </w:r>
      <w:r>
        <w:rPr>
          <w:w w:val="100"/>
        </w:rPr>
        <w:t>金</w:t>
      </w:r>
      <w:r>
        <w:rPr>
          <w:spacing w:val="-3"/>
          <w:w w:val="100"/>
        </w:rPr>
        <w:t>融</w:t>
      </w:r>
      <w:r>
        <w:rPr>
          <w:w w:val="100"/>
        </w:rPr>
        <w:t>资</w:t>
      </w:r>
      <w:r>
        <w:rPr>
          <w:spacing w:val="-3"/>
          <w:w w:val="100"/>
        </w:rPr>
        <w:t>产</w:t>
      </w:r>
      <w:r>
        <w:rPr>
          <w:spacing w:val="-99"/>
          <w:w w:val="100"/>
        </w:rPr>
        <w:t>，</w:t>
      </w:r>
      <w:r>
        <w:rPr>
          <w:spacing w:val="-3"/>
          <w:w w:val="100"/>
        </w:rPr>
        <w:t>并相</w:t>
      </w:r>
      <w:r>
        <w:rPr>
          <w:w w:val="100"/>
        </w:rPr>
        <w:t>应确</w:t>
      </w:r>
      <w:r>
        <w:rPr>
          <w:spacing w:val="-3"/>
          <w:w w:val="100"/>
        </w:rPr>
        <w:t>认</w:t>
      </w:r>
      <w:r>
        <w:rPr>
          <w:w w:val="100"/>
        </w:rPr>
        <w:t>有</w:t>
      </w:r>
      <w:r>
        <w:rPr>
          <w:spacing w:val="-3"/>
          <w:w w:val="100"/>
        </w:rPr>
        <w:t>关负债</w:t>
      </w:r>
      <w:r>
        <w:rPr>
          <w:w w:val="100"/>
        </w:rPr>
        <w:t>。</w:t>
      </w:r>
    </w:p>
    <w:p>
      <w:pPr>
        <w:pStyle w:val="BodyText"/>
        <w:spacing w:line="272" w:lineRule="exact" w:before="26"/>
        <w:ind w:left="638" w:right="0"/>
        <w:jc w:val="left"/>
      </w:pPr>
      <w:r>
        <w:rPr/>
        <w:t>（</w:t>
      </w:r>
      <w:r>
        <w:rPr>
          <w:rFonts w:ascii="宋体" w:hAnsi="宋体" w:cs="宋体" w:eastAsia="宋体" w:hint="default"/>
        </w:rPr>
        <w:t>7</w:t>
      </w:r>
      <w:r>
        <w:rPr/>
        <w:t>）金融资产和金融负债的抵销</w:t>
      </w:r>
      <w:r>
        <w:rPr>
          <w:w w:val="100"/>
        </w:rPr>
        <w:t> </w:t>
      </w:r>
      <w:r>
        <w:rPr>
          <w:spacing w:val="-2"/>
        </w:rPr>
        <w:t>当本公司具有抵销已确认金融资产和金融负债的法定权利，且目前可执行该种法定权利，同</w:t>
      </w:r>
    </w:p>
    <w:p>
      <w:pPr>
        <w:pStyle w:val="BodyText"/>
        <w:spacing w:line="272" w:lineRule="exact" w:before="1"/>
        <w:ind w:right="224"/>
        <w:jc w:val="left"/>
      </w:pPr>
      <w:r>
        <w:rPr>
          <w:spacing w:val="-2"/>
        </w:rPr>
        <w:t>时本公司计划以净额结算或同时变现该金融资产和清偿该金融负债时，金融资产和金融负债以相</w:t>
      </w:r>
      <w:r>
        <w:rPr>
          <w:spacing w:val="-25"/>
        </w:rPr>
        <w:t> </w:t>
      </w:r>
      <w:r>
        <w:rPr>
          <w:spacing w:val="-25"/>
        </w:rPr>
      </w:r>
      <w:r>
        <w:rPr>
          <w:spacing w:val="-6"/>
          <w:w w:val="100"/>
        </w:rPr>
        <w:t>互抵销后的金额在资产负债表内列示。除此以外，金融资产和金融负债在资产负债表内分别列示，</w:t>
      </w:r>
    </w:p>
    <w:p>
      <w:pPr>
        <w:pStyle w:val="BodyText"/>
        <w:spacing w:line="249" w:lineRule="exact"/>
        <w:ind w:right="2757"/>
        <w:jc w:val="left"/>
      </w:pPr>
      <w:r>
        <w:rPr/>
        <w:t>不予相互抵销。</w:t>
      </w:r>
    </w:p>
    <w:p>
      <w:pPr>
        <w:spacing w:line="240" w:lineRule="auto" w:before="3"/>
        <w:rPr>
          <w:rFonts w:ascii="宋体" w:hAnsi="宋体" w:cs="宋体" w:eastAsia="宋体" w:hint="default"/>
          <w:sz w:val="25"/>
          <w:szCs w:val="25"/>
        </w:rPr>
      </w:pPr>
    </w:p>
    <w:p>
      <w:pPr>
        <w:pStyle w:val="Heading3"/>
        <w:spacing w:line="290" w:lineRule="auto"/>
        <w:ind w:right="4408"/>
        <w:jc w:val="left"/>
        <w:rPr>
          <w:b w:val="0"/>
          <w:bCs w:val="0"/>
        </w:rPr>
      </w:pPr>
      <w:r>
        <w:rPr>
          <w:rFonts w:ascii="宋体" w:hAnsi="宋体" w:cs="宋体" w:eastAsia="宋体" w:hint="default"/>
        </w:rPr>
        <w:t>11.</w:t>
      </w:r>
      <w:r>
        <w:rPr>
          <w:rFonts w:ascii="宋体" w:hAnsi="宋体" w:cs="宋体" w:eastAsia="宋体" w:hint="default"/>
          <w:spacing w:val="2"/>
        </w:rPr>
        <w:t> </w:t>
      </w:r>
      <w:r>
        <w:rPr/>
        <w:t>应收款项</w:t>
      </w:r>
      <w:r>
        <w:rPr>
          <w:w w:val="100"/>
        </w:rPr>
        <w:t> </w:t>
      </w:r>
      <w:r>
        <w:rPr>
          <w:rFonts w:ascii="宋体" w:hAnsi="宋体" w:cs="宋体" w:eastAsia="宋体" w:hint="default"/>
        </w:rPr>
        <w:t>(1).</w:t>
      </w:r>
      <w:r>
        <w:rPr/>
        <w:t>单项金额重大并单独计提坏账准备的应收款项</w:t>
      </w:r>
      <w:r>
        <w:rPr>
          <w:b w:val="0"/>
          <w:bCs w:val="0"/>
        </w:rPr>
      </w:r>
    </w:p>
    <w:p>
      <w:pPr>
        <w:pStyle w:val="BodyText"/>
        <w:spacing w:line="240" w:lineRule="auto" w:before="14"/>
        <w:ind w:right="2757"/>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82"/>
        <w:gridCol w:w="4467"/>
      </w:tblGrid>
      <w:tr>
        <w:trPr>
          <w:trHeight w:val="554"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单项金额重大的判断依据或金额标准</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单项金额超过期末应收款项余额的</w:t>
            </w:r>
            <w:r>
              <w:rPr>
                <w:rFonts w:ascii="宋体" w:hAnsi="宋体" w:cs="宋体" w:eastAsia="宋体" w:hint="default"/>
                <w:spacing w:val="-55"/>
                <w:sz w:val="21"/>
                <w:szCs w:val="21"/>
              </w:rPr>
              <w:t> </w:t>
            </w:r>
            <w:r>
              <w:rPr>
                <w:rFonts w:ascii="宋体" w:hAnsi="宋体" w:cs="宋体" w:eastAsia="宋体" w:hint="default"/>
                <w:sz w:val="21"/>
                <w:szCs w:val="21"/>
              </w:rPr>
              <w:t>20%</w:t>
            </w:r>
            <w:r>
              <w:rPr>
                <w:rFonts w:ascii="宋体" w:hAnsi="宋体" w:cs="宋体" w:eastAsia="宋体" w:hint="default"/>
                <w:sz w:val="21"/>
                <w:szCs w:val="21"/>
              </w:rPr>
              <w:t>且单项</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金额超过</w:t>
            </w:r>
            <w:r>
              <w:rPr>
                <w:rFonts w:ascii="宋体" w:hAnsi="宋体" w:cs="宋体" w:eastAsia="宋体" w:hint="default"/>
                <w:spacing w:val="-53"/>
                <w:sz w:val="21"/>
                <w:szCs w:val="21"/>
              </w:rPr>
              <w:t> </w:t>
            </w:r>
            <w:r>
              <w:rPr>
                <w:rFonts w:ascii="宋体" w:hAnsi="宋体" w:cs="宋体" w:eastAsia="宋体" w:hint="default"/>
                <w:sz w:val="21"/>
                <w:szCs w:val="21"/>
              </w:rPr>
              <w:t>100</w:t>
            </w:r>
            <w:r>
              <w:rPr>
                <w:rFonts w:ascii="宋体" w:hAnsi="宋体" w:cs="宋体" w:eastAsia="宋体" w:hint="default"/>
                <w:spacing w:val="-53"/>
                <w:sz w:val="21"/>
                <w:szCs w:val="21"/>
              </w:rPr>
              <w:t> </w:t>
            </w:r>
            <w:r>
              <w:rPr>
                <w:rFonts w:ascii="宋体" w:hAnsi="宋体" w:cs="宋体" w:eastAsia="宋体" w:hint="default"/>
                <w:sz w:val="21"/>
                <w:szCs w:val="21"/>
              </w:rPr>
              <w:t>万元。</w:t>
            </w:r>
          </w:p>
        </w:tc>
      </w:tr>
      <w:tr>
        <w:trPr>
          <w:trHeight w:val="1102"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单项金额重大并单项计提坏账准备的计提方法</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对于单项金额重大的应收款项单独进行减值测</w:t>
            </w:r>
          </w:p>
          <w:p>
            <w:pPr>
              <w:pStyle w:val="TableParagraph"/>
              <w:spacing w:line="237" w:lineRule="auto"/>
              <w:ind w:left="103" w:right="146"/>
              <w:jc w:val="both"/>
              <w:rPr>
                <w:rFonts w:ascii="宋体" w:hAnsi="宋体" w:cs="宋体" w:eastAsia="宋体" w:hint="default"/>
                <w:sz w:val="21"/>
                <w:szCs w:val="21"/>
              </w:rPr>
            </w:pPr>
            <w:r>
              <w:rPr>
                <w:rFonts w:ascii="宋体" w:hAnsi="宋体" w:cs="宋体" w:eastAsia="宋体" w:hint="default"/>
                <w:spacing w:val="-2"/>
                <w:sz w:val="21"/>
                <w:szCs w:val="21"/>
              </w:rPr>
              <w:t>试，有客观证据表明发生了减值，根据其未来</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2"/>
                <w:sz w:val="21"/>
                <w:szCs w:val="21"/>
              </w:rPr>
              <w:t>现金流量现值低于其账面价值的差额计提坏账</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准备。</w:t>
            </w:r>
          </w:p>
        </w:tc>
      </w:tr>
    </w:tbl>
    <w:p>
      <w:pPr>
        <w:spacing w:line="240" w:lineRule="auto" w:before="12"/>
        <w:rPr>
          <w:rFonts w:ascii="宋体" w:hAnsi="宋体" w:cs="宋体" w:eastAsia="宋体" w:hint="default"/>
          <w:sz w:val="19"/>
          <w:szCs w:val="19"/>
        </w:rPr>
      </w:pPr>
    </w:p>
    <w:p>
      <w:pPr>
        <w:pStyle w:val="Heading3"/>
        <w:spacing w:line="240" w:lineRule="auto" w:before="36"/>
        <w:ind w:right="2757"/>
        <w:jc w:val="left"/>
        <w:rPr>
          <w:b w:val="0"/>
          <w:bCs w:val="0"/>
        </w:rPr>
      </w:pPr>
      <w:r>
        <w:rPr>
          <w:rFonts w:ascii="宋体" w:hAnsi="宋体" w:cs="宋体" w:eastAsia="宋体" w:hint="default"/>
        </w:rPr>
        <w:t>(2).</w:t>
      </w:r>
      <w:r>
        <w:rPr/>
        <w:t>按信用风险特征组合计提坏账准备的应收款项：</w:t>
      </w:r>
      <w:r>
        <w:rPr>
          <w:b w:val="0"/>
          <w:bCs w:val="0"/>
        </w:rPr>
      </w:r>
    </w:p>
    <w:p>
      <w:pPr>
        <w:pStyle w:val="BodyText"/>
        <w:spacing w:line="240" w:lineRule="auto" w:before="59"/>
        <w:ind w:right="2757"/>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82"/>
        <w:gridCol w:w="4467"/>
      </w:tblGrid>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按信用风险特征组合计提坏账准备的计提方法（账龄分析法、余额百分比法、其他方法）</w:t>
            </w:r>
          </w:p>
        </w:tc>
      </w:tr>
      <w:tr>
        <w:trPr>
          <w:trHeight w:val="281"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对象组合</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不计提坏账准备</w:t>
            </w:r>
          </w:p>
        </w:tc>
      </w:tr>
      <w:tr>
        <w:trPr>
          <w:trHeight w:val="283"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账龄组合</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bl>
    <w:p>
      <w:pPr>
        <w:spacing w:line="240" w:lineRule="auto" w:before="7"/>
        <w:rPr>
          <w:rFonts w:ascii="宋体" w:hAnsi="宋体" w:cs="宋体" w:eastAsia="宋体" w:hint="default"/>
          <w:sz w:val="15"/>
          <w:szCs w:val="15"/>
        </w:rPr>
      </w:pPr>
    </w:p>
    <w:p>
      <w:pPr>
        <w:pStyle w:val="BodyText"/>
        <w:spacing w:line="273" w:lineRule="exact" w:before="36"/>
        <w:ind w:right="2757"/>
        <w:jc w:val="left"/>
      </w:pPr>
      <w:r>
        <w:rPr/>
        <w:t>组合中，采用账龄分析法计提坏账准备的</w:t>
      </w:r>
    </w:p>
    <w:p>
      <w:pPr>
        <w:pStyle w:val="BodyText"/>
        <w:spacing w:line="273" w:lineRule="exact"/>
        <w:ind w:right="2757"/>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23"/>
        <w:gridCol w:w="2962"/>
        <w:gridCol w:w="2965"/>
      </w:tblGrid>
      <w:tr>
        <w:trPr>
          <w:trHeight w:val="281"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0" w:right="0"/>
              <w:jc w:val="left"/>
              <w:rPr>
                <w:rFonts w:ascii="宋体" w:hAnsi="宋体" w:cs="宋体" w:eastAsia="宋体" w:hint="default"/>
                <w:sz w:val="21"/>
                <w:szCs w:val="21"/>
              </w:rPr>
            </w:pPr>
            <w:r>
              <w:rPr>
                <w:rFonts w:ascii="宋体" w:hAnsi="宋体" w:cs="宋体" w:eastAsia="宋体" w:hint="default"/>
                <w:sz w:val="21"/>
                <w:szCs w:val="21"/>
              </w:rPr>
              <w:t>应收账款计提比例</w:t>
            </w:r>
            <w:r>
              <w:rPr>
                <w:rFonts w:ascii="宋体" w:hAnsi="宋体" w:cs="宋体" w:eastAsia="宋体" w:hint="default"/>
                <w:sz w:val="21"/>
                <w:szCs w:val="21"/>
              </w:rPr>
              <w:t>(%)</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4" w:right="0"/>
              <w:jc w:val="left"/>
              <w:rPr>
                <w:rFonts w:ascii="宋体" w:hAnsi="宋体" w:cs="宋体" w:eastAsia="宋体" w:hint="default"/>
                <w:sz w:val="21"/>
                <w:szCs w:val="21"/>
              </w:rPr>
            </w:pPr>
            <w:r>
              <w:rPr>
                <w:rFonts w:ascii="宋体" w:hAnsi="宋体" w:cs="宋体" w:eastAsia="宋体" w:hint="default"/>
                <w:sz w:val="21"/>
                <w:szCs w:val="21"/>
              </w:rPr>
              <w:t>其他应收款计提比例</w:t>
            </w:r>
            <w:r>
              <w:rPr>
                <w:rFonts w:ascii="宋体" w:hAnsi="宋体" w:cs="宋体" w:eastAsia="宋体" w:hint="default"/>
                <w:sz w:val="21"/>
                <w:szCs w:val="21"/>
              </w:rPr>
              <w:t>(%)</w:t>
            </w:r>
          </w:p>
        </w:tc>
      </w:tr>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年以内（含</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5.00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5.00</w:t>
            </w:r>
          </w:p>
        </w:tc>
      </w:tr>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10.00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w:t>
            </w:r>
          </w:p>
        </w:tc>
      </w:tr>
      <w:tr>
        <w:trPr>
          <w:trHeight w:val="281"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30.00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30.00</w:t>
            </w:r>
          </w:p>
        </w:tc>
      </w:tr>
      <w:tr>
        <w:trPr>
          <w:trHeight w:val="284"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100.00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r>
    </w:tbl>
    <w:p>
      <w:pPr>
        <w:spacing w:after="0" w:line="241" w:lineRule="exact"/>
        <w:jc w:val="right"/>
        <w:rPr>
          <w:rFonts w:ascii="宋体" w:hAnsi="宋体" w:cs="宋体" w:eastAsia="宋体" w:hint="default"/>
          <w:sz w:val="21"/>
          <w:szCs w:val="21"/>
        </w:rPr>
        <w:sectPr>
          <w:pgSz w:w="11910" w:h="16840"/>
          <w:pgMar w:header="857" w:footer="1195" w:top="1320" w:bottom="1380" w:left="1580" w:right="1040"/>
        </w:sectPr>
      </w:pPr>
    </w:p>
    <w:p>
      <w:pPr>
        <w:spacing w:line="240" w:lineRule="auto" w:before="4"/>
        <w:rPr>
          <w:rFonts w:ascii="宋体" w:hAnsi="宋体" w:cs="宋体" w:eastAsia="宋体" w:hint="default"/>
          <w:sz w:val="9"/>
          <w:szCs w:val="9"/>
        </w:rPr>
      </w:pPr>
    </w:p>
    <w:p>
      <w:pPr>
        <w:pStyle w:val="BodyText"/>
        <w:spacing w:line="274" w:lineRule="exact" w:before="36"/>
        <w:ind w:right="2757"/>
        <w:jc w:val="left"/>
      </w:pPr>
      <w:r>
        <w:rPr/>
        <w:t>组合中，采用余额百分比法计提坏账准备的</w:t>
      </w:r>
    </w:p>
    <w:p>
      <w:pPr>
        <w:pStyle w:val="BodyText"/>
        <w:spacing w:line="272" w:lineRule="exact" w:before="27"/>
        <w:ind w:right="5042"/>
        <w:jc w:val="left"/>
      </w:pPr>
      <w:r>
        <w:rPr/>
        <w:t>□适用</w:t>
      </w:r>
      <w:r>
        <w:rPr>
          <w:spacing w:val="-2"/>
        </w:rPr>
        <w:t> </w:t>
      </w:r>
      <w:r>
        <w:rPr/>
        <w:t>√不适用</w:t>
      </w:r>
      <w:r>
        <w:rPr>
          <w:w w:val="100"/>
        </w:rPr>
        <w:t> </w:t>
      </w:r>
      <w:r>
        <w:rPr>
          <w:spacing w:val="-2"/>
        </w:rPr>
        <w:t>组合中，采用其他方法计提坏账准备的</w:t>
      </w:r>
    </w:p>
    <w:p>
      <w:pPr>
        <w:pStyle w:val="BodyText"/>
        <w:spacing w:line="249" w:lineRule="exact"/>
        <w:ind w:right="2757"/>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94"/>
        <w:gridCol w:w="3005"/>
        <w:gridCol w:w="2950"/>
      </w:tblGrid>
      <w:tr>
        <w:trPr>
          <w:trHeight w:val="283" w:hRule="exact"/>
        </w:trPr>
        <w:tc>
          <w:tcPr>
            <w:tcW w:w="30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组合名称</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应收账款计提比例</w:t>
            </w:r>
            <w:r>
              <w:rPr>
                <w:rFonts w:ascii="宋体" w:hAnsi="宋体" w:cs="宋体" w:eastAsia="宋体" w:hint="default"/>
                <w:sz w:val="21"/>
                <w:szCs w:val="21"/>
              </w:rPr>
              <w:t>(%)</w:t>
            </w:r>
          </w:p>
        </w:tc>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7" w:right="0"/>
              <w:jc w:val="left"/>
              <w:rPr>
                <w:rFonts w:ascii="宋体" w:hAnsi="宋体" w:cs="宋体" w:eastAsia="宋体" w:hint="default"/>
                <w:sz w:val="21"/>
                <w:szCs w:val="21"/>
              </w:rPr>
            </w:pPr>
            <w:r>
              <w:rPr>
                <w:rFonts w:ascii="宋体" w:hAnsi="宋体" w:cs="宋体" w:eastAsia="宋体" w:hint="default"/>
                <w:sz w:val="21"/>
                <w:szCs w:val="21"/>
              </w:rPr>
              <w:t>其他应收款计提比例</w:t>
            </w:r>
            <w:r>
              <w:rPr>
                <w:rFonts w:ascii="宋体" w:hAnsi="宋体" w:cs="宋体" w:eastAsia="宋体" w:hint="default"/>
                <w:sz w:val="21"/>
                <w:szCs w:val="21"/>
              </w:rPr>
              <w:t>(%)</w:t>
            </w:r>
          </w:p>
        </w:tc>
      </w:tr>
      <w:tr>
        <w:trPr>
          <w:trHeight w:val="283" w:hRule="exact"/>
        </w:trPr>
        <w:tc>
          <w:tcPr>
            <w:tcW w:w="30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2"/>
              <w:jc w:val="center"/>
              <w:rPr>
                <w:rFonts w:ascii="宋体" w:hAnsi="宋体" w:cs="宋体" w:eastAsia="宋体" w:hint="default"/>
                <w:sz w:val="21"/>
                <w:szCs w:val="21"/>
              </w:rPr>
            </w:pPr>
            <w:r>
              <w:rPr>
                <w:rFonts w:ascii="宋体" w:hAnsi="宋体" w:cs="宋体" w:eastAsia="宋体" w:hint="default"/>
                <w:sz w:val="21"/>
                <w:szCs w:val="21"/>
              </w:rPr>
              <w:t>应收合并报表范围内公司款项</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bl>
    <w:p>
      <w:pPr>
        <w:spacing w:line="240" w:lineRule="auto" w:before="12"/>
        <w:rPr>
          <w:rFonts w:ascii="宋体" w:hAnsi="宋体" w:cs="宋体" w:eastAsia="宋体" w:hint="default"/>
          <w:sz w:val="19"/>
          <w:szCs w:val="19"/>
        </w:rPr>
      </w:pPr>
    </w:p>
    <w:p>
      <w:pPr>
        <w:pStyle w:val="Heading3"/>
        <w:spacing w:line="240" w:lineRule="auto" w:before="36"/>
        <w:ind w:right="2757"/>
        <w:jc w:val="left"/>
        <w:rPr>
          <w:b w:val="0"/>
          <w:bCs w:val="0"/>
        </w:rPr>
      </w:pPr>
      <w:r>
        <w:rPr>
          <w:rFonts w:ascii="宋体" w:hAnsi="宋体" w:cs="宋体" w:eastAsia="宋体" w:hint="default"/>
        </w:rPr>
        <w:t>(3).</w:t>
      </w:r>
      <w:r>
        <w:rPr/>
        <w:t>单项金额不重大但单独计提坏账准备的应收款项：</w:t>
      </w:r>
      <w:r>
        <w:rPr>
          <w:b w:val="0"/>
          <w:bCs w:val="0"/>
        </w:rPr>
      </w:r>
    </w:p>
    <w:p>
      <w:pPr>
        <w:pStyle w:val="BodyText"/>
        <w:spacing w:line="240" w:lineRule="auto" w:before="58"/>
        <w:ind w:right="2757"/>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340"/>
        <w:gridCol w:w="4710"/>
      </w:tblGrid>
      <w:tr>
        <w:trPr>
          <w:trHeight w:val="283"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4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涉诉款项、客户信用状况恶化的应收款项</w:t>
            </w:r>
          </w:p>
        </w:tc>
      </w:tr>
      <w:tr>
        <w:trPr>
          <w:trHeight w:val="555"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47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根据其未来现金流量现值低于其账面价值的差额</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计提坏账准备</w:t>
            </w:r>
          </w:p>
        </w:tc>
      </w:tr>
    </w:tbl>
    <w:p>
      <w:pPr>
        <w:spacing w:line="240" w:lineRule="auto" w:before="2"/>
        <w:rPr>
          <w:rFonts w:ascii="宋体" w:hAnsi="宋体" w:cs="宋体" w:eastAsia="宋体" w:hint="default"/>
          <w:sz w:val="20"/>
          <w:szCs w:val="20"/>
        </w:rPr>
      </w:pPr>
    </w:p>
    <w:p>
      <w:pPr>
        <w:pStyle w:val="Heading3"/>
        <w:spacing w:line="240" w:lineRule="auto" w:before="36"/>
        <w:ind w:right="2757"/>
        <w:jc w:val="left"/>
        <w:rPr>
          <w:b w:val="0"/>
          <w:bCs w:val="0"/>
        </w:rPr>
      </w:pPr>
      <w:r>
        <w:rPr>
          <w:rFonts w:ascii="宋体" w:hAnsi="宋体" w:cs="宋体" w:eastAsia="宋体" w:hint="default"/>
        </w:rPr>
        <w:t>12.</w:t>
      </w:r>
      <w:r>
        <w:rPr>
          <w:rFonts w:ascii="宋体" w:hAnsi="宋体" w:cs="宋体" w:eastAsia="宋体" w:hint="default"/>
          <w:spacing w:val="2"/>
        </w:rPr>
        <w:t> </w:t>
      </w:r>
      <w:r>
        <w:rPr/>
        <w:t>存货</w:t>
      </w:r>
      <w:r>
        <w:rPr>
          <w:b w:val="0"/>
          <w:bCs w:val="0"/>
        </w:rPr>
      </w:r>
    </w:p>
    <w:p>
      <w:pPr>
        <w:pStyle w:val="BodyText"/>
        <w:tabs>
          <w:tab w:pos="1060" w:val="left" w:leader="none"/>
        </w:tabs>
        <w:spacing w:line="274" w:lineRule="exact" w:before="56"/>
        <w:ind w:right="2757"/>
        <w:jc w:val="left"/>
      </w:pPr>
      <w:r>
        <w:rPr>
          <w:spacing w:val="-1"/>
        </w:rPr>
        <w:t>√适用</w:t>
        <w:tab/>
      </w:r>
      <w:r>
        <w:rPr>
          <w:spacing w:val="-2"/>
        </w:rPr>
        <w:t>□不适用</w:t>
      </w:r>
    </w:p>
    <w:p>
      <w:pPr>
        <w:pStyle w:val="BodyText"/>
        <w:spacing w:line="272" w:lineRule="exact" w:before="27"/>
        <w:ind w:left="638" w:right="2757"/>
        <w:jc w:val="left"/>
      </w:pPr>
      <w:r>
        <w:rPr/>
        <w:t>（</w:t>
      </w:r>
      <w:r>
        <w:rPr>
          <w:rFonts w:ascii="宋体" w:hAnsi="宋体" w:cs="宋体" w:eastAsia="宋体" w:hint="default"/>
        </w:rPr>
        <w:t>1</w:t>
      </w:r>
      <w:r>
        <w:rPr/>
        <w:t>）存货的分类</w:t>
      </w:r>
      <w:r>
        <w:rPr>
          <w:w w:val="100"/>
        </w:rPr>
        <w:t> </w:t>
      </w:r>
      <w:r>
        <w:rPr>
          <w:spacing w:val="-2"/>
        </w:rPr>
        <w:t>本公司存货分为库存商品、发出商品、劳务成本等。</w:t>
      </w:r>
    </w:p>
    <w:p>
      <w:pPr>
        <w:pStyle w:val="BodyText"/>
        <w:spacing w:line="272" w:lineRule="exact" w:before="1"/>
        <w:ind w:left="638" w:right="0"/>
        <w:jc w:val="left"/>
      </w:pPr>
      <w:r>
        <w:rPr/>
        <w:t>（</w:t>
      </w:r>
      <w:r>
        <w:rPr>
          <w:rFonts w:ascii="宋体" w:hAnsi="宋体" w:cs="宋体" w:eastAsia="宋体" w:hint="default"/>
        </w:rPr>
        <w:t>2</w:t>
      </w:r>
      <w:r>
        <w:rPr/>
        <w:t>）发出存货的计价方法</w:t>
      </w:r>
      <w:r>
        <w:rPr>
          <w:w w:val="100"/>
        </w:rPr>
        <w:t> </w:t>
      </w:r>
      <w:r>
        <w:rPr>
          <w:spacing w:val="-2"/>
        </w:rPr>
        <w:t>本公司存货取得时按实际成本计价。库存商品、发出商品、劳务成本等发出时采用个别计价</w:t>
      </w:r>
    </w:p>
    <w:p>
      <w:pPr>
        <w:pStyle w:val="BodyText"/>
        <w:spacing w:line="246" w:lineRule="exact"/>
        <w:ind w:right="2757"/>
        <w:jc w:val="left"/>
      </w:pPr>
      <w:r>
        <w:rPr/>
        <w:t>法计价。</w:t>
      </w:r>
    </w:p>
    <w:p>
      <w:pPr>
        <w:pStyle w:val="BodyText"/>
        <w:spacing w:line="272" w:lineRule="exact" w:before="27"/>
        <w:ind w:left="638" w:right="0"/>
        <w:jc w:val="left"/>
      </w:pPr>
      <w:r>
        <w:rPr/>
        <w:t>（</w:t>
      </w:r>
      <w:r>
        <w:rPr>
          <w:rFonts w:ascii="宋体" w:hAnsi="宋体" w:cs="宋体" w:eastAsia="宋体" w:hint="default"/>
        </w:rPr>
        <w:t>3</w:t>
      </w:r>
      <w:r>
        <w:rPr/>
        <w:t>）存货可变现净值的确定依据及存货跌价准备的计提方法</w:t>
      </w:r>
      <w:r>
        <w:rPr>
          <w:w w:val="100"/>
        </w:rPr>
        <w:t> </w:t>
      </w:r>
      <w:r>
        <w:rPr>
          <w:spacing w:val="-2"/>
        </w:rPr>
        <w:t>存货可变现净值是按存货的估计售价减去至完工时估计将要发生的成本、估计的销售费用以</w:t>
      </w:r>
    </w:p>
    <w:p>
      <w:pPr>
        <w:pStyle w:val="BodyText"/>
        <w:spacing w:line="272" w:lineRule="exact" w:before="1"/>
        <w:ind w:right="0"/>
        <w:jc w:val="left"/>
      </w:pPr>
      <w:r>
        <w:rPr>
          <w:spacing w:val="-2"/>
        </w:rPr>
        <w:t>及相关税费后的金额。在确定存货的可变现净值时，以取得的确凿证据为基础，同时考虑持有存</w:t>
      </w:r>
      <w:r>
        <w:rPr>
          <w:spacing w:val="-25"/>
        </w:rPr>
        <w:t> </w:t>
      </w:r>
      <w:r>
        <w:rPr>
          <w:spacing w:val="-25"/>
        </w:rPr>
      </w:r>
      <w:r>
        <w:rPr/>
        <w:t>货的目的以及资产负债表日后事项的影响。</w:t>
      </w:r>
    </w:p>
    <w:p>
      <w:pPr>
        <w:pStyle w:val="BodyText"/>
        <w:spacing w:line="272" w:lineRule="exact" w:before="1"/>
        <w:ind w:right="0" w:firstLine="419"/>
        <w:jc w:val="left"/>
      </w:pPr>
      <w:r>
        <w:rPr>
          <w:spacing w:val="-2"/>
        </w:rPr>
        <w:t>资产负债表日，存货成本高于其可变现净值的，计提存货跌价准备。本公司通常按照单个存</w:t>
      </w:r>
      <w:r>
        <w:rPr>
          <w:w w:val="100"/>
        </w:rPr>
        <w:t> </w:t>
      </w:r>
      <w:r>
        <w:rPr>
          <w:spacing w:val="-2"/>
        </w:rPr>
        <w:t>货项目计提存货跌价准备，资产负债表日，以前减记存货价值的影响因素已经消失的，存货跌价</w:t>
      </w:r>
    </w:p>
    <w:p>
      <w:pPr>
        <w:pStyle w:val="BodyText"/>
        <w:spacing w:line="247" w:lineRule="exact"/>
        <w:ind w:right="2757"/>
        <w:jc w:val="left"/>
      </w:pPr>
      <w:r>
        <w:rPr/>
        <w:t>准备在原已计提的金额内转回。</w:t>
      </w:r>
    </w:p>
    <w:p>
      <w:pPr>
        <w:pStyle w:val="BodyText"/>
        <w:spacing w:line="240" w:lineRule="auto"/>
        <w:ind w:left="638" w:right="5042"/>
        <w:jc w:val="left"/>
      </w:pPr>
      <w:r>
        <w:rPr/>
        <w:t>（</w:t>
      </w:r>
      <w:r>
        <w:rPr>
          <w:rFonts w:ascii="宋体" w:hAnsi="宋体" w:cs="宋体" w:eastAsia="宋体" w:hint="default"/>
        </w:rPr>
        <w:t>4</w:t>
      </w:r>
      <w:r>
        <w:rPr/>
        <w:t>）存货的盘存制度</w:t>
      </w:r>
      <w:r>
        <w:rPr>
          <w:w w:val="100"/>
        </w:rPr>
        <w:t> </w:t>
      </w:r>
      <w:r>
        <w:rPr>
          <w:spacing w:val="-2"/>
        </w:rPr>
        <w:t>本公司存货盘存制度采用永续盘存制。</w:t>
      </w:r>
    </w:p>
    <w:p>
      <w:pPr>
        <w:pStyle w:val="BodyText"/>
        <w:spacing w:line="274" w:lineRule="exact" w:before="22"/>
        <w:ind w:left="638" w:right="2757"/>
        <w:jc w:val="left"/>
      </w:pPr>
      <w:r>
        <w:rPr/>
        <w:t>（</w:t>
      </w:r>
      <w:r>
        <w:rPr>
          <w:rFonts w:ascii="宋体" w:hAnsi="宋体" w:cs="宋体" w:eastAsia="宋体" w:hint="default"/>
        </w:rPr>
        <w:t>5</w:t>
      </w:r>
      <w:r>
        <w:rPr/>
        <w:t>）低值易耗品的摊销方法</w:t>
      </w:r>
      <w:r>
        <w:rPr>
          <w:w w:val="100"/>
        </w:rPr>
        <w:t> </w:t>
      </w:r>
      <w:r>
        <w:rPr>
          <w:spacing w:val="-2"/>
        </w:rPr>
        <w:t>本公司低值易耗品领用时采用一次转销法摊销。</w:t>
      </w:r>
    </w:p>
    <w:p>
      <w:pPr>
        <w:spacing w:line="240" w:lineRule="auto" w:before="4"/>
        <w:rPr>
          <w:rFonts w:ascii="宋体" w:hAnsi="宋体" w:cs="宋体" w:eastAsia="宋体" w:hint="default"/>
          <w:sz w:val="23"/>
          <w:szCs w:val="23"/>
        </w:rPr>
      </w:pPr>
    </w:p>
    <w:p>
      <w:pPr>
        <w:pStyle w:val="Heading3"/>
        <w:spacing w:line="240" w:lineRule="auto"/>
        <w:ind w:right="2757"/>
        <w:jc w:val="left"/>
        <w:rPr>
          <w:b w:val="0"/>
          <w:bCs w:val="0"/>
        </w:rPr>
      </w:pPr>
      <w:r>
        <w:rPr>
          <w:rFonts w:ascii="宋体" w:hAnsi="宋体" w:cs="宋体" w:eastAsia="宋体" w:hint="default"/>
        </w:rPr>
        <w:t>13.</w:t>
      </w:r>
      <w:r>
        <w:rPr>
          <w:rFonts w:ascii="宋体" w:hAnsi="宋体" w:cs="宋体" w:eastAsia="宋体" w:hint="default"/>
          <w:spacing w:val="3"/>
        </w:rPr>
        <w:t> </w:t>
      </w:r>
      <w:r>
        <w:rPr/>
        <w:t>持有待售资产</w:t>
      </w:r>
      <w:r>
        <w:rPr>
          <w:b w:val="0"/>
          <w:bCs w:val="0"/>
        </w:rPr>
      </w:r>
    </w:p>
    <w:p>
      <w:pPr>
        <w:pStyle w:val="BodyText"/>
        <w:tabs>
          <w:tab w:pos="1060" w:val="left" w:leader="none"/>
        </w:tabs>
        <w:spacing w:line="240" w:lineRule="auto" w:before="56"/>
        <w:ind w:right="2757"/>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3"/>
        <w:spacing w:line="240" w:lineRule="auto"/>
        <w:ind w:right="2757"/>
        <w:jc w:val="left"/>
        <w:rPr>
          <w:b w:val="0"/>
          <w:bCs w:val="0"/>
        </w:rPr>
      </w:pPr>
      <w:r>
        <w:rPr>
          <w:rFonts w:ascii="宋体" w:hAnsi="宋体" w:cs="宋体" w:eastAsia="宋体" w:hint="default"/>
        </w:rPr>
        <w:t>14.</w:t>
      </w:r>
      <w:r>
        <w:rPr>
          <w:rFonts w:ascii="宋体" w:hAnsi="宋体" w:cs="宋体" w:eastAsia="宋体" w:hint="default"/>
          <w:spacing w:val="3"/>
        </w:rPr>
        <w:t> </w:t>
      </w:r>
      <w:r>
        <w:rPr/>
        <w:t>长期股权投资</w:t>
      </w:r>
      <w:r>
        <w:rPr>
          <w:b w:val="0"/>
          <w:bCs w:val="0"/>
        </w:rPr>
      </w:r>
    </w:p>
    <w:p>
      <w:pPr>
        <w:pStyle w:val="BodyText"/>
        <w:tabs>
          <w:tab w:pos="1060" w:val="left" w:leader="none"/>
        </w:tabs>
        <w:spacing w:line="272" w:lineRule="exact" w:before="86"/>
        <w:ind w:left="638" w:right="1078" w:hanging="420"/>
        <w:jc w:val="left"/>
      </w:pPr>
      <w:r>
        <w:rPr>
          <w:spacing w:val="-1"/>
        </w:rPr>
        <w:t>√适用</w:t>
        <w:tab/>
      </w:r>
      <w:r>
        <w:rPr>
          <w:spacing w:val="-2"/>
        </w:rPr>
        <w:t>□不适用</w:t>
      </w:r>
      <w:r>
        <w:rPr>
          <w:spacing w:val="-99"/>
        </w:rPr>
        <w:t> </w:t>
      </w:r>
      <w:r>
        <w:rPr>
          <w:spacing w:val="-99"/>
        </w:rPr>
      </w:r>
      <w:r>
        <w:rPr>
          <w:spacing w:val="-2"/>
        </w:rPr>
        <w:t>本公司的长期股权投资均为对子公司的投资，本公司能够对被投资单位实施控制。</w:t>
      </w:r>
    </w:p>
    <w:p>
      <w:pPr>
        <w:pStyle w:val="BodyText"/>
        <w:spacing w:line="272" w:lineRule="exact" w:before="1"/>
        <w:ind w:left="638" w:right="0"/>
        <w:jc w:val="left"/>
      </w:pPr>
      <w:r>
        <w:rPr/>
        <w:t>（</w:t>
      </w:r>
      <w:r>
        <w:rPr>
          <w:rFonts w:ascii="宋体" w:hAnsi="宋体" w:cs="宋体" w:eastAsia="宋体" w:hint="default"/>
        </w:rPr>
        <w:t>1</w:t>
      </w:r>
      <w:r>
        <w:rPr/>
        <w:t>）投资成本确定</w:t>
      </w:r>
      <w:r>
        <w:rPr>
          <w:w w:val="100"/>
        </w:rPr>
        <w:t> </w:t>
      </w:r>
      <w:r>
        <w:rPr>
          <w:spacing w:val="-2"/>
        </w:rPr>
        <w:t>对于企业合并形成的长期股权投资：同一控制下企业合并取得的长期股权投资，在合并日按</w:t>
      </w:r>
    </w:p>
    <w:p>
      <w:pPr>
        <w:pStyle w:val="BodyText"/>
        <w:spacing w:line="246" w:lineRule="exact"/>
        <w:ind w:right="0"/>
        <w:jc w:val="left"/>
      </w:pPr>
      <w:r>
        <w:rPr/>
        <w:t>照取得被合并方所有者权益在最终控制方合并财务报表中的账面价值份额作为投资成本；非同一</w:t>
      </w:r>
    </w:p>
    <w:p>
      <w:pPr>
        <w:pStyle w:val="BodyText"/>
        <w:spacing w:line="272" w:lineRule="exact" w:before="27"/>
        <w:ind w:left="638" w:right="0" w:hanging="420"/>
        <w:jc w:val="left"/>
      </w:pPr>
      <w:r>
        <w:rPr/>
        <w:t>控制下企业合并取得的长期股权投资，按照合并成本作为长期股权投资的投资成本。</w:t>
      </w:r>
      <w:r>
        <w:rPr>
          <w:w w:val="100"/>
        </w:rPr>
        <w:t> </w:t>
      </w:r>
      <w:r>
        <w:rPr>
          <w:spacing w:val="-2"/>
        </w:rPr>
        <w:t>对于以企业合并以外的其他方式取得的长期股权投资：支付现金取得的长期股权投资，按照</w:t>
      </w:r>
    </w:p>
    <w:p>
      <w:pPr>
        <w:pStyle w:val="BodyText"/>
        <w:spacing w:line="272" w:lineRule="exact" w:before="1"/>
        <w:ind w:right="0"/>
        <w:jc w:val="left"/>
      </w:pPr>
      <w:r>
        <w:rPr>
          <w:spacing w:val="-2"/>
        </w:rPr>
        <w:t>实际支付的购买价款作为初始投资成本；发行权益性证券取得的长期股权投资，以发行权益性证</w:t>
      </w:r>
      <w:r>
        <w:rPr>
          <w:spacing w:val="-25"/>
        </w:rPr>
        <w:t> </w:t>
      </w:r>
      <w:r>
        <w:rPr>
          <w:spacing w:val="-25"/>
        </w:rPr>
      </w:r>
      <w:r>
        <w:rPr/>
        <w:t>券的公允价值作为初始投资成本。</w:t>
      </w:r>
    </w:p>
    <w:p>
      <w:pPr>
        <w:pStyle w:val="BodyText"/>
        <w:spacing w:line="272" w:lineRule="exact" w:before="1"/>
        <w:ind w:left="638" w:right="0"/>
        <w:jc w:val="left"/>
      </w:pPr>
      <w:r>
        <w:rPr/>
        <w:t>（</w:t>
      </w:r>
      <w:r>
        <w:rPr>
          <w:rFonts w:ascii="宋体" w:hAnsi="宋体" w:cs="宋体" w:eastAsia="宋体" w:hint="default"/>
        </w:rPr>
        <w:t>2</w:t>
      </w:r>
      <w:r>
        <w:rPr/>
        <w:t>）后续计量及损益确认方法</w:t>
      </w:r>
      <w:r>
        <w:rPr>
          <w:w w:val="100"/>
        </w:rPr>
        <w:t> </w:t>
      </w:r>
      <w:r>
        <w:rPr>
          <w:spacing w:val="-2"/>
        </w:rPr>
        <w:t>本公司对具有实际控制权的子公司的长期股权投资，后续计量采用成本法核算。</w:t>
      </w:r>
    </w:p>
    <w:p>
      <w:pPr>
        <w:spacing w:after="0" w:line="272" w:lineRule="exact"/>
        <w:jc w:val="left"/>
        <w:sectPr>
          <w:pgSz w:w="11910" w:h="16840"/>
          <w:pgMar w:header="857" w:footer="1195" w:top="1320" w:bottom="1380" w:left="1580" w:right="1040"/>
        </w:sectPr>
      </w:pPr>
    </w:p>
    <w:p>
      <w:pPr>
        <w:spacing w:line="240" w:lineRule="auto" w:before="4"/>
        <w:rPr>
          <w:rFonts w:ascii="宋体" w:hAnsi="宋体" w:cs="宋体" w:eastAsia="宋体" w:hint="default"/>
          <w:sz w:val="9"/>
          <w:szCs w:val="9"/>
        </w:rPr>
      </w:pPr>
    </w:p>
    <w:p>
      <w:pPr>
        <w:pStyle w:val="BodyText"/>
        <w:spacing w:line="237" w:lineRule="auto" w:before="38"/>
        <w:ind w:right="237" w:firstLine="419"/>
        <w:jc w:val="both"/>
      </w:pPr>
      <w:r>
        <w:rPr>
          <w:spacing w:val="-2"/>
        </w:rPr>
        <w:t>采用成本法核算的长期股权投资，除取得投资时实际支付的价款或对价中包含的已宣告但尚</w:t>
      </w:r>
      <w:r>
        <w:rPr>
          <w:w w:val="100"/>
        </w:rPr>
        <w:t> </w:t>
      </w:r>
      <w:r>
        <w:rPr>
          <w:spacing w:val="-2"/>
        </w:rPr>
        <w:t>未发放的现金股利或利润外，被投资单位宣告分派的现金股利或利润，确认为投资收益计入当期</w:t>
      </w:r>
      <w:r>
        <w:rPr>
          <w:spacing w:val="-25"/>
        </w:rPr>
        <w:t> </w:t>
      </w:r>
      <w:r>
        <w:rPr>
          <w:spacing w:val="-25"/>
        </w:rPr>
      </w:r>
      <w:r>
        <w:rPr/>
        <w:t>损益。</w:t>
      </w:r>
    </w:p>
    <w:p>
      <w:pPr>
        <w:pStyle w:val="BodyText"/>
        <w:spacing w:line="272" w:lineRule="exact" w:before="26"/>
        <w:ind w:left="638" w:right="0"/>
        <w:jc w:val="left"/>
      </w:pPr>
      <w:r>
        <w:rPr/>
        <w:t>（</w:t>
      </w:r>
      <w:r>
        <w:rPr>
          <w:rFonts w:ascii="宋体" w:hAnsi="宋体" w:cs="宋体" w:eastAsia="宋体" w:hint="default"/>
        </w:rPr>
        <w:t>3</w:t>
      </w:r>
      <w:r>
        <w:rPr/>
        <w:t>）减值测试方法及减值准备计提方法</w:t>
      </w:r>
      <w:r>
        <w:rPr>
          <w:w w:val="100"/>
        </w:rPr>
        <w:t> </w:t>
      </w:r>
      <w:r>
        <w:rPr>
          <w:spacing w:val="-2"/>
        </w:rPr>
        <w:t>对子公司的投资，本公司计提资产减值的方法见附注长期资产减值。</w:t>
      </w:r>
    </w:p>
    <w:p>
      <w:pPr>
        <w:spacing w:line="240" w:lineRule="auto" w:before="4"/>
        <w:rPr>
          <w:rFonts w:ascii="宋体" w:hAnsi="宋体" w:cs="宋体" w:eastAsia="宋体" w:hint="default"/>
          <w:sz w:val="23"/>
          <w:szCs w:val="23"/>
        </w:rPr>
      </w:pPr>
    </w:p>
    <w:p>
      <w:pPr>
        <w:spacing w:line="290" w:lineRule="auto" w:before="0"/>
        <w:ind w:left="218" w:right="7357" w:firstLine="0"/>
        <w:jc w:val="left"/>
        <w:rPr>
          <w:rFonts w:ascii="宋体" w:hAnsi="宋体" w:cs="宋体" w:eastAsia="宋体" w:hint="default"/>
          <w:sz w:val="21"/>
          <w:szCs w:val="21"/>
        </w:rPr>
      </w:pPr>
      <w:r>
        <w:rPr>
          <w:rFonts w:ascii="宋体" w:hAnsi="宋体" w:cs="宋体" w:eastAsia="宋体" w:hint="default"/>
          <w:b/>
          <w:bCs/>
          <w:sz w:val="21"/>
          <w:szCs w:val="21"/>
        </w:rPr>
        <w:t>15.</w:t>
      </w:r>
      <w:r>
        <w:rPr>
          <w:rFonts w:ascii="宋体" w:hAnsi="宋体" w:cs="宋体" w:eastAsia="宋体" w:hint="default"/>
          <w:b/>
          <w:bCs/>
          <w:spacing w:val="3"/>
          <w:sz w:val="21"/>
          <w:szCs w:val="21"/>
        </w:rPr>
        <w:t> </w:t>
      </w:r>
      <w:r>
        <w:rPr>
          <w:rFonts w:ascii="宋体" w:hAnsi="宋体" w:cs="宋体" w:eastAsia="宋体" w:hint="default"/>
          <w:b/>
          <w:bCs/>
          <w:sz w:val="21"/>
          <w:szCs w:val="21"/>
        </w:rPr>
        <w:t>投资性房地产</w:t>
      </w:r>
      <w:r>
        <w:rPr>
          <w:rFonts w:ascii="宋体" w:hAnsi="宋体" w:cs="宋体" w:eastAsia="宋体" w:hint="default"/>
          <w:b/>
          <w:bCs/>
          <w:w w:val="100"/>
          <w:sz w:val="21"/>
          <w:szCs w:val="21"/>
        </w:rPr>
        <w:t> </w:t>
      </w:r>
      <w:r>
        <w:rPr>
          <w:rFonts w:ascii="宋体" w:hAnsi="宋体" w:cs="宋体" w:eastAsia="宋体" w:hint="default"/>
          <w:sz w:val="21"/>
          <w:szCs w:val="21"/>
        </w:rPr>
        <w:t>不适用</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2"/>
          <w:szCs w:val="22"/>
        </w:rPr>
      </w:pPr>
    </w:p>
    <w:p>
      <w:pPr>
        <w:pStyle w:val="Heading3"/>
        <w:spacing w:line="292" w:lineRule="auto"/>
        <w:ind w:right="7779"/>
        <w:jc w:val="left"/>
        <w:rPr>
          <w:b w:val="0"/>
          <w:bCs w:val="0"/>
        </w:rPr>
      </w:pPr>
      <w:r>
        <w:rPr>
          <w:rFonts w:ascii="宋体" w:hAnsi="宋体" w:cs="宋体" w:eastAsia="宋体" w:hint="default"/>
        </w:rPr>
        <w:t>16.</w:t>
      </w:r>
      <w:r>
        <w:rPr>
          <w:rFonts w:ascii="宋体" w:hAnsi="宋体" w:cs="宋体" w:eastAsia="宋体" w:hint="default"/>
          <w:spacing w:val="2"/>
        </w:rPr>
        <w:t> </w:t>
      </w:r>
      <w:r>
        <w:rPr/>
        <w:t>固定资产</w:t>
      </w:r>
      <w:r>
        <w:rPr>
          <w:w w:val="100"/>
        </w:rPr>
        <w:t> </w:t>
      </w:r>
      <w:r>
        <w:rPr>
          <w:rFonts w:ascii="宋体" w:hAnsi="宋体" w:cs="宋体" w:eastAsia="宋体" w:hint="default"/>
        </w:rPr>
        <w:t>(1).</w:t>
      </w:r>
      <w:r>
        <w:rPr/>
        <w:t>确认条件</w:t>
      </w:r>
      <w:r>
        <w:rPr>
          <w:b w:val="0"/>
          <w:bCs w:val="0"/>
        </w:rPr>
      </w:r>
    </w:p>
    <w:p>
      <w:pPr>
        <w:pStyle w:val="BodyText"/>
        <w:spacing w:line="240" w:lineRule="auto" w:before="10"/>
        <w:ind w:left="638" w:right="0" w:hanging="420"/>
        <w:jc w:val="left"/>
      </w:pPr>
      <w:r>
        <w:rPr/>
        <w:t>√适用</w:t>
      </w:r>
      <w:r>
        <w:rPr>
          <w:spacing w:val="-2"/>
        </w:rPr>
        <w:t> </w:t>
      </w:r>
      <w:r>
        <w:rPr/>
        <w:t>□不适用</w:t>
      </w:r>
      <w:r>
        <w:rPr>
          <w:w w:val="100"/>
        </w:rPr>
        <w:t> </w:t>
      </w:r>
      <w:r>
        <w:rPr>
          <w:spacing w:val="-2"/>
        </w:rPr>
        <w:t>本公司固定资产是指为生产商品、提供劳务、出租或经营管理而持有的，使用寿命超过一个</w:t>
      </w:r>
    </w:p>
    <w:p>
      <w:pPr>
        <w:pStyle w:val="BodyText"/>
        <w:spacing w:line="274" w:lineRule="exact" w:before="22"/>
        <w:ind w:left="638" w:right="0" w:hanging="420"/>
        <w:jc w:val="left"/>
      </w:pPr>
      <w:r>
        <w:rPr/>
        <w:t>会计年度的有形资产。</w:t>
      </w:r>
      <w:r>
        <w:rPr>
          <w:w w:val="100"/>
        </w:rPr>
        <w:t> </w:t>
      </w:r>
      <w:r>
        <w:rPr>
          <w:spacing w:val="-2"/>
        </w:rPr>
        <w:t>与该固定资产有关的经济利益很可能流入企业，并且该固定资产的成本能够可靠地计量时，</w:t>
      </w:r>
    </w:p>
    <w:p>
      <w:pPr>
        <w:pStyle w:val="BodyText"/>
        <w:spacing w:line="245" w:lineRule="exact"/>
        <w:ind w:right="2757"/>
        <w:jc w:val="left"/>
      </w:pPr>
      <w:r>
        <w:rPr/>
        <w:t>固定资产才能予以确认。</w:t>
      </w:r>
    </w:p>
    <w:p>
      <w:pPr>
        <w:pStyle w:val="BodyText"/>
        <w:spacing w:line="274" w:lineRule="exact"/>
        <w:ind w:left="638" w:right="2757"/>
        <w:jc w:val="left"/>
      </w:pPr>
      <w:r>
        <w:rPr/>
        <w:t>本公司固定资产按照取得时的实际成本进行初始计量。</w:t>
      </w:r>
    </w:p>
    <w:p>
      <w:pPr>
        <w:spacing w:line="240" w:lineRule="auto" w:before="0"/>
        <w:rPr>
          <w:rFonts w:ascii="宋体" w:hAnsi="宋体" w:cs="宋体" w:eastAsia="宋体" w:hint="default"/>
          <w:sz w:val="25"/>
          <w:szCs w:val="25"/>
        </w:rPr>
      </w:pPr>
    </w:p>
    <w:p>
      <w:pPr>
        <w:pStyle w:val="Heading3"/>
        <w:spacing w:line="240" w:lineRule="auto"/>
        <w:ind w:right="2757"/>
        <w:jc w:val="left"/>
        <w:rPr>
          <w:b w:val="0"/>
          <w:bCs w:val="0"/>
        </w:rPr>
      </w:pPr>
      <w:r>
        <w:rPr>
          <w:rFonts w:ascii="宋体" w:hAnsi="宋体" w:cs="宋体" w:eastAsia="宋体" w:hint="default"/>
        </w:rPr>
        <w:t>(2).</w:t>
      </w:r>
      <w:r>
        <w:rPr/>
        <w:t>折旧方法</w:t>
      </w:r>
      <w:r>
        <w:rPr>
          <w:b w:val="0"/>
          <w:bCs w:val="0"/>
        </w:rPr>
      </w:r>
    </w:p>
    <w:p>
      <w:pPr>
        <w:pStyle w:val="BodyText"/>
        <w:tabs>
          <w:tab w:pos="1060" w:val="left" w:leader="none"/>
        </w:tabs>
        <w:spacing w:line="240" w:lineRule="auto" w:before="58"/>
        <w:ind w:right="2757"/>
        <w:jc w:val="left"/>
      </w:pPr>
      <w:r>
        <w:rPr/>
        <w:t>√适用</w:t>
        <w:tab/>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718"/>
        <w:gridCol w:w="1832"/>
        <w:gridCol w:w="1834"/>
        <w:gridCol w:w="1834"/>
        <w:gridCol w:w="1831"/>
      </w:tblGrid>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90" w:right="0"/>
              <w:jc w:val="left"/>
              <w:rPr>
                <w:rFonts w:ascii="宋体" w:hAnsi="宋体" w:cs="宋体" w:eastAsia="宋体" w:hint="default"/>
                <w:sz w:val="21"/>
                <w:szCs w:val="21"/>
              </w:rPr>
            </w:pPr>
            <w:r>
              <w:rPr>
                <w:rFonts w:ascii="宋体" w:hAnsi="宋体" w:cs="宋体" w:eastAsia="宋体" w:hint="default"/>
                <w:sz w:val="21"/>
                <w:szCs w:val="21"/>
              </w:rPr>
              <w:t>折旧方法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75" w:right="0"/>
              <w:jc w:val="left"/>
              <w:rPr>
                <w:rFonts w:ascii="宋体" w:hAnsi="宋体" w:cs="宋体" w:eastAsia="宋体" w:hint="default"/>
                <w:sz w:val="21"/>
                <w:szCs w:val="21"/>
              </w:rPr>
            </w:pPr>
            <w:r>
              <w:rPr>
                <w:rFonts w:ascii="宋体" w:hAnsi="宋体" w:cs="宋体" w:eastAsia="宋体" w:hint="default"/>
                <w:sz w:val="21"/>
                <w:szCs w:val="21"/>
              </w:rPr>
              <w:t>折旧年限（年）</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95" w:right="0"/>
              <w:jc w:val="left"/>
              <w:rPr>
                <w:rFonts w:ascii="宋体" w:hAnsi="宋体" w:cs="宋体" w:eastAsia="宋体" w:hint="default"/>
                <w:sz w:val="21"/>
                <w:szCs w:val="21"/>
              </w:rPr>
            </w:pPr>
            <w:r>
              <w:rPr>
                <w:rFonts w:ascii="宋体" w:hAnsi="宋体" w:cs="宋体" w:eastAsia="宋体" w:hint="default"/>
                <w:sz w:val="21"/>
                <w:szCs w:val="21"/>
              </w:rPr>
              <w:t>残值率</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89" w:right="0"/>
              <w:jc w:val="left"/>
              <w:rPr>
                <w:rFonts w:ascii="宋体" w:hAnsi="宋体" w:cs="宋体" w:eastAsia="宋体" w:hint="default"/>
                <w:sz w:val="21"/>
                <w:szCs w:val="21"/>
              </w:rPr>
            </w:pPr>
            <w:r>
              <w:rPr>
                <w:rFonts w:ascii="宋体" w:hAnsi="宋体" w:cs="宋体" w:eastAsia="宋体" w:hint="default"/>
                <w:sz w:val="21"/>
                <w:szCs w:val="21"/>
              </w:rPr>
              <w:t>年折旧率</w:t>
            </w:r>
          </w:p>
        </w:tc>
      </w:tr>
      <w:tr>
        <w:trPr>
          <w:trHeight w:val="284"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4.75</w:t>
            </w:r>
          </w:p>
        </w:tc>
      </w:tr>
      <w:tr>
        <w:trPr>
          <w:trHeight w:val="281"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8</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11.88</w:t>
            </w:r>
          </w:p>
        </w:tc>
      </w:tr>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3</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31.67</w:t>
            </w:r>
          </w:p>
        </w:tc>
      </w:tr>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19.00</w:t>
            </w:r>
          </w:p>
        </w:tc>
      </w:tr>
    </w:tbl>
    <w:p>
      <w:pPr>
        <w:pStyle w:val="BodyText"/>
        <w:spacing w:line="239" w:lineRule="exact"/>
        <w:ind w:right="0"/>
        <w:jc w:val="left"/>
      </w:pPr>
      <w:r>
        <w:rPr/>
        <w:t>其中，已计提减值准备的固定资产，还应扣除已计提的固定资产减值准备累计金额计算确定折旧</w:t>
      </w:r>
    </w:p>
    <w:p>
      <w:pPr>
        <w:pStyle w:val="BodyText"/>
        <w:spacing w:line="273" w:lineRule="exact"/>
        <w:ind w:right="2757"/>
        <w:jc w:val="left"/>
      </w:pPr>
      <w:r>
        <w:rPr/>
        <w:t>率。</w:t>
      </w:r>
    </w:p>
    <w:p>
      <w:pPr>
        <w:spacing w:line="240" w:lineRule="auto" w:before="3"/>
        <w:rPr>
          <w:rFonts w:ascii="宋体" w:hAnsi="宋体" w:cs="宋体" w:eastAsia="宋体" w:hint="default"/>
          <w:sz w:val="25"/>
          <w:szCs w:val="25"/>
        </w:rPr>
      </w:pPr>
    </w:p>
    <w:p>
      <w:pPr>
        <w:pStyle w:val="Heading3"/>
        <w:spacing w:line="240" w:lineRule="auto"/>
        <w:ind w:right="2757"/>
        <w:jc w:val="left"/>
        <w:rPr>
          <w:b w:val="0"/>
          <w:bCs w:val="0"/>
        </w:rPr>
      </w:pPr>
      <w:r>
        <w:rPr>
          <w:rFonts w:ascii="宋体" w:hAnsi="宋体" w:cs="宋体" w:eastAsia="宋体" w:hint="default"/>
        </w:rPr>
        <w:t>(3).</w:t>
      </w:r>
      <w:r>
        <w:rPr/>
        <w:t>融资租入固定资产的认定依据、计价和折旧方法</w:t>
      </w:r>
      <w:r>
        <w:rPr>
          <w:b w:val="0"/>
          <w:bCs w:val="0"/>
        </w:rPr>
      </w:r>
    </w:p>
    <w:p>
      <w:pPr>
        <w:pStyle w:val="BodyText"/>
        <w:tabs>
          <w:tab w:pos="1163" w:val="left" w:leader="none"/>
        </w:tabs>
        <w:spacing w:line="240" w:lineRule="auto" w:before="58"/>
        <w:ind w:right="2757"/>
        <w:jc w:val="left"/>
      </w:pPr>
      <w:r>
        <w:rPr>
          <w:spacing w:val="-1"/>
        </w:rPr>
        <w:t>□适用</w:t>
        <w:tab/>
        <w:t>√不适用</w:t>
      </w:r>
    </w:p>
    <w:p>
      <w:pPr>
        <w:spacing w:line="240" w:lineRule="auto" w:before="3"/>
        <w:rPr>
          <w:rFonts w:ascii="宋体" w:hAnsi="宋体" w:cs="宋体" w:eastAsia="宋体" w:hint="default"/>
          <w:sz w:val="25"/>
          <w:szCs w:val="25"/>
        </w:rPr>
      </w:pPr>
    </w:p>
    <w:p>
      <w:pPr>
        <w:pStyle w:val="Heading3"/>
        <w:spacing w:line="240" w:lineRule="auto"/>
        <w:ind w:right="2757"/>
        <w:jc w:val="left"/>
        <w:rPr>
          <w:b w:val="0"/>
          <w:bCs w:val="0"/>
        </w:rPr>
      </w:pPr>
      <w:r>
        <w:rPr>
          <w:rFonts w:ascii="宋体" w:hAnsi="宋体" w:cs="宋体" w:eastAsia="宋体" w:hint="default"/>
        </w:rPr>
        <w:t>17.</w:t>
      </w:r>
      <w:r>
        <w:rPr>
          <w:rFonts w:ascii="宋体" w:hAnsi="宋体" w:cs="宋体" w:eastAsia="宋体" w:hint="default"/>
          <w:spacing w:val="2"/>
        </w:rPr>
        <w:t> </w:t>
      </w:r>
      <w:r>
        <w:rPr/>
        <w:t>在建工程</w:t>
      </w:r>
      <w:r>
        <w:rPr>
          <w:b w:val="0"/>
          <w:bCs w:val="0"/>
        </w:rPr>
      </w:r>
    </w:p>
    <w:p>
      <w:pPr>
        <w:pStyle w:val="BodyText"/>
        <w:tabs>
          <w:tab w:pos="1060" w:val="left" w:leader="none"/>
        </w:tabs>
        <w:spacing w:line="240" w:lineRule="auto" w:before="57"/>
        <w:ind w:right="2757"/>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3"/>
        <w:spacing w:line="240" w:lineRule="auto"/>
        <w:ind w:right="2757"/>
        <w:jc w:val="left"/>
        <w:rPr>
          <w:b w:val="0"/>
          <w:bCs w:val="0"/>
        </w:rPr>
      </w:pPr>
      <w:r>
        <w:rPr>
          <w:rFonts w:ascii="宋体" w:hAnsi="宋体" w:cs="宋体" w:eastAsia="宋体" w:hint="default"/>
        </w:rPr>
        <w:t>18.</w:t>
      </w:r>
      <w:r>
        <w:rPr>
          <w:rFonts w:ascii="宋体" w:hAnsi="宋体" w:cs="宋体" w:eastAsia="宋体" w:hint="default"/>
          <w:spacing w:val="2"/>
        </w:rPr>
        <w:t> </w:t>
      </w:r>
      <w:r>
        <w:rPr/>
        <w:t>借款费用</w:t>
      </w:r>
      <w:r>
        <w:rPr>
          <w:b w:val="0"/>
          <w:bCs w:val="0"/>
        </w:rPr>
      </w:r>
    </w:p>
    <w:p>
      <w:pPr>
        <w:pStyle w:val="BodyText"/>
        <w:tabs>
          <w:tab w:pos="1060" w:val="left" w:leader="none"/>
        </w:tabs>
        <w:spacing w:line="240" w:lineRule="auto" w:before="58"/>
        <w:ind w:right="2757"/>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3"/>
        <w:spacing w:line="240" w:lineRule="auto"/>
        <w:ind w:right="2757"/>
        <w:jc w:val="left"/>
        <w:rPr>
          <w:b w:val="0"/>
          <w:bCs w:val="0"/>
        </w:rPr>
      </w:pPr>
      <w:r>
        <w:rPr>
          <w:rFonts w:ascii="宋体" w:hAnsi="宋体" w:cs="宋体" w:eastAsia="宋体" w:hint="default"/>
        </w:rPr>
        <w:t>19.</w:t>
      </w:r>
      <w:r>
        <w:rPr>
          <w:rFonts w:ascii="宋体" w:hAnsi="宋体" w:cs="宋体" w:eastAsia="宋体" w:hint="default"/>
          <w:spacing w:val="2"/>
        </w:rPr>
        <w:t> </w:t>
      </w:r>
      <w:r>
        <w:rPr/>
        <w:t>生物资产</w:t>
      </w:r>
      <w:r>
        <w:rPr>
          <w:b w:val="0"/>
          <w:bCs w:val="0"/>
        </w:rPr>
      </w:r>
    </w:p>
    <w:p>
      <w:pPr>
        <w:pStyle w:val="BodyText"/>
        <w:tabs>
          <w:tab w:pos="1060" w:val="left" w:leader="none"/>
        </w:tabs>
        <w:spacing w:line="240" w:lineRule="auto" w:before="56"/>
        <w:ind w:right="2757"/>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3"/>
        <w:spacing w:line="240" w:lineRule="auto"/>
        <w:ind w:right="2757"/>
        <w:jc w:val="left"/>
        <w:rPr>
          <w:b w:val="0"/>
          <w:bCs w:val="0"/>
        </w:rPr>
      </w:pPr>
      <w:r>
        <w:rPr>
          <w:rFonts w:ascii="宋体" w:hAnsi="宋体" w:cs="宋体" w:eastAsia="宋体" w:hint="default"/>
        </w:rPr>
        <w:t>20.</w:t>
      </w:r>
      <w:r>
        <w:rPr>
          <w:rFonts w:ascii="宋体" w:hAnsi="宋体" w:cs="宋体" w:eastAsia="宋体" w:hint="default"/>
          <w:spacing w:val="2"/>
        </w:rPr>
        <w:t> </w:t>
      </w:r>
      <w:r>
        <w:rPr/>
        <w:t>油气资产</w:t>
      </w:r>
      <w:r>
        <w:rPr>
          <w:b w:val="0"/>
          <w:bCs w:val="0"/>
        </w:rPr>
      </w:r>
    </w:p>
    <w:p>
      <w:pPr>
        <w:pStyle w:val="BodyText"/>
        <w:tabs>
          <w:tab w:pos="1060" w:val="left" w:leader="none"/>
        </w:tabs>
        <w:spacing w:line="240" w:lineRule="auto" w:before="56"/>
        <w:ind w:right="2757"/>
        <w:jc w:val="left"/>
      </w:pPr>
      <w:r>
        <w:rPr>
          <w:spacing w:val="-1"/>
        </w:rPr>
        <w:t>□适用</w:t>
        <w:tab/>
      </w:r>
      <w:r>
        <w:rPr>
          <w:spacing w:val="-2"/>
        </w:rPr>
        <w:t>√不适用</w:t>
      </w:r>
    </w:p>
    <w:p>
      <w:pPr>
        <w:spacing w:after="0" w:line="240" w:lineRule="auto"/>
        <w:jc w:val="left"/>
        <w:sectPr>
          <w:footerReference w:type="default" r:id="rId29"/>
          <w:pgSz w:w="11910" w:h="16840"/>
          <w:pgMar w:footer="1195" w:header="857" w:top="1320" w:bottom="1380" w:left="1580" w:right="1040"/>
        </w:sectPr>
      </w:pPr>
    </w:p>
    <w:p>
      <w:pPr>
        <w:spacing w:line="240" w:lineRule="auto" w:before="4"/>
        <w:rPr>
          <w:rFonts w:ascii="宋体" w:hAnsi="宋体" w:cs="宋体" w:eastAsia="宋体" w:hint="default"/>
          <w:sz w:val="9"/>
          <w:szCs w:val="9"/>
        </w:rPr>
      </w:pPr>
    </w:p>
    <w:p>
      <w:pPr>
        <w:pStyle w:val="Heading3"/>
        <w:spacing w:line="240" w:lineRule="auto" w:before="36"/>
        <w:ind w:right="2757"/>
        <w:jc w:val="left"/>
        <w:rPr>
          <w:b w:val="0"/>
          <w:bCs w:val="0"/>
        </w:rPr>
      </w:pPr>
      <w:r>
        <w:rPr>
          <w:rFonts w:ascii="宋体" w:hAnsi="宋体" w:cs="宋体" w:eastAsia="宋体" w:hint="default"/>
        </w:rPr>
        <w:t>21.</w:t>
      </w:r>
      <w:r>
        <w:rPr>
          <w:rFonts w:ascii="宋体" w:hAnsi="宋体" w:cs="宋体" w:eastAsia="宋体" w:hint="default"/>
          <w:spacing w:val="2"/>
        </w:rPr>
        <w:t> </w:t>
      </w:r>
      <w:r>
        <w:rPr/>
        <w:t>无形资产</w:t>
      </w:r>
      <w:r>
        <w:rPr>
          <w:b w:val="0"/>
          <w:bCs w:val="0"/>
        </w:rPr>
      </w:r>
    </w:p>
    <w:p>
      <w:pPr>
        <w:pStyle w:val="Heading3"/>
        <w:spacing w:line="240" w:lineRule="auto" w:before="58"/>
        <w:ind w:right="2757"/>
        <w:jc w:val="left"/>
        <w:rPr>
          <w:b w:val="0"/>
          <w:bCs w:val="0"/>
        </w:rPr>
      </w:pPr>
      <w:r>
        <w:rPr>
          <w:rFonts w:ascii="宋体" w:hAnsi="宋体" w:cs="宋体" w:eastAsia="宋体" w:hint="default"/>
        </w:rPr>
        <w:t>(1).</w:t>
      </w:r>
      <w:r>
        <w:rPr>
          <w:rFonts w:ascii="宋体" w:hAnsi="宋体" w:cs="宋体" w:eastAsia="宋体" w:hint="default"/>
          <w:spacing w:val="-82"/>
        </w:rPr>
        <w:t> </w:t>
      </w:r>
      <w:r>
        <w:rPr/>
        <w:t>计价方法、使用寿命、减值测试</w:t>
      </w:r>
      <w:r>
        <w:rPr>
          <w:b w:val="0"/>
          <w:bCs w:val="0"/>
        </w:rPr>
      </w:r>
    </w:p>
    <w:p>
      <w:pPr>
        <w:pStyle w:val="BodyText"/>
        <w:spacing w:line="240" w:lineRule="auto" w:before="56"/>
        <w:ind w:left="638" w:right="3809" w:hanging="420"/>
        <w:jc w:val="left"/>
      </w:pPr>
      <w:r>
        <w:rPr/>
        <w:t>√适用</w:t>
      </w:r>
      <w:r>
        <w:rPr>
          <w:spacing w:val="-2"/>
        </w:rPr>
        <w:t> </w:t>
      </w:r>
      <w:r>
        <w:rPr/>
        <w:t>□不适用</w:t>
      </w:r>
      <w:r>
        <w:rPr>
          <w:w w:val="100"/>
        </w:rPr>
        <w:t> </w:t>
      </w:r>
      <w:r>
        <w:rPr>
          <w:spacing w:val="-2"/>
        </w:rPr>
        <w:t>本公司无形资产包括土地使用权、应用软件等。</w:t>
      </w:r>
    </w:p>
    <w:p>
      <w:pPr>
        <w:pStyle w:val="BodyText"/>
        <w:spacing w:line="237" w:lineRule="auto"/>
        <w:ind w:right="237" w:firstLine="419"/>
        <w:jc w:val="both"/>
      </w:pPr>
      <w:r>
        <w:rPr>
          <w:spacing w:val="-2"/>
        </w:rPr>
        <w:t>无形资产按照成本进行初始计量，并于取得无形资产时分析判断其使用寿命。使用寿命为有</w:t>
      </w:r>
      <w:r>
        <w:rPr>
          <w:w w:val="100"/>
        </w:rPr>
        <w:t> </w:t>
      </w:r>
      <w:r>
        <w:rPr>
          <w:spacing w:val="-2"/>
        </w:rPr>
        <w:t>限的，自无形资产可供使用时起，采用能反映与该资产有关的经济利益的预期实现方式的摊销方</w:t>
      </w:r>
      <w:r>
        <w:rPr>
          <w:spacing w:val="-25"/>
        </w:rPr>
        <w:t> </w:t>
      </w:r>
      <w:r>
        <w:rPr>
          <w:spacing w:val="-25"/>
        </w:rPr>
      </w:r>
      <w:r>
        <w:rPr>
          <w:spacing w:val="-2"/>
        </w:rPr>
        <w:t>法，在预计使用年限内摊销；无法可靠确定预期实现方式的，采用直线法摊销；使用寿命不确定</w:t>
      </w:r>
      <w:r>
        <w:rPr>
          <w:spacing w:val="-25"/>
        </w:rPr>
        <w:t> </w:t>
      </w:r>
      <w:r>
        <w:rPr>
          <w:spacing w:val="-25"/>
        </w:rPr>
      </w:r>
      <w:r>
        <w:rPr/>
        <w:t>的无形资产，不作摊销。</w:t>
      </w:r>
    </w:p>
    <w:p>
      <w:pPr>
        <w:pStyle w:val="BodyText"/>
        <w:spacing w:line="271" w:lineRule="exact"/>
        <w:ind w:left="638" w:right="2757"/>
        <w:jc w:val="left"/>
      </w:pPr>
      <w:r>
        <w:rPr/>
        <w:t>使用寿命有限的无形资产摊销方法如下：</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15"/>
        <w:gridCol w:w="3017"/>
        <w:gridCol w:w="3017"/>
      </w:tblGrid>
      <w:tr>
        <w:trPr>
          <w:trHeight w:val="281"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类别</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使用寿命</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摊销方法</w:t>
            </w:r>
          </w:p>
        </w:tc>
      </w:tr>
      <w:tr>
        <w:trPr>
          <w:trHeight w:val="283"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50</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平均年限法</w:t>
            </w:r>
          </w:p>
        </w:tc>
      </w:tr>
      <w:tr>
        <w:trPr>
          <w:trHeight w:val="284"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应用软件</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10</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平均年限法</w:t>
            </w:r>
          </w:p>
        </w:tc>
      </w:tr>
    </w:tbl>
    <w:p>
      <w:pPr>
        <w:pStyle w:val="BodyText"/>
        <w:spacing w:line="239" w:lineRule="exact"/>
        <w:ind w:left="638" w:right="0"/>
        <w:jc w:val="left"/>
      </w:pPr>
      <w:r>
        <w:rPr/>
        <w:t>本公司于每年年度终了，对使用寿命有限的无形资产的使用寿命及摊销方法进行复核，与以</w:t>
      </w:r>
    </w:p>
    <w:p>
      <w:pPr>
        <w:pStyle w:val="BodyText"/>
        <w:spacing w:line="240" w:lineRule="auto"/>
        <w:ind w:left="638" w:right="0" w:hanging="420"/>
        <w:jc w:val="left"/>
      </w:pPr>
      <w:r>
        <w:rPr/>
        <w:t>前估计不同的，调整原先估计数，并按会计估计变更处理。</w:t>
      </w:r>
      <w:r>
        <w:rPr>
          <w:w w:val="100"/>
        </w:rPr>
        <w:t> </w:t>
      </w:r>
      <w:r>
        <w:rPr>
          <w:spacing w:val="-2"/>
        </w:rPr>
        <w:t>资产负债表日预计某项无形资产已经不能给企业带来未来经济利益的，将该项无形资产的账</w:t>
      </w:r>
    </w:p>
    <w:p>
      <w:pPr>
        <w:pStyle w:val="BodyText"/>
        <w:spacing w:line="274" w:lineRule="exact" w:before="22"/>
        <w:ind w:left="638" w:right="2757" w:hanging="420"/>
        <w:jc w:val="left"/>
      </w:pPr>
      <w:r>
        <w:rPr/>
        <w:t>面价值全部转入当期损益。</w:t>
      </w:r>
      <w:r>
        <w:rPr>
          <w:w w:val="100"/>
        </w:rPr>
        <w:t> </w:t>
      </w:r>
      <w:r>
        <w:rPr>
          <w:spacing w:val="-2"/>
        </w:rPr>
        <w:t>无形资产计提资产减值方法见附注长期资产减值。</w:t>
      </w:r>
    </w:p>
    <w:p>
      <w:pPr>
        <w:spacing w:line="240" w:lineRule="auto" w:before="4"/>
        <w:rPr>
          <w:rFonts w:ascii="宋体" w:hAnsi="宋体" w:cs="宋体" w:eastAsia="宋体" w:hint="default"/>
          <w:sz w:val="23"/>
          <w:szCs w:val="23"/>
        </w:rPr>
      </w:pPr>
    </w:p>
    <w:p>
      <w:pPr>
        <w:pStyle w:val="Heading3"/>
        <w:spacing w:line="240" w:lineRule="auto"/>
        <w:ind w:right="2757"/>
        <w:jc w:val="left"/>
        <w:rPr>
          <w:b w:val="0"/>
          <w:bCs w:val="0"/>
        </w:rPr>
      </w:pPr>
      <w:r>
        <w:rPr>
          <w:rFonts w:ascii="宋体" w:hAnsi="宋体" w:cs="宋体" w:eastAsia="宋体" w:hint="default"/>
        </w:rPr>
        <w:t>(2).</w:t>
      </w:r>
      <w:r>
        <w:rPr>
          <w:rFonts w:ascii="宋体" w:hAnsi="宋体" w:cs="宋体" w:eastAsia="宋体" w:hint="default"/>
          <w:spacing w:val="-83"/>
        </w:rPr>
        <w:t> </w:t>
      </w:r>
      <w:r>
        <w:rPr/>
        <w:t>内部研究开发支出会计政策</w:t>
      </w:r>
      <w:r>
        <w:rPr>
          <w:b w:val="0"/>
          <w:bCs w:val="0"/>
        </w:rPr>
      </w:r>
    </w:p>
    <w:p>
      <w:pPr>
        <w:pStyle w:val="BodyText"/>
        <w:spacing w:line="237" w:lineRule="auto" w:before="59"/>
        <w:ind w:left="638" w:right="1078" w:hanging="420"/>
        <w:jc w:val="left"/>
      </w:pPr>
      <w:r>
        <w:rPr/>
        <w:t>√适用</w:t>
      </w:r>
      <w:r>
        <w:rPr>
          <w:spacing w:val="-2"/>
        </w:rPr>
        <w:t> </w:t>
      </w:r>
      <w:r>
        <w:rPr/>
        <w:t>□不适用</w:t>
      </w:r>
      <w:r>
        <w:rPr>
          <w:w w:val="100"/>
        </w:rPr>
        <w:t> </w:t>
      </w:r>
      <w:r>
        <w:rPr>
          <w:spacing w:val="-2"/>
        </w:rPr>
        <w:t>本公司将内部研究开发项目的支出，区分为研究阶段支出和开发阶段支出。</w:t>
      </w:r>
      <w:r>
        <w:rPr>
          <w:w w:val="100"/>
        </w:rPr>
        <w:t> </w:t>
      </w:r>
      <w:r>
        <w:rPr/>
        <w:t>研究阶段的支出，于发生时计入当期损益。</w:t>
      </w:r>
    </w:p>
    <w:p>
      <w:pPr>
        <w:pStyle w:val="BodyText"/>
        <w:spacing w:line="237" w:lineRule="auto" w:before="1"/>
        <w:ind w:right="237" w:firstLine="419"/>
        <w:jc w:val="both"/>
      </w:pPr>
      <w:r>
        <w:rPr>
          <w:spacing w:val="-2"/>
        </w:rPr>
        <w:t>开发阶段的支出，同时满足下列条件的，才能予以资本化，即：完成该无形资产以使其能够</w:t>
      </w:r>
      <w:r>
        <w:rPr>
          <w:w w:val="100"/>
        </w:rPr>
        <w:t> </w:t>
      </w:r>
      <w:r>
        <w:rPr>
          <w:spacing w:val="-2"/>
        </w:rPr>
        <w:t>使用或出售在技术上具有可行性；具有完成该无形资产并使用或出售的意图；无形资产产生经济</w:t>
      </w:r>
      <w:r>
        <w:rPr>
          <w:spacing w:val="-25"/>
        </w:rPr>
        <w:t> </w:t>
      </w:r>
      <w:r>
        <w:rPr>
          <w:spacing w:val="-25"/>
        </w:rPr>
      </w:r>
      <w:r>
        <w:rPr>
          <w:spacing w:val="-2"/>
        </w:rPr>
        <w:t>利益的方式，包括能够证明运用该无形资产生产的产品存在市场或无形资产自身存在市场，无形</w:t>
      </w:r>
      <w:r>
        <w:rPr>
          <w:spacing w:val="-25"/>
        </w:rPr>
        <w:t> </w:t>
      </w:r>
      <w:r>
        <w:rPr>
          <w:spacing w:val="-25"/>
        </w:rPr>
      </w:r>
      <w:r>
        <w:rPr>
          <w:spacing w:val="-2"/>
        </w:rPr>
        <w:t>资产将在内部使用的，能够证明其有用性；有足够的技术、财务资源和其他资源支持，以完成该</w:t>
      </w:r>
      <w:r>
        <w:rPr>
          <w:spacing w:val="-25"/>
        </w:rPr>
        <w:t> </w:t>
      </w:r>
      <w:r>
        <w:rPr>
          <w:spacing w:val="-25"/>
        </w:rPr>
      </w:r>
      <w:r>
        <w:rPr>
          <w:spacing w:val="-2"/>
        </w:rPr>
        <w:t>无形资产的开发，并有能力使用或出售该无形资产；归属于该无形资产开发阶段的支出能够可靠</w:t>
      </w:r>
      <w:r>
        <w:rPr>
          <w:spacing w:val="-25"/>
        </w:rPr>
        <w:t> </w:t>
      </w:r>
      <w:r>
        <w:rPr>
          <w:spacing w:val="-25"/>
        </w:rPr>
      </w:r>
      <w:r>
        <w:rPr/>
        <w:t>地计量。不满足上述条件的开发支出计入当期损益。</w:t>
      </w:r>
    </w:p>
    <w:p>
      <w:pPr>
        <w:pStyle w:val="BodyText"/>
        <w:spacing w:line="274" w:lineRule="exact" w:before="22"/>
        <w:ind w:right="0" w:firstLine="419"/>
        <w:jc w:val="left"/>
      </w:pPr>
      <w:r>
        <w:rPr>
          <w:spacing w:val="-7"/>
          <w:w w:val="100"/>
        </w:rPr>
        <w:t>本公司研究开发项目在满足上述条件，通过技术可行性及经济可行性研究，形成项目立项后，</w:t>
      </w:r>
      <w:r>
        <w:rPr>
          <w:w w:val="100"/>
        </w:rPr>
        <w:t> </w:t>
      </w:r>
      <w:r>
        <w:rPr/>
        <w:t>进入开发阶段。</w:t>
      </w:r>
    </w:p>
    <w:p>
      <w:pPr>
        <w:pStyle w:val="BodyText"/>
        <w:spacing w:line="245" w:lineRule="exact"/>
        <w:ind w:left="638" w:right="0"/>
        <w:jc w:val="left"/>
      </w:pPr>
      <w:r>
        <w:rPr/>
        <w:t>已资本化的开发阶段的支出在资产负债表上列示为开发支出，自该项目达到预定可使用状态</w:t>
      </w:r>
    </w:p>
    <w:p>
      <w:pPr>
        <w:pStyle w:val="BodyText"/>
        <w:spacing w:line="274" w:lineRule="exact"/>
        <w:ind w:right="2757"/>
        <w:jc w:val="left"/>
      </w:pPr>
      <w:r>
        <w:rPr/>
        <w:t>之日转为无形资产。</w:t>
      </w:r>
    </w:p>
    <w:p>
      <w:pPr>
        <w:spacing w:line="240" w:lineRule="auto" w:before="3"/>
        <w:rPr>
          <w:rFonts w:ascii="宋体" w:hAnsi="宋体" w:cs="宋体" w:eastAsia="宋体" w:hint="default"/>
          <w:sz w:val="25"/>
          <w:szCs w:val="25"/>
        </w:rPr>
      </w:pPr>
    </w:p>
    <w:p>
      <w:pPr>
        <w:pStyle w:val="Heading3"/>
        <w:spacing w:line="240" w:lineRule="auto"/>
        <w:ind w:right="2757"/>
        <w:jc w:val="left"/>
        <w:rPr>
          <w:b w:val="0"/>
          <w:bCs w:val="0"/>
        </w:rPr>
      </w:pPr>
      <w:r>
        <w:rPr>
          <w:rFonts w:ascii="宋体" w:hAnsi="宋体" w:cs="宋体" w:eastAsia="宋体" w:hint="default"/>
        </w:rPr>
        <w:t>22.</w:t>
      </w:r>
      <w:r>
        <w:rPr>
          <w:rFonts w:ascii="宋体" w:hAnsi="宋体" w:cs="宋体" w:eastAsia="宋体" w:hint="default"/>
          <w:spacing w:val="3"/>
        </w:rPr>
        <w:t> </w:t>
      </w:r>
      <w:r>
        <w:rPr/>
        <w:t>长期资产减值</w:t>
      </w:r>
      <w:r>
        <w:rPr>
          <w:b w:val="0"/>
          <w:bCs w:val="0"/>
        </w:rPr>
      </w:r>
    </w:p>
    <w:p>
      <w:pPr>
        <w:pStyle w:val="BodyText"/>
        <w:tabs>
          <w:tab w:pos="1060" w:val="left" w:leader="none"/>
        </w:tabs>
        <w:spacing w:line="240" w:lineRule="auto" w:before="57"/>
        <w:ind w:left="638" w:right="237" w:hanging="420"/>
        <w:jc w:val="left"/>
      </w:pPr>
      <w:r>
        <w:rPr>
          <w:spacing w:val="-1"/>
        </w:rPr>
        <w:t>√适用</w:t>
        <w:tab/>
      </w:r>
      <w:r>
        <w:rPr>
          <w:spacing w:val="-2"/>
        </w:rPr>
        <w:t>□不适用</w:t>
      </w:r>
      <w:r>
        <w:rPr>
          <w:spacing w:val="-99"/>
        </w:rPr>
        <w:t> </w:t>
      </w:r>
      <w:r>
        <w:rPr>
          <w:spacing w:val="-99"/>
        </w:rPr>
      </w:r>
      <w:r>
        <w:rPr>
          <w:spacing w:val="-7"/>
        </w:rPr>
        <w:t>对子公司的长期股权投资、固定资产、无形资产等（存货、递延所得税资产、金融资产除外）</w:t>
      </w:r>
    </w:p>
    <w:p>
      <w:pPr>
        <w:pStyle w:val="BodyText"/>
        <w:spacing w:line="274" w:lineRule="exact" w:before="22"/>
        <w:ind w:left="638" w:right="0" w:hanging="420"/>
        <w:jc w:val="left"/>
      </w:pPr>
      <w:r>
        <w:rPr/>
        <w:t>的资产减值，按以下方法确定：</w:t>
      </w:r>
      <w:r>
        <w:rPr>
          <w:w w:val="100"/>
        </w:rPr>
        <w:t> </w:t>
      </w:r>
      <w:r>
        <w:rPr>
          <w:spacing w:val="-2"/>
        </w:rPr>
        <w:t>于资产负债表日判断资产是否存在可能发生减值的迹象，存在减值迹象的，本公司将估计其</w:t>
      </w:r>
    </w:p>
    <w:p>
      <w:pPr>
        <w:pStyle w:val="BodyText"/>
        <w:spacing w:line="245" w:lineRule="exact"/>
        <w:ind w:right="0"/>
        <w:jc w:val="left"/>
      </w:pPr>
      <w:r>
        <w:rPr/>
        <w:t>可收回金额，进行减值测试。对使用寿命不确定的无形资产和尚未达到可使用状态的无形资产无</w:t>
      </w:r>
    </w:p>
    <w:p>
      <w:pPr>
        <w:pStyle w:val="BodyText"/>
        <w:spacing w:line="272" w:lineRule="exact" w:before="27"/>
        <w:ind w:left="638" w:right="0" w:hanging="420"/>
        <w:jc w:val="left"/>
      </w:pPr>
      <w:r>
        <w:rPr/>
        <w:t>论是否存在减值迹象，每年都进行减值测试。</w:t>
      </w:r>
      <w:r>
        <w:rPr>
          <w:w w:val="100"/>
        </w:rPr>
        <w:t> </w:t>
      </w:r>
      <w:r>
        <w:rPr>
          <w:spacing w:val="-2"/>
        </w:rPr>
        <w:t>可收回金额根据资产的公允价值减去处置费用后的净额与资产预计未来现金流量的现值两者</w:t>
      </w:r>
    </w:p>
    <w:p>
      <w:pPr>
        <w:pStyle w:val="BodyText"/>
        <w:spacing w:line="272" w:lineRule="exact" w:before="1"/>
        <w:ind w:right="0"/>
        <w:jc w:val="left"/>
      </w:pPr>
      <w:r>
        <w:rPr>
          <w:spacing w:val="-2"/>
        </w:rPr>
        <w:t>之间较高者确定。本公司以单项资产为基础估计其可收回金额；难以对单项资产的可收回金额进</w:t>
      </w:r>
      <w:r>
        <w:rPr>
          <w:spacing w:val="-25"/>
        </w:rPr>
        <w:t> </w:t>
      </w:r>
      <w:r>
        <w:rPr>
          <w:spacing w:val="-25"/>
        </w:rPr>
      </w:r>
      <w:r>
        <w:rPr>
          <w:spacing w:val="-2"/>
        </w:rPr>
        <w:t>行估计的，以该资产所属的资产组为基础确定资产组的可收回金额。资产组的认定，以资产组产</w:t>
      </w:r>
    </w:p>
    <w:p>
      <w:pPr>
        <w:pStyle w:val="BodyText"/>
        <w:spacing w:line="272" w:lineRule="exact" w:before="1"/>
        <w:ind w:left="638" w:right="0" w:hanging="420"/>
        <w:jc w:val="left"/>
      </w:pPr>
      <w:r>
        <w:rPr/>
        <w:t>生的主要现金流入是否独立于其他资产或者资产组的现金流入为依据。</w:t>
      </w:r>
      <w:r>
        <w:rPr>
          <w:w w:val="100"/>
        </w:rPr>
        <w:t> </w:t>
      </w:r>
      <w:r>
        <w:rPr>
          <w:spacing w:val="-2"/>
        </w:rPr>
        <w:t>当资产或资产组的可收回金额低于其账面价值时，本公司将其账面价值减记至可收回金额，</w:t>
      </w:r>
    </w:p>
    <w:p>
      <w:pPr>
        <w:pStyle w:val="BodyText"/>
        <w:spacing w:line="272" w:lineRule="exact" w:before="1"/>
        <w:ind w:left="638" w:right="2757" w:hanging="420"/>
        <w:jc w:val="left"/>
      </w:pPr>
      <w:r>
        <w:rPr>
          <w:spacing w:val="-2"/>
        </w:rPr>
        <w:t>减记的金额计入当期损益，同时计提相应的资产减值准备。</w:t>
      </w:r>
      <w:r>
        <w:rPr>
          <w:spacing w:val="-55"/>
        </w:rPr>
        <w:t> </w:t>
      </w:r>
      <w:r>
        <w:rPr>
          <w:spacing w:val="-55"/>
        </w:rPr>
      </w:r>
      <w:r>
        <w:rPr/>
        <w:t>资产减值损失一经确认，在以后会计期间不再转回。</w:t>
      </w:r>
    </w:p>
    <w:p>
      <w:pPr>
        <w:spacing w:after="0" w:line="272" w:lineRule="exact"/>
        <w:jc w:val="left"/>
        <w:sectPr>
          <w:footerReference w:type="default" r:id="rId30"/>
          <w:pgSz w:w="11910" w:h="16840"/>
          <w:pgMar w:footer="1195" w:header="857" w:top="1320" w:bottom="1380" w:left="1580" w:right="1040"/>
          <w:pgNumType w:start="81"/>
        </w:sectPr>
      </w:pPr>
    </w:p>
    <w:p>
      <w:pPr>
        <w:spacing w:line="240" w:lineRule="auto" w:before="4"/>
        <w:rPr>
          <w:rFonts w:ascii="宋体" w:hAnsi="宋体" w:cs="宋体" w:eastAsia="宋体" w:hint="default"/>
          <w:sz w:val="9"/>
          <w:szCs w:val="9"/>
        </w:rPr>
      </w:pPr>
    </w:p>
    <w:p>
      <w:pPr>
        <w:pStyle w:val="Heading3"/>
        <w:spacing w:line="240" w:lineRule="auto" w:before="36"/>
        <w:ind w:left="138" w:right="0"/>
        <w:jc w:val="left"/>
        <w:rPr>
          <w:b w:val="0"/>
          <w:bCs w:val="0"/>
        </w:rPr>
      </w:pPr>
      <w:r>
        <w:rPr>
          <w:rFonts w:ascii="宋体" w:hAnsi="宋体" w:cs="宋体" w:eastAsia="宋体" w:hint="default"/>
        </w:rPr>
        <w:t>23.</w:t>
      </w:r>
      <w:r>
        <w:rPr>
          <w:rFonts w:ascii="宋体" w:hAnsi="宋体" w:cs="宋体" w:eastAsia="宋体" w:hint="default"/>
          <w:spacing w:val="3"/>
        </w:rPr>
        <w:t> </w:t>
      </w:r>
      <w:r>
        <w:rPr/>
        <w:t>长期待摊费用</w:t>
      </w:r>
      <w:r>
        <w:rPr>
          <w:b w:val="0"/>
          <w:bCs w:val="0"/>
        </w:rPr>
      </w:r>
    </w:p>
    <w:p>
      <w:pPr>
        <w:pStyle w:val="BodyText"/>
        <w:tabs>
          <w:tab w:pos="980" w:val="left" w:leader="none"/>
        </w:tabs>
        <w:spacing w:line="272" w:lineRule="exact" w:before="86"/>
        <w:ind w:left="558" w:right="137" w:hanging="420"/>
        <w:jc w:val="left"/>
      </w:pPr>
      <w:r>
        <w:rPr>
          <w:spacing w:val="-1"/>
        </w:rPr>
        <w:t>√适用</w:t>
        <w:tab/>
      </w:r>
      <w:r>
        <w:rPr>
          <w:spacing w:val="-2"/>
        </w:rPr>
        <w:t>□不适用</w:t>
      </w:r>
      <w:r>
        <w:rPr>
          <w:spacing w:val="-99"/>
        </w:rPr>
        <w:t> </w:t>
      </w:r>
      <w:r>
        <w:rPr>
          <w:spacing w:val="-99"/>
        </w:rPr>
      </w:r>
      <w:r>
        <w:rPr>
          <w:spacing w:val="-2"/>
        </w:rPr>
        <w:t>本公司发生的长期待摊费用按实际成本计价，并按预计受益期限平均摊销。对不能使以后会</w:t>
      </w:r>
    </w:p>
    <w:p>
      <w:pPr>
        <w:pStyle w:val="BodyText"/>
        <w:spacing w:line="249" w:lineRule="exact"/>
        <w:ind w:left="138" w:right="0"/>
        <w:jc w:val="left"/>
      </w:pPr>
      <w:r>
        <w:rPr/>
        <w:t>计期间受益的长期待摊费用项目，其摊余价值全部计入当期损益。</w:t>
      </w:r>
    </w:p>
    <w:p>
      <w:pPr>
        <w:spacing w:line="240" w:lineRule="auto" w:before="3"/>
        <w:rPr>
          <w:rFonts w:ascii="宋体" w:hAnsi="宋体" w:cs="宋体" w:eastAsia="宋体" w:hint="default"/>
          <w:sz w:val="25"/>
          <w:szCs w:val="25"/>
        </w:rPr>
      </w:pPr>
    </w:p>
    <w:p>
      <w:pPr>
        <w:pStyle w:val="Heading3"/>
        <w:spacing w:line="290" w:lineRule="auto"/>
        <w:ind w:left="138" w:right="6101"/>
        <w:jc w:val="left"/>
        <w:rPr>
          <w:b w:val="0"/>
          <w:bCs w:val="0"/>
        </w:rPr>
      </w:pPr>
      <w:r>
        <w:rPr>
          <w:rFonts w:ascii="宋体" w:hAnsi="宋体" w:cs="宋体" w:eastAsia="宋体" w:hint="default"/>
        </w:rPr>
        <w:t>24.</w:t>
      </w:r>
      <w:r>
        <w:rPr>
          <w:rFonts w:ascii="宋体" w:hAnsi="宋体" w:cs="宋体" w:eastAsia="宋体" w:hint="default"/>
          <w:spacing w:val="2"/>
        </w:rPr>
        <w:t> </w:t>
      </w:r>
      <w:r>
        <w:rPr/>
        <w:t>职工薪酬</w:t>
      </w:r>
      <w:r>
        <w:rPr>
          <w:w w:val="100"/>
        </w:rPr>
        <w:t> </w:t>
      </w:r>
      <w:r>
        <w:rPr>
          <w:rFonts w:ascii="宋体" w:hAnsi="宋体" w:cs="宋体" w:eastAsia="宋体" w:hint="default"/>
        </w:rPr>
        <w:t>(1)</w:t>
      </w:r>
      <w:r>
        <w:rPr/>
        <w:t>、短期薪酬的会计处理方法</w:t>
      </w:r>
      <w:r>
        <w:rPr>
          <w:b w:val="0"/>
          <w:bCs w:val="0"/>
        </w:rPr>
      </w:r>
    </w:p>
    <w:p>
      <w:pPr>
        <w:pStyle w:val="BodyText"/>
        <w:tabs>
          <w:tab w:pos="980" w:val="left" w:leader="none"/>
        </w:tabs>
        <w:spacing w:line="272" w:lineRule="exact" w:before="42"/>
        <w:ind w:left="558" w:right="137" w:hanging="420"/>
        <w:jc w:val="left"/>
      </w:pPr>
      <w:r>
        <w:rPr>
          <w:spacing w:val="-1"/>
        </w:rPr>
        <w:t>√适用</w:t>
        <w:tab/>
      </w:r>
      <w:r>
        <w:rPr>
          <w:spacing w:val="-2"/>
        </w:rPr>
        <w:t>□不适用</w:t>
      </w:r>
      <w:r>
        <w:rPr>
          <w:spacing w:val="-99"/>
        </w:rPr>
        <w:t> </w:t>
      </w:r>
      <w:r>
        <w:rPr>
          <w:spacing w:val="-99"/>
        </w:rPr>
      </w:r>
      <w:r>
        <w:rPr>
          <w:spacing w:val="-2"/>
        </w:rPr>
        <w:t>本公司在职工提供服务的会计期间，将实际发生的职工工资、奖金、按规定的基准和比例为</w:t>
      </w:r>
    </w:p>
    <w:p>
      <w:pPr>
        <w:pStyle w:val="BodyText"/>
        <w:spacing w:line="272" w:lineRule="exact" w:before="1"/>
        <w:ind w:left="138" w:right="0"/>
        <w:jc w:val="left"/>
      </w:pPr>
      <w:r>
        <w:rPr>
          <w:spacing w:val="-2"/>
        </w:rPr>
        <w:t>职工缴纳的医疗保险费、工伤保险费和生育保险费等社会保险费和住房公积金，确认为负债，并</w:t>
      </w:r>
      <w:r>
        <w:rPr>
          <w:spacing w:val="-25"/>
        </w:rPr>
        <w:t> </w:t>
      </w:r>
      <w:r>
        <w:rPr>
          <w:spacing w:val="-25"/>
        </w:rPr>
      </w:r>
      <w:r>
        <w:rPr>
          <w:spacing w:val="-2"/>
        </w:rPr>
        <w:t>计入当期损益或相关资产成本。如果该负债预期在职工提供相关服务的年度报告期结束后十二个</w:t>
      </w:r>
    </w:p>
    <w:p>
      <w:pPr>
        <w:pStyle w:val="BodyText"/>
        <w:spacing w:line="249" w:lineRule="exact"/>
        <w:ind w:left="138" w:right="0"/>
        <w:jc w:val="left"/>
      </w:pPr>
      <w:r>
        <w:rPr/>
        <w:t>月内不能完全支付，且财务影响重大的，则该负债将以折现后的金额计量。</w:t>
      </w:r>
    </w:p>
    <w:p>
      <w:pPr>
        <w:spacing w:line="240" w:lineRule="auto" w:before="3"/>
        <w:rPr>
          <w:rFonts w:ascii="宋体" w:hAnsi="宋体" w:cs="宋体" w:eastAsia="宋体" w:hint="default"/>
          <w:sz w:val="25"/>
          <w:szCs w:val="25"/>
        </w:rPr>
      </w:pPr>
    </w:p>
    <w:p>
      <w:pPr>
        <w:pStyle w:val="Heading3"/>
        <w:spacing w:line="240" w:lineRule="auto"/>
        <w:ind w:left="138" w:right="0"/>
        <w:jc w:val="left"/>
        <w:rPr>
          <w:b w:val="0"/>
          <w:bCs w:val="0"/>
        </w:rPr>
      </w:pPr>
      <w:r>
        <w:rPr>
          <w:rFonts w:ascii="宋体" w:hAnsi="宋体" w:cs="宋体" w:eastAsia="宋体" w:hint="default"/>
        </w:rPr>
        <w:t>(2)</w:t>
      </w:r>
      <w:r>
        <w:rPr/>
        <w:t>、离职后福利的会计处理方法</w:t>
      </w:r>
      <w:r>
        <w:rPr>
          <w:b w:val="0"/>
          <w:bCs w:val="0"/>
        </w:rPr>
      </w:r>
    </w:p>
    <w:p>
      <w:pPr>
        <w:pStyle w:val="BodyText"/>
        <w:tabs>
          <w:tab w:pos="980" w:val="left" w:leader="none"/>
        </w:tabs>
        <w:spacing w:line="240" w:lineRule="auto" w:before="56"/>
        <w:ind w:left="558" w:right="137" w:hanging="420"/>
        <w:jc w:val="left"/>
      </w:pPr>
      <w:r>
        <w:rPr>
          <w:spacing w:val="-1"/>
        </w:rPr>
        <w:t>√适用</w:t>
        <w:tab/>
      </w:r>
      <w:r>
        <w:rPr>
          <w:spacing w:val="-2"/>
        </w:rPr>
        <w:t>□不适用</w:t>
      </w:r>
      <w:r>
        <w:rPr>
          <w:spacing w:val="-99"/>
        </w:rPr>
        <w:t> </w:t>
      </w:r>
      <w:r>
        <w:rPr>
          <w:spacing w:val="-99"/>
        </w:rPr>
      </w:r>
      <w:r>
        <w:rPr>
          <w:spacing w:val="-2"/>
        </w:rPr>
        <w:t>离职后福利计划包括设定提存计划和设定受益计划。其中，设定提存计划，是指向独立的基</w:t>
      </w:r>
    </w:p>
    <w:p>
      <w:pPr>
        <w:pStyle w:val="BodyText"/>
        <w:spacing w:line="274" w:lineRule="exact" w:before="22"/>
        <w:ind w:left="138" w:right="0"/>
        <w:jc w:val="left"/>
      </w:pPr>
      <w:r>
        <w:rPr>
          <w:spacing w:val="-2"/>
        </w:rPr>
        <w:t>金缴存固定费用后，企业不再承担进一步支付义务的离职后福利计划；设定受益计划，是指除设</w:t>
      </w:r>
      <w:r>
        <w:rPr>
          <w:spacing w:val="-25"/>
        </w:rPr>
        <w:t> </w:t>
      </w:r>
      <w:r>
        <w:rPr>
          <w:spacing w:val="-25"/>
        </w:rPr>
      </w:r>
      <w:r>
        <w:rPr/>
        <w:t>定提存计划以外的离职后福利计划。本公司离职后福利计划均为设定提存计划。</w:t>
      </w:r>
    </w:p>
    <w:p>
      <w:pPr>
        <w:pStyle w:val="BodyText"/>
        <w:spacing w:line="244" w:lineRule="exact"/>
        <w:ind w:left="558" w:right="0"/>
        <w:jc w:val="left"/>
      </w:pPr>
      <w:r>
        <w:rPr/>
        <w:t>设定提存计划包括基本养老保险、失业保险等。</w:t>
      </w:r>
    </w:p>
    <w:p>
      <w:pPr>
        <w:pStyle w:val="BodyText"/>
        <w:spacing w:line="240" w:lineRule="auto"/>
        <w:ind w:left="138" w:right="0" w:firstLine="419"/>
        <w:jc w:val="left"/>
      </w:pPr>
      <w:r>
        <w:rPr>
          <w:spacing w:val="-2"/>
        </w:rPr>
        <w:t>在职工提供服务的会计期间，根据设定提存计划计算的应缴存金额确认为负债，并计入当期</w:t>
      </w:r>
      <w:r>
        <w:rPr>
          <w:w w:val="100"/>
        </w:rPr>
        <w:t> </w:t>
      </w:r>
      <w:r>
        <w:rPr/>
        <w:t>损益或相关资产成本。</w:t>
      </w:r>
    </w:p>
    <w:p>
      <w:pPr>
        <w:spacing w:line="240" w:lineRule="auto" w:before="3"/>
        <w:rPr>
          <w:rFonts w:ascii="宋体" w:hAnsi="宋体" w:cs="宋体" w:eastAsia="宋体" w:hint="default"/>
          <w:sz w:val="25"/>
          <w:szCs w:val="25"/>
        </w:rPr>
      </w:pPr>
    </w:p>
    <w:p>
      <w:pPr>
        <w:pStyle w:val="Heading3"/>
        <w:spacing w:line="240" w:lineRule="auto"/>
        <w:ind w:left="138" w:right="0"/>
        <w:jc w:val="left"/>
        <w:rPr>
          <w:b w:val="0"/>
          <w:bCs w:val="0"/>
        </w:rPr>
      </w:pPr>
      <w:r>
        <w:rPr>
          <w:rFonts w:ascii="宋体" w:hAnsi="宋体" w:cs="宋体" w:eastAsia="宋体" w:hint="default"/>
        </w:rPr>
        <w:t>(3)</w:t>
      </w:r>
      <w:r>
        <w:rPr/>
        <w:t>、辞退福利的会计处理方法</w:t>
      </w:r>
      <w:r>
        <w:rPr>
          <w:b w:val="0"/>
          <w:bCs w:val="0"/>
        </w:rPr>
      </w:r>
    </w:p>
    <w:p>
      <w:pPr>
        <w:pStyle w:val="BodyText"/>
        <w:tabs>
          <w:tab w:pos="980" w:val="left" w:leader="none"/>
        </w:tabs>
        <w:spacing w:line="240" w:lineRule="auto" w:before="56"/>
        <w:ind w:left="558" w:right="137" w:hanging="420"/>
        <w:jc w:val="left"/>
      </w:pPr>
      <w:r>
        <w:rPr>
          <w:spacing w:val="-1"/>
        </w:rPr>
        <w:t>√适用</w:t>
        <w:tab/>
      </w:r>
      <w:r>
        <w:rPr>
          <w:spacing w:val="-2"/>
        </w:rPr>
        <w:t>□不适用</w:t>
      </w:r>
      <w:r>
        <w:rPr>
          <w:spacing w:val="-99"/>
        </w:rPr>
        <w:t> </w:t>
      </w:r>
      <w:r>
        <w:rPr>
          <w:spacing w:val="-99"/>
        </w:rPr>
      </w:r>
      <w:r>
        <w:rPr>
          <w:spacing w:val="-2"/>
        </w:rPr>
        <w:t>本公司向职工提供辞退福利的，在下列两者孰早日确认辞退福利产生的职工薪酬负债，并计</w:t>
      </w:r>
    </w:p>
    <w:p>
      <w:pPr>
        <w:pStyle w:val="BodyText"/>
        <w:spacing w:line="274" w:lineRule="exact" w:before="22"/>
        <w:ind w:left="138" w:right="0"/>
        <w:jc w:val="left"/>
      </w:pPr>
      <w:r>
        <w:rPr>
          <w:spacing w:val="-2"/>
        </w:rPr>
        <w:t>入当期损益：本公司不能单方面撤回因解除劳动关系计划或裁减建议所提供的辞退福利时；本公</w:t>
      </w:r>
      <w:r>
        <w:rPr>
          <w:spacing w:val="-25"/>
        </w:rPr>
        <w:t> </w:t>
      </w:r>
      <w:r>
        <w:rPr>
          <w:spacing w:val="-25"/>
        </w:rPr>
      </w:r>
      <w:r>
        <w:rPr/>
        <w:t>司确认与涉及支付辞退福利的重组相关的成本或费用时。</w:t>
      </w:r>
    </w:p>
    <w:p>
      <w:pPr>
        <w:spacing w:line="240" w:lineRule="auto" w:before="4"/>
        <w:rPr>
          <w:rFonts w:ascii="宋体" w:hAnsi="宋体" w:cs="宋体" w:eastAsia="宋体" w:hint="default"/>
          <w:sz w:val="23"/>
          <w:szCs w:val="23"/>
        </w:rPr>
      </w:pPr>
    </w:p>
    <w:p>
      <w:pPr>
        <w:pStyle w:val="Heading3"/>
        <w:spacing w:line="240" w:lineRule="auto"/>
        <w:ind w:left="138" w:right="0"/>
        <w:jc w:val="left"/>
        <w:rPr>
          <w:b w:val="0"/>
          <w:bCs w:val="0"/>
        </w:rPr>
      </w:pPr>
      <w:r>
        <w:rPr>
          <w:rFonts w:ascii="宋体" w:hAnsi="宋体" w:cs="宋体" w:eastAsia="宋体" w:hint="default"/>
        </w:rPr>
        <w:t>(4)</w:t>
      </w:r>
      <w:r>
        <w:rPr/>
        <w:t>、其他长期职工福利的会计处理方法</w:t>
      </w:r>
      <w:r>
        <w:rPr>
          <w:b w:val="0"/>
          <w:bCs w:val="0"/>
        </w:rPr>
      </w:r>
    </w:p>
    <w:p>
      <w:pPr>
        <w:pStyle w:val="BodyText"/>
        <w:tabs>
          <w:tab w:pos="980" w:val="left" w:leader="none"/>
        </w:tabs>
        <w:spacing w:line="240" w:lineRule="auto" w:before="56"/>
        <w:ind w:left="558" w:right="137" w:hanging="420"/>
        <w:jc w:val="left"/>
      </w:pPr>
      <w:r>
        <w:rPr>
          <w:spacing w:val="-1"/>
        </w:rPr>
        <w:t>√适用</w:t>
        <w:tab/>
      </w:r>
      <w:r>
        <w:rPr>
          <w:spacing w:val="-2"/>
        </w:rPr>
        <w:t>□不适用</w:t>
      </w:r>
      <w:r>
        <w:rPr>
          <w:spacing w:val="-99"/>
        </w:rPr>
        <w:t> </w:t>
      </w:r>
      <w:r>
        <w:rPr>
          <w:spacing w:val="-99"/>
        </w:rPr>
      </w:r>
      <w:r>
        <w:rPr>
          <w:spacing w:val="-2"/>
        </w:rPr>
        <w:t>本公司向职工提供的其他长期职工福利，符合设定提存计划条件的，按照上述关于设定提存</w:t>
      </w:r>
    </w:p>
    <w:p>
      <w:pPr>
        <w:pStyle w:val="BodyText"/>
        <w:spacing w:line="237" w:lineRule="auto"/>
        <w:ind w:left="138" w:right="137"/>
        <w:jc w:val="both"/>
      </w:pPr>
      <w:r>
        <w:rPr>
          <w:spacing w:val="-2"/>
        </w:rPr>
        <w:t>计划的有关规定进行处理。符合设定受益计划的，按照上述关于设定受益计划的有关规定进行处</w:t>
      </w:r>
      <w:r>
        <w:rPr>
          <w:spacing w:val="-25"/>
        </w:rPr>
        <w:t> </w:t>
      </w:r>
      <w:r>
        <w:rPr>
          <w:spacing w:val="-25"/>
        </w:rPr>
      </w:r>
      <w:r>
        <w:rPr>
          <w:spacing w:val="-2"/>
        </w:rPr>
        <w:t>理，但相关职工薪酬成本中“重新计量设定受益计划净负债或净资产所产生的变动”部分计入当</w:t>
      </w:r>
      <w:r>
        <w:rPr>
          <w:spacing w:val="-25"/>
        </w:rPr>
        <w:t> </w:t>
      </w:r>
      <w:r>
        <w:rPr>
          <w:spacing w:val="-25"/>
        </w:rPr>
      </w:r>
      <w:r>
        <w:rPr/>
        <w:t>期损益或相关资产成本。</w:t>
      </w:r>
    </w:p>
    <w:p>
      <w:pPr>
        <w:spacing w:line="240" w:lineRule="auto" w:before="4"/>
        <w:rPr>
          <w:rFonts w:ascii="宋体" w:hAnsi="宋体" w:cs="宋体" w:eastAsia="宋体" w:hint="default"/>
          <w:sz w:val="25"/>
          <w:szCs w:val="25"/>
        </w:rPr>
      </w:pPr>
    </w:p>
    <w:p>
      <w:pPr>
        <w:pStyle w:val="Heading3"/>
        <w:spacing w:line="240" w:lineRule="auto"/>
        <w:ind w:left="138" w:right="0"/>
        <w:jc w:val="left"/>
        <w:rPr>
          <w:b w:val="0"/>
          <w:bCs w:val="0"/>
        </w:rPr>
      </w:pPr>
      <w:r>
        <w:rPr>
          <w:rFonts w:ascii="宋体" w:hAnsi="宋体" w:cs="宋体" w:eastAsia="宋体" w:hint="default"/>
        </w:rPr>
        <w:t>25.</w:t>
      </w:r>
      <w:r>
        <w:rPr>
          <w:rFonts w:ascii="宋体" w:hAnsi="宋体" w:cs="宋体" w:eastAsia="宋体" w:hint="default"/>
          <w:spacing w:val="2"/>
        </w:rPr>
        <w:t> </w:t>
      </w:r>
      <w:r>
        <w:rPr/>
        <w:t>预计负债</w:t>
      </w:r>
      <w:r>
        <w:rPr>
          <w:b w:val="0"/>
          <w:bCs w:val="0"/>
        </w:rPr>
      </w:r>
    </w:p>
    <w:p>
      <w:pPr>
        <w:pStyle w:val="BodyText"/>
        <w:tabs>
          <w:tab w:pos="980" w:val="left" w:leader="none"/>
        </w:tabs>
        <w:spacing w:line="272" w:lineRule="exact" w:before="86"/>
        <w:ind w:left="558" w:right="1400" w:hanging="420"/>
        <w:jc w:val="left"/>
      </w:pPr>
      <w:r>
        <w:rPr>
          <w:spacing w:val="-1"/>
        </w:rPr>
        <w:t>√适用</w:t>
        <w:tab/>
      </w:r>
      <w:r>
        <w:rPr>
          <w:spacing w:val="-2"/>
        </w:rPr>
        <w:t>□不适用</w:t>
      </w:r>
      <w:r>
        <w:rPr>
          <w:spacing w:val="-99"/>
        </w:rPr>
        <w:t> </w:t>
      </w:r>
      <w:r>
        <w:rPr>
          <w:spacing w:val="-99"/>
        </w:rPr>
      </w:r>
      <w:r>
        <w:rPr>
          <w:spacing w:val="-2"/>
        </w:rPr>
        <w:t>如果与或有事项相关的义务同时符合以下条件，本公司将其确认为预计负债：</w:t>
      </w:r>
    </w:p>
    <w:p>
      <w:pPr>
        <w:pStyle w:val="BodyText"/>
        <w:spacing w:line="247" w:lineRule="exact"/>
        <w:ind w:left="558" w:right="0"/>
        <w:jc w:val="left"/>
      </w:pPr>
      <w:r>
        <w:rPr/>
        <w:t>（</w:t>
      </w:r>
      <w:r>
        <w:rPr>
          <w:rFonts w:ascii="宋体" w:hAnsi="宋体" w:cs="宋体" w:eastAsia="宋体" w:hint="default"/>
        </w:rPr>
        <w:t>1</w:t>
      </w:r>
      <w:r>
        <w:rPr/>
        <w:t>）该义务是本公司承担的现时义务；</w:t>
      </w:r>
    </w:p>
    <w:p>
      <w:pPr>
        <w:pStyle w:val="BodyText"/>
        <w:spacing w:line="271" w:lineRule="exact"/>
        <w:ind w:left="558" w:right="0"/>
        <w:jc w:val="left"/>
      </w:pPr>
      <w:r>
        <w:rPr/>
        <w:t>（</w:t>
      </w:r>
      <w:r>
        <w:rPr>
          <w:rFonts w:ascii="宋体" w:hAnsi="宋体" w:cs="宋体" w:eastAsia="宋体" w:hint="default"/>
        </w:rPr>
        <w:t>2</w:t>
      </w:r>
      <w:r>
        <w:rPr/>
        <w:t>）该义务的履行很可能导致经济利益流出本公司；</w:t>
      </w:r>
    </w:p>
    <w:p>
      <w:pPr>
        <w:pStyle w:val="BodyText"/>
        <w:spacing w:line="240" w:lineRule="auto"/>
        <w:ind w:left="558" w:right="0"/>
        <w:jc w:val="left"/>
      </w:pPr>
      <w:r>
        <w:rPr/>
        <w:t>（</w:t>
      </w:r>
      <w:r>
        <w:rPr>
          <w:rFonts w:ascii="宋体" w:hAnsi="宋体" w:cs="宋体" w:eastAsia="宋体" w:hint="default"/>
        </w:rPr>
        <w:t>3</w:t>
      </w:r>
      <w:r>
        <w:rPr/>
        <w:t>）该义务的金额能够可靠地计量。</w:t>
      </w:r>
      <w:r>
        <w:rPr>
          <w:w w:val="100"/>
        </w:rPr>
        <w:t> </w:t>
      </w:r>
      <w:r>
        <w:rPr>
          <w:spacing w:val="-2"/>
        </w:rPr>
        <w:t>预计负债按照履行相关现时义务所需支出的最佳估计数进行初始计量，并综合考虑与或有事</w:t>
      </w:r>
    </w:p>
    <w:p>
      <w:pPr>
        <w:pStyle w:val="BodyText"/>
        <w:spacing w:line="237" w:lineRule="auto"/>
        <w:ind w:left="138" w:right="137"/>
        <w:jc w:val="both"/>
      </w:pPr>
      <w:r>
        <w:rPr>
          <w:spacing w:val="-2"/>
        </w:rPr>
        <w:t>项有关的风险、不确定性和货币时间价值等因素。货币时间价值影响重大的，通过对相关未来现</w:t>
      </w:r>
      <w:r>
        <w:rPr>
          <w:spacing w:val="-25"/>
        </w:rPr>
        <w:t> </w:t>
      </w:r>
      <w:r>
        <w:rPr>
          <w:spacing w:val="-25"/>
        </w:rPr>
      </w:r>
      <w:r>
        <w:rPr>
          <w:spacing w:val="-2"/>
        </w:rPr>
        <w:t>金流出进行折现后确定最佳估计数。本公司于资产负债表日对预计负债的账面价值进行复核，并</w:t>
      </w:r>
      <w:r>
        <w:rPr>
          <w:spacing w:val="-25"/>
        </w:rPr>
        <w:t> </w:t>
      </w:r>
      <w:r>
        <w:rPr>
          <w:spacing w:val="-25"/>
        </w:rPr>
      </w:r>
      <w:r>
        <w:rPr/>
        <w:t>对账面价值进行调整以反映当前最佳估计数。</w:t>
      </w:r>
    </w:p>
    <w:p>
      <w:pPr>
        <w:pStyle w:val="BodyText"/>
        <w:spacing w:line="272" w:lineRule="exact" w:before="27"/>
        <w:ind w:left="138" w:right="0" w:firstLine="419"/>
        <w:jc w:val="left"/>
      </w:pPr>
      <w:r>
        <w:rPr>
          <w:spacing w:val="-2"/>
        </w:rPr>
        <w:t>如果清偿已确认预计负债所需支出全部或部分预期由第三方或其他方补偿，则补偿金额只能</w:t>
      </w:r>
      <w:r>
        <w:rPr>
          <w:w w:val="100"/>
        </w:rPr>
        <w:t> </w:t>
      </w:r>
      <w:r>
        <w:rPr/>
        <w:t>在基本确定能收到时，作为资产单独确认。确认的补偿金额不超过所确认负债的账面价值。</w:t>
      </w:r>
    </w:p>
    <w:p>
      <w:pPr>
        <w:spacing w:after="0" w:line="272" w:lineRule="exact"/>
        <w:jc w:val="left"/>
        <w:sectPr>
          <w:pgSz w:w="11910" w:h="16840"/>
          <w:pgMar w:header="857" w:footer="1195" w:top="1320" w:bottom="1380" w:left="1660" w:right="1140"/>
        </w:sectPr>
      </w:pPr>
    </w:p>
    <w:p>
      <w:pPr>
        <w:spacing w:line="240" w:lineRule="auto" w:before="4"/>
        <w:rPr>
          <w:rFonts w:ascii="宋体" w:hAnsi="宋体" w:cs="宋体" w:eastAsia="宋体" w:hint="default"/>
          <w:sz w:val="9"/>
          <w:szCs w:val="9"/>
        </w:rPr>
      </w:pPr>
    </w:p>
    <w:p>
      <w:pPr>
        <w:pStyle w:val="Heading3"/>
        <w:spacing w:line="240" w:lineRule="auto" w:before="36"/>
        <w:ind w:left="138" w:right="0"/>
        <w:jc w:val="left"/>
        <w:rPr>
          <w:b w:val="0"/>
          <w:bCs w:val="0"/>
        </w:rPr>
      </w:pPr>
      <w:r>
        <w:rPr>
          <w:rFonts w:ascii="宋体" w:hAnsi="宋体" w:cs="宋体" w:eastAsia="宋体" w:hint="default"/>
        </w:rPr>
        <w:t>26.</w:t>
      </w:r>
      <w:r>
        <w:rPr>
          <w:rFonts w:ascii="宋体" w:hAnsi="宋体" w:cs="宋体" w:eastAsia="宋体" w:hint="default"/>
          <w:spacing w:val="2"/>
        </w:rPr>
        <w:t> </w:t>
      </w:r>
      <w:r>
        <w:rPr/>
        <w:t>股份支付</w:t>
      </w:r>
      <w:r>
        <w:rPr>
          <w:b w:val="0"/>
          <w:bCs w:val="0"/>
        </w:rPr>
      </w:r>
    </w:p>
    <w:p>
      <w:pPr>
        <w:pStyle w:val="BodyText"/>
        <w:tabs>
          <w:tab w:pos="980" w:val="left" w:leader="none"/>
        </w:tabs>
        <w:spacing w:line="272" w:lineRule="exact" w:before="86"/>
        <w:ind w:left="138" w:right="7072"/>
        <w:jc w:val="left"/>
      </w:pPr>
      <w:r>
        <w:rPr>
          <w:spacing w:val="-1"/>
        </w:rPr>
        <w:t>√适用</w:t>
        <w:tab/>
      </w:r>
      <w:r>
        <w:rPr>
          <w:spacing w:val="-2"/>
        </w:rPr>
        <w:t>□不适用</w:t>
      </w:r>
      <w:r>
        <w:rPr>
          <w:spacing w:val="-99"/>
        </w:rPr>
        <w:t> </w:t>
      </w:r>
      <w:r>
        <w:rPr>
          <w:spacing w:val="-99"/>
        </w:rPr>
      </w:r>
      <w:r>
        <w:rPr>
          <w:spacing w:val="-1"/>
        </w:rPr>
        <w:t>股份支付及权益工具</w:t>
      </w:r>
    </w:p>
    <w:p>
      <w:pPr>
        <w:pStyle w:val="BodyText"/>
        <w:spacing w:line="272" w:lineRule="exact" w:before="1"/>
        <w:ind w:left="138" w:right="4972"/>
        <w:jc w:val="left"/>
      </w:pPr>
      <w:r>
        <w:rPr/>
        <w:t>（</w:t>
      </w:r>
      <w:r>
        <w:rPr>
          <w:rFonts w:ascii="宋体" w:hAnsi="宋体" w:cs="宋体" w:eastAsia="宋体" w:hint="default"/>
        </w:rPr>
        <w:t>1</w:t>
      </w:r>
      <w:r>
        <w:rPr/>
        <w:t>）股份支付的种类</w:t>
      </w:r>
      <w:r>
        <w:rPr>
          <w:w w:val="100"/>
        </w:rPr>
        <w:t> </w:t>
      </w:r>
      <w:r>
        <w:rPr>
          <w:spacing w:val="-2"/>
        </w:rPr>
        <w:t>本公司股份支付系以权益结算的股份支付。</w:t>
      </w:r>
    </w:p>
    <w:p>
      <w:pPr>
        <w:pStyle w:val="BodyText"/>
        <w:spacing w:line="272" w:lineRule="exact" w:before="1"/>
        <w:ind w:left="138" w:right="0"/>
        <w:jc w:val="left"/>
      </w:pPr>
      <w:r>
        <w:rPr/>
        <w:t>（</w:t>
      </w:r>
      <w:r>
        <w:rPr>
          <w:rFonts w:ascii="宋体" w:hAnsi="宋体" w:cs="宋体" w:eastAsia="宋体" w:hint="default"/>
        </w:rPr>
        <w:t>2</w:t>
      </w:r>
      <w:r>
        <w:rPr/>
        <w:t>）权益工具公允价值的确定方法</w:t>
      </w:r>
      <w:r>
        <w:rPr>
          <w:w w:val="100"/>
        </w:rPr>
        <w:t> </w:t>
      </w:r>
      <w:r>
        <w:rPr>
          <w:spacing w:val="-2"/>
        </w:rPr>
        <w:t>本公司对于授予的存在活跃市场的期权等权益工具，按照活跃市场中的报价确定其公允价值。对</w:t>
      </w:r>
    </w:p>
    <w:p>
      <w:pPr>
        <w:pStyle w:val="BodyText"/>
        <w:spacing w:line="272" w:lineRule="exact" w:before="1"/>
        <w:ind w:left="138" w:right="0"/>
        <w:jc w:val="left"/>
      </w:pPr>
      <w:r>
        <w:rPr>
          <w:spacing w:val="-2"/>
        </w:rPr>
        <w:t>于授予的不存在活跃市场的期权等权益工具，采用期权定价模型等确定其公允价值。选用的期权</w:t>
      </w:r>
      <w:r>
        <w:rPr>
          <w:spacing w:val="-25"/>
        </w:rPr>
        <w:t> </w:t>
      </w:r>
      <w:r>
        <w:rPr>
          <w:spacing w:val="-25"/>
        </w:rPr>
      </w:r>
      <w:r>
        <w:rPr>
          <w:spacing w:val="-2"/>
        </w:rPr>
        <w:t>定价模型考虑以下因素：</w:t>
      </w:r>
      <w:r>
        <w:rPr>
          <w:rFonts w:ascii="宋体" w:hAnsi="宋体" w:cs="宋体" w:eastAsia="宋体" w:hint="default"/>
          <w:spacing w:val="-2"/>
        </w:rPr>
        <w:t>A</w:t>
      </w:r>
      <w:r>
        <w:rPr>
          <w:spacing w:val="-2"/>
        </w:rPr>
        <w:t>、期权的行权价格；</w:t>
      </w:r>
      <w:r>
        <w:rPr>
          <w:rFonts w:ascii="宋体" w:hAnsi="宋体" w:cs="宋体" w:eastAsia="宋体" w:hint="default"/>
          <w:spacing w:val="-2"/>
        </w:rPr>
        <w:t>B</w:t>
      </w:r>
      <w:r>
        <w:rPr>
          <w:spacing w:val="-2"/>
        </w:rPr>
        <w:t>、期权的有效期；</w:t>
      </w:r>
      <w:r>
        <w:rPr>
          <w:rFonts w:ascii="宋体" w:hAnsi="宋体" w:cs="宋体" w:eastAsia="宋体" w:hint="default"/>
          <w:spacing w:val="-2"/>
        </w:rPr>
        <w:t>C</w:t>
      </w:r>
      <w:r>
        <w:rPr>
          <w:spacing w:val="-2"/>
        </w:rPr>
        <w:t>、标的股份的现行价格；</w:t>
      </w:r>
      <w:r>
        <w:rPr>
          <w:rFonts w:ascii="宋体" w:hAnsi="宋体" w:cs="宋体" w:eastAsia="宋体" w:hint="default"/>
          <w:spacing w:val="-2"/>
        </w:rPr>
        <w:t>D</w:t>
      </w:r>
      <w:r>
        <w:rPr>
          <w:spacing w:val="-2"/>
        </w:rPr>
        <w:t>、</w:t>
      </w:r>
    </w:p>
    <w:p>
      <w:pPr>
        <w:pStyle w:val="BodyText"/>
        <w:spacing w:line="247" w:lineRule="exact"/>
        <w:ind w:left="138" w:right="0"/>
        <w:jc w:val="left"/>
      </w:pPr>
      <w:r>
        <w:rPr/>
        <w:t>股价预计波动率；</w:t>
      </w:r>
      <w:r>
        <w:rPr>
          <w:rFonts w:ascii="宋体" w:hAnsi="宋体" w:cs="宋体" w:eastAsia="宋体" w:hint="default"/>
        </w:rPr>
        <w:t>E</w:t>
      </w:r>
      <w:r>
        <w:rPr/>
        <w:t>、股份的预计股利；</w:t>
      </w:r>
      <w:r>
        <w:rPr>
          <w:rFonts w:ascii="宋体" w:hAnsi="宋体" w:cs="宋体" w:eastAsia="宋体" w:hint="default"/>
        </w:rPr>
        <w:t>F</w:t>
      </w:r>
      <w:r>
        <w:rPr/>
        <w:t>、期权有效期内的无风险利率。</w:t>
      </w:r>
    </w:p>
    <w:p>
      <w:pPr>
        <w:pStyle w:val="BodyText"/>
        <w:spacing w:line="237" w:lineRule="auto"/>
        <w:ind w:left="138" w:right="0"/>
        <w:jc w:val="left"/>
      </w:pPr>
      <w:r>
        <w:rPr/>
        <w:t>（</w:t>
      </w:r>
      <w:r>
        <w:rPr>
          <w:rFonts w:ascii="宋体" w:hAnsi="宋体" w:cs="宋体" w:eastAsia="宋体" w:hint="default"/>
        </w:rPr>
        <w:t>3</w:t>
      </w:r>
      <w:r>
        <w:rPr/>
        <w:t>）确认可行权权益工具最佳估计的依据</w:t>
      </w:r>
      <w:r>
        <w:rPr>
          <w:w w:val="100"/>
        </w:rPr>
        <w:t> </w:t>
      </w:r>
      <w:r>
        <w:rPr>
          <w:spacing w:val="-2"/>
        </w:rPr>
        <w:t>等待期内每个资产负债表日，本公司根据最新取得的可行权职工人数变动等后续信息作出最佳估</w:t>
      </w:r>
      <w:r>
        <w:rPr>
          <w:spacing w:val="-25"/>
        </w:rPr>
        <w:t> </w:t>
      </w:r>
      <w:r>
        <w:rPr>
          <w:spacing w:val="-25"/>
        </w:rPr>
      </w:r>
      <w:r>
        <w:rPr>
          <w:spacing w:val="-2"/>
        </w:rPr>
        <w:t>计，修正预计可行权的权益工具数量。在可行权日，最终预计可行权权益工具的数量应当与实际</w:t>
      </w:r>
      <w:r>
        <w:rPr>
          <w:spacing w:val="-25"/>
        </w:rPr>
        <w:t> </w:t>
      </w:r>
      <w:r>
        <w:rPr>
          <w:spacing w:val="-25"/>
        </w:rPr>
      </w:r>
      <w:r>
        <w:rPr/>
        <w:t>可行权数量一致。</w:t>
      </w:r>
    </w:p>
    <w:p>
      <w:pPr>
        <w:pStyle w:val="BodyText"/>
        <w:spacing w:line="237" w:lineRule="auto"/>
        <w:ind w:left="138" w:right="0"/>
        <w:jc w:val="left"/>
      </w:pPr>
      <w:r>
        <w:rPr/>
        <w:t>（</w:t>
      </w:r>
      <w:r>
        <w:rPr>
          <w:rFonts w:ascii="宋体" w:hAnsi="宋体" w:cs="宋体" w:eastAsia="宋体" w:hint="default"/>
        </w:rPr>
        <w:t>4</w:t>
      </w:r>
      <w:r>
        <w:rPr/>
        <w:t>）实施、修改、终止股份支付计划的相关会计处理</w:t>
      </w:r>
      <w:r>
        <w:rPr>
          <w:w w:val="100"/>
        </w:rPr>
        <w:t> </w:t>
      </w:r>
      <w:r>
        <w:rPr>
          <w:spacing w:val="-2"/>
        </w:rPr>
        <w:t>以权益结算的股份支付，按授予职工权益工具的公允价值计量。授予后立即可行权的，在授予日</w:t>
      </w:r>
      <w:r>
        <w:rPr>
          <w:spacing w:val="-25"/>
        </w:rPr>
        <w:t> </w:t>
      </w:r>
      <w:r>
        <w:rPr>
          <w:spacing w:val="-25"/>
        </w:rPr>
      </w:r>
      <w:r>
        <w:rPr>
          <w:spacing w:val="-2"/>
        </w:rPr>
        <w:t>按照权益工具的公允价值计入相关成本或费用，相应增加资本公积。在完成等待期内的服务或达</w:t>
      </w:r>
      <w:r>
        <w:rPr>
          <w:spacing w:val="-25"/>
        </w:rPr>
        <w:t> </w:t>
      </w:r>
      <w:r>
        <w:rPr>
          <w:spacing w:val="-25"/>
        </w:rPr>
      </w:r>
      <w:r>
        <w:rPr>
          <w:spacing w:val="-2"/>
        </w:rPr>
        <w:t>到规定业绩条件才可行权的，在等待期内的每个资产负债表日，以对可行权权益工具数量的最佳</w:t>
      </w:r>
      <w:r>
        <w:rPr>
          <w:spacing w:val="-25"/>
        </w:rPr>
        <w:t> </w:t>
      </w:r>
      <w:r>
        <w:rPr>
          <w:spacing w:val="-25"/>
        </w:rPr>
      </w:r>
      <w:r>
        <w:rPr>
          <w:spacing w:val="-2"/>
        </w:rPr>
        <w:t>估计为基础，按照权益工具授予日的公允价值，将当期取得的服务计入相关成本或费用和资本公</w:t>
      </w:r>
      <w:r>
        <w:rPr>
          <w:spacing w:val="-25"/>
        </w:rPr>
        <w:t> </w:t>
      </w:r>
      <w:r>
        <w:rPr>
          <w:spacing w:val="-25"/>
        </w:rPr>
      </w:r>
      <w:r>
        <w:rPr/>
        <w:t>积。在可行权日之后不再对已确认的相关成本或费用和所有者权益总额进行调整。</w:t>
      </w:r>
      <w:r>
        <w:rPr>
          <w:w w:val="100"/>
        </w:rPr>
        <w:t> </w:t>
      </w:r>
      <w:r>
        <w:rPr>
          <w:spacing w:val="-2"/>
        </w:rPr>
        <w:t>本公司对股份支付计划进行修改时，若修改增加了所授予权益工具的公允价值，按照权益工具公</w:t>
      </w:r>
      <w:r>
        <w:rPr>
          <w:spacing w:val="-25"/>
        </w:rPr>
        <w:t> </w:t>
      </w:r>
      <w:r>
        <w:rPr>
          <w:spacing w:val="-25"/>
        </w:rPr>
      </w:r>
      <w:r>
        <w:rPr>
          <w:spacing w:val="-2"/>
        </w:rPr>
        <w:t>允价值的增加相应地确认取得服务的增加；若修改增加了所授予权益工具的数量，则将增加的权</w:t>
      </w:r>
      <w:r>
        <w:rPr>
          <w:spacing w:val="-25"/>
        </w:rPr>
        <w:t> </w:t>
      </w:r>
      <w:r>
        <w:rPr>
          <w:spacing w:val="-25"/>
        </w:rPr>
      </w:r>
      <w:r>
        <w:rPr>
          <w:spacing w:val="-2"/>
        </w:rPr>
        <w:t>益工具的公允价值相应地确认为取得服务的增加。权益工具公允价值的增加是指修改前后的权益</w:t>
      </w:r>
      <w:r>
        <w:rPr>
          <w:spacing w:val="-25"/>
        </w:rPr>
        <w:t> </w:t>
      </w:r>
      <w:r>
        <w:rPr>
          <w:spacing w:val="-25"/>
        </w:rPr>
      </w:r>
      <w:r>
        <w:rPr>
          <w:spacing w:val="-2"/>
        </w:rPr>
        <w:t>工具在修改日的公允价值之间的差额。若修改减少了股份支付公允价值总额或采用了其他不利于</w:t>
      </w:r>
      <w:r>
        <w:rPr>
          <w:spacing w:val="-25"/>
        </w:rPr>
        <w:t> </w:t>
      </w:r>
      <w:r>
        <w:rPr>
          <w:spacing w:val="-25"/>
        </w:rPr>
      </w:r>
      <w:r>
        <w:rPr>
          <w:spacing w:val="-2"/>
        </w:rPr>
        <w:t>职工的方式修改股份支付计划的条款和条件，则仍继续对取得的服务进行会计处理，视同该变更</w:t>
      </w:r>
      <w:r>
        <w:rPr>
          <w:spacing w:val="-25"/>
        </w:rPr>
        <w:t> </w:t>
      </w:r>
      <w:r>
        <w:rPr>
          <w:spacing w:val="-25"/>
        </w:rPr>
      </w:r>
      <w:r>
        <w:rPr/>
        <w:t>从未发生，除非本公司取消了部分或全部已授予的权益工具。</w:t>
      </w:r>
      <w:r>
        <w:rPr>
          <w:w w:val="100"/>
        </w:rPr>
        <w:t> </w:t>
      </w:r>
      <w:r>
        <w:rPr>
          <w:spacing w:val="-2"/>
        </w:rPr>
        <w:t>在等待期内，如果取消了授予的权益工具（因未满足可行权条件的非市场条件（如服务期限条件</w:t>
      </w:r>
      <w:r>
        <w:rPr>
          <w:spacing w:val="-25"/>
        </w:rPr>
        <w:t> </w:t>
      </w:r>
      <w:r>
        <w:rPr>
          <w:spacing w:val="-25"/>
        </w:rPr>
      </w:r>
      <w:r>
        <w:rPr>
          <w:spacing w:val="-6"/>
        </w:rPr>
        <w:t>或非市场的业绩条件）而被取消的除外），本公司对取消所授予的权益性工具作为加速行权处理，</w:t>
      </w:r>
      <w:r>
        <w:rPr>
          <w:spacing w:val="-54"/>
        </w:rPr>
        <w:t> </w:t>
      </w:r>
      <w:r>
        <w:rPr>
          <w:spacing w:val="-54"/>
        </w:rPr>
      </w:r>
      <w:r>
        <w:rPr>
          <w:spacing w:val="-2"/>
        </w:rPr>
        <w:t>将剩余等待期内应确认的金额立即计入当期损益，同时确认资本公积。职工或其他方能够选择满</w:t>
      </w:r>
      <w:r>
        <w:rPr>
          <w:spacing w:val="-25"/>
        </w:rPr>
        <w:t> </w:t>
      </w:r>
      <w:r>
        <w:rPr>
          <w:spacing w:val="-25"/>
        </w:rPr>
      </w:r>
      <w:r>
        <w:rPr/>
        <w:t>足非可行权条件但在等待期内未满足的，本公司将其作为授予权益工具的取消处理。</w:t>
      </w:r>
    </w:p>
    <w:p>
      <w:pPr>
        <w:spacing w:line="240" w:lineRule="auto" w:before="3"/>
        <w:rPr>
          <w:rFonts w:ascii="宋体" w:hAnsi="宋体" w:cs="宋体" w:eastAsia="宋体" w:hint="default"/>
          <w:sz w:val="25"/>
          <w:szCs w:val="25"/>
        </w:rPr>
      </w:pPr>
    </w:p>
    <w:p>
      <w:pPr>
        <w:pStyle w:val="Heading3"/>
        <w:spacing w:line="240" w:lineRule="auto"/>
        <w:ind w:left="138" w:right="0"/>
        <w:jc w:val="left"/>
        <w:rPr>
          <w:b w:val="0"/>
          <w:bCs w:val="0"/>
        </w:rPr>
      </w:pPr>
      <w:r>
        <w:rPr>
          <w:rFonts w:ascii="宋体" w:hAnsi="宋体" w:cs="宋体" w:eastAsia="宋体" w:hint="default"/>
        </w:rPr>
        <w:t>27. </w:t>
      </w:r>
      <w:r>
        <w:rPr/>
        <w:t>优先股、永续债等其他金融工具</w:t>
      </w:r>
      <w:r>
        <w:rPr>
          <w:b w:val="0"/>
          <w:bCs w:val="0"/>
        </w:rPr>
      </w:r>
    </w:p>
    <w:p>
      <w:pPr>
        <w:pStyle w:val="BodyText"/>
        <w:tabs>
          <w:tab w:pos="980" w:val="left" w:leader="none"/>
        </w:tabs>
        <w:spacing w:line="240" w:lineRule="auto" w:before="58"/>
        <w:ind w:left="138"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3"/>
        <w:spacing w:line="240" w:lineRule="auto"/>
        <w:ind w:left="138" w:right="0"/>
        <w:jc w:val="left"/>
        <w:rPr>
          <w:b w:val="0"/>
          <w:bCs w:val="0"/>
        </w:rPr>
      </w:pPr>
      <w:r>
        <w:rPr>
          <w:rFonts w:ascii="宋体" w:hAnsi="宋体" w:cs="宋体" w:eastAsia="宋体" w:hint="default"/>
        </w:rPr>
        <w:t>28.</w:t>
      </w:r>
      <w:r>
        <w:rPr>
          <w:rFonts w:ascii="宋体" w:hAnsi="宋体" w:cs="宋体" w:eastAsia="宋体" w:hint="default"/>
          <w:spacing w:val="2"/>
        </w:rPr>
        <w:t> </w:t>
      </w:r>
      <w:r>
        <w:rPr/>
        <w:t>收入</w:t>
      </w:r>
      <w:r>
        <w:rPr>
          <w:b w:val="0"/>
          <w:bCs w:val="0"/>
        </w:rPr>
      </w:r>
    </w:p>
    <w:p>
      <w:pPr>
        <w:pStyle w:val="BodyText"/>
        <w:tabs>
          <w:tab w:pos="980" w:val="left" w:leader="none"/>
        </w:tabs>
        <w:spacing w:line="274" w:lineRule="exact" w:before="57"/>
        <w:ind w:left="138" w:right="0"/>
        <w:jc w:val="left"/>
      </w:pPr>
      <w:r>
        <w:rPr>
          <w:spacing w:val="-1"/>
        </w:rPr>
        <w:t>√适用</w:t>
        <w:tab/>
      </w:r>
      <w:r>
        <w:rPr>
          <w:spacing w:val="-2"/>
        </w:rPr>
        <w:t>□不适用</w:t>
      </w:r>
    </w:p>
    <w:p>
      <w:pPr>
        <w:pStyle w:val="BodyText"/>
        <w:spacing w:line="272" w:lineRule="exact"/>
        <w:ind w:left="558" w:right="0"/>
        <w:jc w:val="left"/>
      </w:pPr>
      <w:r>
        <w:rPr/>
        <w:t>（</w:t>
      </w:r>
      <w:r>
        <w:rPr>
          <w:rFonts w:ascii="宋体" w:hAnsi="宋体" w:cs="宋体" w:eastAsia="宋体" w:hint="default"/>
        </w:rPr>
        <w:t>1</w:t>
      </w:r>
      <w:r>
        <w:rPr/>
        <w:t>）一般原则</w:t>
      </w:r>
    </w:p>
    <w:p>
      <w:pPr>
        <w:pStyle w:val="BodyText"/>
        <w:spacing w:line="240" w:lineRule="auto"/>
        <w:ind w:left="558" w:right="0"/>
        <w:jc w:val="left"/>
      </w:pPr>
      <w:r>
        <w:rPr/>
        <w:t>①销售商品</w:t>
      </w:r>
      <w:r>
        <w:rPr>
          <w:spacing w:val="-102"/>
        </w:rPr>
        <w:t> </w:t>
      </w:r>
      <w:r>
        <w:rPr>
          <w:spacing w:val="-102"/>
        </w:rPr>
      </w:r>
      <w:r>
        <w:rPr>
          <w:spacing w:val="-2"/>
        </w:rPr>
        <w:t>在已将商品所有权上的主要风险和报酬转移给购货方，既没有保留通常与所有权相联系的继</w:t>
      </w:r>
    </w:p>
    <w:p>
      <w:pPr>
        <w:pStyle w:val="BodyText"/>
        <w:spacing w:line="272" w:lineRule="exact" w:before="24"/>
        <w:ind w:left="138" w:right="0"/>
        <w:jc w:val="left"/>
      </w:pPr>
      <w:r>
        <w:rPr>
          <w:spacing w:val="-2"/>
        </w:rPr>
        <w:t>续管理权，也没有对已售商品实施有效控制，收入的金额能够可靠地计量，相关的经济利益很可</w:t>
      </w:r>
      <w:r>
        <w:rPr>
          <w:spacing w:val="-25"/>
        </w:rPr>
        <w:t> </w:t>
      </w:r>
      <w:r>
        <w:rPr>
          <w:spacing w:val="-25"/>
        </w:rPr>
      </w:r>
      <w:r>
        <w:rPr/>
        <w:t>能流入企业，相关的已发生或将发生的成本能够可靠地计量时，确认商品销售收入的实现。</w:t>
      </w:r>
    </w:p>
    <w:p>
      <w:pPr>
        <w:pStyle w:val="BodyText"/>
        <w:spacing w:line="272" w:lineRule="exact" w:before="1"/>
        <w:ind w:left="558" w:right="0"/>
        <w:jc w:val="left"/>
      </w:pPr>
      <w:r>
        <w:rPr/>
        <w:t>②提供劳务</w:t>
      </w:r>
      <w:r>
        <w:rPr>
          <w:spacing w:val="-102"/>
        </w:rPr>
        <w:t> </w:t>
      </w:r>
      <w:r>
        <w:rPr>
          <w:spacing w:val="-102"/>
        </w:rPr>
      </w:r>
      <w:r>
        <w:rPr>
          <w:spacing w:val="-2"/>
        </w:rPr>
        <w:t>对在提供劳务交易的结果能够可靠估计的情况下，本公司于资产负债表日按完工百分比法确</w:t>
      </w:r>
    </w:p>
    <w:p>
      <w:pPr>
        <w:pStyle w:val="BodyText"/>
        <w:spacing w:line="247" w:lineRule="exact"/>
        <w:ind w:left="138" w:right="0"/>
        <w:jc w:val="left"/>
      </w:pPr>
      <w:r>
        <w:rPr/>
        <w:t>认收入。</w:t>
      </w:r>
    </w:p>
    <w:p>
      <w:pPr>
        <w:pStyle w:val="BodyText"/>
        <w:spacing w:line="240" w:lineRule="auto"/>
        <w:ind w:left="558" w:right="0"/>
        <w:jc w:val="left"/>
      </w:pPr>
      <w:r>
        <w:rPr/>
        <w:t>劳务交易的完工进度按已经提供的劳务占应提供劳务总量的比例确定。</w:t>
      </w:r>
      <w:r>
        <w:rPr>
          <w:w w:val="100"/>
        </w:rPr>
        <w:t> </w:t>
      </w:r>
      <w:r>
        <w:rPr>
          <w:spacing w:val="-2"/>
        </w:rPr>
        <w:t>提供劳务交易的结果能够可靠估计是指同时满足：</w:t>
      </w:r>
      <w:r>
        <w:rPr>
          <w:rFonts w:ascii="宋体" w:hAnsi="宋体" w:cs="宋体" w:eastAsia="宋体" w:hint="default"/>
          <w:spacing w:val="-2"/>
        </w:rPr>
        <w:t>A</w:t>
      </w:r>
      <w:r>
        <w:rPr>
          <w:spacing w:val="-2"/>
        </w:rPr>
        <w:t>、收入的金额能够可靠地计量；</w:t>
      </w:r>
      <w:r>
        <w:rPr>
          <w:rFonts w:ascii="宋体" w:hAnsi="宋体" w:cs="宋体" w:eastAsia="宋体" w:hint="default"/>
          <w:spacing w:val="-2"/>
        </w:rPr>
        <w:t>B</w:t>
      </w:r>
      <w:r>
        <w:rPr>
          <w:spacing w:val="-2"/>
        </w:rPr>
        <w:t>、相关</w:t>
      </w:r>
    </w:p>
    <w:p>
      <w:pPr>
        <w:pStyle w:val="BodyText"/>
        <w:spacing w:line="274" w:lineRule="exact" w:before="22"/>
        <w:ind w:left="138" w:right="0"/>
        <w:jc w:val="left"/>
      </w:pPr>
      <w:r>
        <w:rPr>
          <w:spacing w:val="-2"/>
        </w:rPr>
        <w:t>的经济利益很可能流入企业；</w:t>
      </w:r>
      <w:r>
        <w:rPr>
          <w:rFonts w:ascii="宋体" w:hAnsi="宋体" w:cs="宋体" w:eastAsia="宋体" w:hint="default"/>
          <w:spacing w:val="-2"/>
        </w:rPr>
        <w:t>C</w:t>
      </w:r>
      <w:r>
        <w:rPr>
          <w:spacing w:val="-2"/>
        </w:rPr>
        <w:t>、交易的完工程度能够可靠地确定；</w:t>
      </w:r>
      <w:r>
        <w:rPr>
          <w:rFonts w:ascii="宋体" w:hAnsi="宋体" w:cs="宋体" w:eastAsia="宋体" w:hint="default"/>
          <w:spacing w:val="-2"/>
        </w:rPr>
        <w:t>D</w:t>
      </w:r>
      <w:r>
        <w:rPr>
          <w:spacing w:val="-2"/>
        </w:rPr>
        <w:t>、交易中已发生和将发生的</w:t>
      </w:r>
      <w:r>
        <w:rPr>
          <w:spacing w:val="-29"/>
        </w:rPr>
        <w:t> </w:t>
      </w:r>
      <w:r>
        <w:rPr>
          <w:spacing w:val="-29"/>
        </w:rPr>
      </w:r>
      <w:r>
        <w:rPr/>
        <w:t>成本能够可靠地计量。</w:t>
      </w:r>
    </w:p>
    <w:p>
      <w:pPr>
        <w:spacing w:after="0" w:line="274" w:lineRule="exact"/>
        <w:jc w:val="left"/>
        <w:sectPr>
          <w:pgSz w:w="11910" w:h="16840"/>
          <w:pgMar w:header="857" w:footer="1195" w:top="1320" w:bottom="1380" w:left="1660" w:right="1140"/>
        </w:sectPr>
      </w:pPr>
    </w:p>
    <w:p>
      <w:pPr>
        <w:spacing w:line="240" w:lineRule="auto" w:before="4"/>
        <w:rPr>
          <w:rFonts w:ascii="宋体" w:hAnsi="宋体" w:cs="宋体" w:eastAsia="宋体" w:hint="default"/>
          <w:sz w:val="9"/>
          <w:szCs w:val="9"/>
        </w:rPr>
      </w:pPr>
    </w:p>
    <w:p>
      <w:pPr>
        <w:pStyle w:val="BodyText"/>
        <w:spacing w:line="237" w:lineRule="auto" w:before="38"/>
        <w:ind w:left="138" w:right="137" w:firstLine="419"/>
        <w:jc w:val="both"/>
      </w:pPr>
      <w:r>
        <w:rPr>
          <w:spacing w:val="-2"/>
        </w:rPr>
        <w:t>如果提供劳务交易的结果不能够可靠估计，则按已经发生并预计能够得到补偿的劳务成本金</w:t>
      </w:r>
      <w:r>
        <w:rPr>
          <w:w w:val="100"/>
        </w:rPr>
        <w:t> </w:t>
      </w:r>
      <w:r>
        <w:rPr>
          <w:spacing w:val="-2"/>
        </w:rPr>
        <w:t>额确认提供的劳务收入，并将已发生的劳务成本作为当期费用。已经发生的劳务成本如预计不能</w:t>
      </w:r>
      <w:r>
        <w:rPr>
          <w:spacing w:val="-25"/>
        </w:rPr>
        <w:t> </w:t>
      </w:r>
      <w:r>
        <w:rPr>
          <w:spacing w:val="-25"/>
        </w:rPr>
      </w:r>
      <w:r>
        <w:rPr/>
        <w:t>得到补偿的，则不确认收入。</w:t>
      </w:r>
    </w:p>
    <w:p>
      <w:pPr>
        <w:pStyle w:val="BodyText"/>
        <w:spacing w:line="272" w:lineRule="exact" w:before="26"/>
        <w:ind w:left="558" w:right="0"/>
        <w:jc w:val="left"/>
      </w:pPr>
      <w:r>
        <w:rPr/>
        <w:t>③让渡资产使用权</w:t>
      </w:r>
      <w:r>
        <w:rPr>
          <w:w w:val="100"/>
        </w:rPr>
        <w:t> </w:t>
      </w:r>
      <w:r>
        <w:rPr>
          <w:spacing w:val="-2"/>
        </w:rPr>
        <w:t>与资产使用权让渡相关的经济利益能够流入及收入的金额能够可靠地计量时，本公司确认收</w:t>
      </w:r>
    </w:p>
    <w:p>
      <w:pPr>
        <w:pStyle w:val="BodyText"/>
        <w:spacing w:line="247" w:lineRule="exact"/>
        <w:ind w:left="138" w:right="0"/>
        <w:jc w:val="left"/>
      </w:pPr>
      <w:r>
        <w:rPr/>
        <w:t>入。</w:t>
      </w:r>
    </w:p>
    <w:p>
      <w:pPr>
        <w:pStyle w:val="BodyText"/>
        <w:spacing w:line="240" w:lineRule="auto"/>
        <w:ind w:left="558" w:right="0"/>
        <w:jc w:val="left"/>
      </w:pPr>
      <w:r>
        <w:rPr/>
        <w:t>（</w:t>
      </w:r>
      <w:r>
        <w:rPr>
          <w:rFonts w:ascii="宋体" w:hAnsi="宋体" w:cs="宋体" w:eastAsia="宋体" w:hint="default"/>
        </w:rPr>
        <w:t>2</w:t>
      </w:r>
      <w:r>
        <w:rPr/>
        <w:t>）具体方法</w:t>
      </w:r>
      <w:r>
        <w:rPr>
          <w:w w:val="100"/>
        </w:rPr>
        <w:t> </w:t>
      </w:r>
      <w:r>
        <w:rPr>
          <w:spacing w:val="-2"/>
        </w:rPr>
        <w:t>本公司主营业务收入按业务性质分为产品化软件开发业务、定制软件开发业务、软件运维服</w:t>
      </w:r>
    </w:p>
    <w:p>
      <w:pPr>
        <w:pStyle w:val="BodyText"/>
        <w:spacing w:line="271" w:lineRule="exact"/>
        <w:ind w:left="138" w:right="0"/>
        <w:jc w:val="left"/>
      </w:pPr>
      <w:r>
        <w:rPr/>
        <w:t>务业务、系统集成业务，各项业务收入确认的具体方法如下：</w:t>
      </w:r>
    </w:p>
    <w:p>
      <w:pPr>
        <w:pStyle w:val="BodyText"/>
        <w:spacing w:line="272" w:lineRule="exact" w:before="27"/>
        <w:ind w:left="558" w:right="0"/>
        <w:jc w:val="left"/>
      </w:pPr>
      <w:r>
        <w:rPr/>
        <w:t>①产品化软件开发业务</w:t>
      </w:r>
      <w:r>
        <w:rPr>
          <w:w w:val="100"/>
        </w:rPr>
        <w:t> </w:t>
      </w:r>
      <w:r>
        <w:rPr>
          <w:spacing w:val="-2"/>
        </w:rPr>
        <w:t>产品化软件开发业务是指本公司自行研究开发的，拥有自主知识产权，可直接对外销售或嵌</w:t>
      </w:r>
    </w:p>
    <w:p>
      <w:pPr>
        <w:pStyle w:val="BodyText"/>
        <w:spacing w:line="272" w:lineRule="exact" w:before="1"/>
        <w:ind w:left="558" w:right="0" w:hanging="420"/>
        <w:jc w:val="left"/>
      </w:pPr>
      <w:r>
        <w:rPr/>
        <w:t>入硬件产品一起销售的软件开发业务。</w:t>
      </w:r>
      <w:r>
        <w:rPr>
          <w:w w:val="100"/>
        </w:rPr>
        <w:t> </w:t>
      </w:r>
      <w:r>
        <w:rPr>
          <w:spacing w:val="-2"/>
        </w:rPr>
        <w:t>具体方法：产品已交付并完成安装和试运行，在取得客户验收时确认收入。</w:t>
      </w:r>
    </w:p>
    <w:p>
      <w:pPr>
        <w:pStyle w:val="BodyText"/>
        <w:spacing w:line="272" w:lineRule="exact" w:before="1"/>
        <w:ind w:left="558" w:right="0"/>
        <w:jc w:val="left"/>
      </w:pPr>
      <w:r>
        <w:rPr/>
        <w:t>②定制软件开发业务</w:t>
      </w:r>
      <w:r>
        <w:rPr>
          <w:w w:val="100"/>
        </w:rPr>
        <w:t> </w:t>
      </w:r>
      <w:r>
        <w:rPr>
          <w:spacing w:val="-2"/>
        </w:rPr>
        <w:t>定制软件开发业务是指本公司根据合同的约定，自行研究开发以满足客户的特定要求的软件</w:t>
      </w:r>
    </w:p>
    <w:p>
      <w:pPr>
        <w:pStyle w:val="BodyText"/>
        <w:spacing w:line="247" w:lineRule="exact"/>
        <w:ind w:left="138" w:right="0"/>
        <w:jc w:val="left"/>
      </w:pPr>
      <w:r>
        <w:rPr/>
        <w:t>开发业务。</w:t>
      </w:r>
    </w:p>
    <w:p>
      <w:pPr>
        <w:pStyle w:val="BodyText"/>
        <w:spacing w:line="272" w:lineRule="exact"/>
        <w:ind w:left="558" w:right="0"/>
        <w:jc w:val="left"/>
      </w:pPr>
      <w:r>
        <w:rPr/>
        <w:t>具体方法：定制软件开发项目已经完成并取得客户验收时确认收入。</w:t>
      </w:r>
    </w:p>
    <w:p>
      <w:pPr>
        <w:pStyle w:val="BodyText"/>
        <w:spacing w:line="272" w:lineRule="exact" w:before="27"/>
        <w:ind w:left="558" w:right="0"/>
        <w:jc w:val="left"/>
      </w:pPr>
      <w:r>
        <w:rPr/>
        <w:t>③软件运维服务业务</w:t>
      </w:r>
      <w:r>
        <w:rPr>
          <w:w w:val="100"/>
        </w:rPr>
        <w:t> </w:t>
      </w:r>
      <w:r>
        <w:rPr>
          <w:spacing w:val="-2"/>
        </w:rPr>
        <w:t>软件运维服务业务主要指公司为存量客户提供的常年软件系统运营和维护服务。</w:t>
      </w:r>
      <w:r>
        <w:rPr>
          <w:spacing w:val="-38"/>
        </w:rPr>
        <w:t> </w:t>
      </w:r>
      <w:r>
        <w:rPr>
          <w:spacing w:val="-38"/>
        </w:rPr>
      </w:r>
      <w:r>
        <w:rPr/>
        <w:t>具体方法：运维服务收入在服务期内按直线法确认收入。</w:t>
      </w:r>
    </w:p>
    <w:p>
      <w:pPr>
        <w:pStyle w:val="BodyText"/>
        <w:spacing w:line="272" w:lineRule="exact" w:before="1"/>
        <w:ind w:left="558" w:right="0"/>
        <w:jc w:val="left"/>
      </w:pPr>
      <w:r>
        <w:rPr/>
        <w:t>④系统集成业务</w:t>
      </w:r>
      <w:r>
        <w:rPr>
          <w:spacing w:val="-103"/>
        </w:rPr>
        <w:t> </w:t>
      </w:r>
      <w:r>
        <w:rPr>
          <w:spacing w:val="-103"/>
        </w:rPr>
      </w:r>
      <w:r>
        <w:rPr>
          <w:spacing w:val="-2"/>
        </w:rPr>
        <w:t>系统集成业务系指根据用户需要将整个系统中的外购软件、硬件按照合理的方式进行集成，</w:t>
      </w:r>
    </w:p>
    <w:p>
      <w:pPr>
        <w:pStyle w:val="BodyText"/>
        <w:spacing w:line="272" w:lineRule="exact" w:before="1"/>
        <w:ind w:left="558" w:right="0" w:hanging="420"/>
        <w:jc w:val="left"/>
      </w:pPr>
      <w:r>
        <w:rPr/>
        <w:t>将各个分离的子系统连接成为一个完整可靠和经济有效整体的业务。</w:t>
      </w:r>
      <w:r>
        <w:rPr>
          <w:w w:val="100"/>
        </w:rPr>
        <w:t> </w:t>
      </w:r>
      <w:r>
        <w:rPr>
          <w:spacing w:val="-2"/>
        </w:rPr>
        <w:t>具体方法：系统集成产品已交付，在系统安装调试完毕并取得客户验收时确认收入。</w:t>
      </w:r>
    </w:p>
    <w:p>
      <w:pPr>
        <w:spacing w:line="240" w:lineRule="auto" w:before="5"/>
        <w:rPr>
          <w:rFonts w:ascii="宋体" w:hAnsi="宋体" w:cs="宋体" w:eastAsia="宋体" w:hint="default"/>
          <w:sz w:val="23"/>
          <w:szCs w:val="23"/>
        </w:rPr>
      </w:pPr>
    </w:p>
    <w:p>
      <w:pPr>
        <w:pStyle w:val="Heading3"/>
        <w:spacing w:line="290" w:lineRule="auto"/>
        <w:ind w:left="138" w:right="3500"/>
        <w:jc w:val="left"/>
        <w:rPr>
          <w:b w:val="0"/>
          <w:bCs w:val="0"/>
        </w:rPr>
      </w:pPr>
      <w:r>
        <w:rPr>
          <w:rFonts w:ascii="宋体" w:hAnsi="宋体" w:cs="宋体" w:eastAsia="宋体" w:hint="default"/>
        </w:rPr>
        <w:t>29.</w:t>
      </w:r>
      <w:r>
        <w:rPr>
          <w:rFonts w:ascii="宋体" w:hAnsi="宋体" w:cs="宋体" w:eastAsia="宋体" w:hint="default"/>
          <w:spacing w:val="2"/>
        </w:rPr>
        <w:t> </w:t>
      </w:r>
      <w:r>
        <w:rPr/>
        <w:t>政府补助</w:t>
      </w:r>
      <w:r>
        <w:rPr>
          <w:w w:val="100"/>
        </w:rPr>
        <w:t> </w:t>
      </w:r>
      <w:r>
        <w:rPr>
          <w:rFonts w:ascii="宋体" w:hAnsi="宋体" w:cs="宋体" w:eastAsia="宋体" w:hint="default"/>
          <w:spacing w:val="-1"/>
        </w:rPr>
        <w:t>(1)</w:t>
      </w:r>
      <w:r>
        <w:rPr>
          <w:spacing w:val="-1"/>
        </w:rPr>
        <w:t>、与资产相关的政府补助判断依据及会计处理方法</w:t>
      </w:r>
      <w:r>
        <w:rPr>
          <w:b w:val="0"/>
          <w:bCs w:val="0"/>
          <w:spacing w:val="-1"/>
        </w:rPr>
      </w:r>
    </w:p>
    <w:p>
      <w:pPr>
        <w:pStyle w:val="BodyText"/>
        <w:tabs>
          <w:tab w:pos="980" w:val="left" w:leader="none"/>
        </w:tabs>
        <w:spacing w:line="240" w:lineRule="auto" w:before="12"/>
        <w:ind w:left="558" w:right="3500" w:hanging="420"/>
        <w:jc w:val="left"/>
      </w:pPr>
      <w:r>
        <w:rPr>
          <w:spacing w:val="-1"/>
        </w:rPr>
        <w:t>√适用</w:t>
        <w:tab/>
      </w:r>
      <w:r>
        <w:rPr>
          <w:spacing w:val="-2"/>
        </w:rPr>
        <w:t>□不适用</w:t>
      </w:r>
      <w:r>
        <w:rPr>
          <w:spacing w:val="-99"/>
        </w:rPr>
        <w:t> </w:t>
      </w:r>
      <w:r>
        <w:rPr>
          <w:spacing w:val="-99"/>
        </w:rPr>
      </w:r>
      <w:r>
        <w:rPr>
          <w:spacing w:val="-2"/>
        </w:rPr>
        <w:t>政府补助在满足政府补助所附条件并能够收到时确认。</w:t>
      </w:r>
    </w:p>
    <w:p>
      <w:pPr>
        <w:pStyle w:val="BodyText"/>
        <w:spacing w:line="274" w:lineRule="exact" w:before="22"/>
        <w:ind w:left="138" w:right="137" w:firstLine="419"/>
        <w:jc w:val="both"/>
      </w:pPr>
      <w:r>
        <w:rPr>
          <w:spacing w:val="-2"/>
        </w:rPr>
        <w:t>对于货币性资产的政府补助，按照收到或应收的金额计量。对于非货币性资产的政府补助，</w:t>
      </w:r>
      <w:r>
        <w:rPr>
          <w:w w:val="100"/>
        </w:rPr>
        <w:t> </w:t>
      </w:r>
      <w:r>
        <w:rPr/>
        <w:t>按照公允价值计量；公允价值不能够可靠取得的，按照名义金额</w:t>
      </w:r>
      <w:r>
        <w:rPr>
          <w:spacing w:val="-53"/>
        </w:rPr>
        <w:t> </w:t>
      </w:r>
      <w:r>
        <w:rPr>
          <w:rFonts w:ascii="宋体" w:hAnsi="宋体" w:cs="宋体" w:eastAsia="宋体" w:hint="default"/>
        </w:rPr>
        <w:t>1</w:t>
      </w:r>
      <w:r>
        <w:rPr>
          <w:rFonts w:ascii="宋体" w:hAnsi="宋体" w:cs="宋体" w:eastAsia="宋体" w:hint="default"/>
          <w:spacing w:val="-55"/>
        </w:rPr>
        <w:t> </w:t>
      </w:r>
      <w:r>
        <w:rPr/>
        <w:t>元计量。</w:t>
      </w:r>
    </w:p>
    <w:p>
      <w:pPr>
        <w:pStyle w:val="BodyText"/>
        <w:spacing w:line="245" w:lineRule="exact"/>
        <w:ind w:left="558" w:right="0"/>
        <w:jc w:val="left"/>
      </w:pPr>
      <w:r>
        <w:rPr/>
        <w:t>与资产相关的政府补助，是指本公司取得的、用于购建或以其他方式形成长期资产的政府补</w:t>
      </w:r>
    </w:p>
    <w:p>
      <w:pPr>
        <w:pStyle w:val="BodyText"/>
        <w:spacing w:line="272" w:lineRule="exact" w:before="27"/>
        <w:ind w:left="558" w:right="0" w:hanging="420"/>
        <w:jc w:val="left"/>
      </w:pPr>
      <w:r>
        <w:rPr/>
        <w:t>助；除此之外，作为与收益相关的政府补助。</w:t>
      </w:r>
      <w:r>
        <w:rPr>
          <w:w w:val="100"/>
        </w:rPr>
        <w:t> </w:t>
      </w:r>
      <w:r>
        <w:rPr>
          <w:spacing w:val="-2"/>
        </w:rPr>
        <w:t>对于政府文件未明确规定补助对象的，能够形成长期资产的，与资产价值相对应的政府补助</w:t>
      </w:r>
    </w:p>
    <w:p>
      <w:pPr>
        <w:pStyle w:val="BodyText"/>
        <w:spacing w:line="272" w:lineRule="exact" w:before="1"/>
        <w:ind w:left="138" w:right="0"/>
        <w:jc w:val="left"/>
      </w:pPr>
      <w:r>
        <w:rPr>
          <w:spacing w:val="-2"/>
        </w:rPr>
        <w:t>部分作为与资产相关的政府补助，其余部分作为与收益相关的政府补助；难以区分的，将政府补</w:t>
      </w:r>
      <w:r>
        <w:rPr>
          <w:spacing w:val="-25"/>
        </w:rPr>
        <w:t> </w:t>
      </w:r>
      <w:r>
        <w:rPr>
          <w:spacing w:val="-25"/>
        </w:rPr>
      </w:r>
      <w:r>
        <w:rPr/>
        <w:t>助整体作为与收益相关的政府补助。</w:t>
      </w:r>
    </w:p>
    <w:p>
      <w:pPr>
        <w:pStyle w:val="BodyText"/>
        <w:spacing w:line="272" w:lineRule="exact" w:before="1"/>
        <w:ind w:left="138" w:right="137" w:firstLine="419"/>
        <w:jc w:val="both"/>
      </w:pPr>
      <w:r>
        <w:rPr>
          <w:spacing w:val="-2"/>
        </w:rPr>
        <w:t>与资产相关的政府补助，冲减相关资产的账面价值，或者确认为递延收益在相关资产使用期</w:t>
      </w:r>
      <w:r>
        <w:rPr>
          <w:w w:val="100"/>
        </w:rPr>
        <w:t> </w:t>
      </w:r>
      <w:r>
        <w:rPr/>
        <w:t>限内按照合理、系统的方法分期计入损益。</w:t>
      </w:r>
    </w:p>
    <w:p>
      <w:pPr>
        <w:spacing w:line="240" w:lineRule="auto" w:before="4"/>
        <w:rPr>
          <w:rFonts w:ascii="宋体" w:hAnsi="宋体" w:cs="宋体" w:eastAsia="宋体" w:hint="default"/>
          <w:sz w:val="23"/>
          <w:szCs w:val="23"/>
        </w:rPr>
      </w:pPr>
    </w:p>
    <w:p>
      <w:pPr>
        <w:pStyle w:val="Heading3"/>
        <w:spacing w:line="240" w:lineRule="auto"/>
        <w:ind w:left="138" w:right="0"/>
        <w:jc w:val="left"/>
        <w:rPr>
          <w:b w:val="0"/>
          <w:bCs w:val="0"/>
        </w:rPr>
      </w:pPr>
      <w:r>
        <w:rPr>
          <w:rFonts w:ascii="宋体" w:hAnsi="宋体" w:cs="宋体" w:eastAsia="宋体" w:hint="default"/>
        </w:rPr>
        <w:t>(2)</w:t>
      </w:r>
      <w:r>
        <w:rPr/>
        <w:t>、与收益相关的政府补助判断依据及会计处理方法</w:t>
      </w:r>
      <w:r>
        <w:rPr>
          <w:b w:val="0"/>
          <w:bCs w:val="0"/>
        </w:rPr>
      </w:r>
    </w:p>
    <w:p>
      <w:pPr>
        <w:pStyle w:val="BodyText"/>
        <w:tabs>
          <w:tab w:pos="980" w:val="left" w:leader="none"/>
        </w:tabs>
        <w:spacing w:line="240" w:lineRule="auto" w:before="56"/>
        <w:ind w:left="558" w:right="137" w:hanging="420"/>
        <w:jc w:val="left"/>
      </w:pPr>
      <w:r>
        <w:rPr>
          <w:spacing w:val="-1"/>
        </w:rPr>
        <w:t>√适用</w:t>
        <w:tab/>
      </w:r>
      <w:r>
        <w:rPr>
          <w:spacing w:val="-2"/>
        </w:rPr>
        <w:t>□不适用</w:t>
      </w:r>
      <w:r>
        <w:rPr>
          <w:spacing w:val="-99"/>
        </w:rPr>
        <w:t> </w:t>
      </w:r>
      <w:r>
        <w:rPr>
          <w:spacing w:val="-99"/>
        </w:rPr>
      </w:r>
      <w:r>
        <w:rPr>
          <w:spacing w:val="-2"/>
        </w:rPr>
        <w:t>与收益相关的政府补助，用于补偿已发生的相关成本费用或损失的，计入当期损益或冲减相</w:t>
      </w:r>
    </w:p>
    <w:p>
      <w:pPr>
        <w:pStyle w:val="BodyText"/>
        <w:spacing w:line="237" w:lineRule="auto"/>
        <w:ind w:left="138" w:right="137"/>
        <w:jc w:val="both"/>
      </w:pPr>
      <w:r>
        <w:rPr>
          <w:spacing w:val="-2"/>
        </w:rPr>
        <w:t>关成本；用于补偿以后期间的相关成本费用或损失的，则计入递延收益，于相关成本费用或损失</w:t>
      </w:r>
      <w:r>
        <w:rPr>
          <w:spacing w:val="-25"/>
        </w:rPr>
        <w:t> </w:t>
      </w:r>
      <w:r>
        <w:rPr>
          <w:spacing w:val="-25"/>
        </w:rPr>
      </w:r>
      <w:r>
        <w:rPr>
          <w:spacing w:val="-2"/>
        </w:rPr>
        <w:t>确认期间计入当期损益或冲减相关成本。按照名义金额计量的政府补助，直接计入当期损益。本</w:t>
      </w:r>
      <w:r>
        <w:rPr>
          <w:spacing w:val="-25"/>
        </w:rPr>
        <w:t> </w:t>
      </w:r>
      <w:r>
        <w:rPr>
          <w:spacing w:val="-25"/>
        </w:rPr>
      </w:r>
      <w:r>
        <w:rPr/>
        <w:t>公司对相同或类似的政府补助业务，采用一致的方法处理。</w:t>
      </w:r>
    </w:p>
    <w:p>
      <w:pPr>
        <w:pStyle w:val="BodyText"/>
        <w:spacing w:line="272" w:lineRule="exact" w:before="26"/>
        <w:ind w:left="138" w:right="137" w:firstLine="419"/>
        <w:jc w:val="both"/>
      </w:pPr>
      <w:r>
        <w:rPr>
          <w:spacing w:val="-2"/>
        </w:rPr>
        <w:t>与日常活动相关的政府补助，按照经济业务实质，计入其他收益或冲减相关成本费用。与日</w:t>
      </w:r>
      <w:r>
        <w:rPr>
          <w:w w:val="100"/>
        </w:rPr>
        <w:t> </w:t>
      </w:r>
      <w:r>
        <w:rPr/>
        <w:t>常活动无关的政府补助，计入营业外收支。</w:t>
      </w:r>
    </w:p>
    <w:p>
      <w:pPr>
        <w:spacing w:after="0" w:line="272" w:lineRule="exact"/>
        <w:jc w:val="both"/>
        <w:sectPr>
          <w:pgSz w:w="11910" w:h="16840"/>
          <w:pgMar w:header="857" w:footer="1195" w:top="1320" w:bottom="1380" w:left="1660" w:right="1140"/>
        </w:sectPr>
      </w:pPr>
    </w:p>
    <w:p>
      <w:pPr>
        <w:spacing w:line="240" w:lineRule="auto" w:before="4"/>
        <w:rPr>
          <w:rFonts w:ascii="宋体" w:hAnsi="宋体" w:cs="宋体" w:eastAsia="宋体" w:hint="default"/>
          <w:sz w:val="9"/>
          <w:szCs w:val="9"/>
        </w:rPr>
      </w:pPr>
    </w:p>
    <w:p>
      <w:pPr>
        <w:pStyle w:val="Heading3"/>
        <w:spacing w:line="240" w:lineRule="auto" w:before="36"/>
        <w:ind w:right="2757"/>
        <w:jc w:val="left"/>
        <w:rPr>
          <w:b w:val="0"/>
          <w:bCs w:val="0"/>
        </w:rPr>
      </w:pPr>
      <w:r>
        <w:rPr>
          <w:rFonts w:ascii="宋体" w:hAnsi="宋体" w:cs="宋体" w:eastAsia="宋体" w:hint="default"/>
        </w:rPr>
        <w:t>30.</w:t>
      </w:r>
      <w:r>
        <w:rPr>
          <w:rFonts w:ascii="宋体" w:hAnsi="宋体" w:cs="宋体" w:eastAsia="宋体" w:hint="default"/>
          <w:spacing w:val="2"/>
        </w:rPr>
        <w:t> </w:t>
      </w:r>
      <w:r>
        <w:rPr/>
        <w:t>递延所得税资产</w:t>
      </w:r>
      <w:r>
        <w:rPr>
          <w:rFonts w:ascii="Calibri" w:hAnsi="Calibri" w:cs="Calibri" w:eastAsia="Calibri" w:hint="default"/>
        </w:rPr>
        <w:t>/</w:t>
      </w:r>
      <w:r>
        <w:rPr/>
        <w:t>递延所得税负债</w:t>
      </w:r>
      <w:r>
        <w:rPr>
          <w:b w:val="0"/>
          <w:bCs w:val="0"/>
        </w:rPr>
      </w:r>
    </w:p>
    <w:p>
      <w:pPr>
        <w:pStyle w:val="BodyText"/>
        <w:tabs>
          <w:tab w:pos="1060" w:val="left" w:leader="none"/>
        </w:tabs>
        <w:spacing w:line="272" w:lineRule="exact" w:before="59"/>
        <w:ind w:left="638" w:right="237" w:hanging="420"/>
        <w:jc w:val="left"/>
      </w:pPr>
      <w:r>
        <w:rPr>
          <w:spacing w:val="-1"/>
        </w:rPr>
        <w:t>√适用</w:t>
        <w:tab/>
      </w:r>
      <w:r>
        <w:rPr>
          <w:spacing w:val="-2"/>
        </w:rPr>
        <w:t>□不适用</w:t>
      </w:r>
      <w:r>
        <w:rPr>
          <w:spacing w:val="-99"/>
        </w:rPr>
        <w:t> </w:t>
      </w:r>
      <w:r>
        <w:rPr>
          <w:spacing w:val="-99"/>
        </w:rPr>
      </w:r>
      <w:r>
        <w:rPr>
          <w:spacing w:val="-2"/>
        </w:rPr>
        <w:t>所得税包括当期所得税和递延所得税。除由于企业合并产生的调整商誉，或与直接计入所有</w:t>
      </w:r>
    </w:p>
    <w:p>
      <w:pPr>
        <w:pStyle w:val="BodyText"/>
        <w:spacing w:line="272" w:lineRule="exact" w:before="1"/>
        <w:ind w:left="638" w:right="0" w:hanging="420"/>
        <w:jc w:val="left"/>
      </w:pPr>
      <w:r>
        <w:rPr>
          <w:spacing w:val="-2"/>
        </w:rPr>
        <w:t>者权益的交易或者事项相关的递延所得税计入所有者权益外，均作为所得税费用计入当期损益。</w:t>
      </w:r>
      <w:r>
        <w:rPr>
          <w:spacing w:val="-25"/>
        </w:rPr>
        <w:t> </w:t>
      </w:r>
      <w:r>
        <w:rPr>
          <w:spacing w:val="-25"/>
        </w:rPr>
      </w:r>
      <w:r>
        <w:rPr>
          <w:spacing w:val="-2"/>
        </w:rPr>
        <w:t>本公司根据资产、负债于资产负债表日的账面价值与计税基础之间的暂时性差异，采用资产</w:t>
      </w:r>
    </w:p>
    <w:p>
      <w:pPr>
        <w:pStyle w:val="BodyText"/>
        <w:spacing w:line="272" w:lineRule="exact" w:before="1"/>
        <w:ind w:left="638" w:right="2757" w:hanging="420"/>
        <w:jc w:val="left"/>
      </w:pPr>
      <w:r>
        <w:rPr/>
        <w:t>负债表债务法确认递延所得税。</w:t>
      </w:r>
      <w:r>
        <w:rPr>
          <w:w w:val="100"/>
        </w:rPr>
        <w:t> </w:t>
      </w:r>
      <w:r>
        <w:rPr>
          <w:spacing w:val="-2"/>
        </w:rPr>
        <w:t>各项应纳税暂时性差异均确认相关的递延所得税负债。</w:t>
      </w:r>
    </w:p>
    <w:p>
      <w:pPr>
        <w:pStyle w:val="BodyText"/>
        <w:spacing w:line="272" w:lineRule="exact" w:before="1"/>
        <w:ind w:right="0" w:firstLine="419"/>
        <w:jc w:val="left"/>
      </w:pPr>
      <w:r>
        <w:rPr>
          <w:spacing w:val="-2"/>
        </w:rPr>
        <w:t>对于可抵扣暂时性差异、能够结转以后年度的可抵扣亏损和税款抵减，本公司以很可能取得</w:t>
      </w:r>
      <w:r>
        <w:rPr>
          <w:w w:val="100"/>
        </w:rPr>
        <w:t> </w:t>
      </w:r>
      <w:r>
        <w:rPr>
          <w:spacing w:val="-2"/>
        </w:rPr>
        <w:t>用来抵扣可抵扣暂时性差异、可抵扣亏损和税款抵减的未来应纳税所得额为限，确认由此产生的</w:t>
      </w:r>
    </w:p>
    <w:p>
      <w:pPr>
        <w:pStyle w:val="BodyText"/>
        <w:spacing w:line="272" w:lineRule="exact" w:before="1"/>
        <w:ind w:left="638" w:right="0" w:hanging="420"/>
        <w:jc w:val="left"/>
      </w:pPr>
      <w:r>
        <w:rPr/>
        <w:t>递延所得税资产。</w:t>
      </w:r>
      <w:r>
        <w:rPr>
          <w:w w:val="100"/>
        </w:rPr>
        <w:t> </w:t>
      </w:r>
      <w:r>
        <w:rPr>
          <w:spacing w:val="-2"/>
        </w:rPr>
        <w:t>于资产负债表日，本公司对递延所得税资产和递延所得税负债，按照预期收回该资产或清偿</w:t>
      </w:r>
    </w:p>
    <w:p>
      <w:pPr>
        <w:pStyle w:val="BodyText"/>
        <w:spacing w:line="272" w:lineRule="exact" w:before="1"/>
        <w:ind w:left="0" w:right="237"/>
        <w:jc w:val="right"/>
      </w:pPr>
      <w:r>
        <w:rPr>
          <w:spacing w:val="-2"/>
        </w:rPr>
        <w:t>该负债期间的适用税率计量，并反映资产负债表日预期收回资产或清偿负债方式的所得税影响。</w:t>
      </w:r>
      <w:r>
        <w:rPr>
          <w:spacing w:val="-43"/>
        </w:rPr>
        <w:t> </w:t>
      </w:r>
      <w:r>
        <w:rPr>
          <w:spacing w:val="-43"/>
        </w:rPr>
      </w:r>
      <w:r>
        <w:rPr>
          <w:spacing w:val="-2"/>
        </w:rPr>
        <w:t>于资产负债表日，本公司对递延所得税资产的账面价值进行复核。如果未来期间很可能无法</w:t>
      </w:r>
    </w:p>
    <w:p>
      <w:pPr>
        <w:pStyle w:val="BodyText"/>
        <w:spacing w:line="272" w:lineRule="exact" w:before="1"/>
        <w:ind w:right="0"/>
        <w:jc w:val="left"/>
      </w:pPr>
      <w:r>
        <w:rPr>
          <w:spacing w:val="-2"/>
        </w:rPr>
        <w:t>获得足够的应纳税所得额用以抵扣递延所得税资产的利益，减记递延所得税资产的账面价值。在</w:t>
      </w:r>
      <w:r>
        <w:rPr>
          <w:spacing w:val="-25"/>
        </w:rPr>
        <w:t> </w:t>
      </w:r>
      <w:r>
        <w:rPr>
          <w:spacing w:val="-25"/>
        </w:rPr>
      </w:r>
      <w:r>
        <w:rPr/>
        <w:t>很可能获得足够的应纳税所得额时，减记的金额予以转回。</w:t>
      </w:r>
    </w:p>
    <w:p>
      <w:pPr>
        <w:spacing w:line="240" w:lineRule="auto" w:before="4"/>
        <w:rPr>
          <w:rFonts w:ascii="宋体" w:hAnsi="宋体" w:cs="宋体" w:eastAsia="宋体" w:hint="default"/>
          <w:sz w:val="23"/>
          <w:szCs w:val="23"/>
        </w:rPr>
      </w:pPr>
    </w:p>
    <w:p>
      <w:pPr>
        <w:pStyle w:val="Heading3"/>
        <w:spacing w:line="290" w:lineRule="auto"/>
        <w:ind w:right="6201"/>
        <w:jc w:val="left"/>
        <w:rPr>
          <w:b w:val="0"/>
          <w:bCs w:val="0"/>
        </w:rPr>
      </w:pPr>
      <w:r>
        <w:rPr>
          <w:rFonts w:ascii="宋体" w:hAnsi="宋体" w:cs="宋体" w:eastAsia="宋体" w:hint="default"/>
        </w:rPr>
        <w:t>31.</w:t>
      </w:r>
      <w:r>
        <w:rPr>
          <w:rFonts w:ascii="宋体" w:hAnsi="宋体" w:cs="宋体" w:eastAsia="宋体" w:hint="default"/>
          <w:spacing w:val="2"/>
        </w:rPr>
        <w:t> </w:t>
      </w:r>
      <w:r>
        <w:rPr/>
        <w:t>租赁</w:t>
      </w:r>
      <w:r>
        <w:rPr>
          <w:w w:val="100"/>
        </w:rPr>
        <w:t> </w:t>
      </w:r>
      <w:r>
        <w:rPr>
          <w:rFonts w:ascii="宋体" w:hAnsi="宋体" w:cs="宋体" w:eastAsia="宋体" w:hint="default"/>
        </w:rPr>
        <w:t>(1)</w:t>
      </w:r>
      <w:r>
        <w:rPr/>
        <w:t>、经营租赁的会计处理方法</w:t>
      </w:r>
      <w:r>
        <w:rPr>
          <w:b w:val="0"/>
          <w:bCs w:val="0"/>
        </w:rPr>
      </w:r>
    </w:p>
    <w:p>
      <w:pPr>
        <w:pStyle w:val="BodyText"/>
        <w:tabs>
          <w:tab w:pos="1060" w:val="left" w:leader="none"/>
        </w:tabs>
        <w:spacing w:line="272" w:lineRule="exact" w:before="40"/>
        <w:ind w:left="638" w:right="237" w:hanging="420"/>
        <w:jc w:val="left"/>
      </w:pPr>
      <w:r>
        <w:rPr>
          <w:spacing w:val="-1"/>
        </w:rPr>
        <w:t>√适用</w:t>
        <w:tab/>
      </w:r>
      <w:r>
        <w:rPr>
          <w:spacing w:val="-2"/>
        </w:rPr>
        <w:t>□不适用</w:t>
      </w:r>
      <w:r>
        <w:rPr>
          <w:spacing w:val="-99"/>
        </w:rPr>
        <w:t> </w:t>
      </w:r>
      <w:r>
        <w:rPr>
          <w:spacing w:val="-99"/>
        </w:rPr>
      </w:r>
      <w:r>
        <w:rPr>
          <w:spacing w:val="-2"/>
        </w:rPr>
        <w:t>本公司将实质上转移了与资产所有权有关的全部风险和报酬的租赁确认为融资租赁，除融资</w:t>
      </w:r>
    </w:p>
    <w:p>
      <w:pPr>
        <w:pStyle w:val="BodyText"/>
        <w:spacing w:line="247" w:lineRule="exact"/>
        <w:ind w:right="0"/>
        <w:jc w:val="left"/>
      </w:pPr>
      <w:r>
        <w:rPr/>
        <w:t>租赁之外的其他租赁确认为经营租赁。本公司报告期内的租赁均为经营租赁。</w:t>
      </w:r>
    </w:p>
    <w:p>
      <w:pPr>
        <w:pStyle w:val="BodyText"/>
        <w:spacing w:line="240" w:lineRule="auto"/>
        <w:ind w:left="638" w:right="0"/>
        <w:jc w:val="left"/>
      </w:pPr>
      <w:r>
        <w:rPr/>
        <w:t>（</w:t>
      </w:r>
      <w:r>
        <w:rPr>
          <w:rFonts w:ascii="宋体" w:hAnsi="宋体" w:cs="宋体" w:eastAsia="宋体" w:hint="default"/>
        </w:rPr>
        <w:t>1</w:t>
      </w:r>
      <w:r>
        <w:rPr/>
        <w:t>）本公司作为出租人</w:t>
      </w:r>
      <w:r>
        <w:rPr>
          <w:w w:val="100"/>
        </w:rPr>
        <w:t> </w:t>
      </w:r>
      <w:r>
        <w:rPr>
          <w:spacing w:val="-2"/>
        </w:rPr>
        <w:t>经营租赁中的租金，本公司在租赁期内各个期间按照直线法确认当期损益。发生的初始直接</w:t>
      </w:r>
    </w:p>
    <w:p>
      <w:pPr>
        <w:pStyle w:val="BodyText"/>
        <w:spacing w:line="271" w:lineRule="exact"/>
        <w:ind w:right="2757"/>
        <w:jc w:val="left"/>
      </w:pPr>
      <w:r>
        <w:rPr/>
        <w:t>费用，计入当期损益。</w:t>
      </w:r>
    </w:p>
    <w:p>
      <w:pPr>
        <w:pStyle w:val="BodyText"/>
        <w:spacing w:line="272" w:lineRule="exact" w:before="27"/>
        <w:ind w:left="638" w:right="0"/>
        <w:jc w:val="left"/>
      </w:pPr>
      <w:r>
        <w:rPr/>
        <w:t>（</w:t>
      </w:r>
      <w:r>
        <w:rPr>
          <w:rFonts w:ascii="宋体" w:hAnsi="宋体" w:cs="宋体" w:eastAsia="宋体" w:hint="default"/>
        </w:rPr>
        <w:t>2</w:t>
      </w:r>
      <w:r>
        <w:rPr/>
        <w:t>）本公司作为承租人</w:t>
      </w:r>
      <w:r>
        <w:rPr>
          <w:w w:val="100"/>
        </w:rPr>
        <w:t> </w:t>
      </w:r>
      <w:r>
        <w:rPr>
          <w:spacing w:val="-2"/>
        </w:rPr>
        <w:t>经营租赁中的租金，本公司在租赁期内各个期间按照直线法计入相关资产成本或当期损益；</w:t>
      </w:r>
    </w:p>
    <w:p>
      <w:pPr>
        <w:pStyle w:val="BodyText"/>
        <w:spacing w:line="249" w:lineRule="exact"/>
        <w:ind w:right="2757"/>
        <w:jc w:val="left"/>
      </w:pPr>
      <w:r>
        <w:rPr/>
        <w:t>发生的初始直接费用，计入当期损益。</w:t>
      </w:r>
    </w:p>
    <w:p>
      <w:pPr>
        <w:spacing w:line="240" w:lineRule="auto" w:before="3"/>
        <w:rPr>
          <w:rFonts w:ascii="宋体" w:hAnsi="宋体" w:cs="宋体" w:eastAsia="宋体" w:hint="default"/>
          <w:sz w:val="25"/>
          <w:szCs w:val="25"/>
        </w:rPr>
      </w:pPr>
    </w:p>
    <w:p>
      <w:pPr>
        <w:pStyle w:val="Heading3"/>
        <w:spacing w:line="240" w:lineRule="auto"/>
        <w:ind w:right="2757"/>
        <w:jc w:val="left"/>
        <w:rPr>
          <w:b w:val="0"/>
          <w:bCs w:val="0"/>
        </w:rPr>
      </w:pPr>
      <w:r>
        <w:rPr>
          <w:rFonts w:ascii="宋体" w:hAnsi="宋体" w:cs="宋体" w:eastAsia="宋体" w:hint="default"/>
        </w:rPr>
        <w:t>(2)</w:t>
      </w:r>
      <w:r>
        <w:rPr/>
        <w:t>、融资租赁的会计处理方法</w:t>
      </w:r>
      <w:r>
        <w:rPr>
          <w:b w:val="0"/>
          <w:bCs w:val="0"/>
        </w:rPr>
      </w:r>
    </w:p>
    <w:p>
      <w:pPr>
        <w:pStyle w:val="BodyText"/>
        <w:tabs>
          <w:tab w:pos="1060" w:val="left" w:leader="none"/>
        </w:tabs>
        <w:spacing w:line="240" w:lineRule="auto" w:before="56"/>
        <w:ind w:right="2757"/>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3"/>
        <w:spacing w:line="240" w:lineRule="auto"/>
        <w:ind w:right="2757"/>
        <w:jc w:val="left"/>
        <w:rPr>
          <w:b w:val="0"/>
          <w:bCs w:val="0"/>
        </w:rPr>
      </w:pPr>
      <w:r>
        <w:rPr>
          <w:rFonts w:ascii="宋体" w:hAnsi="宋体" w:cs="宋体" w:eastAsia="宋体" w:hint="default"/>
        </w:rPr>
        <w:t>32. </w:t>
      </w:r>
      <w:r>
        <w:rPr/>
        <w:t>其他重要的会计政策和会计估计</w:t>
      </w:r>
      <w:r>
        <w:rPr>
          <w:b w:val="0"/>
          <w:bCs w:val="0"/>
        </w:rPr>
      </w:r>
    </w:p>
    <w:p>
      <w:pPr>
        <w:pStyle w:val="BodyText"/>
        <w:tabs>
          <w:tab w:pos="1060" w:val="left" w:leader="none"/>
        </w:tabs>
        <w:spacing w:line="240" w:lineRule="auto" w:before="58"/>
        <w:ind w:right="2757"/>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3"/>
        <w:spacing w:line="290" w:lineRule="auto"/>
        <w:ind w:right="5673"/>
        <w:jc w:val="left"/>
        <w:rPr>
          <w:b w:val="0"/>
          <w:bCs w:val="0"/>
        </w:rPr>
      </w:pPr>
      <w:r>
        <w:rPr>
          <w:rFonts w:ascii="宋体" w:hAnsi="宋体" w:cs="宋体" w:eastAsia="宋体" w:hint="default"/>
        </w:rPr>
        <w:t>33. </w:t>
      </w:r>
      <w:r>
        <w:rPr/>
        <w:t>重要会计政策和会计估计的变更</w:t>
      </w:r>
      <w:r>
        <w:rPr>
          <w:w w:val="100"/>
        </w:rPr>
        <w:t> </w:t>
      </w:r>
      <w:r>
        <w:rPr>
          <w:rFonts w:ascii="宋体" w:hAnsi="宋体" w:cs="宋体" w:eastAsia="宋体" w:hint="default"/>
        </w:rPr>
        <w:t>(1)</w:t>
      </w:r>
      <w:r>
        <w:rPr/>
        <w:t>、重要会计政策变更</w:t>
      </w:r>
      <w:r>
        <w:rPr>
          <w:b w:val="0"/>
          <w:bCs w:val="0"/>
        </w:rPr>
      </w:r>
    </w:p>
    <w:p>
      <w:pPr>
        <w:pStyle w:val="BodyText"/>
        <w:spacing w:line="240" w:lineRule="auto" w:before="14"/>
        <w:ind w:right="2757"/>
        <w:jc w:val="left"/>
      </w:pPr>
      <w:r>
        <w:rPr/>
        <w:t>√适用</w:t>
      </w:r>
      <w:r>
        <w:rPr>
          <w:spacing w:val="-1"/>
        </w:rPr>
        <w:t> </w:t>
      </w:r>
      <w:r>
        <w:rPr/>
        <w:t>□不适用</w:t>
      </w:r>
    </w:p>
    <w:p>
      <w:pPr>
        <w:spacing w:line="240" w:lineRule="auto" w:before="3"/>
        <w:rPr>
          <w:rFonts w:ascii="宋体" w:hAnsi="宋体" w:cs="宋体" w:eastAsia="宋体" w:hint="default"/>
          <w:sz w:val="23"/>
          <w:szCs w:val="23"/>
        </w:rPr>
      </w:pPr>
    </w:p>
    <w:tbl>
      <w:tblPr>
        <w:tblW w:w="0" w:type="auto"/>
        <w:jc w:val="left"/>
        <w:tblInd w:w="105" w:type="dxa"/>
        <w:tblLayout w:type="fixed"/>
        <w:tblCellMar>
          <w:top w:w="0" w:type="dxa"/>
          <w:left w:w="0" w:type="dxa"/>
          <w:bottom w:w="0" w:type="dxa"/>
          <w:right w:w="0" w:type="dxa"/>
        </w:tblCellMar>
        <w:tblLook w:val="01E0"/>
      </w:tblPr>
      <w:tblGrid>
        <w:gridCol w:w="2957"/>
        <w:gridCol w:w="3053"/>
        <w:gridCol w:w="3039"/>
      </w:tblGrid>
      <w:tr>
        <w:trPr>
          <w:trHeight w:val="554"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1" w:right="0"/>
              <w:jc w:val="left"/>
              <w:rPr>
                <w:rFonts w:ascii="宋体" w:hAnsi="宋体" w:cs="宋体" w:eastAsia="宋体" w:hint="default"/>
                <w:sz w:val="21"/>
                <w:szCs w:val="21"/>
              </w:rPr>
            </w:pPr>
            <w:r>
              <w:rPr>
                <w:rFonts w:ascii="宋体" w:hAnsi="宋体" w:cs="宋体" w:eastAsia="宋体" w:hint="default"/>
                <w:sz w:val="21"/>
                <w:szCs w:val="21"/>
              </w:rPr>
              <w:t>会计政策变更的内容和原因</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审批程序</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备注</w:t>
            </w:r>
            <w:r>
              <w:rPr>
                <w:rFonts w:ascii="宋体" w:hAnsi="宋体" w:cs="宋体" w:eastAsia="宋体" w:hint="default"/>
                <w:sz w:val="21"/>
                <w:szCs w:val="21"/>
              </w:rPr>
              <w:t>(</w:t>
            </w:r>
            <w:r>
              <w:rPr>
                <w:rFonts w:ascii="宋体" w:hAnsi="宋体" w:cs="宋体" w:eastAsia="宋体" w:hint="default"/>
                <w:sz w:val="21"/>
                <w:szCs w:val="21"/>
              </w:rPr>
              <w:t>受重要影响的报表项目</w:t>
            </w:r>
          </w:p>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sz w:val="21"/>
                <w:szCs w:val="21"/>
              </w:rPr>
              <w:t>名称和金额</w:t>
            </w:r>
            <w:r>
              <w:rPr>
                <w:rFonts w:ascii="宋体" w:hAnsi="宋体" w:cs="宋体" w:eastAsia="宋体" w:hint="default"/>
                <w:sz w:val="21"/>
                <w:szCs w:val="21"/>
              </w:rPr>
              <w:t>)</w:t>
            </w:r>
          </w:p>
        </w:tc>
      </w:tr>
      <w:tr>
        <w:trPr>
          <w:trHeight w:val="2189"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根据《企业会计准则第</w:t>
            </w:r>
            <w:r>
              <w:rPr>
                <w:rFonts w:ascii="宋体" w:hAnsi="宋体" w:cs="宋体" w:eastAsia="宋体" w:hint="default"/>
                <w:spacing w:val="-53"/>
                <w:sz w:val="21"/>
                <w:szCs w:val="21"/>
              </w:rPr>
              <w:t> </w:t>
            </w:r>
            <w:r>
              <w:rPr>
                <w:rFonts w:ascii="宋体" w:hAnsi="宋体" w:cs="宋体" w:eastAsia="宋体" w:hint="default"/>
                <w:sz w:val="21"/>
                <w:szCs w:val="21"/>
              </w:rPr>
              <w:t>16</w:t>
            </w:r>
            <w:r>
              <w:rPr>
                <w:rFonts w:ascii="宋体" w:hAnsi="宋体" w:cs="宋体" w:eastAsia="宋体" w:hint="default"/>
                <w:spacing w:val="-56"/>
                <w:sz w:val="21"/>
                <w:szCs w:val="21"/>
              </w:rPr>
              <w:t> </w:t>
            </w:r>
            <w:r>
              <w:rPr>
                <w:rFonts w:ascii="宋体" w:hAnsi="宋体" w:cs="宋体" w:eastAsia="宋体" w:hint="default"/>
                <w:sz w:val="21"/>
                <w:szCs w:val="21"/>
              </w:rPr>
              <w:t>号</w:t>
            </w:r>
          </w:p>
          <w:p>
            <w:pPr>
              <w:pStyle w:val="TableParagraph"/>
              <w:spacing w:line="237" w:lineRule="auto"/>
              <w:ind w:left="103" w:right="108"/>
              <w:jc w:val="both"/>
              <w:rPr>
                <w:rFonts w:ascii="宋体" w:hAnsi="宋体" w:cs="宋体" w:eastAsia="宋体" w:hint="default"/>
                <w:sz w:val="21"/>
                <w:szCs w:val="21"/>
              </w:rPr>
            </w:pPr>
            <w:r>
              <w:rPr>
                <w:rFonts w:ascii="宋体" w:hAnsi="宋体" w:cs="宋体" w:eastAsia="宋体" w:hint="default"/>
                <w:spacing w:val="-2"/>
                <w:sz w:val="21"/>
                <w:szCs w:val="21"/>
              </w:rPr>
              <w:t>——政府补助》（</w:t>
            </w:r>
            <w:r>
              <w:rPr>
                <w:rFonts w:ascii="宋体" w:hAnsi="宋体" w:cs="宋体" w:eastAsia="宋体" w:hint="default"/>
                <w:spacing w:val="-2"/>
                <w:sz w:val="21"/>
                <w:szCs w:val="21"/>
              </w:rPr>
              <w:t>2017</w:t>
            </w:r>
            <w:r>
              <w:rPr>
                <w:rFonts w:ascii="宋体" w:hAnsi="宋体" w:cs="宋体" w:eastAsia="宋体" w:hint="default"/>
                <w:spacing w:val="-2"/>
                <w:sz w:val="21"/>
                <w:szCs w:val="21"/>
              </w:rPr>
              <w:t>），政</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2"/>
                <w:sz w:val="21"/>
                <w:szCs w:val="21"/>
              </w:rPr>
              <w:t>府补助的会计处理方法从总额</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法改为允许采用净额法，将与</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资产相关的政府补助相关递延</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收益的摊销方式从在相关资产</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使用寿命内平均分配改为按照</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合理、系统的方法分配，并修</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第七届董事会第三次会议</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① 其他收益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②</w:t>
            </w:r>
            <w:r>
              <w:rPr>
                <w:rFonts w:ascii="宋体" w:hAnsi="宋体" w:cs="宋体" w:eastAsia="宋体" w:hint="default"/>
                <w:spacing w:val="1"/>
                <w:sz w:val="21"/>
                <w:szCs w:val="21"/>
              </w:rPr>
              <w:t> </w:t>
            </w:r>
            <w:r>
              <w:rPr>
                <w:rFonts w:ascii="宋体" w:hAnsi="宋体" w:cs="宋体" w:eastAsia="宋体" w:hint="default"/>
                <w:sz w:val="21"/>
                <w:szCs w:val="21"/>
              </w:rPr>
              <w:t>营业外收入</w:t>
            </w:r>
          </w:p>
        </w:tc>
      </w:tr>
    </w:tbl>
    <w:p>
      <w:pPr>
        <w:spacing w:after="0" w:line="273" w:lineRule="exact"/>
        <w:jc w:val="left"/>
        <w:rPr>
          <w:rFonts w:ascii="宋体" w:hAnsi="宋体" w:cs="宋体" w:eastAsia="宋体" w:hint="default"/>
          <w:sz w:val="21"/>
          <w:szCs w:val="21"/>
        </w:rPr>
        <w:sectPr>
          <w:pgSz w:w="11910" w:h="16840"/>
          <w:pgMar w:header="857" w:footer="1195" w:top="1320" w:bottom="1380" w:left="1580" w:right="1040"/>
        </w:sectPr>
      </w:pPr>
    </w:p>
    <w:p>
      <w:pPr>
        <w:spacing w:line="240" w:lineRule="auto" w:before="8"/>
        <w:rPr>
          <w:rFonts w:ascii="Times New Roman" w:hAnsi="Times New Roman" w:cs="Times New Roman" w:eastAsia="Times New Roman" w:hint="default"/>
          <w:sz w:val="16"/>
          <w:szCs w:val="16"/>
        </w:rPr>
      </w:pPr>
    </w:p>
    <w:tbl>
      <w:tblPr>
        <w:tblW w:w="0" w:type="auto"/>
        <w:jc w:val="left"/>
        <w:tblInd w:w="105" w:type="dxa"/>
        <w:tblLayout w:type="fixed"/>
        <w:tblCellMar>
          <w:top w:w="0" w:type="dxa"/>
          <w:left w:w="0" w:type="dxa"/>
          <w:bottom w:w="0" w:type="dxa"/>
          <w:right w:w="0" w:type="dxa"/>
        </w:tblCellMar>
        <w:tblLook w:val="01E0"/>
      </w:tblPr>
      <w:tblGrid>
        <w:gridCol w:w="2957"/>
        <w:gridCol w:w="3053"/>
        <w:gridCol w:w="3039"/>
      </w:tblGrid>
      <w:tr>
        <w:trPr>
          <w:trHeight w:val="1918"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改了政府补助的列报项目。</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1</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1</w:t>
            </w:r>
            <w:r>
              <w:rPr>
                <w:rFonts w:ascii="宋体" w:hAnsi="宋体" w:cs="宋体" w:eastAsia="宋体" w:hint="default"/>
                <w:spacing w:val="-61"/>
                <w:sz w:val="21"/>
                <w:szCs w:val="21"/>
              </w:rPr>
              <w:t> </w:t>
            </w:r>
            <w:r>
              <w:rPr>
                <w:rFonts w:ascii="宋体" w:hAnsi="宋体" w:cs="宋体" w:eastAsia="宋体" w:hint="default"/>
                <w:sz w:val="21"/>
                <w:szCs w:val="21"/>
              </w:rPr>
              <w:t>日尚未摊销完毕</w:t>
            </w:r>
          </w:p>
          <w:p>
            <w:pPr>
              <w:pStyle w:val="TableParagraph"/>
              <w:spacing w:line="237" w:lineRule="auto" w:before="2"/>
              <w:ind w:left="103" w:right="108"/>
              <w:jc w:val="left"/>
              <w:rPr>
                <w:rFonts w:ascii="宋体" w:hAnsi="宋体" w:cs="宋体" w:eastAsia="宋体" w:hint="default"/>
                <w:sz w:val="21"/>
                <w:szCs w:val="21"/>
              </w:rPr>
            </w:pPr>
            <w:r>
              <w:rPr>
                <w:rFonts w:ascii="宋体" w:hAnsi="宋体" w:cs="宋体" w:eastAsia="宋体" w:hint="default"/>
                <w:sz w:val="21"/>
                <w:szCs w:val="21"/>
              </w:rPr>
              <w:t>的政府补助和</w:t>
            </w:r>
            <w:r>
              <w:rPr>
                <w:rFonts w:ascii="宋体" w:hAnsi="宋体" w:cs="宋体" w:eastAsia="宋体" w:hint="default"/>
                <w:spacing w:val="-54"/>
                <w:sz w:val="21"/>
                <w:szCs w:val="21"/>
              </w:rPr>
              <w:t> </w:t>
            </w: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年取得的</w:t>
            </w:r>
            <w:r>
              <w:rPr>
                <w:rFonts w:ascii="宋体" w:hAnsi="宋体" w:cs="宋体" w:eastAsia="宋体" w:hint="default"/>
                <w:w w:val="100"/>
                <w:sz w:val="21"/>
                <w:szCs w:val="21"/>
              </w:rPr>
              <w:t> </w:t>
            </w:r>
            <w:r>
              <w:rPr>
                <w:rFonts w:ascii="宋体" w:hAnsi="宋体" w:cs="宋体" w:eastAsia="宋体" w:hint="default"/>
                <w:spacing w:val="-2"/>
                <w:sz w:val="21"/>
                <w:szCs w:val="21"/>
              </w:rPr>
              <w:t>政府补助适用修订后的准则。</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对新的披露要求不需提供比较</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信息，不对比较报表中其他收</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益的列报进行相应调整。</w:t>
            </w:r>
          </w:p>
        </w:tc>
        <w:tc>
          <w:tcPr>
            <w:tcW w:w="3053" w:type="dxa"/>
            <w:tcBorders>
              <w:top w:val="single" w:sz="4" w:space="0" w:color="000000"/>
              <w:left w:val="single" w:sz="4" w:space="0" w:color="000000"/>
              <w:bottom w:val="single" w:sz="4" w:space="0" w:color="000000"/>
              <w:right w:val="single" w:sz="4" w:space="0" w:color="000000"/>
            </w:tcBorders>
          </w:tcPr>
          <w:p>
            <w:pPr/>
          </w:p>
        </w:tc>
        <w:tc>
          <w:tcPr>
            <w:tcW w:w="3039" w:type="dxa"/>
            <w:tcBorders>
              <w:top w:val="single" w:sz="4" w:space="0" w:color="000000"/>
              <w:left w:val="single" w:sz="4" w:space="0" w:color="000000"/>
              <w:bottom w:val="single" w:sz="4" w:space="0" w:color="000000"/>
              <w:right w:val="single" w:sz="4" w:space="0" w:color="000000"/>
            </w:tcBorders>
          </w:tcPr>
          <w:p>
            <w:pPr/>
          </w:p>
        </w:tc>
      </w:tr>
      <w:tr>
        <w:trPr>
          <w:trHeight w:val="7635"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根据《关于修订印发一般企业</w:t>
            </w:r>
          </w:p>
          <w:p>
            <w:pPr>
              <w:pStyle w:val="TableParagraph"/>
              <w:spacing w:line="237" w:lineRule="auto" w:before="2"/>
              <w:ind w:left="103" w:right="99"/>
              <w:jc w:val="left"/>
              <w:rPr>
                <w:rFonts w:ascii="宋体" w:hAnsi="宋体" w:cs="宋体" w:eastAsia="宋体" w:hint="default"/>
                <w:sz w:val="21"/>
                <w:szCs w:val="21"/>
              </w:rPr>
            </w:pPr>
            <w:r>
              <w:rPr>
                <w:rFonts w:ascii="宋体" w:hAnsi="宋体" w:cs="宋体" w:eastAsia="宋体" w:hint="default"/>
                <w:sz w:val="21"/>
                <w:szCs w:val="21"/>
              </w:rPr>
              <w:t>财务报表格式的通知》（财会</w:t>
            </w:r>
            <w:r>
              <w:rPr>
                <w:rFonts w:ascii="宋体" w:hAnsi="宋体" w:cs="宋体" w:eastAsia="宋体" w:hint="default"/>
                <w:w w:val="100"/>
                <w:sz w:val="21"/>
                <w:szCs w:val="21"/>
              </w:rPr>
              <w:t> </w:t>
            </w:r>
            <w:r>
              <w:rPr>
                <w:rFonts w:ascii="宋体" w:hAnsi="宋体" w:cs="宋体" w:eastAsia="宋体" w:hint="default"/>
                <w:sz w:val="21"/>
                <w:szCs w:val="21"/>
              </w:rPr>
              <w:t>[2017]30</w:t>
            </w:r>
            <w:r>
              <w:rPr>
                <w:rFonts w:ascii="宋体" w:hAnsi="宋体" w:cs="宋体" w:eastAsia="宋体" w:hint="default"/>
                <w:spacing w:val="-45"/>
                <w:sz w:val="21"/>
                <w:szCs w:val="21"/>
              </w:rPr>
              <w:t> </w:t>
            </w:r>
            <w:r>
              <w:rPr>
                <w:rFonts w:ascii="宋体" w:hAnsi="宋体" w:cs="宋体" w:eastAsia="宋体" w:hint="default"/>
                <w:spacing w:val="-6"/>
                <w:sz w:val="21"/>
                <w:szCs w:val="21"/>
              </w:rPr>
              <w:t>号），在利润表中新</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增“资产处置收益”行项目，</w:t>
            </w:r>
            <w:r>
              <w:rPr>
                <w:rFonts w:ascii="宋体" w:hAnsi="宋体" w:cs="宋体" w:eastAsia="宋体" w:hint="default"/>
                <w:w w:val="100"/>
                <w:sz w:val="21"/>
                <w:szCs w:val="21"/>
              </w:rPr>
              <w:t> </w:t>
            </w:r>
            <w:r>
              <w:rPr>
                <w:rFonts w:ascii="宋体" w:hAnsi="宋体" w:cs="宋体" w:eastAsia="宋体" w:hint="default"/>
                <w:sz w:val="21"/>
                <w:szCs w:val="21"/>
              </w:rPr>
              <w:t>反映企业出售划分为持有待售</w:t>
            </w:r>
            <w:r>
              <w:rPr>
                <w:rFonts w:ascii="宋体" w:hAnsi="宋体" w:cs="宋体" w:eastAsia="宋体" w:hint="default"/>
                <w:w w:val="100"/>
                <w:sz w:val="21"/>
                <w:szCs w:val="21"/>
              </w:rPr>
              <w:t> </w:t>
            </w:r>
            <w:r>
              <w:rPr>
                <w:rFonts w:ascii="宋体" w:hAnsi="宋体" w:cs="宋体" w:eastAsia="宋体" w:hint="default"/>
                <w:sz w:val="21"/>
                <w:szCs w:val="21"/>
              </w:rPr>
              <w:t>的非流动资产（金融工具、长</w:t>
            </w:r>
            <w:r>
              <w:rPr>
                <w:rFonts w:ascii="宋体" w:hAnsi="宋体" w:cs="宋体" w:eastAsia="宋体" w:hint="default"/>
                <w:w w:val="100"/>
                <w:sz w:val="21"/>
                <w:szCs w:val="21"/>
              </w:rPr>
              <w:t> </w:t>
            </w:r>
            <w:r>
              <w:rPr>
                <w:rFonts w:ascii="宋体" w:hAnsi="宋体" w:cs="宋体" w:eastAsia="宋体" w:hint="default"/>
                <w:sz w:val="21"/>
                <w:szCs w:val="21"/>
              </w:rPr>
              <w:t>期股权投资和投资性房地产除</w:t>
            </w:r>
            <w:r>
              <w:rPr>
                <w:rFonts w:ascii="宋体" w:hAnsi="宋体" w:cs="宋体" w:eastAsia="宋体" w:hint="default"/>
                <w:w w:val="100"/>
                <w:sz w:val="21"/>
                <w:szCs w:val="21"/>
              </w:rPr>
              <w:t> </w:t>
            </w:r>
            <w:r>
              <w:rPr>
                <w:rFonts w:ascii="宋体" w:hAnsi="宋体" w:cs="宋体" w:eastAsia="宋体" w:hint="default"/>
                <w:sz w:val="21"/>
                <w:szCs w:val="21"/>
              </w:rPr>
              <w:t>外）或处置组时确认的处置利</w:t>
            </w:r>
            <w:r>
              <w:rPr>
                <w:rFonts w:ascii="宋体" w:hAnsi="宋体" w:cs="宋体" w:eastAsia="宋体" w:hint="default"/>
                <w:w w:val="100"/>
                <w:sz w:val="21"/>
                <w:szCs w:val="21"/>
              </w:rPr>
              <w:t> </w:t>
            </w:r>
            <w:r>
              <w:rPr>
                <w:rFonts w:ascii="宋体" w:hAnsi="宋体" w:cs="宋体" w:eastAsia="宋体" w:hint="default"/>
                <w:sz w:val="21"/>
                <w:szCs w:val="21"/>
              </w:rPr>
              <w:t>得或损失，处置未划分为持有</w:t>
            </w:r>
            <w:r>
              <w:rPr>
                <w:rFonts w:ascii="宋体" w:hAnsi="宋体" w:cs="宋体" w:eastAsia="宋体" w:hint="default"/>
                <w:w w:val="100"/>
                <w:sz w:val="21"/>
                <w:szCs w:val="21"/>
              </w:rPr>
              <w:t> </w:t>
            </w:r>
            <w:r>
              <w:rPr>
                <w:rFonts w:ascii="宋体" w:hAnsi="宋体" w:cs="宋体" w:eastAsia="宋体" w:hint="default"/>
                <w:sz w:val="21"/>
                <w:szCs w:val="21"/>
              </w:rPr>
              <w:t>待售的固定资产、在建工程、</w:t>
            </w:r>
            <w:r>
              <w:rPr>
                <w:rFonts w:ascii="宋体" w:hAnsi="宋体" w:cs="宋体" w:eastAsia="宋体" w:hint="default"/>
                <w:w w:val="100"/>
                <w:sz w:val="21"/>
                <w:szCs w:val="21"/>
              </w:rPr>
              <w:t> </w:t>
            </w:r>
            <w:r>
              <w:rPr>
                <w:rFonts w:ascii="宋体" w:hAnsi="宋体" w:cs="宋体" w:eastAsia="宋体" w:hint="default"/>
                <w:sz w:val="21"/>
                <w:szCs w:val="21"/>
              </w:rPr>
              <w:t>生产性生物资产及无形资产而</w:t>
            </w:r>
            <w:r>
              <w:rPr>
                <w:rFonts w:ascii="宋体" w:hAnsi="宋体" w:cs="宋体" w:eastAsia="宋体" w:hint="default"/>
                <w:w w:val="100"/>
                <w:sz w:val="21"/>
                <w:szCs w:val="21"/>
              </w:rPr>
              <w:t> </w:t>
            </w:r>
            <w:r>
              <w:rPr>
                <w:rFonts w:ascii="宋体" w:hAnsi="宋体" w:cs="宋体" w:eastAsia="宋体" w:hint="default"/>
                <w:sz w:val="21"/>
                <w:szCs w:val="21"/>
              </w:rPr>
              <w:t>产生的处置利得或损失，以及</w:t>
            </w:r>
            <w:r>
              <w:rPr>
                <w:rFonts w:ascii="宋体" w:hAnsi="宋体" w:cs="宋体" w:eastAsia="宋体" w:hint="default"/>
                <w:w w:val="100"/>
                <w:sz w:val="21"/>
                <w:szCs w:val="21"/>
              </w:rPr>
              <w:t> </w:t>
            </w:r>
            <w:r>
              <w:rPr>
                <w:rFonts w:ascii="宋体" w:hAnsi="宋体" w:cs="宋体" w:eastAsia="宋体" w:hint="default"/>
                <w:sz w:val="21"/>
                <w:szCs w:val="21"/>
              </w:rPr>
              <w:t>债务重组中因处置非流动资产</w:t>
            </w:r>
            <w:r>
              <w:rPr>
                <w:rFonts w:ascii="宋体" w:hAnsi="宋体" w:cs="宋体" w:eastAsia="宋体" w:hint="default"/>
                <w:w w:val="100"/>
                <w:sz w:val="21"/>
                <w:szCs w:val="21"/>
              </w:rPr>
              <w:t> </w:t>
            </w:r>
            <w:r>
              <w:rPr>
                <w:rFonts w:ascii="宋体" w:hAnsi="宋体" w:cs="宋体" w:eastAsia="宋体" w:hint="default"/>
                <w:sz w:val="21"/>
                <w:szCs w:val="21"/>
              </w:rPr>
              <w:t>产生的利得或损失和非货币性</w:t>
            </w:r>
            <w:r>
              <w:rPr>
                <w:rFonts w:ascii="宋体" w:hAnsi="宋体" w:cs="宋体" w:eastAsia="宋体" w:hint="default"/>
                <w:w w:val="100"/>
                <w:sz w:val="21"/>
                <w:szCs w:val="21"/>
              </w:rPr>
              <w:t> </w:t>
            </w:r>
            <w:r>
              <w:rPr>
                <w:rFonts w:ascii="宋体" w:hAnsi="宋体" w:cs="宋体" w:eastAsia="宋体" w:hint="default"/>
                <w:sz w:val="21"/>
                <w:szCs w:val="21"/>
              </w:rPr>
              <w:t>资产交换产生的利得或损失。</w:t>
            </w:r>
            <w:r>
              <w:rPr>
                <w:rFonts w:ascii="宋体" w:hAnsi="宋体" w:cs="宋体" w:eastAsia="宋体" w:hint="default"/>
                <w:w w:val="100"/>
                <w:sz w:val="21"/>
                <w:szCs w:val="21"/>
              </w:rPr>
              <w:t> </w:t>
            </w:r>
            <w:r>
              <w:rPr>
                <w:rFonts w:ascii="宋体" w:hAnsi="宋体" w:cs="宋体" w:eastAsia="宋体" w:hint="default"/>
                <w:sz w:val="21"/>
                <w:szCs w:val="21"/>
              </w:rPr>
              <w:t>相应的删除“营业外收入”和</w:t>
            </w:r>
            <w:r>
              <w:rPr>
                <w:rFonts w:ascii="宋体" w:hAnsi="宋体" w:cs="宋体" w:eastAsia="宋体" w:hint="default"/>
                <w:w w:val="100"/>
                <w:sz w:val="21"/>
                <w:szCs w:val="21"/>
              </w:rPr>
              <w:t> </w:t>
            </w:r>
            <w:r>
              <w:rPr>
                <w:rFonts w:ascii="宋体" w:hAnsi="宋体" w:cs="宋体" w:eastAsia="宋体" w:hint="default"/>
                <w:sz w:val="21"/>
                <w:szCs w:val="21"/>
              </w:rPr>
              <w:t>“营业外支出”项下的“其</w:t>
            </w:r>
            <w:r>
              <w:rPr>
                <w:rFonts w:ascii="宋体" w:hAnsi="宋体" w:cs="宋体" w:eastAsia="宋体" w:hint="default"/>
                <w:w w:val="100"/>
                <w:sz w:val="21"/>
                <w:szCs w:val="21"/>
              </w:rPr>
              <w:t> </w:t>
            </w:r>
            <w:r>
              <w:rPr>
                <w:rFonts w:ascii="宋体" w:hAnsi="宋体" w:cs="宋体" w:eastAsia="宋体" w:hint="default"/>
                <w:sz w:val="21"/>
                <w:szCs w:val="21"/>
              </w:rPr>
              <w:t>中：非流动资产处置利得”和</w:t>
            </w:r>
            <w:r>
              <w:rPr>
                <w:rFonts w:ascii="宋体" w:hAnsi="宋体" w:cs="宋体" w:eastAsia="宋体" w:hint="default"/>
                <w:w w:val="100"/>
                <w:sz w:val="21"/>
                <w:szCs w:val="21"/>
              </w:rPr>
              <w:t> </w:t>
            </w:r>
            <w:r>
              <w:rPr>
                <w:rFonts w:ascii="宋体" w:hAnsi="宋体" w:cs="宋体" w:eastAsia="宋体" w:hint="default"/>
                <w:sz w:val="21"/>
                <w:szCs w:val="21"/>
              </w:rPr>
              <w:t>“其中：非流动资产处置损</w:t>
            </w:r>
            <w:r>
              <w:rPr>
                <w:rFonts w:ascii="宋体" w:hAnsi="宋体" w:cs="宋体" w:eastAsia="宋体" w:hint="default"/>
                <w:w w:val="100"/>
                <w:sz w:val="21"/>
                <w:szCs w:val="21"/>
              </w:rPr>
              <w:t> </w:t>
            </w:r>
            <w:r>
              <w:rPr>
                <w:rFonts w:ascii="宋体" w:hAnsi="宋体" w:cs="宋体" w:eastAsia="宋体" w:hint="default"/>
                <w:sz w:val="21"/>
                <w:szCs w:val="21"/>
              </w:rPr>
              <w:t>失”项目，反映企业发生的营</w:t>
            </w:r>
            <w:r>
              <w:rPr>
                <w:rFonts w:ascii="宋体" w:hAnsi="宋体" w:cs="宋体" w:eastAsia="宋体" w:hint="default"/>
                <w:w w:val="100"/>
                <w:sz w:val="21"/>
                <w:szCs w:val="21"/>
              </w:rPr>
              <w:t> </w:t>
            </w:r>
            <w:r>
              <w:rPr>
                <w:rFonts w:ascii="宋体" w:hAnsi="宋体" w:cs="宋体" w:eastAsia="宋体" w:hint="default"/>
                <w:sz w:val="21"/>
                <w:szCs w:val="21"/>
              </w:rPr>
              <w:t>业利润以外的收益，主要包括</w:t>
            </w:r>
            <w:r>
              <w:rPr>
                <w:rFonts w:ascii="宋体" w:hAnsi="宋体" w:cs="宋体" w:eastAsia="宋体" w:hint="default"/>
                <w:w w:val="100"/>
                <w:sz w:val="21"/>
                <w:szCs w:val="21"/>
              </w:rPr>
              <w:t> </w:t>
            </w:r>
            <w:r>
              <w:rPr>
                <w:rFonts w:ascii="宋体" w:hAnsi="宋体" w:cs="宋体" w:eastAsia="宋体" w:hint="default"/>
                <w:sz w:val="21"/>
                <w:szCs w:val="21"/>
              </w:rPr>
              <w:t>债务重组利得或损失、与企业</w:t>
            </w:r>
            <w:r>
              <w:rPr>
                <w:rFonts w:ascii="宋体" w:hAnsi="宋体" w:cs="宋体" w:eastAsia="宋体" w:hint="default"/>
                <w:w w:val="100"/>
                <w:sz w:val="21"/>
                <w:szCs w:val="21"/>
              </w:rPr>
              <w:t> </w:t>
            </w:r>
            <w:r>
              <w:rPr>
                <w:rFonts w:ascii="宋体" w:hAnsi="宋体" w:cs="宋体" w:eastAsia="宋体" w:hint="default"/>
                <w:sz w:val="21"/>
                <w:szCs w:val="21"/>
              </w:rPr>
              <w:t>日常活动无关的政府补助、公</w:t>
            </w:r>
            <w:r>
              <w:rPr>
                <w:rFonts w:ascii="宋体" w:hAnsi="宋体" w:cs="宋体" w:eastAsia="宋体" w:hint="default"/>
                <w:w w:val="100"/>
                <w:sz w:val="21"/>
                <w:szCs w:val="21"/>
              </w:rPr>
              <w:t> </w:t>
            </w:r>
            <w:r>
              <w:rPr>
                <w:rFonts w:ascii="宋体" w:hAnsi="宋体" w:cs="宋体" w:eastAsia="宋体" w:hint="default"/>
                <w:sz w:val="21"/>
                <w:szCs w:val="21"/>
              </w:rPr>
              <w:t>益性捐赠支出、非常损失、盘</w:t>
            </w:r>
            <w:r>
              <w:rPr>
                <w:rFonts w:ascii="宋体" w:hAnsi="宋体" w:cs="宋体" w:eastAsia="宋体" w:hint="default"/>
                <w:w w:val="100"/>
                <w:sz w:val="21"/>
                <w:szCs w:val="21"/>
              </w:rPr>
              <w:t> </w:t>
            </w:r>
            <w:r>
              <w:rPr>
                <w:rFonts w:ascii="宋体" w:hAnsi="宋体" w:cs="宋体" w:eastAsia="宋体" w:hint="default"/>
                <w:sz w:val="21"/>
                <w:szCs w:val="21"/>
              </w:rPr>
              <w:t>盈利得或损失、捐赠利得、非</w:t>
            </w:r>
            <w:r>
              <w:rPr>
                <w:rFonts w:ascii="宋体" w:hAnsi="宋体" w:cs="宋体" w:eastAsia="宋体" w:hint="default"/>
                <w:w w:val="100"/>
                <w:sz w:val="21"/>
                <w:szCs w:val="21"/>
              </w:rPr>
              <w:t> </w:t>
            </w:r>
            <w:r>
              <w:rPr>
                <w:rFonts w:ascii="宋体" w:hAnsi="宋体" w:cs="宋体" w:eastAsia="宋体" w:hint="default"/>
                <w:sz w:val="21"/>
                <w:szCs w:val="21"/>
              </w:rPr>
              <w:t>流动资产毁损报废损失等。对</w:t>
            </w:r>
            <w:r>
              <w:rPr>
                <w:rFonts w:ascii="宋体" w:hAnsi="宋体" w:cs="宋体" w:eastAsia="宋体" w:hint="default"/>
                <w:w w:val="100"/>
                <w:sz w:val="21"/>
                <w:szCs w:val="21"/>
              </w:rPr>
              <w:t> </w:t>
            </w:r>
            <w:r>
              <w:rPr>
                <w:rFonts w:ascii="宋体" w:hAnsi="宋体" w:cs="宋体" w:eastAsia="宋体" w:hint="default"/>
                <w:sz w:val="21"/>
                <w:szCs w:val="21"/>
              </w:rPr>
              <w:t>比较报表的列报进行了相应调</w:t>
            </w:r>
            <w:r>
              <w:rPr>
                <w:rFonts w:ascii="宋体" w:hAnsi="宋体" w:cs="宋体" w:eastAsia="宋体" w:hint="default"/>
                <w:w w:val="100"/>
                <w:sz w:val="21"/>
                <w:szCs w:val="21"/>
              </w:rPr>
              <w:t> </w:t>
            </w:r>
            <w:r>
              <w:rPr>
                <w:rFonts w:ascii="宋体" w:hAnsi="宋体" w:cs="宋体" w:eastAsia="宋体" w:hint="default"/>
                <w:sz w:val="21"/>
                <w:szCs w:val="21"/>
              </w:rPr>
              <w:t>整。</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hAnsi="宋体" w:cs="宋体" w:eastAsia="宋体" w:hint="default"/>
                <w:sz w:val="21"/>
                <w:szCs w:val="21"/>
              </w:rPr>
              <w:t>第七届董事会第十一次会议</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①</w:t>
            </w:r>
            <w:r>
              <w:rPr>
                <w:rFonts w:ascii="宋体" w:hAnsi="宋体" w:cs="宋体" w:eastAsia="宋体" w:hint="default"/>
                <w:spacing w:val="-1"/>
                <w:sz w:val="21"/>
                <w:szCs w:val="21"/>
              </w:rPr>
              <w:t> </w:t>
            </w:r>
            <w:r>
              <w:rPr>
                <w:rFonts w:ascii="宋体" w:hAnsi="宋体" w:cs="宋体" w:eastAsia="宋体" w:hint="default"/>
                <w:sz w:val="21"/>
                <w:szCs w:val="21"/>
              </w:rPr>
              <w:t>资产处置损益</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②</w:t>
            </w:r>
            <w:r>
              <w:rPr>
                <w:rFonts w:ascii="宋体" w:hAnsi="宋体" w:cs="宋体" w:eastAsia="宋体" w:hint="default"/>
                <w:spacing w:val="1"/>
                <w:sz w:val="21"/>
                <w:szCs w:val="21"/>
              </w:rPr>
              <w:t> </w:t>
            </w:r>
            <w:r>
              <w:rPr>
                <w:rFonts w:ascii="宋体" w:hAnsi="宋体" w:cs="宋体" w:eastAsia="宋体" w:hint="default"/>
                <w:sz w:val="21"/>
                <w:szCs w:val="21"/>
              </w:rPr>
              <w:t>营业外收入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③</w:t>
            </w:r>
            <w:r>
              <w:rPr>
                <w:rFonts w:ascii="宋体" w:hAnsi="宋体" w:cs="宋体" w:eastAsia="宋体" w:hint="default"/>
                <w:spacing w:val="1"/>
                <w:sz w:val="21"/>
                <w:szCs w:val="21"/>
              </w:rPr>
              <w:t> </w:t>
            </w:r>
            <w:r>
              <w:rPr>
                <w:rFonts w:ascii="宋体" w:hAnsi="宋体" w:cs="宋体" w:eastAsia="宋体" w:hint="default"/>
                <w:sz w:val="21"/>
                <w:szCs w:val="21"/>
              </w:rPr>
              <w:t>营业外支出</w:t>
            </w:r>
          </w:p>
        </w:tc>
      </w:tr>
      <w:tr>
        <w:trPr>
          <w:trHeight w:val="4098"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《企业会计准则第</w:t>
            </w:r>
            <w:r>
              <w:rPr>
                <w:rFonts w:ascii="宋体" w:hAnsi="宋体" w:cs="宋体" w:eastAsia="宋体" w:hint="default"/>
                <w:spacing w:val="-52"/>
                <w:sz w:val="21"/>
                <w:szCs w:val="21"/>
              </w:rPr>
              <w:t> </w:t>
            </w:r>
            <w:r>
              <w:rPr>
                <w:rFonts w:ascii="宋体" w:hAnsi="宋体" w:cs="宋体" w:eastAsia="宋体" w:hint="default"/>
                <w:sz w:val="21"/>
                <w:szCs w:val="21"/>
              </w:rPr>
              <w:t>42</w:t>
            </w:r>
            <w:r>
              <w:rPr>
                <w:rFonts w:ascii="宋体" w:hAnsi="宋体" w:cs="宋体" w:eastAsia="宋体" w:hint="default"/>
                <w:spacing w:val="-52"/>
                <w:sz w:val="21"/>
                <w:szCs w:val="21"/>
              </w:rPr>
              <w:t> </w:t>
            </w:r>
            <w:r>
              <w:rPr>
                <w:rFonts w:ascii="宋体" w:hAnsi="宋体" w:cs="宋体" w:eastAsia="宋体" w:hint="default"/>
                <w:spacing w:val="-3"/>
                <w:sz w:val="21"/>
                <w:szCs w:val="21"/>
              </w:rPr>
              <w:t>号——</w:t>
            </w:r>
            <w:r>
              <w:rPr>
                <w:rFonts w:ascii="宋体" w:hAnsi="宋体" w:cs="宋体" w:eastAsia="宋体" w:hint="default"/>
                <w:sz w:val="21"/>
                <w:szCs w:val="21"/>
              </w:rPr>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持有待售的非流动资产、处置</w:t>
            </w:r>
            <w:r>
              <w:rPr>
                <w:rFonts w:ascii="宋体" w:hAnsi="宋体" w:cs="宋体" w:eastAsia="宋体" w:hint="default"/>
                <w:w w:val="100"/>
                <w:sz w:val="21"/>
                <w:szCs w:val="21"/>
              </w:rPr>
              <w:t> </w:t>
            </w:r>
            <w:r>
              <w:rPr>
                <w:rFonts w:ascii="宋体" w:hAnsi="宋体" w:cs="宋体" w:eastAsia="宋体" w:hint="default"/>
                <w:spacing w:val="-6"/>
                <w:sz w:val="21"/>
                <w:szCs w:val="21"/>
              </w:rPr>
              <w:t>组和终止经营》对于</w:t>
            </w:r>
            <w:r>
              <w:rPr>
                <w:rFonts w:ascii="宋体" w:hAnsi="宋体" w:cs="宋体" w:eastAsia="宋体" w:hint="default"/>
                <w:spacing w:val="-50"/>
                <w:sz w:val="21"/>
                <w:szCs w:val="21"/>
              </w:rPr>
              <w:t> </w:t>
            </w:r>
            <w:r>
              <w:rPr>
                <w:rFonts w:ascii="宋体" w:hAnsi="宋体" w:cs="宋体" w:eastAsia="宋体" w:hint="default"/>
                <w:sz w:val="21"/>
                <w:szCs w:val="21"/>
              </w:rPr>
              <w:t>2017</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5</w:t>
            </w:r>
          </w:p>
          <w:p>
            <w:pPr>
              <w:pStyle w:val="TableParagraph"/>
              <w:spacing w:line="237" w:lineRule="auto"/>
              <w:ind w:left="103" w:right="108"/>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28</w:t>
            </w:r>
            <w:r>
              <w:rPr>
                <w:rFonts w:ascii="宋体" w:hAnsi="宋体" w:cs="宋体" w:eastAsia="宋体" w:hint="default"/>
                <w:spacing w:val="-56"/>
                <w:sz w:val="21"/>
                <w:szCs w:val="21"/>
              </w:rPr>
              <w:t> </w:t>
            </w:r>
            <w:r>
              <w:rPr>
                <w:rFonts w:ascii="宋体" w:hAnsi="宋体" w:cs="宋体" w:eastAsia="宋体" w:hint="default"/>
                <w:sz w:val="21"/>
                <w:szCs w:val="21"/>
              </w:rPr>
              <w:t>日之后持有待售的非流</w:t>
            </w:r>
            <w:r>
              <w:rPr>
                <w:rFonts w:ascii="宋体" w:hAnsi="宋体" w:cs="宋体" w:eastAsia="宋体" w:hint="default"/>
                <w:w w:val="100"/>
                <w:sz w:val="21"/>
                <w:szCs w:val="21"/>
              </w:rPr>
              <w:t> </w:t>
            </w:r>
            <w:r>
              <w:rPr>
                <w:rFonts w:ascii="宋体" w:hAnsi="宋体" w:cs="宋体" w:eastAsia="宋体" w:hint="default"/>
                <w:spacing w:val="-2"/>
                <w:sz w:val="21"/>
                <w:szCs w:val="21"/>
              </w:rPr>
              <w:t>动资产或处置组的分类、计量</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和列报，以及终止经营的列报</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等进行了规定，并采用未来适</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用法进行处理；修改了财务报</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表的列报，在合并利润表和利</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2"/>
                <w:sz w:val="21"/>
                <w:szCs w:val="21"/>
              </w:rPr>
              <w:t>润表中分别列示持续经营损益</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和终止经营损益等。对比较报</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表的列报进行了相应调整：对</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于当期列报的终止经营，原来</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作为持续经营损益列报的信息</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重新在比较报表中作为终止经</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06" w:right="0"/>
              <w:jc w:val="left"/>
              <w:rPr>
                <w:rFonts w:ascii="宋体" w:hAnsi="宋体" w:cs="宋体" w:eastAsia="宋体" w:hint="default"/>
                <w:sz w:val="21"/>
                <w:szCs w:val="21"/>
              </w:rPr>
            </w:pPr>
            <w:r>
              <w:rPr>
                <w:rFonts w:ascii="宋体" w:hAnsi="宋体" w:cs="宋体" w:eastAsia="宋体" w:hint="default"/>
                <w:sz w:val="21"/>
                <w:szCs w:val="21"/>
              </w:rPr>
              <w:t>第七届董事会第十一次会议</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持续经营净利润</w:t>
            </w:r>
          </w:p>
        </w:tc>
      </w:tr>
    </w:tbl>
    <w:p>
      <w:pPr>
        <w:spacing w:after="0" w:line="243" w:lineRule="exact"/>
        <w:jc w:val="left"/>
        <w:rPr>
          <w:rFonts w:ascii="宋体" w:hAnsi="宋体" w:cs="宋体" w:eastAsia="宋体" w:hint="default"/>
          <w:sz w:val="21"/>
          <w:szCs w:val="21"/>
        </w:rPr>
        <w:sectPr>
          <w:pgSz w:w="11910" w:h="16840"/>
          <w:pgMar w:header="857" w:footer="1195" w:top="1320" w:bottom="1380" w:left="1580" w:right="1040"/>
        </w:sectPr>
      </w:pPr>
    </w:p>
    <w:p>
      <w:pPr>
        <w:spacing w:line="240" w:lineRule="auto" w:before="8"/>
        <w:rPr>
          <w:rFonts w:ascii="Times New Roman" w:hAnsi="Times New Roman" w:cs="Times New Roman" w:eastAsia="Times New Roman" w:hint="default"/>
          <w:sz w:val="16"/>
          <w:szCs w:val="16"/>
        </w:rPr>
      </w:pPr>
    </w:p>
    <w:tbl>
      <w:tblPr>
        <w:tblW w:w="0" w:type="auto"/>
        <w:jc w:val="left"/>
        <w:tblInd w:w="105" w:type="dxa"/>
        <w:tblLayout w:type="fixed"/>
        <w:tblCellMar>
          <w:top w:w="0" w:type="dxa"/>
          <w:left w:w="0" w:type="dxa"/>
          <w:bottom w:w="0" w:type="dxa"/>
          <w:right w:w="0" w:type="dxa"/>
        </w:tblCellMar>
        <w:tblLook w:val="01E0"/>
      </w:tblPr>
      <w:tblGrid>
        <w:gridCol w:w="2957"/>
        <w:gridCol w:w="3053"/>
        <w:gridCol w:w="3039"/>
      </w:tblGrid>
      <w:tr>
        <w:trPr>
          <w:trHeight w:val="284"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营损益列报。</w:t>
            </w:r>
          </w:p>
        </w:tc>
        <w:tc>
          <w:tcPr>
            <w:tcW w:w="3053" w:type="dxa"/>
            <w:tcBorders>
              <w:top w:val="single" w:sz="4" w:space="0" w:color="000000"/>
              <w:left w:val="single" w:sz="4" w:space="0" w:color="000000"/>
              <w:bottom w:val="single" w:sz="4" w:space="0" w:color="000000"/>
              <w:right w:val="single" w:sz="4" w:space="0" w:color="000000"/>
            </w:tcBorders>
          </w:tcPr>
          <w:p>
            <w:pPr/>
          </w:p>
        </w:tc>
        <w:tc>
          <w:tcPr>
            <w:tcW w:w="303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Times New Roman" w:hAnsi="Times New Roman" w:cs="Times New Roman" w:eastAsia="Times New Roman" w:hint="default"/>
          <w:sz w:val="17"/>
          <w:szCs w:val="17"/>
        </w:rPr>
      </w:pPr>
    </w:p>
    <w:p>
      <w:pPr>
        <w:pStyle w:val="BodyText"/>
        <w:spacing w:line="240" w:lineRule="auto" w:before="36"/>
        <w:ind w:right="2757"/>
        <w:jc w:val="left"/>
      </w:pPr>
      <w:r>
        <w:rPr/>
        <w:t>其他说明</w:t>
      </w:r>
    </w:p>
    <w:p>
      <w:pPr>
        <w:pStyle w:val="BodyText"/>
        <w:spacing w:line="285" w:lineRule="exact" w:before="8"/>
        <w:ind w:right="0"/>
        <w:jc w:val="left"/>
      </w:pPr>
      <w:r>
        <w:rPr>
          <w:rFonts w:ascii="Arial Narrow" w:hAnsi="Arial Narrow" w:cs="Arial Narrow" w:eastAsia="Arial Narrow" w:hint="default"/>
          <w:sz w:val="24"/>
          <w:szCs w:val="24"/>
        </w:rPr>
        <w:t>A. </w:t>
      </w:r>
      <w:r>
        <w:rPr>
          <w:rFonts w:ascii="Arial Narrow" w:hAnsi="Arial Narrow" w:cs="Arial Narrow" w:eastAsia="Arial Narrow" w:hint="default"/>
          <w:spacing w:val="7"/>
          <w:sz w:val="24"/>
          <w:szCs w:val="24"/>
        </w:rPr>
        <w:t> </w:t>
      </w:r>
      <w:r>
        <w:rPr/>
        <w:t>根据《企业会计准则第</w:t>
      </w:r>
      <w:r>
        <w:rPr>
          <w:spacing w:val="-54"/>
        </w:rPr>
        <w:t> </w:t>
      </w:r>
      <w:r>
        <w:rPr>
          <w:rFonts w:ascii="宋体" w:hAnsi="宋体" w:cs="宋体" w:eastAsia="宋体" w:hint="default"/>
        </w:rPr>
        <w:t>16</w:t>
      </w:r>
      <w:r>
        <w:rPr>
          <w:rFonts w:ascii="宋体" w:hAnsi="宋体" w:cs="宋体" w:eastAsia="宋体" w:hint="default"/>
          <w:spacing w:val="-56"/>
        </w:rPr>
        <w:t> </w:t>
      </w:r>
      <w:r>
        <w:rPr/>
        <w:t>号——政府补助》（</w:t>
      </w:r>
      <w:r>
        <w:rPr>
          <w:rFonts w:ascii="宋体" w:hAnsi="宋体" w:cs="宋体" w:eastAsia="宋体" w:hint="default"/>
        </w:rPr>
        <w:t>2017</w:t>
      </w:r>
      <w:r>
        <w:rPr/>
        <w:t>）</w:t>
      </w:r>
      <w:r>
        <w:rPr>
          <w:rFonts w:ascii="宋体" w:hAnsi="宋体" w:cs="宋体" w:eastAsia="宋体" w:hint="default"/>
        </w:rPr>
        <w:t>,</w:t>
      </w:r>
      <w:r>
        <w:rPr/>
        <w:t>，本公司</w:t>
      </w:r>
      <w:r>
        <w:rPr>
          <w:spacing w:val="-54"/>
        </w:rPr>
        <w:t> </w:t>
      </w:r>
      <w:r>
        <w:rPr>
          <w:rFonts w:ascii="宋体" w:hAnsi="宋体" w:cs="宋体" w:eastAsia="宋体" w:hint="default"/>
        </w:rPr>
        <w:t>2017</w:t>
      </w:r>
      <w:r>
        <w:rPr>
          <w:rFonts w:ascii="宋体" w:hAnsi="宋体" w:cs="宋体" w:eastAsia="宋体" w:hint="default"/>
          <w:spacing w:val="-54"/>
        </w:rPr>
        <w:t> </w:t>
      </w:r>
      <w:r>
        <w:rPr/>
        <w:t>年度收到的增值税退税</w:t>
      </w:r>
    </w:p>
    <w:p>
      <w:pPr>
        <w:pStyle w:val="BodyText"/>
        <w:spacing w:line="263" w:lineRule="exact"/>
        <w:ind w:right="0"/>
        <w:jc w:val="left"/>
      </w:pPr>
      <w:r>
        <w:rPr/>
        <w:t>及其他与日常经营活动有关的政府补助</w:t>
      </w:r>
      <w:r>
        <w:rPr>
          <w:spacing w:val="-53"/>
        </w:rPr>
        <w:t> </w:t>
      </w:r>
      <w:r>
        <w:rPr>
          <w:rFonts w:ascii="宋体" w:hAnsi="宋体" w:cs="宋体" w:eastAsia="宋体" w:hint="default"/>
        </w:rPr>
        <w:t>15,800,979.82</w:t>
      </w:r>
      <w:r>
        <w:rPr>
          <w:rFonts w:ascii="宋体" w:hAnsi="宋体" w:cs="宋体" w:eastAsia="宋体" w:hint="default"/>
          <w:spacing w:val="-53"/>
        </w:rPr>
        <w:t> </w:t>
      </w:r>
      <w:r>
        <w:rPr/>
        <w:t>元（其中</w:t>
      </w:r>
      <w:r>
        <w:rPr>
          <w:spacing w:val="-53"/>
        </w:rPr>
        <w:t> </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1</w:t>
      </w:r>
      <w:r>
        <w:rPr>
          <w:rFonts w:ascii="宋体" w:hAnsi="宋体" w:cs="宋体" w:eastAsia="宋体" w:hint="default"/>
          <w:spacing w:val="-55"/>
        </w:rPr>
        <w:t> </w:t>
      </w:r>
      <w:r>
        <w:rPr/>
        <w:t>月</w:t>
      </w:r>
      <w:r>
        <w:rPr>
          <w:spacing w:val="-54"/>
        </w:rPr>
        <w:t> </w:t>
      </w:r>
      <w:r>
        <w:rPr>
          <w:rFonts w:ascii="宋体" w:hAnsi="宋体" w:cs="宋体" w:eastAsia="宋体" w:hint="default"/>
        </w:rPr>
        <w:t>1</w:t>
      </w:r>
      <w:r>
        <w:rPr>
          <w:rFonts w:ascii="宋体" w:hAnsi="宋体" w:cs="宋体" w:eastAsia="宋体" w:hint="default"/>
          <w:spacing w:val="-53"/>
        </w:rPr>
        <w:t> </w:t>
      </w:r>
      <w:r>
        <w:rPr/>
        <w:t>日至</w:t>
      </w:r>
      <w:r>
        <w:rPr>
          <w:spacing w:val="-55"/>
        </w:rPr>
        <w:t> </w:t>
      </w:r>
      <w:r>
        <w:rPr>
          <w:rFonts w:ascii="宋体" w:hAnsi="宋体" w:cs="宋体" w:eastAsia="宋体" w:hint="default"/>
        </w:rPr>
        <w:t>2017</w:t>
      </w:r>
      <w:r>
        <w:rPr>
          <w:rFonts w:ascii="宋体" w:hAnsi="宋体" w:cs="宋体" w:eastAsia="宋体" w:hint="default"/>
          <w:spacing w:val="-53"/>
        </w:rPr>
        <w:t> </w:t>
      </w:r>
      <w:r>
        <w:rPr/>
        <w:t>年</w:t>
      </w:r>
      <w:r>
        <w:rPr>
          <w:spacing w:val="-55"/>
        </w:rPr>
        <w:t> </w:t>
      </w:r>
      <w:r>
        <w:rPr>
          <w:rFonts w:ascii="宋体" w:hAnsi="宋体" w:cs="宋体" w:eastAsia="宋体" w:hint="default"/>
        </w:rPr>
        <w:t>6</w:t>
      </w:r>
      <w:r>
        <w:rPr>
          <w:rFonts w:ascii="宋体" w:hAnsi="宋体" w:cs="宋体" w:eastAsia="宋体" w:hint="default"/>
          <w:spacing w:val="-53"/>
        </w:rPr>
        <w:t> </w:t>
      </w:r>
      <w:r>
        <w:rPr/>
        <w:t>月</w:t>
      </w:r>
    </w:p>
    <w:p>
      <w:pPr>
        <w:pStyle w:val="BodyText"/>
        <w:spacing w:line="237" w:lineRule="auto" w:before="2"/>
        <w:ind w:right="0"/>
        <w:jc w:val="left"/>
      </w:pPr>
      <w:r>
        <w:rPr>
          <w:rFonts w:ascii="宋体" w:hAnsi="宋体" w:cs="宋体" w:eastAsia="宋体" w:hint="default"/>
          <w:w w:val="100"/>
        </w:rPr>
        <w:t>12</w:t>
      </w:r>
      <w:r>
        <w:rPr>
          <w:rFonts w:ascii="宋体" w:hAnsi="宋体" w:cs="宋体" w:eastAsia="宋体" w:hint="default"/>
          <w:spacing w:val="-53"/>
          <w:w w:val="100"/>
        </w:rPr>
        <w:t> </w:t>
      </w:r>
      <w:r>
        <w:rPr>
          <w:spacing w:val="-2"/>
          <w:w w:val="100"/>
        </w:rPr>
        <w:t>日发生额为</w:t>
      </w:r>
      <w:r>
        <w:rPr>
          <w:spacing w:val="-53"/>
          <w:w w:val="100"/>
        </w:rPr>
        <w:t> </w:t>
      </w:r>
      <w:r>
        <w:rPr>
          <w:rFonts w:ascii="宋体" w:hAnsi="宋体" w:cs="宋体" w:eastAsia="宋体" w:hint="default"/>
          <w:spacing w:val="-1"/>
          <w:w w:val="100"/>
        </w:rPr>
        <w:t>5,894,806.02</w:t>
      </w:r>
      <w:r>
        <w:rPr>
          <w:rFonts w:ascii="宋体" w:hAnsi="宋体" w:cs="宋体" w:eastAsia="宋体" w:hint="default"/>
          <w:spacing w:val="-52"/>
          <w:w w:val="100"/>
        </w:rPr>
        <w:t> </w:t>
      </w:r>
      <w:r>
        <w:rPr>
          <w:spacing w:val="-7"/>
          <w:w w:val="100"/>
        </w:rPr>
        <w:t>元涉及会计政策变更影响，</w:t>
      </w:r>
      <w:r>
        <w:rPr>
          <w:rFonts w:ascii="宋体" w:hAnsi="宋体" w:cs="宋体" w:eastAsia="宋体" w:hint="default"/>
          <w:spacing w:val="-7"/>
          <w:w w:val="100"/>
        </w:rPr>
        <w:t>2017</w:t>
      </w:r>
      <w:r>
        <w:rPr>
          <w:rFonts w:ascii="宋体" w:hAnsi="宋体" w:cs="宋体" w:eastAsia="宋体" w:hint="default"/>
          <w:spacing w:val="-55"/>
          <w:w w:val="100"/>
        </w:rPr>
        <w:t> </w:t>
      </w:r>
      <w:r>
        <w:rPr>
          <w:w w:val="100"/>
        </w:rPr>
        <w:t>年</w:t>
      </w:r>
      <w:r>
        <w:rPr>
          <w:spacing w:val="-53"/>
          <w:w w:val="100"/>
        </w:rPr>
        <w:t> </w:t>
      </w:r>
      <w:r>
        <w:rPr>
          <w:rFonts w:ascii="宋体" w:hAnsi="宋体" w:cs="宋体" w:eastAsia="宋体" w:hint="default"/>
          <w:w w:val="100"/>
        </w:rPr>
        <w:t>6</w:t>
      </w:r>
      <w:r>
        <w:rPr>
          <w:rFonts w:ascii="宋体" w:hAnsi="宋体" w:cs="宋体" w:eastAsia="宋体" w:hint="default"/>
          <w:spacing w:val="-55"/>
          <w:w w:val="100"/>
        </w:rPr>
        <w:t> </w:t>
      </w:r>
      <w:r>
        <w:rPr>
          <w:w w:val="100"/>
        </w:rPr>
        <w:t>月</w:t>
      </w:r>
      <w:r>
        <w:rPr>
          <w:spacing w:val="-53"/>
          <w:w w:val="100"/>
        </w:rPr>
        <w:t> </w:t>
      </w:r>
      <w:r>
        <w:rPr>
          <w:rFonts w:ascii="宋体" w:hAnsi="宋体" w:cs="宋体" w:eastAsia="宋体" w:hint="default"/>
          <w:spacing w:val="-2"/>
          <w:w w:val="100"/>
        </w:rPr>
        <w:t>12</w:t>
      </w:r>
      <w:r>
        <w:rPr>
          <w:rFonts w:ascii="宋体" w:hAnsi="宋体" w:cs="宋体" w:eastAsia="宋体" w:hint="default"/>
          <w:spacing w:val="-53"/>
          <w:w w:val="100"/>
        </w:rPr>
        <w:t> </w:t>
      </w:r>
      <w:r>
        <w:rPr>
          <w:spacing w:val="-2"/>
          <w:w w:val="100"/>
        </w:rPr>
        <w:t>日报告之后发生的相关政</w:t>
      </w:r>
      <w:r>
        <w:rPr>
          <w:w w:val="100"/>
        </w:rPr>
        <w:t> </w:t>
      </w:r>
      <w:r>
        <w:rPr/>
        <w:t>府补贴直接在其他收益中列示）在其他收益中列示，不在营业外收入中列示；</w:t>
      </w:r>
      <w:r>
        <w:rPr>
          <w:w w:val="100"/>
        </w:rPr>
        <w:t> </w:t>
      </w:r>
      <w:r>
        <w:rPr>
          <w:rFonts w:ascii="宋体" w:hAnsi="宋体" w:cs="宋体" w:eastAsia="宋体" w:hint="default"/>
        </w:rPr>
        <w:t>B.</w:t>
      </w:r>
      <w:r>
        <w:rPr/>
        <w:t>根据《关于修订印发一般企业财务报表格式的通知》（财会</w:t>
      </w:r>
      <w:r>
        <w:rPr>
          <w:rFonts w:ascii="宋体" w:hAnsi="宋体" w:cs="宋体" w:eastAsia="宋体" w:hint="default"/>
        </w:rPr>
        <w:t>[2017]30</w:t>
      </w:r>
      <w:r>
        <w:rPr>
          <w:rFonts w:ascii="宋体" w:hAnsi="宋体" w:cs="宋体" w:eastAsia="宋体" w:hint="default"/>
          <w:spacing w:val="-55"/>
        </w:rPr>
        <w:t> </w:t>
      </w:r>
      <w:r>
        <w:rPr/>
        <w:t>号），本公司</w:t>
      </w:r>
      <w:r>
        <w:rPr>
          <w:spacing w:val="-54"/>
        </w:rPr>
        <w:t> </w:t>
      </w:r>
      <w:r>
        <w:rPr>
          <w:rFonts w:ascii="宋体" w:hAnsi="宋体" w:cs="宋体" w:eastAsia="宋体" w:hint="default"/>
        </w:rPr>
        <w:t>2016</w:t>
      </w:r>
      <w:r>
        <w:rPr>
          <w:rFonts w:ascii="宋体" w:hAnsi="宋体" w:cs="宋体" w:eastAsia="宋体" w:hint="default"/>
          <w:spacing w:val="-57"/>
        </w:rPr>
        <w:t> </w:t>
      </w:r>
      <w:r>
        <w:rPr/>
        <w:t>年度</w:t>
      </w:r>
      <w:r>
        <w:rPr>
          <w:w w:val="100"/>
        </w:rPr>
        <w:t> </w:t>
      </w:r>
      <w:r>
        <w:rPr>
          <w:spacing w:val="-2"/>
          <w:w w:val="100"/>
        </w:rPr>
        <w:t>处置未划分为持有待售的固定资产而产生的处置利得</w:t>
      </w:r>
      <w:r>
        <w:rPr>
          <w:spacing w:val="-45"/>
          <w:w w:val="100"/>
        </w:rPr>
        <w:t> </w:t>
      </w:r>
      <w:r>
        <w:rPr>
          <w:rFonts w:ascii="宋体" w:hAnsi="宋体" w:cs="宋体" w:eastAsia="宋体" w:hint="default"/>
          <w:spacing w:val="-1"/>
          <w:w w:val="100"/>
        </w:rPr>
        <w:t>7,610.98</w:t>
      </w:r>
      <w:r>
        <w:rPr>
          <w:rFonts w:ascii="宋体" w:hAnsi="宋体" w:cs="宋体" w:eastAsia="宋体" w:hint="default"/>
          <w:spacing w:val="-45"/>
          <w:w w:val="100"/>
        </w:rPr>
        <w:t> </w:t>
      </w:r>
      <w:r>
        <w:rPr>
          <w:spacing w:val="-8"/>
          <w:w w:val="100"/>
        </w:rPr>
        <w:t>元将在资产处置收益中列示，不在</w:t>
      </w:r>
      <w:r>
        <w:rPr>
          <w:spacing w:val="-102"/>
          <w:w w:val="100"/>
        </w:rPr>
        <w:t> </w:t>
      </w:r>
      <w:r>
        <w:rPr>
          <w:spacing w:val="-102"/>
          <w:w w:val="100"/>
        </w:rPr>
      </w:r>
      <w:r>
        <w:rPr/>
        <w:t>营业外收入中列示。</w:t>
      </w:r>
      <w:r>
        <w:rPr>
          <w:rFonts w:ascii="宋体" w:hAnsi="宋体" w:cs="宋体" w:eastAsia="宋体" w:hint="default"/>
        </w:rPr>
        <w:t>2017</w:t>
      </w:r>
      <w:r>
        <w:rPr>
          <w:rFonts w:ascii="宋体" w:hAnsi="宋体" w:cs="宋体" w:eastAsia="宋体" w:hint="default"/>
          <w:spacing w:val="-57"/>
        </w:rPr>
        <w:t> </w:t>
      </w:r>
      <w:r>
        <w:rPr/>
        <w:t>年度不涉及上述处置利得及损失。</w:t>
      </w:r>
    </w:p>
    <w:p>
      <w:pPr>
        <w:pStyle w:val="BodyText"/>
        <w:spacing w:line="237" w:lineRule="auto"/>
        <w:ind w:right="236"/>
        <w:jc w:val="left"/>
      </w:pPr>
      <w:r>
        <w:rPr>
          <w:rFonts w:ascii="宋体" w:hAnsi="宋体" w:cs="宋体" w:eastAsia="宋体" w:hint="default"/>
        </w:rPr>
        <w:t>C.</w:t>
      </w:r>
      <w:r>
        <w:rPr/>
        <w:t>根据</w:t>
      </w:r>
      <w:r>
        <w:rPr>
          <w:spacing w:val="-4"/>
        </w:rPr>
        <w:t> </w:t>
      </w:r>
      <w:r>
        <w:rPr/>
        <w:t>《企业会计准则第</w:t>
      </w:r>
      <w:r>
        <w:rPr>
          <w:spacing w:val="-53"/>
        </w:rPr>
        <w:t> </w:t>
      </w:r>
      <w:r>
        <w:rPr>
          <w:rFonts w:ascii="宋体" w:hAnsi="宋体" w:cs="宋体" w:eastAsia="宋体" w:hint="default"/>
        </w:rPr>
        <w:t>42</w:t>
      </w:r>
      <w:r>
        <w:rPr>
          <w:rFonts w:ascii="宋体" w:hAnsi="宋体" w:cs="宋体" w:eastAsia="宋体" w:hint="default"/>
          <w:spacing w:val="-56"/>
        </w:rPr>
        <w:t> </w:t>
      </w:r>
      <w:r>
        <w:rPr/>
        <w:t>号——持有待售的非流动资产、处置组和终止经营》要求，公司在</w:t>
      </w:r>
      <w:r>
        <w:rPr>
          <w:w w:val="100"/>
        </w:rPr>
        <w:t> </w:t>
      </w:r>
      <w:r>
        <w:rPr>
          <w:spacing w:val="-2"/>
        </w:rPr>
        <w:t>合并利润表和利润表中分别列示持续经营损益和终止经营损益等，对比较报表的列报进行了相应</w:t>
      </w:r>
      <w:r>
        <w:rPr>
          <w:spacing w:val="-25"/>
        </w:rPr>
        <w:t> </w:t>
      </w:r>
      <w:r>
        <w:rPr>
          <w:spacing w:val="-25"/>
        </w:rPr>
      </w:r>
      <w:r>
        <w:rPr/>
        <w:t>调整。公司</w:t>
      </w:r>
      <w:r>
        <w:rPr>
          <w:spacing w:val="-54"/>
        </w:rPr>
        <w:t> </w:t>
      </w:r>
      <w:r>
        <w:rPr>
          <w:rFonts w:ascii="宋体" w:hAnsi="宋体" w:cs="宋体" w:eastAsia="宋体" w:hint="default"/>
        </w:rPr>
        <w:t>2017</w:t>
      </w:r>
      <w:r>
        <w:rPr>
          <w:rFonts w:ascii="宋体" w:hAnsi="宋体" w:cs="宋体" w:eastAsia="宋体" w:hint="default"/>
          <w:spacing w:val="-54"/>
        </w:rPr>
        <w:t> </w:t>
      </w:r>
      <w:r>
        <w:rPr/>
        <w:t>年度及</w:t>
      </w:r>
      <w:r>
        <w:rPr>
          <w:spacing w:val="-56"/>
        </w:rPr>
        <w:t> </w:t>
      </w:r>
      <w:r>
        <w:rPr>
          <w:rFonts w:ascii="宋体" w:hAnsi="宋体" w:cs="宋体" w:eastAsia="宋体" w:hint="default"/>
        </w:rPr>
        <w:t>2016</w:t>
      </w:r>
      <w:r>
        <w:rPr>
          <w:rFonts w:ascii="宋体" w:hAnsi="宋体" w:cs="宋体" w:eastAsia="宋体" w:hint="default"/>
          <w:spacing w:val="-54"/>
        </w:rPr>
        <w:t> </w:t>
      </w:r>
      <w:r>
        <w:rPr/>
        <w:t>年度均不存在终止经营损益，所有损益均为持续经营损益。</w:t>
      </w:r>
      <w:r>
        <w:rPr>
          <w:w w:val="100"/>
        </w:rPr>
        <w:t> </w:t>
      </w:r>
      <w:r>
        <w:rPr>
          <w:rFonts w:ascii="宋体" w:hAnsi="宋体" w:cs="宋体" w:eastAsia="宋体" w:hint="default"/>
          <w:spacing w:val="-2"/>
        </w:rPr>
        <w:t>D.</w:t>
      </w:r>
      <w:r>
        <w:rPr>
          <w:spacing w:val="-2"/>
        </w:rPr>
        <w:t>上述会计政策变更导致的影响均为利润表列示项目之间的重分类，不影响期末（当期）及比较</w:t>
      </w:r>
      <w:r>
        <w:rPr>
          <w:spacing w:val="-24"/>
        </w:rPr>
        <w:t> </w:t>
      </w:r>
      <w:r>
        <w:rPr>
          <w:spacing w:val="-24"/>
        </w:rPr>
      </w:r>
      <w:r>
        <w:rPr/>
        <w:t>报表的净利润、其他综合收益、资本公积、净资产、留存收益等。</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3"/>
        <w:spacing w:line="240" w:lineRule="auto"/>
        <w:ind w:right="2757"/>
        <w:jc w:val="left"/>
        <w:rPr>
          <w:b w:val="0"/>
          <w:bCs w:val="0"/>
        </w:rPr>
      </w:pPr>
      <w:r>
        <w:rPr>
          <w:rFonts w:ascii="宋体" w:hAnsi="宋体" w:cs="宋体" w:eastAsia="宋体" w:hint="default"/>
        </w:rPr>
        <w:t>(2)</w:t>
      </w:r>
      <w:r>
        <w:rPr/>
        <w:t>、重要会计估计变更</w:t>
      </w:r>
      <w:r>
        <w:rPr>
          <w:b w:val="0"/>
          <w:bCs w:val="0"/>
        </w:rPr>
      </w:r>
    </w:p>
    <w:p>
      <w:pPr>
        <w:pStyle w:val="BodyText"/>
        <w:spacing w:line="240" w:lineRule="auto" w:before="58"/>
        <w:ind w:right="2757"/>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3"/>
        <w:spacing w:line="240" w:lineRule="auto"/>
        <w:ind w:right="2757"/>
        <w:jc w:val="left"/>
        <w:rPr>
          <w:b w:val="0"/>
          <w:bCs w:val="0"/>
        </w:rPr>
      </w:pPr>
      <w:r>
        <w:rPr>
          <w:rFonts w:ascii="宋体" w:hAnsi="宋体" w:cs="宋体" w:eastAsia="宋体" w:hint="default"/>
        </w:rPr>
        <w:t>34.</w:t>
      </w:r>
      <w:r>
        <w:rPr>
          <w:rFonts w:ascii="宋体" w:hAnsi="宋体" w:cs="宋体" w:eastAsia="宋体" w:hint="default"/>
          <w:spacing w:val="2"/>
        </w:rPr>
        <w:t> </w:t>
      </w:r>
      <w:r>
        <w:rPr/>
        <w:t>其他</w:t>
      </w:r>
      <w:r>
        <w:rPr>
          <w:b w:val="0"/>
          <w:bCs w:val="0"/>
        </w:rPr>
      </w:r>
    </w:p>
    <w:p>
      <w:pPr>
        <w:pStyle w:val="BodyText"/>
        <w:tabs>
          <w:tab w:pos="1060" w:val="left" w:leader="none"/>
        </w:tabs>
        <w:spacing w:line="240" w:lineRule="auto" w:before="58"/>
        <w:ind w:right="2757"/>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3"/>
        <w:spacing w:line="240" w:lineRule="auto"/>
        <w:ind w:right="2757"/>
        <w:jc w:val="left"/>
        <w:rPr>
          <w:b w:val="0"/>
          <w:bCs w:val="0"/>
        </w:rPr>
      </w:pPr>
      <w:r>
        <w:rPr/>
        <w:t>六、税项</w:t>
      </w:r>
      <w:r>
        <w:rPr>
          <w:b w:val="0"/>
          <w:bCs w:val="0"/>
        </w:rPr>
      </w:r>
    </w:p>
    <w:p>
      <w:pPr>
        <w:tabs>
          <w:tab w:pos="642" w:val="left" w:leader="none"/>
        </w:tabs>
        <w:spacing w:line="290" w:lineRule="auto" w:before="56"/>
        <w:ind w:left="218" w:right="7163" w:firstLine="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主要税种及税率</w:t>
      </w:r>
      <w:r>
        <w:rPr>
          <w:rFonts w:ascii="宋体" w:hAnsi="宋体" w:cs="宋体" w:eastAsia="宋体" w:hint="default"/>
          <w:b/>
          <w:bCs/>
          <w:spacing w:val="-104"/>
          <w:sz w:val="21"/>
          <w:szCs w:val="21"/>
        </w:rPr>
        <w:t> </w:t>
      </w:r>
      <w:r>
        <w:rPr>
          <w:rFonts w:ascii="宋体" w:hAnsi="宋体" w:cs="宋体" w:eastAsia="宋体" w:hint="default"/>
          <w:sz w:val="21"/>
          <w:szCs w:val="21"/>
        </w:rPr>
        <w:t>主要税种及税率情况</w:t>
      </w:r>
    </w:p>
    <w:p>
      <w:pPr>
        <w:pStyle w:val="BodyText"/>
        <w:tabs>
          <w:tab w:pos="1060" w:val="left" w:leader="none"/>
        </w:tabs>
        <w:spacing w:line="227" w:lineRule="exact"/>
        <w:ind w:right="2757"/>
        <w:jc w:val="left"/>
      </w:pPr>
      <w:r>
        <w:rPr/>
        <w:t>√适用</w:t>
        <w:tab/>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782"/>
        <w:gridCol w:w="3147"/>
        <w:gridCol w:w="3121"/>
      </w:tblGrid>
      <w:tr>
        <w:trPr>
          <w:trHeight w:val="281"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283"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应税收入</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17%</w:t>
            </w:r>
            <w:r>
              <w:rPr>
                <w:rFonts w:ascii="宋体" w:hAnsi="宋体" w:cs="宋体" w:eastAsia="宋体" w:hint="default"/>
                <w:sz w:val="21"/>
                <w:szCs w:val="21"/>
              </w:rPr>
              <w:t>、</w:t>
            </w:r>
            <w:r>
              <w:rPr>
                <w:rFonts w:ascii="宋体" w:hAnsi="宋体" w:cs="宋体" w:eastAsia="宋体" w:hint="default"/>
                <w:sz w:val="21"/>
                <w:szCs w:val="21"/>
              </w:rPr>
              <w:t>6%</w:t>
            </w:r>
          </w:p>
        </w:tc>
      </w:tr>
      <w:tr>
        <w:trPr>
          <w:trHeight w:val="283"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应纳流转税额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z w:val="21"/>
                <w:szCs w:val="21"/>
              </w:rPr>
              <w:t>、</w:t>
            </w:r>
            <w:r>
              <w:rPr>
                <w:rFonts w:ascii="宋体" w:hAnsi="宋体" w:cs="宋体" w:eastAsia="宋体" w:hint="default"/>
                <w:sz w:val="21"/>
                <w:szCs w:val="21"/>
              </w:rPr>
              <w:t>1%</w:t>
            </w:r>
          </w:p>
        </w:tc>
      </w:tr>
      <w:tr>
        <w:trPr>
          <w:trHeight w:val="281"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应纳税所得额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25%</w:t>
            </w:r>
            <w:r>
              <w:rPr>
                <w:rFonts w:ascii="宋体" w:hAnsi="宋体" w:cs="宋体" w:eastAsia="宋体" w:hint="default"/>
                <w:sz w:val="21"/>
                <w:szCs w:val="21"/>
              </w:rPr>
              <w:t>、</w:t>
            </w:r>
            <w:r>
              <w:rPr>
                <w:rFonts w:ascii="宋体" w:hAnsi="宋体" w:cs="宋体" w:eastAsia="宋体" w:hint="default"/>
                <w:sz w:val="21"/>
                <w:szCs w:val="21"/>
              </w:rPr>
              <w:t>15%</w:t>
            </w:r>
            <w:r>
              <w:rPr>
                <w:rFonts w:ascii="宋体" w:hAnsi="宋体" w:cs="宋体" w:eastAsia="宋体" w:hint="default"/>
                <w:sz w:val="21"/>
                <w:szCs w:val="21"/>
              </w:rPr>
              <w:t>、</w:t>
            </w:r>
            <w:r>
              <w:rPr>
                <w:rFonts w:ascii="宋体" w:hAnsi="宋体" w:cs="宋体" w:eastAsia="宋体" w:hint="default"/>
                <w:sz w:val="21"/>
                <w:szCs w:val="21"/>
              </w:rPr>
              <w:t>10%</w:t>
            </w:r>
          </w:p>
        </w:tc>
      </w:tr>
      <w:tr>
        <w:trPr>
          <w:trHeight w:val="283"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应纳流转税额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3%</w:t>
            </w:r>
          </w:p>
        </w:tc>
      </w:tr>
      <w:tr>
        <w:trPr>
          <w:trHeight w:val="283"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地方教育费附加</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应纳流转税额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1.5%</w:t>
            </w:r>
          </w:p>
        </w:tc>
      </w:tr>
    </w:tbl>
    <w:p>
      <w:pPr>
        <w:spacing w:line="240" w:lineRule="auto" w:before="5"/>
        <w:rPr>
          <w:rFonts w:ascii="宋体" w:hAnsi="宋体" w:cs="宋体" w:eastAsia="宋体" w:hint="default"/>
          <w:sz w:val="15"/>
          <w:szCs w:val="15"/>
        </w:rPr>
      </w:pPr>
    </w:p>
    <w:p>
      <w:pPr>
        <w:pStyle w:val="BodyText"/>
        <w:spacing w:line="274" w:lineRule="exact" w:before="36"/>
        <w:ind w:right="2757"/>
        <w:jc w:val="left"/>
      </w:pPr>
      <w:r>
        <w:rPr/>
        <w:t>存在不同企业所得税税率纳税主体的，披露情况说明</w:t>
      </w:r>
    </w:p>
    <w:p>
      <w:pPr>
        <w:pStyle w:val="BodyText"/>
        <w:tabs>
          <w:tab w:pos="1060" w:val="left" w:leader="none"/>
        </w:tabs>
        <w:spacing w:line="274" w:lineRule="exact"/>
        <w:ind w:right="2757"/>
        <w:jc w:val="left"/>
      </w:pPr>
      <w:r>
        <w:rPr>
          <w:spacing w:val="-1"/>
        </w:rPr>
        <w:t>√适用</w:t>
        <w:tab/>
      </w:r>
      <w:r>
        <w:rPr>
          <w:spacing w:val="-2"/>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604"/>
        <w:gridCol w:w="4446"/>
      </w:tblGrid>
      <w:tr>
        <w:trPr>
          <w:trHeight w:val="286" w:hRule="exact"/>
        </w:trPr>
        <w:tc>
          <w:tcPr>
            <w:tcW w:w="4604"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纳税主体名称</w:t>
            </w:r>
          </w:p>
        </w:tc>
        <w:tc>
          <w:tcPr>
            <w:tcW w:w="4446" w:type="dxa"/>
            <w:tcBorders>
              <w:top w:val="single" w:sz="4" w:space="0" w:color="000000"/>
              <w:left w:val="single" w:sz="6" w:space="0" w:color="000000"/>
              <w:bottom w:val="single" w:sz="6" w:space="0" w:color="000000"/>
              <w:right w:val="single" w:sz="4" w:space="0" w:color="000000"/>
            </w:tcBorders>
          </w:tcPr>
          <w:p>
            <w:pPr>
              <w:pStyle w:val="TableParagraph"/>
              <w:spacing w:line="241" w:lineRule="exact"/>
              <w:ind w:left="1426" w:right="0"/>
              <w:jc w:val="left"/>
              <w:rPr>
                <w:rFonts w:ascii="宋体" w:hAnsi="宋体" w:cs="宋体" w:eastAsia="宋体" w:hint="default"/>
                <w:sz w:val="21"/>
                <w:szCs w:val="21"/>
              </w:rPr>
            </w:pPr>
            <w:r>
              <w:rPr>
                <w:rFonts w:ascii="宋体" w:hAnsi="宋体" w:cs="宋体" w:eastAsia="宋体" w:hint="default"/>
                <w:sz w:val="21"/>
                <w:szCs w:val="21"/>
              </w:rPr>
              <w:t>所得税税率（</w:t>
            </w:r>
            <w:r>
              <w:rPr>
                <w:rFonts w:ascii="宋体" w:hAnsi="宋体" w:cs="宋体" w:eastAsia="宋体" w:hint="default"/>
                <w:sz w:val="21"/>
                <w:szCs w:val="21"/>
              </w:rPr>
              <w:t>%</w:t>
            </w:r>
            <w:r>
              <w:rPr>
                <w:rFonts w:ascii="宋体" w:hAnsi="宋体" w:cs="宋体" w:eastAsia="宋体" w:hint="default"/>
                <w:sz w:val="21"/>
                <w:szCs w:val="21"/>
              </w:rPr>
              <w:t>）</w:t>
            </w:r>
          </w:p>
        </w:tc>
      </w:tr>
      <w:tr>
        <w:trPr>
          <w:trHeight w:val="28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福建顶点软件股份有限公司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福州顶点数码科技有限公司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15</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北京顶点时代软件技术有限公司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福州顶点信息管理有限公司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w:t>
            </w:r>
          </w:p>
        </w:tc>
      </w:tr>
      <w:tr>
        <w:trPr>
          <w:trHeight w:val="28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上海顶点软件有限公司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25</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武汉顶点软件有限公司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15</w:t>
            </w:r>
          </w:p>
        </w:tc>
      </w:tr>
      <w:tr>
        <w:trPr>
          <w:trHeight w:val="286" w:hRule="exact"/>
        </w:trPr>
        <w:tc>
          <w:tcPr>
            <w:tcW w:w="4604"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上海亿维航软件有限公司</w:t>
            </w:r>
          </w:p>
        </w:tc>
        <w:tc>
          <w:tcPr>
            <w:tcW w:w="4446"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25</w:t>
            </w:r>
          </w:p>
        </w:tc>
      </w:tr>
    </w:tbl>
    <w:p>
      <w:pPr>
        <w:spacing w:after="0" w:line="241" w:lineRule="exact"/>
        <w:jc w:val="right"/>
        <w:rPr>
          <w:rFonts w:ascii="宋体" w:hAnsi="宋体" w:cs="宋体" w:eastAsia="宋体" w:hint="default"/>
          <w:sz w:val="21"/>
          <w:szCs w:val="21"/>
        </w:rPr>
        <w:sectPr>
          <w:pgSz w:w="11910" w:h="16840"/>
          <w:pgMar w:header="857" w:footer="1195" w:top="1320" w:bottom="1380" w:left="1580" w:right="1040"/>
        </w:sectPr>
      </w:pPr>
    </w:p>
    <w:p>
      <w:pPr>
        <w:spacing w:line="240" w:lineRule="auto" w:before="4"/>
        <w:rPr>
          <w:rFonts w:ascii="宋体" w:hAnsi="宋体" w:cs="宋体" w:eastAsia="宋体" w:hint="default"/>
          <w:sz w:val="9"/>
          <w:szCs w:val="9"/>
        </w:rPr>
      </w:pPr>
    </w:p>
    <w:p>
      <w:pPr>
        <w:pStyle w:val="Heading3"/>
        <w:tabs>
          <w:tab w:pos="562" w:val="left" w:leader="none"/>
        </w:tabs>
        <w:spacing w:line="240" w:lineRule="auto" w:before="36"/>
        <w:ind w:left="138" w:right="0"/>
        <w:jc w:val="left"/>
        <w:rPr>
          <w:b w:val="0"/>
          <w:bCs w:val="0"/>
        </w:rPr>
      </w:pPr>
      <w:r>
        <w:rPr>
          <w:rFonts w:ascii="宋体" w:hAnsi="宋体" w:cs="宋体" w:eastAsia="宋体" w:hint="default"/>
          <w:w w:val="95"/>
        </w:rPr>
        <w:t>2.</w:t>
        <w:tab/>
      </w:r>
      <w:r>
        <w:rPr/>
        <w:t>税收优惠</w:t>
      </w:r>
      <w:r>
        <w:rPr>
          <w:b w:val="0"/>
          <w:bCs w:val="0"/>
        </w:rPr>
      </w:r>
    </w:p>
    <w:p>
      <w:pPr>
        <w:pStyle w:val="BodyText"/>
        <w:tabs>
          <w:tab w:pos="980" w:val="left" w:leader="none"/>
        </w:tabs>
        <w:spacing w:line="273" w:lineRule="exact" w:before="58"/>
        <w:ind w:left="138" w:right="0"/>
        <w:jc w:val="left"/>
      </w:pPr>
      <w:r>
        <w:rPr>
          <w:spacing w:val="-1"/>
        </w:rPr>
        <w:t>√适用</w:t>
        <w:tab/>
      </w:r>
      <w:r>
        <w:rPr>
          <w:spacing w:val="-2"/>
        </w:rPr>
        <w:t>□不适用</w:t>
      </w:r>
    </w:p>
    <w:p>
      <w:pPr>
        <w:pStyle w:val="BodyText"/>
        <w:spacing w:line="272" w:lineRule="exact"/>
        <w:ind w:left="138" w:right="0"/>
        <w:jc w:val="left"/>
      </w:pPr>
      <w:r>
        <w:rPr/>
        <w:t>（</w:t>
      </w:r>
      <w:r>
        <w:rPr>
          <w:rFonts w:ascii="宋体" w:hAnsi="宋体" w:cs="宋体" w:eastAsia="宋体" w:hint="default"/>
        </w:rPr>
        <w:t>1</w:t>
      </w:r>
      <w:r>
        <w:rPr/>
        <w:t>）增值税</w:t>
      </w:r>
    </w:p>
    <w:p>
      <w:pPr>
        <w:pStyle w:val="BodyText"/>
        <w:spacing w:line="237" w:lineRule="auto" w:before="2"/>
        <w:ind w:left="138" w:right="207"/>
        <w:jc w:val="both"/>
      </w:pPr>
      <w:r>
        <w:rPr/>
        <w:t>根据《财政部、国家税务总局关于软件产品增值税政策的通知》（财税</w:t>
      </w:r>
      <w:r>
        <w:rPr>
          <w:rFonts w:ascii="宋体" w:hAnsi="宋体" w:cs="宋体" w:eastAsia="宋体" w:hint="default"/>
        </w:rPr>
        <w:t>[2011]100</w:t>
      </w:r>
      <w:r>
        <w:rPr>
          <w:rFonts w:ascii="宋体" w:hAnsi="宋体" w:cs="宋体" w:eastAsia="宋体" w:hint="default"/>
          <w:spacing w:val="-57"/>
        </w:rPr>
        <w:t> </w:t>
      </w:r>
      <w:r>
        <w:rPr/>
        <w:t>号），增值税</w:t>
      </w:r>
      <w:r>
        <w:rPr>
          <w:w w:val="100"/>
        </w:rPr>
        <w:t> </w:t>
      </w:r>
      <w:r>
        <w:rPr>
          <w:spacing w:val="-3"/>
        </w:rPr>
        <w:t>一般纳税人销售其自行开发生产的软件产品，按 </w:t>
      </w:r>
      <w:r>
        <w:rPr>
          <w:rFonts w:ascii="宋体" w:hAnsi="宋体" w:cs="宋体" w:eastAsia="宋体" w:hint="default"/>
          <w:spacing w:val="-3"/>
        </w:rPr>
        <w:t>17</w:t>
      </w:r>
      <w:r>
        <w:rPr>
          <w:spacing w:val="-3"/>
        </w:rPr>
        <w:t>％税率征收增值税后，对其增值税实际税负超</w:t>
      </w:r>
      <w:r>
        <w:rPr>
          <w:spacing w:val="-73"/>
        </w:rPr>
        <w:t> </w:t>
      </w:r>
      <w:r>
        <w:rPr>
          <w:spacing w:val="-73"/>
        </w:rPr>
      </w:r>
      <w:r>
        <w:rPr/>
        <w:t>过</w:t>
      </w:r>
      <w:r>
        <w:rPr>
          <w:spacing w:val="-54"/>
        </w:rPr>
        <w:t> </w:t>
      </w:r>
      <w:r>
        <w:rPr>
          <w:rFonts w:ascii="宋体" w:hAnsi="宋体" w:cs="宋体" w:eastAsia="宋体" w:hint="default"/>
        </w:rPr>
        <w:t>3</w:t>
      </w:r>
      <w:r>
        <w:rPr/>
        <w:t>％的部分实行即征即退政策。</w:t>
      </w:r>
    </w:p>
    <w:p>
      <w:pPr>
        <w:pStyle w:val="BodyText"/>
        <w:spacing w:line="271" w:lineRule="exact"/>
        <w:ind w:left="138" w:right="0"/>
        <w:jc w:val="left"/>
      </w:pPr>
      <w:r>
        <w:rPr/>
        <w:t>（</w:t>
      </w:r>
      <w:r>
        <w:rPr>
          <w:rFonts w:ascii="宋体" w:hAnsi="宋体" w:cs="宋体" w:eastAsia="宋体" w:hint="default"/>
        </w:rPr>
        <w:t>2</w:t>
      </w:r>
      <w:r>
        <w:rPr/>
        <w:t>）企业所得税</w:t>
      </w:r>
    </w:p>
    <w:p>
      <w:pPr>
        <w:pStyle w:val="BodyText"/>
        <w:spacing w:line="237" w:lineRule="auto" w:before="2"/>
        <w:ind w:left="138" w:right="0"/>
        <w:jc w:val="left"/>
      </w:pPr>
      <w:r>
        <w:rPr/>
        <w:t>①高新技术企业所得税优惠</w:t>
      </w:r>
      <w:r>
        <w:rPr>
          <w:w w:val="100"/>
        </w:rPr>
        <w:t> </w:t>
      </w:r>
      <w:r>
        <w:rPr>
          <w:spacing w:val="-2"/>
        </w:rPr>
        <w:t>本公司及其全资子公司顶点数码公司、北京顶点公司、武汉顶点公司、控股子公司顶点信息公司</w:t>
      </w:r>
      <w:r>
        <w:rPr>
          <w:spacing w:val="-26"/>
        </w:rPr>
        <w:t> </w:t>
      </w:r>
      <w:r>
        <w:rPr>
          <w:spacing w:val="-26"/>
        </w:rPr>
      </w:r>
      <w:r>
        <w:rPr/>
        <w:t>均取得高新技术企业证书，</w:t>
      </w:r>
      <w:r>
        <w:rPr>
          <w:spacing w:val="-40"/>
        </w:rPr>
        <w:t> </w:t>
      </w:r>
      <w:r>
        <w:rPr>
          <w:rFonts w:ascii="宋体" w:hAnsi="宋体" w:cs="宋体" w:eastAsia="宋体" w:hint="default"/>
        </w:rPr>
        <w:t>2017</w:t>
      </w:r>
      <w:r>
        <w:rPr>
          <w:rFonts w:ascii="宋体" w:hAnsi="宋体" w:cs="宋体" w:eastAsia="宋体" w:hint="default"/>
          <w:spacing w:val="-51"/>
        </w:rPr>
        <w:t> </w:t>
      </w:r>
      <w:r>
        <w:rPr/>
        <w:t>年度可享受高新技术企业</w:t>
      </w:r>
      <w:r>
        <w:rPr>
          <w:spacing w:val="-48"/>
        </w:rPr>
        <w:t> </w:t>
      </w:r>
      <w:r>
        <w:rPr>
          <w:rFonts w:ascii="宋体" w:hAnsi="宋体" w:cs="宋体" w:eastAsia="宋体" w:hint="default"/>
          <w:spacing w:val="-4"/>
        </w:rPr>
        <w:t>15%</w:t>
      </w:r>
      <w:r>
        <w:rPr>
          <w:spacing w:val="-4"/>
        </w:rPr>
        <w:t>的企业所得税优惠税率。证书相关</w:t>
      </w:r>
      <w:r>
        <w:rPr>
          <w:spacing w:val="-103"/>
        </w:rPr>
        <w:t> </w:t>
      </w:r>
      <w:r>
        <w:rPr>
          <w:spacing w:val="-103"/>
        </w:rPr>
      </w:r>
      <w:r>
        <w:rPr/>
        <w:t>信息如下：</w:t>
      </w:r>
    </w:p>
    <w:p>
      <w:pPr>
        <w:spacing w:line="240" w:lineRule="auto" w:before="7"/>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3262"/>
        <w:gridCol w:w="2662"/>
        <w:gridCol w:w="2866"/>
      </w:tblGrid>
      <w:tr>
        <w:trPr>
          <w:trHeight w:val="281"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高新技术企业证书编号</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证书有效期</w:t>
            </w:r>
          </w:p>
        </w:tc>
      </w:tr>
      <w:tr>
        <w:trPr>
          <w:trHeight w:val="284"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福建顶点软件股份有限公司</w:t>
            </w: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GR201735000556</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2017.11.30-2020.11.30</w:t>
            </w:r>
          </w:p>
        </w:tc>
      </w:tr>
      <w:tr>
        <w:trPr>
          <w:trHeight w:val="283"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福州顶点数码科技有限公司</w:t>
            </w: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GR201735000513</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2017.11.30-2020.11.30</w:t>
            </w:r>
          </w:p>
        </w:tc>
      </w:tr>
      <w:tr>
        <w:trPr>
          <w:trHeight w:val="281"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北京顶点时代软件技术有限公司</w:t>
            </w: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GR201711004300</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2017.10.25-2020.10.25</w:t>
            </w:r>
          </w:p>
        </w:tc>
      </w:tr>
      <w:tr>
        <w:trPr>
          <w:trHeight w:val="283"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福州顶点信息管理有限公司</w:t>
            </w: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GR201735000089</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2017.10.23-2020.10.23</w:t>
            </w:r>
          </w:p>
        </w:tc>
      </w:tr>
      <w:tr>
        <w:trPr>
          <w:trHeight w:val="283"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武汉顶点软件有限公司</w:t>
            </w: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GR201642001287</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2016.12.13-2019.12.13</w:t>
            </w:r>
          </w:p>
        </w:tc>
      </w:tr>
    </w:tbl>
    <w:p>
      <w:pPr>
        <w:pStyle w:val="BodyText"/>
        <w:spacing w:line="272" w:lineRule="exact" w:before="113"/>
        <w:ind w:left="558" w:right="202" w:hanging="420"/>
        <w:jc w:val="left"/>
      </w:pPr>
      <w:r>
        <w:rPr/>
        <w:t>②软件企业所得税优惠</w:t>
      </w:r>
      <w:r>
        <w:rPr>
          <w:w w:val="100"/>
        </w:rPr>
        <w:t> </w:t>
      </w:r>
      <w:r>
        <w:rPr>
          <w:spacing w:val="-6"/>
        </w:rPr>
        <w:t>根据《国务院关于取消和调整一批行政审批项目等事项的决定》（国发〔</w:t>
      </w:r>
      <w:r>
        <w:rPr>
          <w:rFonts w:ascii="宋体" w:hAnsi="宋体" w:cs="宋体" w:eastAsia="宋体" w:hint="default"/>
          <w:spacing w:val="-6"/>
        </w:rPr>
        <w:t>2015</w:t>
      </w:r>
      <w:r>
        <w:rPr>
          <w:spacing w:val="-6"/>
        </w:rPr>
        <w:t>〕</w:t>
      </w:r>
      <w:r>
        <w:rPr>
          <w:rFonts w:ascii="宋体" w:hAnsi="宋体" w:cs="宋体" w:eastAsia="宋体" w:hint="default"/>
          <w:spacing w:val="-6"/>
        </w:rPr>
        <w:t>11</w:t>
      </w:r>
      <w:r>
        <w:rPr>
          <w:rFonts w:ascii="宋体" w:hAnsi="宋体" w:cs="宋体" w:eastAsia="宋体" w:hint="default"/>
          <w:spacing w:val="10"/>
        </w:rPr>
        <w:t> </w:t>
      </w:r>
      <w:r>
        <w:rPr>
          <w:spacing w:val="-17"/>
        </w:rPr>
        <w:t>号）及《国</w:t>
      </w:r>
    </w:p>
    <w:p>
      <w:pPr>
        <w:pStyle w:val="BodyText"/>
        <w:spacing w:line="272" w:lineRule="exact" w:before="1"/>
        <w:ind w:left="138" w:right="0"/>
        <w:jc w:val="left"/>
      </w:pPr>
      <w:r>
        <w:rPr>
          <w:spacing w:val="-3"/>
        </w:rPr>
        <w:t>务院关于取消非行政许可审批事项的决定》（国发〔</w:t>
      </w:r>
      <w:r>
        <w:rPr>
          <w:rFonts w:ascii="宋体" w:hAnsi="宋体" w:cs="宋体" w:eastAsia="宋体" w:hint="default"/>
          <w:spacing w:val="-3"/>
        </w:rPr>
        <w:t>2015</w:t>
      </w:r>
      <w:r>
        <w:rPr>
          <w:spacing w:val="-3"/>
        </w:rPr>
        <w:t>〕</w:t>
      </w:r>
      <w:r>
        <w:rPr>
          <w:rFonts w:ascii="宋体" w:hAnsi="宋体" w:cs="宋体" w:eastAsia="宋体" w:hint="default"/>
          <w:spacing w:val="-3"/>
        </w:rPr>
        <w:t>27 </w:t>
      </w:r>
      <w:r>
        <w:rPr>
          <w:spacing w:val="-3"/>
        </w:rPr>
        <w:t>号）规定，相关部门取消了关于集</w:t>
      </w:r>
      <w:r>
        <w:rPr>
          <w:spacing w:val="-67"/>
        </w:rPr>
        <w:t> </w:t>
      </w:r>
      <w:r>
        <w:rPr>
          <w:spacing w:val="-67"/>
        </w:rPr>
      </w:r>
      <w:r>
        <w:rPr>
          <w:spacing w:val="-2"/>
        </w:rPr>
        <w:t>成电路生产企业、集成电路设计企业、软件企业、国家规划布局内的重点软件企业和集成电路设</w:t>
      </w:r>
    </w:p>
    <w:p>
      <w:pPr>
        <w:pStyle w:val="BodyText"/>
        <w:spacing w:line="272" w:lineRule="exact" w:before="1"/>
        <w:ind w:left="138" w:right="0"/>
        <w:jc w:val="left"/>
      </w:pPr>
      <w:r>
        <w:rPr/>
        <w:t>计企业税收优惠资格认定等的非行政许可审批。本公司</w:t>
      </w:r>
      <w:r>
        <w:rPr>
          <w:spacing w:val="-54"/>
        </w:rPr>
        <w:t> </w:t>
      </w:r>
      <w:r>
        <w:rPr>
          <w:rFonts w:ascii="宋体" w:hAnsi="宋体" w:cs="宋体" w:eastAsia="宋体" w:hint="default"/>
        </w:rPr>
        <w:t>2015</w:t>
      </w:r>
      <w:r>
        <w:rPr>
          <w:rFonts w:ascii="宋体" w:hAnsi="宋体" w:cs="宋体" w:eastAsia="宋体" w:hint="default"/>
          <w:spacing w:val="-56"/>
        </w:rPr>
        <w:t> </w:t>
      </w:r>
      <w:r>
        <w:rPr/>
        <w:t>年度、</w:t>
      </w:r>
      <w:r>
        <w:rPr>
          <w:rFonts w:ascii="宋体" w:hAnsi="宋体" w:cs="宋体" w:eastAsia="宋体" w:hint="default"/>
        </w:rPr>
        <w:t>2016</w:t>
      </w:r>
      <w:r>
        <w:rPr>
          <w:rFonts w:ascii="宋体" w:hAnsi="宋体" w:cs="宋体" w:eastAsia="宋体" w:hint="default"/>
          <w:spacing w:val="-54"/>
        </w:rPr>
        <w:t> </w:t>
      </w:r>
      <w:r>
        <w:rPr/>
        <w:t>年度均符合《财政部、</w:t>
      </w:r>
      <w:r>
        <w:rPr>
          <w:w w:val="100"/>
        </w:rPr>
        <w:t> </w:t>
      </w:r>
      <w:r>
        <w:rPr>
          <w:spacing w:val="-2"/>
        </w:rPr>
        <w:t>国家税务总局、发展改革委、工业化信息部关于软件和集成电路产业企业所得税优惠政策有关问</w:t>
      </w:r>
    </w:p>
    <w:p>
      <w:pPr>
        <w:pStyle w:val="BodyText"/>
        <w:spacing w:line="272" w:lineRule="exact" w:before="2"/>
        <w:ind w:left="138" w:right="108"/>
        <w:jc w:val="left"/>
        <w:rPr>
          <w:rFonts w:ascii="宋体" w:hAnsi="宋体" w:cs="宋体" w:eastAsia="宋体" w:hint="default"/>
        </w:rPr>
      </w:pPr>
      <w:r>
        <w:rPr>
          <w:spacing w:val="-3"/>
        </w:rPr>
        <w:t>题的通知》（财税［</w:t>
      </w:r>
      <w:r>
        <w:rPr>
          <w:rFonts w:ascii="宋体" w:hAnsi="宋体" w:cs="宋体" w:eastAsia="宋体" w:hint="default"/>
          <w:spacing w:val="-3"/>
        </w:rPr>
        <w:t>2016</w:t>
      </w:r>
      <w:r>
        <w:rPr>
          <w:spacing w:val="-3"/>
        </w:rPr>
        <w:t>］</w:t>
      </w:r>
      <w:r>
        <w:rPr>
          <w:rFonts w:ascii="宋体" w:hAnsi="宋体" w:cs="宋体" w:eastAsia="宋体" w:hint="default"/>
          <w:spacing w:val="-3"/>
        </w:rPr>
        <w:t>49</w:t>
      </w:r>
      <w:r>
        <w:rPr>
          <w:rFonts w:ascii="宋体" w:hAnsi="宋体" w:cs="宋体" w:eastAsia="宋体" w:hint="default"/>
          <w:spacing w:val="-54"/>
        </w:rPr>
        <w:t> </w:t>
      </w:r>
      <w:r>
        <w:rPr/>
        <w:t>号）规定的国家规划布局内重点软件企业的条件，享受企业所得税</w:t>
      </w:r>
      <w:r>
        <w:rPr>
          <w:w w:val="100"/>
        </w:rPr>
        <w:t> </w:t>
      </w:r>
      <w:r>
        <w:rPr/>
        <w:t>按</w:t>
      </w:r>
      <w:r>
        <w:rPr>
          <w:spacing w:val="-38"/>
        </w:rPr>
        <w:t> </w:t>
      </w:r>
      <w:r>
        <w:rPr>
          <w:rFonts w:ascii="宋体" w:hAnsi="宋体" w:cs="宋体" w:eastAsia="宋体" w:hint="default"/>
        </w:rPr>
        <w:t>10%</w:t>
      </w:r>
      <w:r>
        <w:rPr/>
        <w:t>税率计提缴纳。经逐条对照，预计</w:t>
      </w:r>
      <w:r>
        <w:rPr>
          <w:spacing w:val="-38"/>
        </w:rPr>
        <w:t> </w:t>
      </w:r>
      <w:r>
        <w:rPr>
          <w:rFonts w:ascii="宋体" w:hAnsi="宋体" w:cs="宋体" w:eastAsia="宋体" w:hint="default"/>
        </w:rPr>
        <w:t>2017</w:t>
      </w:r>
      <w:r>
        <w:rPr>
          <w:rFonts w:ascii="宋体" w:hAnsi="宋体" w:cs="宋体" w:eastAsia="宋体" w:hint="default"/>
          <w:spacing w:val="-34"/>
        </w:rPr>
        <w:t> </w:t>
      </w:r>
      <w:r>
        <w:rPr/>
        <w:t>年度符合《财政部、国家税务总局、发展改革委、</w:t>
      </w:r>
      <w:r>
        <w:rPr>
          <w:spacing w:val="-100"/>
        </w:rPr>
        <w:t> </w:t>
      </w:r>
      <w:r>
        <w:rPr>
          <w:spacing w:val="-100"/>
        </w:rPr>
      </w:r>
      <w:r>
        <w:rPr/>
        <w:t>工业化信息部关于软件和集成电路产业企业所得税优惠政策有关问题的通知》（财税［</w:t>
      </w:r>
      <w:r>
        <w:rPr>
          <w:rFonts w:ascii="宋体" w:hAnsi="宋体" w:cs="宋体" w:eastAsia="宋体" w:hint="default"/>
        </w:rPr>
        <w:t>2016</w:t>
      </w:r>
      <w:r>
        <w:rPr/>
        <w:t>］</w:t>
      </w:r>
      <w:r>
        <w:rPr>
          <w:rFonts w:ascii="宋体" w:hAnsi="宋体" w:cs="宋体" w:eastAsia="宋体" w:hint="default"/>
        </w:rPr>
        <w:t>49</w:t>
      </w:r>
    </w:p>
    <w:p>
      <w:pPr>
        <w:pStyle w:val="BodyText"/>
        <w:spacing w:line="249" w:lineRule="exact"/>
        <w:ind w:left="138" w:right="0"/>
        <w:jc w:val="left"/>
      </w:pPr>
      <w:r>
        <w:rPr/>
        <w:t>号）规定的国家规划布局内重点软件企业的条件，故本公司</w:t>
      </w:r>
      <w:r>
        <w:rPr>
          <w:spacing w:val="-31"/>
        </w:rPr>
        <w:t> </w:t>
      </w:r>
      <w:r>
        <w:rPr>
          <w:rFonts w:ascii="宋体" w:hAnsi="宋体" w:cs="宋体" w:eastAsia="宋体" w:hint="default"/>
        </w:rPr>
        <w:t>2017</w:t>
      </w:r>
      <w:r>
        <w:rPr>
          <w:rFonts w:ascii="宋体" w:hAnsi="宋体" w:cs="宋体" w:eastAsia="宋体" w:hint="default"/>
          <w:spacing w:val="-35"/>
        </w:rPr>
        <w:t> </w:t>
      </w:r>
      <w:r>
        <w:rPr/>
        <w:t>年按</w:t>
      </w:r>
      <w:r>
        <w:rPr>
          <w:spacing w:val="-37"/>
        </w:rPr>
        <w:t> </w:t>
      </w:r>
      <w:r>
        <w:rPr>
          <w:rFonts w:ascii="宋体" w:hAnsi="宋体" w:cs="宋体" w:eastAsia="宋体" w:hint="default"/>
        </w:rPr>
        <w:t>10%</w:t>
      </w:r>
      <w:r>
        <w:rPr/>
        <w:t>税率计提企业所得税。</w:t>
      </w:r>
    </w:p>
    <w:p>
      <w:pPr>
        <w:spacing w:line="240" w:lineRule="auto" w:before="3"/>
        <w:rPr>
          <w:rFonts w:ascii="宋体" w:hAnsi="宋体" w:cs="宋体" w:eastAsia="宋体" w:hint="default"/>
          <w:sz w:val="25"/>
          <w:szCs w:val="25"/>
        </w:rPr>
      </w:pPr>
    </w:p>
    <w:p>
      <w:pPr>
        <w:pStyle w:val="Heading3"/>
        <w:tabs>
          <w:tab w:pos="562" w:val="left" w:leader="none"/>
        </w:tabs>
        <w:spacing w:line="240" w:lineRule="auto"/>
        <w:ind w:left="138" w:right="0"/>
        <w:jc w:val="left"/>
        <w:rPr>
          <w:b w:val="0"/>
          <w:bCs w:val="0"/>
        </w:rPr>
      </w:pPr>
      <w:r>
        <w:rPr>
          <w:rFonts w:ascii="宋体" w:hAnsi="宋体" w:cs="宋体" w:eastAsia="宋体" w:hint="default"/>
          <w:w w:val="95"/>
        </w:rPr>
        <w:t>3.</w:t>
        <w:tab/>
      </w:r>
      <w:r>
        <w:rPr/>
        <w:t>其他</w:t>
      </w:r>
      <w:r>
        <w:rPr>
          <w:b w:val="0"/>
          <w:bCs w:val="0"/>
        </w:rPr>
      </w:r>
    </w:p>
    <w:p>
      <w:pPr>
        <w:pStyle w:val="BodyText"/>
        <w:tabs>
          <w:tab w:pos="980" w:val="left" w:leader="none"/>
        </w:tabs>
        <w:spacing w:line="240" w:lineRule="auto" w:before="56"/>
        <w:ind w:left="138" w:right="0"/>
        <w:jc w:val="left"/>
      </w:pPr>
      <w:r>
        <w:rPr>
          <w:spacing w:val="-1"/>
        </w:rPr>
        <w:t>□适用</w:t>
        <w:tab/>
      </w:r>
      <w:r>
        <w:rPr>
          <w:spacing w:val="-2"/>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57" w:footer="1195" w:top="1320" w:bottom="1380" w:left="1660" w:right="1060"/>
        </w:sectPr>
      </w:pPr>
    </w:p>
    <w:p>
      <w:pPr>
        <w:pStyle w:val="Heading3"/>
        <w:spacing w:line="290" w:lineRule="auto" w:before="36"/>
        <w:ind w:left="138" w:right="-16"/>
        <w:jc w:val="left"/>
        <w:rPr>
          <w:b w:val="0"/>
          <w:bCs w:val="0"/>
        </w:rPr>
      </w:pPr>
      <w:r>
        <w:rPr/>
        <w:t>七、合并财务报表项目注释</w:t>
      </w:r>
      <w:r>
        <w:rPr>
          <w:spacing w:val="-103"/>
        </w:rPr>
        <w:t> </w:t>
      </w:r>
      <w:r>
        <w:rPr>
          <w:spacing w:val="-103"/>
        </w:rPr>
      </w:r>
      <w:r>
        <w:rPr>
          <w:rFonts w:ascii="宋体" w:hAnsi="宋体" w:cs="宋体" w:eastAsia="宋体" w:hint="default"/>
        </w:rPr>
        <w:t>1</w:t>
      </w:r>
      <w:r>
        <w:rPr/>
        <w:t>、</w:t>
      </w:r>
      <w:r>
        <w:rPr>
          <w:spacing w:val="-2"/>
        </w:rPr>
        <w:t> </w:t>
      </w:r>
      <w:r>
        <w:rPr/>
        <w:t>货币资金</w:t>
      </w:r>
      <w:r>
        <w:rPr>
          <w:b w:val="0"/>
          <w:bCs w:val="0"/>
        </w:rPr>
      </w:r>
    </w:p>
    <w:p>
      <w:pPr>
        <w:pStyle w:val="BodyText"/>
        <w:tabs>
          <w:tab w:pos="980" w:val="left" w:leader="none"/>
        </w:tabs>
        <w:spacing w:line="240" w:lineRule="auto" w:before="12"/>
        <w:ind w:left="138" w:right="-16"/>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tabs>
          <w:tab w:pos="1189" w:val="left" w:leader="none"/>
        </w:tabs>
        <w:spacing w:line="240" w:lineRule="auto"/>
        <w:ind w:left="138" w:right="0"/>
        <w:jc w:val="left"/>
      </w:pPr>
      <w:r>
        <w:rPr>
          <w:spacing w:val="-1"/>
        </w:rPr>
        <w:t>单位：元</w:t>
        <w:tab/>
      </w:r>
      <w:r>
        <w:rPr>
          <w:spacing w:val="-2"/>
        </w:rPr>
        <w:t>币种：人民币</w:t>
      </w:r>
    </w:p>
    <w:p>
      <w:pPr>
        <w:spacing w:after="0" w:line="240" w:lineRule="auto"/>
        <w:jc w:val="left"/>
        <w:sectPr>
          <w:type w:val="continuous"/>
          <w:pgSz w:w="11910" w:h="16840"/>
          <w:pgMar w:top="1000" w:bottom="280" w:left="1660" w:right="1060"/>
          <w:cols w:num="2" w:equalWidth="0">
            <w:col w:w="2673" w:space="3849"/>
            <w:col w:w="2668"/>
          </w:cols>
        </w:sectPr>
      </w:pPr>
    </w:p>
    <w:p>
      <w:pPr>
        <w:spacing w:line="240" w:lineRule="auto" w:before="4"/>
        <w:rPr>
          <w:rFonts w:ascii="宋体" w:hAnsi="宋体" w:cs="宋体" w:eastAsia="宋体" w:hint="default"/>
          <w:sz w:val="2"/>
          <w:szCs w:val="2"/>
        </w:rPr>
      </w:pPr>
    </w:p>
    <w:tbl>
      <w:tblPr>
        <w:tblW w:w="0" w:type="auto"/>
        <w:jc w:val="left"/>
        <w:tblInd w:w="128" w:type="dxa"/>
        <w:tblLayout w:type="fixed"/>
        <w:tblCellMar>
          <w:top w:w="0" w:type="dxa"/>
          <w:left w:w="0" w:type="dxa"/>
          <w:bottom w:w="0" w:type="dxa"/>
          <w:right w:w="0" w:type="dxa"/>
        </w:tblCellMar>
        <w:tblLook w:val="01E0"/>
      </w:tblPr>
      <w:tblGrid>
        <w:gridCol w:w="2223"/>
        <w:gridCol w:w="3298"/>
        <w:gridCol w:w="3325"/>
      </w:tblGrid>
      <w:tr>
        <w:trPr>
          <w:trHeight w:val="283"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库存现金</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128,415.81</w:t>
            </w:r>
          </w:p>
        </w:tc>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101,050.79</w:t>
            </w:r>
          </w:p>
        </w:tc>
      </w:tr>
      <w:tr>
        <w:trPr>
          <w:trHeight w:val="281"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366,439,699.90</w:t>
            </w:r>
          </w:p>
        </w:tc>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512,733,464.62</w:t>
            </w:r>
          </w:p>
        </w:tc>
      </w:tr>
      <w:tr>
        <w:trPr>
          <w:trHeight w:val="283"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28,474.55</w:t>
            </w:r>
          </w:p>
        </w:tc>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25,000.00</w:t>
            </w:r>
          </w:p>
        </w:tc>
      </w:tr>
      <w:tr>
        <w:trPr>
          <w:trHeight w:val="281"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366,596,590.26</w:t>
            </w:r>
          </w:p>
        </w:tc>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512,859,515.41</w:t>
            </w:r>
          </w:p>
        </w:tc>
      </w:tr>
      <w:tr>
        <w:trPr>
          <w:trHeight w:val="557"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1" w:right="-3"/>
              <w:jc w:val="left"/>
              <w:rPr>
                <w:rFonts w:ascii="宋体" w:hAnsi="宋体" w:cs="宋体" w:eastAsia="宋体" w:hint="default"/>
                <w:sz w:val="21"/>
                <w:szCs w:val="21"/>
              </w:rPr>
            </w:pPr>
            <w:r>
              <w:rPr>
                <w:rFonts w:ascii="宋体" w:hAnsi="宋体" w:cs="宋体" w:eastAsia="宋体" w:hint="default"/>
                <w:w w:val="100"/>
                <w:sz w:val="21"/>
                <w:szCs w:val="21"/>
              </w:rPr>
              <w:t>其中</w:t>
            </w:r>
            <w:r>
              <w:rPr>
                <w:rFonts w:ascii="宋体" w:hAnsi="宋体" w:cs="宋体" w:eastAsia="宋体" w:hint="default"/>
                <w:spacing w:val="-101"/>
                <w:w w:val="100"/>
                <w:sz w:val="21"/>
                <w:szCs w:val="21"/>
              </w:rPr>
              <w:t>：</w:t>
            </w:r>
            <w:r>
              <w:rPr>
                <w:rFonts w:ascii="宋体" w:hAnsi="宋体" w:cs="宋体" w:eastAsia="宋体" w:hint="default"/>
                <w:w w:val="100"/>
                <w:sz w:val="21"/>
                <w:szCs w:val="21"/>
              </w:rPr>
              <w:t>存</w:t>
            </w:r>
            <w:r>
              <w:rPr>
                <w:rFonts w:ascii="宋体" w:hAnsi="宋体" w:cs="宋体" w:eastAsia="宋体" w:hint="default"/>
                <w:spacing w:val="-3"/>
                <w:w w:val="100"/>
                <w:sz w:val="21"/>
                <w:szCs w:val="21"/>
              </w:rPr>
              <w:t>放</w:t>
            </w:r>
            <w:r>
              <w:rPr>
                <w:rFonts w:ascii="宋体" w:hAnsi="宋体" w:cs="宋体" w:eastAsia="宋体" w:hint="default"/>
                <w:w w:val="100"/>
                <w:sz w:val="21"/>
                <w:szCs w:val="21"/>
              </w:rPr>
              <w:t>在</w:t>
            </w:r>
            <w:r>
              <w:rPr>
                <w:rFonts w:ascii="宋体" w:hAnsi="宋体" w:cs="宋体" w:eastAsia="宋体" w:hint="default"/>
                <w:spacing w:val="-3"/>
                <w:w w:val="100"/>
                <w:sz w:val="21"/>
                <w:szCs w:val="21"/>
              </w:rPr>
              <w:t>境</w:t>
            </w:r>
            <w:r>
              <w:rPr>
                <w:rFonts w:ascii="宋体" w:hAnsi="宋体" w:cs="宋体" w:eastAsia="宋体" w:hint="default"/>
                <w:w w:val="100"/>
                <w:sz w:val="21"/>
                <w:szCs w:val="21"/>
              </w:rPr>
              <w:t>外</w:t>
            </w:r>
            <w:r>
              <w:rPr>
                <w:rFonts w:ascii="宋体" w:hAnsi="宋体" w:cs="宋体" w:eastAsia="宋体" w:hint="default"/>
                <w:spacing w:val="-3"/>
                <w:w w:val="100"/>
                <w:sz w:val="21"/>
                <w:szCs w:val="21"/>
              </w:rPr>
              <w:t>的</w:t>
            </w:r>
            <w:r>
              <w:rPr>
                <w:rFonts w:ascii="宋体" w:hAnsi="宋体" w:cs="宋体" w:eastAsia="宋体" w:hint="default"/>
                <w:w w:val="100"/>
                <w:sz w:val="21"/>
                <w:szCs w:val="21"/>
              </w:rPr>
              <w:t>款</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项总额</w:t>
            </w:r>
          </w:p>
        </w:tc>
        <w:tc>
          <w:tcPr>
            <w:tcW w:w="3298" w:type="dxa"/>
            <w:tcBorders>
              <w:top w:val="single" w:sz="4" w:space="0" w:color="000000"/>
              <w:left w:val="single" w:sz="4" w:space="0" w:color="000000"/>
              <w:bottom w:val="single" w:sz="4" w:space="0" w:color="000000"/>
              <w:right w:val="single" w:sz="4" w:space="0" w:color="000000"/>
            </w:tcBorders>
          </w:tcPr>
          <w:p>
            <w:pPr/>
          </w:p>
        </w:tc>
        <w:tc>
          <w:tcPr>
            <w:tcW w:w="332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5"/>
          <w:szCs w:val="15"/>
        </w:rPr>
      </w:pPr>
    </w:p>
    <w:p>
      <w:pPr>
        <w:pStyle w:val="BodyText"/>
        <w:spacing w:line="274" w:lineRule="exact" w:before="36"/>
        <w:ind w:left="138" w:right="0"/>
        <w:jc w:val="left"/>
      </w:pPr>
      <w:r>
        <w:rPr/>
        <w:t>其他说明</w:t>
      </w:r>
    </w:p>
    <w:p>
      <w:pPr>
        <w:pStyle w:val="BodyText"/>
        <w:spacing w:line="272" w:lineRule="exact" w:before="27"/>
        <w:ind w:left="138" w:right="0"/>
        <w:jc w:val="left"/>
      </w:pPr>
      <w:r>
        <w:rPr>
          <w:spacing w:val="-4"/>
        </w:rPr>
        <w:t>期末，其他货币资金余额中</w:t>
      </w:r>
      <w:r>
        <w:rPr>
          <w:spacing w:val="-26"/>
        </w:rPr>
        <w:t> </w:t>
      </w:r>
      <w:r>
        <w:rPr>
          <w:rFonts w:ascii="宋体" w:hAnsi="宋体" w:cs="宋体" w:eastAsia="宋体" w:hint="default"/>
        </w:rPr>
        <w:t>2.50</w:t>
      </w:r>
      <w:r>
        <w:rPr>
          <w:rFonts w:ascii="宋体" w:hAnsi="宋体" w:cs="宋体" w:eastAsia="宋体" w:hint="default"/>
          <w:spacing w:val="-28"/>
        </w:rPr>
        <w:t> </w:t>
      </w:r>
      <w:r>
        <w:rPr>
          <w:spacing w:val="-4"/>
        </w:rPr>
        <w:t>万元系履约保函保证金，因使用受到限制，不作为现金流量表中</w:t>
      </w:r>
      <w:r>
        <w:rPr>
          <w:spacing w:val="-96"/>
        </w:rPr>
        <w:t> </w:t>
      </w:r>
      <w:r>
        <w:rPr>
          <w:spacing w:val="-96"/>
        </w:rPr>
      </w:r>
      <w:r>
        <w:rPr/>
        <w:t>的现金及现金等价物。</w:t>
      </w:r>
    </w:p>
    <w:p>
      <w:pPr>
        <w:spacing w:after="0" w:line="272" w:lineRule="exact"/>
        <w:jc w:val="left"/>
        <w:sectPr>
          <w:type w:val="continuous"/>
          <w:pgSz w:w="11910" w:h="16840"/>
          <w:pgMar w:top="1000" w:bottom="280" w:left="1660" w:right="1060"/>
        </w:sectPr>
      </w:pPr>
    </w:p>
    <w:p>
      <w:pPr>
        <w:spacing w:line="240" w:lineRule="auto" w:before="4"/>
        <w:rPr>
          <w:rFonts w:ascii="宋体" w:hAnsi="宋体" w:cs="宋体" w:eastAsia="宋体" w:hint="default"/>
          <w:sz w:val="9"/>
          <w:szCs w:val="9"/>
        </w:rPr>
      </w:pPr>
    </w:p>
    <w:p>
      <w:pPr>
        <w:pStyle w:val="Heading3"/>
        <w:spacing w:line="240" w:lineRule="auto" w:before="36"/>
        <w:ind w:left="138" w:right="0"/>
        <w:jc w:val="left"/>
        <w:rPr>
          <w:b w:val="0"/>
          <w:bCs w:val="0"/>
        </w:rPr>
      </w:pPr>
      <w:r>
        <w:rPr>
          <w:rFonts w:ascii="宋体" w:hAnsi="宋体" w:cs="宋体" w:eastAsia="宋体" w:hint="default"/>
        </w:rPr>
        <w:t>2</w:t>
      </w:r>
      <w:r>
        <w:rPr/>
        <w:t>、</w:t>
      </w:r>
      <w:r>
        <w:rPr>
          <w:spacing w:val="-4"/>
        </w:rPr>
        <w:t> </w:t>
      </w:r>
      <w:r>
        <w:rPr/>
        <w:t>以公允价值计量且其变动计入当期损益的金融资产</w:t>
      </w:r>
      <w:r>
        <w:rPr>
          <w:b w:val="0"/>
          <w:bCs w:val="0"/>
        </w:rPr>
      </w:r>
    </w:p>
    <w:p>
      <w:pPr>
        <w:pStyle w:val="BodyText"/>
        <w:spacing w:line="240" w:lineRule="auto" w:before="58"/>
        <w:ind w:left="138"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3"/>
        <w:spacing w:line="240" w:lineRule="auto"/>
        <w:ind w:left="138" w:right="0"/>
        <w:jc w:val="left"/>
        <w:rPr>
          <w:b w:val="0"/>
          <w:bCs w:val="0"/>
        </w:rPr>
      </w:pPr>
      <w:r>
        <w:rPr>
          <w:rFonts w:ascii="宋体" w:hAnsi="宋体" w:cs="宋体" w:eastAsia="宋体" w:hint="default"/>
        </w:rPr>
        <w:t>3</w:t>
      </w:r>
      <w:r>
        <w:rPr/>
        <w:t>、</w:t>
      </w:r>
      <w:r>
        <w:rPr>
          <w:spacing w:val="-1"/>
        </w:rPr>
        <w:t> </w:t>
      </w:r>
      <w:r>
        <w:rPr/>
        <w:t>衍生金融资产</w:t>
      </w:r>
      <w:r>
        <w:rPr>
          <w:b w:val="0"/>
          <w:bCs w:val="0"/>
        </w:rPr>
      </w:r>
    </w:p>
    <w:p>
      <w:pPr>
        <w:pStyle w:val="BodyText"/>
        <w:spacing w:line="240" w:lineRule="auto" w:before="58"/>
        <w:ind w:left="138"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3"/>
        <w:spacing w:line="240" w:lineRule="auto"/>
        <w:ind w:left="138" w:right="0"/>
        <w:jc w:val="left"/>
        <w:rPr>
          <w:b w:val="0"/>
          <w:bCs w:val="0"/>
        </w:rPr>
      </w:pPr>
      <w:r>
        <w:rPr>
          <w:rFonts w:ascii="宋体" w:hAnsi="宋体" w:cs="宋体" w:eastAsia="宋体" w:hint="default"/>
        </w:rPr>
        <w:t>4</w:t>
      </w:r>
      <w:r>
        <w:rPr/>
        <w:t>、</w:t>
      </w:r>
      <w:r>
        <w:rPr>
          <w:spacing w:val="-2"/>
        </w:rPr>
        <w:t> </w:t>
      </w:r>
      <w:r>
        <w:rPr/>
        <w:t>应收票据</w:t>
      </w:r>
      <w:r>
        <w:rPr>
          <w:b w:val="0"/>
          <w:bCs w:val="0"/>
        </w:rPr>
      </w:r>
    </w:p>
    <w:p>
      <w:pPr>
        <w:pStyle w:val="Heading3"/>
        <w:spacing w:line="240" w:lineRule="auto" w:before="58"/>
        <w:ind w:left="138" w:right="0"/>
        <w:jc w:val="left"/>
        <w:rPr>
          <w:b w:val="0"/>
          <w:bCs w:val="0"/>
        </w:rPr>
      </w:pPr>
      <w:r>
        <w:rPr>
          <w:rFonts w:ascii="宋体" w:hAnsi="宋体" w:cs="宋体" w:eastAsia="宋体" w:hint="default"/>
        </w:rPr>
        <w:t>(1).</w:t>
      </w:r>
      <w:r>
        <w:rPr>
          <w:rFonts w:ascii="宋体" w:hAnsi="宋体" w:cs="宋体" w:eastAsia="宋体" w:hint="default"/>
          <w:spacing w:val="1"/>
        </w:rPr>
        <w:t> </w:t>
      </w:r>
      <w:r>
        <w:rPr/>
        <w:t>应收票据分类列示</w:t>
      </w:r>
      <w:r>
        <w:rPr>
          <w:b w:val="0"/>
          <w:bCs w:val="0"/>
        </w:rPr>
      </w:r>
    </w:p>
    <w:p>
      <w:pPr>
        <w:pStyle w:val="BodyText"/>
        <w:spacing w:line="240" w:lineRule="auto" w:before="56"/>
        <w:ind w:left="138" w:right="0"/>
        <w:jc w:val="left"/>
      </w:pPr>
      <w:r>
        <w:rPr/>
        <w:t>□适用</w:t>
      </w:r>
      <w:r>
        <w:rPr>
          <w:spacing w:val="-1"/>
        </w:rPr>
        <w:t> </w:t>
      </w:r>
      <w:r>
        <w:rPr/>
        <w:t>√不适用</w:t>
      </w:r>
    </w:p>
    <w:p>
      <w:pPr>
        <w:pStyle w:val="Heading3"/>
        <w:spacing w:line="240" w:lineRule="auto" w:before="59"/>
        <w:ind w:left="138" w:right="0"/>
        <w:jc w:val="left"/>
        <w:rPr>
          <w:b w:val="0"/>
          <w:bCs w:val="0"/>
        </w:rPr>
      </w:pPr>
      <w:r>
        <w:rPr>
          <w:rFonts w:ascii="宋体" w:hAnsi="宋体" w:cs="宋体" w:eastAsia="宋体" w:hint="default"/>
        </w:rPr>
        <w:t>(2).</w:t>
      </w:r>
      <w:r>
        <w:rPr>
          <w:rFonts w:ascii="宋体" w:hAnsi="宋体" w:cs="宋体" w:eastAsia="宋体" w:hint="default"/>
          <w:spacing w:val="-4"/>
        </w:rPr>
        <w:t> </w:t>
      </w:r>
      <w:r>
        <w:rPr/>
        <w:t>期末公司已质押的应收票据</w:t>
      </w:r>
      <w:r>
        <w:rPr>
          <w:b w:val="0"/>
          <w:bCs w:val="0"/>
        </w:rPr>
      </w:r>
    </w:p>
    <w:p>
      <w:pPr>
        <w:pStyle w:val="BodyText"/>
        <w:spacing w:line="240" w:lineRule="auto" w:before="56"/>
        <w:ind w:left="138" w:right="0"/>
        <w:jc w:val="left"/>
      </w:pPr>
      <w:r>
        <w:rPr/>
        <w:t>□适用</w:t>
      </w:r>
      <w:r>
        <w:rPr>
          <w:spacing w:val="-1"/>
        </w:rPr>
        <w:t> </w:t>
      </w:r>
      <w:r>
        <w:rPr/>
        <w:t>√不适用</w:t>
      </w:r>
    </w:p>
    <w:p>
      <w:pPr>
        <w:pStyle w:val="Heading3"/>
        <w:spacing w:line="240" w:lineRule="auto" w:before="58"/>
        <w:ind w:left="138" w:right="0"/>
        <w:jc w:val="left"/>
        <w:rPr>
          <w:b w:val="0"/>
          <w:bCs w:val="0"/>
        </w:rPr>
      </w:pPr>
      <w:r>
        <w:rPr>
          <w:rFonts w:ascii="宋体" w:hAnsi="宋体" w:cs="宋体" w:eastAsia="宋体" w:hint="default"/>
        </w:rPr>
        <w:t>(3).</w:t>
      </w:r>
      <w:r>
        <w:rPr>
          <w:rFonts w:ascii="宋体" w:hAnsi="宋体" w:cs="宋体" w:eastAsia="宋体" w:hint="default"/>
          <w:spacing w:val="-4"/>
        </w:rPr>
        <w:t> </w:t>
      </w:r>
      <w:r>
        <w:rPr/>
        <w:t>期末公司已背书或贴现且在资产负债表日尚未到期的应收票据：</w:t>
      </w:r>
      <w:r>
        <w:rPr>
          <w:b w:val="0"/>
          <w:bCs w:val="0"/>
        </w:rPr>
      </w:r>
    </w:p>
    <w:p>
      <w:pPr>
        <w:pStyle w:val="BodyText"/>
        <w:spacing w:line="240" w:lineRule="auto" w:before="56"/>
        <w:ind w:left="138" w:right="0"/>
        <w:jc w:val="left"/>
      </w:pPr>
      <w:r>
        <w:rPr/>
        <w:t>□适用</w:t>
      </w:r>
      <w:r>
        <w:rPr>
          <w:spacing w:val="-1"/>
        </w:rPr>
        <w:t> </w:t>
      </w:r>
      <w:r>
        <w:rPr/>
        <w:t>√不适用</w:t>
      </w:r>
    </w:p>
    <w:p>
      <w:pPr>
        <w:pStyle w:val="Heading3"/>
        <w:spacing w:line="240" w:lineRule="auto" w:before="58"/>
        <w:ind w:left="138" w:right="0"/>
        <w:jc w:val="left"/>
        <w:rPr>
          <w:b w:val="0"/>
          <w:bCs w:val="0"/>
        </w:rPr>
      </w:pPr>
      <w:r>
        <w:rPr>
          <w:rFonts w:ascii="宋体" w:hAnsi="宋体" w:cs="宋体" w:eastAsia="宋体" w:hint="default"/>
        </w:rPr>
        <w:t>(4).</w:t>
      </w:r>
      <w:r>
        <w:rPr>
          <w:rFonts w:ascii="宋体" w:hAnsi="宋体" w:cs="宋体" w:eastAsia="宋体" w:hint="default"/>
          <w:spacing w:val="-3"/>
        </w:rPr>
        <w:t> </w:t>
      </w:r>
      <w:r>
        <w:rPr/>
        <w:t>期末公司因出票人未履约而将其转应收账款的票据</w:t>
      </w:r>
      <w:r>
        <w:rPr>
          <w:b w:val="0"/>
          <w:bCs w:val="0"/>
        </w:rPr>
      </w:r>
    </w:p>
    <w:p>
      <w:pPr>
        <w:pStyle w:val="BodyText"/>
        <w:spacing w:line="240" w:lineRule="auto" w:before="56"/>
        <w:ind w:left="138" w:right="7374"/>
        <w:jc w:val="left"/>
      </w:pPr>
      <w:r>
        <w:rPr/>
        <w:t>□适用</w:t>
      </w:r>
      <w:r>
        <w:rPr>
          <w:spacing w:val="-1"/>
        </w:rPr>
        <w:t> </w:t>
      </w:r>
      <w:r>
        <w:rPr/>
        <w:t>√不适用</w:t>
      </w:r>
      <w:r>
        <w:rPr>
          <w:w w:val="100"/>
        </w:rPr>
        <w:t> </w:t>
      </w:r>
      <w:r>
        <w:rPr/>
        <w:t>其他说明</w:t>
      </w:r>
    </w:p>
    <w:p>
      <w:pPr>
        <w:pStyle w:val="BodyText"/>
        <w:spacing w:line="271" w:lineRule="exact"/>
        <w:ind w:left="138" w:right="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57" w:footer="1195" w:top="1320" w:bottom="1380" w:left="1660" w:right="1140"/>
        </w:sectPr>
      </w:pPr>
    </w:p>
    <w:p>
      <w:pPr>
        <w:pStyle w:val="Heading3"/>
        <w:spacing w:line="240" w:lineRule="auto" w:before="36"/>
        <w:ind w:left="138" w:right="-20"/>
        <w:jc w:val="left"/>
        <w:rPr>
          <w:b w:val="0"/>
          <w:bCs w:val="0"/>
        </w:rPr>
      </w:pPr>
      <w:r>
        <w:rPr>
          <w:rFonts w:ascii="宋体" w:hAnsi="宋体" w:cs="宋体" w:eastAsia="宋体" w:hint="default"/>
        </w:rPr>
        <w:t>5</w:t>
      </w:r>
      <w:r>
        <w:rPr/>
        <w:t>、</w:t>
      </w:r>
      <w:r>
        <w:rPr>
          <w:spacing w:val="-2"/>
        </w:rPr>
        <w:t> </w:t>
      </w:r>
      <w:r>
        <w:rPr/>
        <w:t>应收账款</w:t>
      </w:r>
      <w:r>
        <w:rPr>
          <w:b w:val="0"/>
          <w:bCs w:val="0"/>
        </w:rPr>
      </w:r>
    </w:p>
    <w:p>
      <w:pPr>
        <w:pStyle w:val="Heading3"/>
        <w:spacing w:line="240" w:lineRule="auto" w:before="56"/>
        <w:ind w:left="138" w:right="-20"/>
        <w:jc w:val="left"/>
        <w:rPr>
          <w:b w:val="0"/>
          <w:bCs w:val="0"/>
        </w:rPr>
      </w:pPr>
      <w:r>
        <w:rPr>
          <w:rFonts w:ascii="宋体" w:hAnsi="宋体" w:cs="宋体" w:eastAsia="宋体" w:hint="default"/>
        </w:rPr>
        <w:t>(1).</w:t>
      </w:r>
      <w:r>
        <w:rPr>
          <w:rFonts w:ascii="宋体" w:hAnsi="宋体" w:cs="宋体" w:eastAsia="宋体" w:hint="default"/>
          <w:spacing w:val="47"/>
        </w:rPr>
        <w:t> </w:t>
      </w:r>
      <w:r>
        <w:rPr/>
        <w:t>应收账款分类披露</w:t>
      </w:r>
      <w:r>
        <w:rPr>
          <w:b w:val="0"/>
          <w:bCs w:val="0"/>
        </w:rPr>
      </w:r>
    </w:p>
    <w:p>
      <w:pPr>
        <w:pStyle w:val="BodyText"/>
        <w:spacing w:line="240" w:lineRule="auto" w:before="58"/>
        <w:ind w:left="138"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189" w:val="left" w:leader="none"/>
        </w:tabs>
        <w:spacing w:line="240" w:lineRule="auto"/>
        <w:ind w:left="138" w:right="0"/>
        <w:jc w:val="left"/>
      </w:pPr>
      <w:r>
        <w:rPr>
          <w:spacing w:val="-1"/>
        </w:rPr>
        <w:t>单位：元</w:t>
        <w:tab/>
      </w:r>
      <w:r>
        <w:rPr>
          <w:spacing w:val="-2"/>
        </w:rPr>
        <w:t>币种：人民币</w:t>
      </w:r>
    </w:p>
    <w:p>
      <w:pPr>
        <w:spacing w:after="0" w:line="240" w:lineRule="auto"/>
        <w:jc w:val="left"/>
        <w:sectPr>
          <w:type w:val="continuous"/>
          <w:pgSz w:w="11910" w:h="16840"/>
          <w:pgMar w:top="1000" w:bottom="280" w:left="1660" w:right="1140"/>
          <w:cols w:num="2" w:equalWidth="0">
            <w:col w:w="2402" w:space="4017"/>
            <w:col w:w="2691"/>
          </w:cols>
        </w:sectPr>
      </w:pPr>
    </w:p>
    <w:p>
      <w:pPr>
        <w:spacing w:line="240" w:lineRule="auto" w:before="8"/>
        <w:rPr>
          <w:rFonts w:ascii="宋体" w:hAnsi="宋体" w:cs="宋体" w:eastAsia="宋体" w:hint="default"/>
          <w:sz w:val="15"/>
          <w:szCs w:val="15"/>
        </w:rPr>
      </w:pPr>
    </w:p>
    <w:p>
      <w:pPr>
        <w:spacing w:before="44"/>
        <w:ind w:left="5331" w:right="5278" w:firstLine="0"/>
        <w:jc w:val="center"/>
        <w:rPr>
          <w:rFonts w:ascii="宋体" w:hAnsi="宋体" w:cs="宋体" w:eastAsia="宋体" w:hint="default"/>
          <w:sz w:val="18"/>
          <w:szCs w:val="18"/>
        </w:rPr>
      </w:pPr>
      <w:r>
        <w:rPr/>
        <w:pict>
          <v:shape style="position:absolute;margin-left:72pt;margin-top:-6.728303pt;width:71.25pt;height:19.46pt;mso-position-horizontal-relative:page;mso-position-vertical-relative:paragraph;z-index:1336" type="#_x0000_t75" stroked="false">
            <v:imagedata r:id="rId33" o:title=""/>
          </v:shape>
        </w:pict>
      </w:r>
      <w:r>
        <w:rPr>
          <w:rFonts w:ascii="宋体" w:hAnsi="宋体" w:cs="宋体" w:eastAsia="宋体" w:hint="default"/>
          <w:sz w:val="18"/>
          <w:szCs w:val="18"/>
        </w:rPr>
        <w:t>福建顶点软件股份有限公司</w:t>
      </w:r>
      <w:r>
        <w:rPr>
          <w:rFonts w:ascii="宋体" w:hAnsi="宋体" w:cs="宋体" w:eastAsia="宋体" w:hint="default"/>
          <w:spacing w:val="-48"/>
          <w:sz w:val="18"/>
          <w:szCs w:val="18"/>
        </w:rPr>
        <w:t> </w:t>
      </w: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1901"/>
        <w:gridCol w:w="1426"/>
        <w:gridCol w:w="896"/>
        <w:gridCol w:w="1322"/>
        <w:gridCol w:w="922"/>
        <w:gridCol w:w="1426"/>
        <w:gridCol w:w="1428"/>
        <w:gridCol w:w="922"/>
        <w:gridCol w:w="1322"/>
        <w:gridCol w:w="946"/>
        <w:gridCol w:w="1426"/>
      </w:tblGrid>
      <w:tr>
        <w:trPr>
          <w:trHeight w:val="281" w:hRule="exact"/>
        </w:trPr>
        <w:tc>
          <w:tcPr>
            <w:tcW w:w="1901"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599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604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1901" w:type="dxa"/>
            <w:vMerge/>
            <w:tcBorders>
              <w:left w:val="single" w:sz="4" w:space="0" w:color="000000"/>
              <w:right w:val="single" w:sz="4" w:space="0" w:color="000000"/>
            </w:tcBorders>
          </w:tcPr>
          <w:p>
            <w:pPr/>
          </w:p>
        </w:tc>
        <w:tc>
          <w:tcPr>
            <w:tcW w:w="23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9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26" w:type="dxa"/>
            <w:vMerge w:val="restart"/>
            <w:tcBorders>
              <w:top w:val="single" w:sz="4" w:space="0" w:color="000000"/>
              <w:left w:val="single" w:sz="4" w:space="0" w:color="000000"/>
              <w:right w:val="single" w:sz="4" w:space="0" w:color="000000"/>
            </w:tcBorders>
          </w:tcPr>
          <w:p>
            <w:pPr>
              <w:pStyle w:val="TableParagraph"/>
              <w:spacing w:line="240" w:lineRule="auto" w:before="107"/>
              <w:ind w:left="499" w:right="492"/>
              <w:jc w:val="center"/>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p>
        </w:tc>
        <w:tc>
          <w:tcPr>
            <w:tcW w:w="23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4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0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26" w:type="dxa"/>
            <w:vMerge w:val="restart"/>
            <w:tcBorders>
              <w:top w:val="single" w:sz="4" w:space="0" w:color="000000"/>
              <w:left w:val="single" w:sz="4" w:space="0" w:color="000000"/>
              <w:right w:val="single" w:sz="4" w:space="0" w:color="000000"/>
            </w:tcBorders>
          </w:tcPr>
          <w:p>
            <w:pPr>
              <w:pStyle w:val="TableParagraph"/>
              <w:spacing w:line="240" w:lineRule="auto" w:before="107"/>
              <w:ind w:left="499" w:right="492"/>
              <w:jc w:val="center"/>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p>
        </w:tc>
      </w:tr>
      <w:tr>
        <w:trPr>
          <w:trHeight w:val="554" w:hRule="exact"/>
        </w:trPr>
        <w:tc>
          <w:tcPr>
            <w:tcW w:w="1901" w:type="dxa"/>
            <w:vMerge/>
            <w:tcBorders>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4"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74" w:lineRule="exact"/>
              <w:ind w:right="0"/>
              <w:jc w:val="center"/>
              <w:rPr>
                <w:rFonts w:ascii="宋体" w:hAnsi="宋体" w:cs="宋体" w:eastAsia="宋体" w:hint="default"/>
                <w:sz w:val="21"/>
                <w:szCs w:val="21"/>
              </w:rPr>
            </w:pPr>
            <w:r>
              <w:rPr>
                <w:rFonts w:ascii="宋体"/>
                <w:sz w:val="21"/>
              </w:rPr>
              <w:t>(%)</w:t>
            </w:r>
          </w:p>
        </w:tc>
        <w:tc>
          <w:tcPr>
            <w:tcW w:w="1426" w:type="dxa"/>
            <w:vMerge/>
            <w:tcBorders>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8"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74" w:lineRule="exact"/>
              <w:ind w:right="0"/>
              <w:jc w:val="center"/>
              <w:rPr>
                <w:rFonts w:ascii="宋体" w:hAnsi="宋体" w:cs="宋体" w:eastAsia="宋体" w:hint="default"/>
                <w:sz w:val="21"/>
                <w:szCs w:val="21"/>
              </w:rPr>
            </w:pPr>
            <w:r>
              <w:rPr>
                <w:rFonts w:ascii="宋体"/>
                <w:sz w:val="21"/>
              </w:rPr>
              <w:t>(%)</w:t>
            </w:r>
          </w:p>
        </w:tc>
        <w:tc>
          <w:tcPr>
            <w:tcW w:w="1426" w:type="dxa"/>
            <w:vMerge/>
            <w:tcBorders>
              <w:left w:val="single" w:sz="4" w:space="0" w:color="000000"/>
              <w:bottom w:val="single" w:sz="4" w:space="0" w:color="000000"/>
              <w:right w:val="single" w:sz="4" w:space="0" w:color="000000"/>
            </w:tcBorders>
          </w:tcPr>
          <w:p>
            <w:pPr/>
          </w:p>
        </w:tc>
      </w:tr>
      <w:tr>
        <w:trPr>
          <w:trHeight w:val="828" w:hRule="exact"/>
        </w:trPr>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17"/>
                <w:sz w:val="21"/>
                <w:szCs w:val="21"/>
              </w:rPr>
              <w:t>单项金额重大并单</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72" w:lineRule="exact" w:before="27"/>
              <w:ind w:left="26" w:right="0"/>
              <w:jc w:val="left"/>
              <w:rPr>
                <w:rFonts w:ascii="宋体" w:hAnsi="宋体" w:cs="宋体" w:eastAsia="宋体" w:hint="default"/>
                <w:sz w:val="21"/>
                <w:szCs w:val="21"/>
              </w:rPr>
            </w:pPr>
            <w:r>
              <w:rPr>
                <w:rFonts w:ascii="宋体" w:hAnsi="宋体" w:cs="宋体" w:eastAsia="宋体" w:hint="default"/>
                <w:spacing w:val="17"/>
                <w:sz w:val="21"/>
                <w:szCs w:val="21"/>
              </w:rPr>
              <w:t>独计提坏账准备的</w:t>
            </w:r>
            <w:r>
              <w:rPr>
                <w:rFonts w:ascii="宋体" w:hAnsi="宋体" w:cs="宋体" w:eastAsia="宋体" w:hint="default"/>
                <w:spacing w:val="-85"/>
                <w:sz w:val="21"/>
                <w:szCs w:val="21"/>
              </w:rPr>
              <w:t> </w:t>
            </w:r>
            <w:r>
              <w:rPr>
                <w:rFonts w:ascii="宋体" w:hAnsi="宋体" w:cs="宋体" w:eastAsia="宋体" w:hint="default"/>
                <w:sz w:val="21"/>
                <w:szCs w:val="21"/>
              </w:rPr>
              <w:t>应收账款</w:t>
            </w:r>
          </w:p>
        </w:tc>
        <w:tc>
          <w:tcPr>
            <w:tcW w:w="1426"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17"/>
                <w:sz w:val="21"/>
                <w:szCs w:val="21"/>
              </w:rPr>
              <w:t>按信用风险特征组</w:t>
            </w: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pacing w:val="17"/>
                <w:sz w:val="21"/>
                <w:szCs w:val="21"/>
              </w:rPr>
              <w:t>合计提坏账准备的</w:t>
            </w:r>
            <w:r>
              <w:rPr>
                <w:rFonts w:ascii="宋体" w:hAnsi="宋体" w:cs="宋体" w:eastAsia="宋体" w:hint="default"/>
                <w:spacing w:val="-84"/>
                <w:sz w:val="21"/>
                <w:szCs w:val="21"/>
              </w:rPr>
              <w:t> </w:t>
            </w:r>
            <w:r>
              <w:rPr>
                <w:rFonts w:ascii="宋体" w:hAnsi="宋体" w:cs="宋体" w:eastAsia="宋体" w:hint="default"/>
                <w:sz w:val="21"/>
                <w:szCs w:val="21"/>
              </w:rPr>
              <w:t>应收账款</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21,778,368.83</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8" w:right="0"/>
              <w:jc w:val="left"/>
              <w:rPr>
                <w:rFonts w:ascii="宋体" w:hAnsi="宋体" w:cs="宋体" w:eastAsia="宋体" w:hint="default"/>
                <w:sz w:val="21"/>
                <w:szCs w:val="21"/>
              </w:rPr>
            </w:pPr>
            <w:r>
              <w:rPr>
                <w:rFonts w:ascii="宋体"/>
                <w:sz w:val="21"/>
              </w:rPr>
              <w:t>100.00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3,911,264.59</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9" w:right="0"/>
              <w:jc w:val="left"/>
              <w:rPr>
                <w:rFonts w:ascii="宋体" w:hAnsi="宋体" w:cs="宋体" w:eastAsia="宋体" w:hint="default"/>
                <w:sz w:val="21"/>
                <w:szCs w:val="21"/>
              </w:rPr>
            </w:pPr>
            <w:r>
              <w:rPr>
                <w:rFonts w:ascii="宋体"/>
                <w:sz w:val="21"/>
              </w:rPr>
              <w:t>17.96</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17,867,104.24</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21,148,934.52</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4" w:right="0"/>
              <w:jc w:val="left"/>
              <w:rPr>
                <w:rFonts w:ascii="宋体" w:hAnsi="宋体" w:cs="宋体" w:eastAsia="宋体" w:hint="default"/>
                <w:sz w:val="21"/>
                <w:szCs w:val="21"/>
              </w:rPr>
            </w:pPr>
            <w:r>
              <w:rPr>
                <w:rFonts w:ascii="宋体"/>
                <w:sz w:val="21"/>
              </w:rPr>
              <w:t>100.00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3,370,707.29</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3" w:right="0"/>
              <w:jc w:val="left"/>
              <w:rPr>
                <w:rFonts w:ascii="宋体" w:hAnsi="宋体" w:cs="宋体" w:eastAsia="宋体" w:hint="default"/>
                <w:sz w:val="21"/>
                <w:szCs w:val="21"/>
              </w:rPr>
            </w:pPr>
            <w:r>
              <w:rPr>
                <w:rFonts w:ascii="宋体"/>
                <w:sz w:val="21"/>
              </w:rPr>
              <w:t>15.94</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17,778,227.23</w:t>
            </w:r>
          </w:p>
        </w:tc>
      </w:tr>
      <w:tr>
        <w:trPr>
          <w:trHeight w:val="828" w:hRule="exact"/>
        </w:trPr>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17"/>
                <w:sz w:val="21"/>
                <w:szCs w:val="21"/>
              </w:rPr>
              <w:t>单项金额不重大但</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72" w:lineRule="exact" w:before="26"/>
              <w:ind w:left="26" w:right="0"/>
              <w:jc w:val="left"/>
              <w:rPr>
                <w:rFonts w:ascii="宋体" w:hAnsi="宋体" w:cs="宋体" w:eastAsia="宋体" w:hint="default"/>
                <w:sz w:val="21"/>
                <w:szCs w:val="21"/>
              </w:rPr>
            </w:pPr>
            <w:r>
              <w:rPr>
                <w:rFonts w:ascii="宋体" w:hAnsi="宋体" w:cs="宋体" w:eastAsia="宋体" w:hint="default"/>
                <w:spacing w:val="17"/>
                <w:sz w:val="21"/>
                <w:szCs w:val="21"/>
              </w:rPr>
              <w:t>单独计提坏账准备</w:t>
            </w:r>
            <w:r>
              <w:rPr>
                <w:rFonts w:ascii="宋体" w:hAnsi="宋体" w:cs="宋体" w:eastAsia="宋体" w:hint="default"/>
                <w:spacing w:val="-85"/>
                <w:sz w:val="21"/>
                <w:szCs w:val="21"/>
              </w:rPr>
              <w:t> </w:t>
            </w:r>
            <w:r>
              <w:rPr>
                <w:rFonts w:ascii="宋体" w:hAnsi="宋体" w:cs="宋体" w:eastAsia="宋体" w:hint="default"/>
                <w:sz w:val="21"/>
                <w:szCs w:val="21"/>
              </w:rPr>
              <w:t>的应收账款</w:t>
            </w:r>
          </w:p>
        </w:tc>
        <w:tc>
          <w:tcPr>
            <w:tcW w:w="1426"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21,778,368.83</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3,911,264.59</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17,867,104.24</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21,148,934.52</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3,370,707.29</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5" w:right="0"/>
              <w:jc w:val="left"/>
              <w:rPr>
                <w:rFonts w:ascii="宋体" w:hAnsi="宋体" w:cs="宋体" w:eastAsia="宋体" w:hint="default"/>
                <w:sz w:val="21"/>
                <w:szCs w:val="21"/>
              </w:rPr>
            </w:pPr>
            <w:r>
              <w:rPr>
                <w:rFonts w:ascii="宋体"/>
                <w:w w:val="100"/>
                <w:sz w:val="21"/>
              </w:rPr>
              <w:t>/</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17,778,227.23</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spacing w:before="63"/>
        <w:ind w:left="5277" w:right="5278" w:firstLine="0"/>
        <w:jc w:val="center"/>
        <w:rPr>
          <w:rFonts w:ascii="Calibri" w:hAnsi="Calibri" w:cs="Calibri" w:eastAsia="Calibri" w:hint="default"/>
          <w:sz w:val="18"/>
          <w:szCs w:val="18"/>
        </w:rPr>
      </w:pPr>
      <w:r>
        <w:rPr>
          <w:rFonts w:ascii="Calibri"/>
          <w:sz w:val="18"/>
        </w:rPr>
        <w:t>90</w:t>
      </w:r>
    </w:p>
    <w:p>
      <w:pPr>
        <w:spacing w:after="0"/>
        <w:jc w:val="center"/>
        <w:rPr>
          <w:rFonts w:ascii="Calibri" w:hAnsi="Calibri" w:cs="Calibri" w:eastAsia="Calibri" w:hint="default"/>
          <w:sz w:val="18"/>
          <w:szCs w:val="18"/>
        </w:rPr>
        <w:sectPr>
          <w:headerReference w:type="default" r:id="rId31"/>
          <w:footerReference w:type="default" r:id="rId32"/>
          <w:pgSz w:w="16840" w:h="11910" w:orient="landscape"/>
          <w:pgMar w:header="0" w:footer="0" w:top="780" w:bottom="280" w:left="1300" w:right="1380"/>
        </w:sectPr>
      </w:pPr>
    </w:p>
    <w:p>
      <w:pPr>
        <w:spacing w:line="240" w:lineRule="auto" w:before="0"/>
        <w:rPr>
          <w:rFonts w:ascii="Calibri" w:hAnsi="Calibri" w:cs="Calibri" w:eastAsia="Calibri" w:hint="default"/>
          <w:sz w:val="20"/>
          <w:szCs w:val="20"/>
        </w:rPr>
      </w:pPr>
    </w:p>
    <w:p>
      <w:pPr>
        <w:spacing w:after="0" w:line="240" w:lineRule="auto"/>
        <w:rPr>
          <w:rFonts w:ascii="Calibri" w:hAnsi="Calibri" w:cs="Calibri" w:eastAsia="Calibri" w:hint="default"/>
          <w:sz w:val="20"/>
          <w:szCs w:val="20"/>
        </w:rPr>
        <w:sectPr>
          <w:footerReference w:type="default" r:id="rId34"/>
          <w:pgSz w:w="11910" w:h="16840"/>
          <w:pgMar w:footer="1195" w:header="0" w:top="1320" w:bottom="1380" w:left="1580" w:right="1040"/>
          <w:pgNumType w:start="91"/>
        </w:sectPr>
      </w:pPr>
    </w:p>
    <w:p>
      <w:pPr>
        <w:spacing w:line="240" w:lineRule="auto" w:before="5"/>
        <w:rPr>
          <w:rFonts w:ascii="Calibri" w:hAnsi="Calibri" w:cs="Calibri" w:eastAsia="Calibri" w:hint="default"/>
          <w:sz w:val="15"/>
          <w:szCs w:val="15"/>
        </w:rPr>
      </w:pPr>
    </w:p>
    <w:p>
      <w:pPr>
        <w:pStyle w:val="BodyText"/>
        <w:spacing w:line="273" w:lineRule="exact"/>
        <w:ind w:right="0"/>
        <w:jc w:val="left"/>
      </w:pPr>
      <w:r>
        <w:rPr>
          <w:spacing w:val="-2"/>
        </w:rPr>
        <w:t>期末单项金额重大并单项计提坏帐准备的应收账款</w:t>
      </w:r>
    </w:p>
    <w:p>
      <w:pPr>
        <w:pStyle w:val="BodyText"/>
        <w:spacing w:line="240" w:lineRule="auto"/>
        <w:ind w:right="0"/>
        <w:jc w:val="left"/>
      </w:pPr>
      <w:r>
        <w:rPr/>
        <w:t>□适用</w:t>
      </w:r>
      <w:r>
        <w:rPr>
          <w:spacing w:val="-2"/>
        </w:rPr>
        <w:t> </w:t>
      </w:r>
      <w:r>
        <w:rPr/>
        <w:t>√不适用</w:t>
      </w:r>
      <w:r>
        <w:rPr>
          <w:w w:val="100"/>
        </w:rPr>
        <w:t> </w:t>
      </w:r>
      <w:r>
        <w:rPr>
          <w:spacing w:val="-2"/>
        </w:rPr>
        <w:t>组合中，按账龄分析法计提坏账准备的应收账款：</w:t>
      </w:r>
    </w:p>
    <w:p>
      <w:pPr>
        <w:pStyle w:val="BodyText"/>
        <w:spacing w:line="271" w:lineRule="exact"/>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000" w:bottom="280" w:left="1580" w:right="1040"/>
          <w:cols w:num="2" w:equalWidth="0">
            <w:col w:w="4844" w:space="1678"/>
            <w:col w:w="2768"/>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048"/>
        <w:gridCol w:w="2282"/>
        <w:gridCol w:w="2316"/>
        <w:gridCol w:w="2249"/>
      </w:tblGrid>
      <w:tr>
        <w:trPr>
          <w:trHeight w:val="283" w:hRule="exact"/>
        </w:trPr>
        <w:tc>
          <w:tcPr>
            <w:tcW w:w="2048" w:type="dxa"/>
            <w:vMerge w:val="restart"/>
            <w:tcBorders>
              <w:top w:val="single" w:sz="4" w:space="0" w:color="000000"/>
              <w:left w:val="single" w:sz="4" w:space="0" w:color="000000"/>
              <w:right w:val="single" w:sz="4" w:space="0" w:color="000000"/>
            </w:tcBorders>
          </w:tcPr>
          <w:p>
            <w:pPr>
              <w:pStyle w:val="TableParagraph"/>
              <w:spacing w:line="240" w:lineRule="auto" w:before="107"/>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8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048" w:type="dxa"/>
            <w:vMerge/>
            <w:tcBorders>
              <w:left w:val="single" w:sz="4" w:space="0" w:color="000000"/>
              <w:bottom w:val="single" w:sz="4" w:space="0" w:color="000000"/>
              <w:right w:val="single" w:sz="4" w:space="0" w:color="000000"/>
            </w:tcBorders>
          </w:tcPr>
          <w:p>
            <w:pP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6"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1"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15,333,121.30</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766,656.06</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5.00</w:t>
            </w: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15,333,121.30</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766,656.06</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5.00</w:t>
            </w:r>
          </w:p>
        </w:tc>
      </w:tr>
      <w:tr>
        <w:trPr>
          <w:trHeight w:val="281"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2,682,430.00</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268,243.00</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10.00</w:t>
            </w: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1,266,360.00</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379,908.00</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z w:val="21"/>
              </w:rPr>
              <w:t>30.00</w:t>
            </w:r>
          </w:p>
        </w:tc>
      </w:tr>
      <w:tr>
        <w:trPr>
          <w:trHeight w:val="284"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2,496,457.53</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2,496,457.53</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100.00</w:t>
            </w: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21,778,368.83</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3,911,264.59</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15.94</w:t>
            </w:r>
          </w:p>
        </w:tc>
      </w:tr>
    </w:tbl>
    <w:p>
      <w:pPr>
        <w:pStyle w:val="BodyText"/>
        <w:spacing w:line="239" w:lineRule="exact"/>
        <w:ind w:right="2757"/>
        <w:jc w:val="left"/>
      </w:pPr>
      <w:r>
        <w:rPr/>
        <w:t>确定该组合依据的说明：</w:t>
      </w:r>
    </w:p>
    <w:p>
      <w:pPr>
        <w:pStyle w:val="BodyText"/>
        <w:spacing w:line="273" w:lineRule="exact"/>
        <w:ind w:right="2757"/>
        <w:jc w:val="left"/>
      </w:pPr>
      <w:r>
        <w:rPr>
          <w:w w:val="100"/>
        </w:rPr>
        <w:t>无</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spacing w:line="274" w:lineRule="exact"/>
        <w:ind w:right="2757"/>
        <w:jc w:val="left"/>
      </w:pPr>
      <w:r>
        <w:rPr/>
        <w:t>组合中，采用余额百分比法计提坏账准备的应收账款：</w:t>
      </w:r>
    </w:p>
    <w:p>
      <w:pPr>
        <w:pStyle w:val="BodyText"/>
        <w:spacing w:line="274" w:lineRule="exact"/>
        <w:ind w:right="2757"/>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spacing w:line="274" w:lineRule="exact"/>
        <w:ind w:right="2757"/>
        <w:jc w:val="left"/>
      </w:pPr>
      <w:r>
        <w:rPr/>
        <w:t>组合中，采用其他方法计提坏账准备的应收账款：</w:t>
      </w:r>
    </w:p>
    <w:p>
      <w:pPr>
        <w:pStyle w:val="BodyText"/>
        <w:tabs>
          <w:tab w:pos="1060" w:val="left" w:leader="none"/>
        </w:tabs>
        <w:spacing w:line="274" w:lineRule="exact"/>
        <w:ind w:right="2757"/>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3"/>
        <w:spacing w:line="240" w:lineRule="auto"/>
        <w:ind w:right="2757"/>
        <w:jc w:val="left"/>
        <w:rPr>
          <w:b w:val="0"/>
          <w:bCs w:val="0"/>
        </w:rPr>
      </w:pPr>
      <w:r>
        <w:rPr>
          <w:rFonts w:ascii="宋体" w:hAnsi="宋体" w:cs="宋体" w:eastAsia="宋体" w:hint="default"/>
        </w:rPr>
        <w:t>(2).</w:t>
      </w:r>
      <w:r>
        <w:rPr>
          <w:rFonts w:ascii="宋体" w:hAnsi="宋体" w:cs="宋体" w:eastAsia="宋体" w:hint="default"/>
          <w:spacing w:val="44"/>
        </w:rPr>
        <w:t> </w:t>
      </w:r>
      <w:r>
        <w:rPr/>
        <w:t>本期计提、收回或转回的坏账准备情况：</w:t>
      </w:r>
      <w:r>
        <w:rPr>
          <w:b w:val="0"/>
          <w:bCs w:val="0"/>
        </w:rPr>
      </w:r>
    </w:p>
    <w:p>
      <w:pPr>
        <w:pStyle w:val="BodyText"/>
        <w:spacing w:line="240" w:lineRule="auto" w:before="56"/>
        <w:ind w:right="0"/>
        <w:jc w:val="left"/>
      </w:pPr>
      <w:r>
        <w:rPr/>
        <w:t>本期计提坏账准备金额</w:t>
      </w:r>
      <w:r>
        <w:rPr>
          <w:spacing w:val="-53"/>
        </w:rPr>
        <w:t> </w:t>
      </w:r>
      <w:r>
        <w:rPr>
          <w:rFonts w:ascii="宋体" w:hAnsi="宋体" w:cs="宋体" w:eastAsia="宋体" w:hint="default"/>
        </w:rPr>
        <w:t>540,557.30</w:t>
      </w:r>
      <w:r>
        <w:rPr>
          <w:rFonts w:ascii="宋体" w:hAnsi="宋体" w:cs="宋体" w:eastAsia="宋体" w:hint="default"/>
          <w:spacing w:val="-56"/>
        </w:rPr>
        <w:t> </w:t>
      </w:r>
      <w:r>
        <w:rPr/>
        <w:t>元；本期收回或转回坏账准备金额</w:t>
      </w:r>
      <w:r>
        <w:rPr>
          <w:spacing w:val="-54"/>
        </w:rPr>
        <w:t> </w:t>
      </w:r>
      <w:r>
        <w:rPr>
          <w:rFonts w:ascii="宋体" w:hAnsi="宋体" w:cs="宋体" w:eastAsia="宋体" w:hint="default"/>
        </w:rPr>
        <w:t>0</w:t>
      </w:r>
      <w:r>
        <w:rPr>
          <w:rFonts w:ascii="宋体" w:hAnsi="宋体" w:cs="宋体" w:eastAsia="宋体" w:hint="default"/>
          <w:spacing w:val="-56"/>
        </w:rPr>
        <w:t> </w:t>
      </w:r>
      <w:r>
        <w:rPr/>
        <w:t>元。</w:t>
      </w:r>
    </w:p>
    <w:p>
      <w:pPr>
        <w:spacing w:line="240" w:lineRule="auto" w:before="8"/>
        <w:rPr>
          <w:rFonts w:ascii="宋体" w:hAnsi="宋体" w:cs="宋体" w:eastAsia="宋体" w:hint="default"/>
          <w:sz w:val="20"/>
          <w:szCs w:val="20"/>
        </w:rPr>
      </w:pPr>
    </w:p>
    <w:p>
      <w:pPr>
        <w:pStyle w:val="BodyText"/>
        <w:spacing w:line="274" w:lineRule="exact"/>
        <w:ind w:right="2757"/>
        <w:jc w:val="left"/>
      </w:pPr>
      <w:r>
        <w:rPr/>
        <w:t>其中本期坏账准备收回或转回金额重要的：</w:t>
      </w:r>
    </w:p>
    <w:p>
      <w:pPr>
        <w:pStyle w:val="BodyText"/>
        <w:spacing w:line="274" w:lineRule="exact"/>
        <w:ind w:right="2757"/>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3"/>
        <w:spacing w:line="240" w:lineRule="auto"/>
        <w:ind w:right="2757"/>
        <w:jc w:val="left"/>
        <w:rPr>
          <w:b w:val="0"/>
          <w:bCs w:val="0"/>
        </w:rPr>
      </w:pPr>
      <w:r>
        <w:rPr>
          <w:rFonts w:ascii="宋体" w:hAnsi="宋体" w:cs="宋体" w:eastAsia="宋体" w:hint="default"/>
        </w:rPr>
        <w:t>(3).</w:t>
      </w:r>
      <w:r>
        <w:rPr>
          <w:rFonts w:ascii="宋体" w:hAnsi="宋体" w:cs="宋体" w:eastAsia="宋体" w:hint="default"/>
          <w:spacing w:val="44"/>
        </w:rPr>
        <w:t> </w:t>
      </w:r>
      <w:r>
        <w:rPr/>
        <w:t>本期实际核销的应收账款情况</w:t>
      </w:r>
      <w:r>
        <w:rPr>
          <w:b w:val="0"/>
          <w:bCs w:val="0"/>
        </w:rPr>
      </w:r>
    </w:p>
    <w:p>
      <w:pPr>
        <w:pStyle w:val="BodyText"/>
        <w:spacing w:line="240" w:lineRule="auto" w:before="58"/>
        <w:ind w:right="2757"/>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3"/>
        <w:spacing w:line="240" w:lineRule="auto"/>
        <w:ind w:right="2757"/>
        <w:jc w:val="left"/>
        <w:rPr>
          <w:b w:val="0"/>
          <w:bCs w:val="0"/>
        </w:rPr>
      </w:pPr>
      <w:r>
        <w:rPr>
          <w:rFonts w:ascii="宋体" w:hAnsi="宋体" w:cs="宋体" w:eastAsia="宋体" w:hint="default"/>
        </w:rPr>
        <w:t>(4).</w:t>
      </w:r>
      <w:r>
        <w:rPr>
          <w:rFonts w:ascii="宋体" w:hAnsi="宋体" w:cs="宋体" w:eastAsia="宋体" w:hint="default"/>
          <w:spacing w:val="43"/>
        </w:rPr>
        <w:t> </w:t>
      </w:r>
      <w:r>
        <w:rPr/>
        <w:t>按欠款方归集的期末余额前五名的应收账款情况：</w:t>
      </w:r>
      <w:r>
        <w:rPr>
          <w:b w:val="0"/>
          <w:bCs w:val="0"/>
        </w:rPr>
      </w:r>
    </w:p>
    <w:p>
      <w:pPr>
        <w:pStyle w:val="BodyText"/>
        <w:tabs>
          <w:tab w:pos="1060" w:val="left" w:leader="none"/>
        </w:tabs>
        <w:spacing w:line="240" w:lineRule="auto" w:before="58"/>
        <w:ind w:right="2757"/>
        <w:jc w:val="left"/>
      </w:pPr>
      <w:r>
        <w:rPr>
          <w:spacing w:val="-1"/>
        </w:rPr>
        <w:t>√适用</w:t>
        <w:tab/>
      </w:r>
      <w:r>
        <w:rPr>
          <w:spacing w:val="-2"/>
        </w:rPr>
        <w:t>□不适用</w:t>
      </w:r>
    </w:p>
    <w:p>
      <w:pPr>
        <w:spacing w:line="240" w:lineRule="auto" w:before="3"/>
        <w:rPr>
          <w:rFonts w:ascii="宋体" w:hAnsi="宋体" w:cs="宋体" w:eastAsia="宋体" w:hint="default"/>
          <w:sz w:val="23"/>
          <w:szCs w:val="23"/>
        </w:rPr>
      </w:pPr>
    </w:p>
    <w:tbl>
      <w:tblPr>
        <w:tblW w:w="0" w:type="auto"/>
        <w:jc w:val="left"/>
        <w:tblInd w:w="105" w:type="dxa"/>
        <w:tblLayout w:type="fixed"/>
        <w:tblCellMar>
          <w:top w:w="0" w:type="dxa"/>
          <w:left w:w="0" w:type="dxa"/>
          <w:bottom w:w="0" w:type="dxa"/>
          <w:right w:w="0" w:type="dxa"/>
        </w:tblCellMar>
        <w:tblLook w:val="01E0"/>
      </w:tblPr>
      <w:tblGrid>
        <w:gridCol w:w="2943"/>
        <w:gridCol w:w="1985"/>
        <w:gridCol w:w="2126"/>
        <w:gridCol w:w="1995"/>
      </w:tblGrid>
      <w:tr>
        <w:trPr>
          <w:trHeight w:val="554"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4"/>
              <w:jc w:val="right"/>
              <w:rPr>
                <w:rFonts w:ascii="宋体" w:hAnsi="宋体" w:cs="宋体" w:eastAsia="宋体" w:hint="default"/>
                <w:sz w:val="21"/>
                <w:szCs w:val="21"/>
              </w:rPr>
            </w:pPr>
            <w:r>
              <w:rPr>
                <w:rFonts w:ascii="宋体" w:hAnsi="宋体" w:cs="宋体" w:eastAsia="宋体" w:hint="default"/>
                <w:spacing w:val="-2"/>
                <w:sz w:val="21"/>
                <w:szCs w:val="21"/>
              </w:rPr>
              <w:t>应收账款期末余额</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占应收账款期末余额</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合计数的比例</w:t>
            </w:r>
            <w:r>
              <w:rPr>
                <w:rFonts w:ascii="宋体" w:hAnsi="宋体" w:cs="宋体" w:eastAsia="宋体" w:hint="default"/>
                <w:sz w:val="21"/>
                <w:szCs w:val="21"/>
              </w:rPr>
              <w:t>%</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坏账准备期末余额</w:t>
            </w:r>
          </w:p>
        </w:tc>
      </w:tr>
      <w:tr>
        <w:trPr>
          <w:trHeight w:val="281"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世纪证券有限责任公司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1,253,954.46</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5.76</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74,447.72</w:t>
            </w:r>
          </w:p>
        </w:tc>
      </w:tr>
      <w:tr>
        <w:trPr>
          <w:trHeight w:val="554"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重庆科技要素交易中心有限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1,253,000.00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5.75</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62,650.00</w:t>
            </w:r>
          </w:p>
        </w:tc>
      </w:tr>
      <w:tr>
        <w:trPr>
          <w:trHeight w:val="28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中原证券股份有限公司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1,130,000.00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5.19</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56,500.00</w:t>
            </w:r>
          </w:p>
        </w:tc>
      </w:tr>
      <w:tr>
        <w:trPr>
          <w:trHeight w:val="28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华龙证券股份有限公司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850,000.00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3.90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42,500.00</w:t>
            </w:r>
          </w:p>
        </w:tc>
      </w:tr>
      <w:tr>
        <w:trPr>
          <w:trHeight w:val="555"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福建弥乐福文化传播有限公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800,000.00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3.67</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80,000.00</w:t>
            </w:r>
          </w:p>
        </w:tc>
      </w:tr>
    </w:tbl>
    <w:p>
      <w:pPr>
        <w:spacing w:after="0" w:line="241" w:lineRule="exact"/>
        <w:jc w:val="right"/>
        <w:rPr>
          <w:rFonts w:ascii="宋体" w:hAnsi="宋体" w:cs="宋体" w:eastAsia="宋体" w:hint="default"/>
          <w:sz w:val="21"/>
          <w:szCs w:val="21"/>
        </w:rPr>
        <w:sectPr>
          <w:type w:val="continuous"/>
          <w:pgSz w:w="11910" w:h="16840"/>
          <w:pgMar w:top="1000" w:bottom="280" w:left="1580" w:right="1040"/>
        </w:sectPr>
      </w:pPr>
    </w:p>
    <w:p>
      <w:pPr>
        <w:spacing w:line="240" w:lineRule="auto" w:before="9"/>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2943"/>
        <w:gridCol w:w="1985"/>
        <w:gridCol w:w="2126"/>
        <w:gridCol w:w="1995"/>
      </w:tblGrid>
      <w:tr>
        <w:trPr>
          <w:trHeight w:val="284"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612" w:right="0"/>
              <w:jc w:val="left"/>
              <w:rPr>
                <w:rFonts w:ascii="宋体" w:hAnsi="宋体" w:cs="宋体" w:eastAsia="宋体" w:hint="default"/>
                <w:sz w:val="21"/>
                <w:szCs w:val="21"/>
              </w:rPr>
            </w:pPr>
            <w:r>
              <w:rPr>
                <w:rFonts w:ascii="宋体"/>
                <w:sz w:val="21"/>
              </w:rPr>
              <w:t>5,286,954.46</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z w:val="21"/>
              </w:rPr>
              <w:t>24.27</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830" w:right="0"/>
              <w:jc w:val="left"/>
              <w:rPr>
                <w:rFonts w:ascii="宋体" w:hAnsi="宋体" w:cs="宋体" w:eastAsia="宋体" w:hint="default"/>
                <w:sz w:val="21"/>
                <w:szCs w:val="21"/>
              </w:rPr>
            </w:pPr>
            <w:r>
              <w:rPr>
                <w:rFonts w:ascii="宋体"/>
                <w:sz w:val="21"/>
              </w:rPr>
              <w:t>316,097.72</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3"/>
        <w:spacing w:line="240" w:lineRule="auto" w:before="36"/>
        <w:ind w:right="2757"/>
        <w:jc w:val="left"/>
        <w:rPr>
          <w:b w:val="0"/>
          <w:bCs w:val="0"/>
        </w:rPr>
      </w:pPr>
      <w:r>
        <w:rPr>
          <w:rFonts w:ascii="宋体" w:hAnsi="宋体" w:cs="宋体" w:eastAsia="宋体" w:hint="default"/>
        </w:rPr>
        <w:t>(5).</w:t>
      </w:r>
      <w:r>
        <w:rPr>
          <w:rFonts w:ascii="宋体" w:hAnsi="宋体" w:cs="宋体" w:eastAsia="宋体" w:hint="default"/>
          <w:spacing w:val="44"/>
        </w:rPr>
        <w:t> </w:t>
      </w:r>
      <w:r>
        <w:rPr/>
        <w:t>因金融资产转移而终止确认的应收账款：</w:t>
      </w:r>
      <w:r>
        <w:rPr>
          <w:b w:val="0"/>
          <w:bCs w:val="0"/>
        </w:rPr>
      </w:r>
    </w:p>
    <w:p>
      <w:pPr>
        <w:pStyle w:val="BodyText"/>
        <w:tabs>
          <w:tab w:pos="1060" w:val="left" w:leader="none"/>
        </w:tabs>
        <w:spacing w:line="240" w:lineRule="auto" w:before="58"/>
        <w:ind w:right="2757"/>
        <w:jc w:val="left"/>
      </w:pPr>
      <w:r>
        <w:rPr>
          <w:spacing w:val="-1"/>
        </w:rPr>
        <w:t>□适用</w:t>
        <w:tab/>
      </w:r>
      <w:r>
        <w:rPr>
          <w:spacing w:val="-2"/>
        </w:rPr>
        <w:t>√不适用</w:t>
      </w:r>
    </w:p>
    <w:p>
      <w:pPr>
        <w:spacing w:line="240" w:lineRule="auto" w:before="11"/>
        <w:rPr>
          <w:rFonts w:ascii="宋体" w:hAnsi="宋体" w:cs="宋体" w:eastAsia="宋体" w:hint="default"/>
          <w:sz w:val="22"/>
          <w:szCs w:val="22"/>
        </w:rPr>
      </w:pPr>
    </w:p>
    <w:p>
      <w:pPr>
        <w:pStyle w:val="Heading3"/>
        <w:spacing w:line="240" w:lineRule="auto"/>
        <w:ind w:right="2757"/>
        <w:jc w:val="left"/>
        <w:rPr>
          <w:b w:val="0"/>
          <w:bCs w:val="0"/>
        </w:rPr>
      </w:pPr>
      <w:r>
        <w:rPr>
          <w:rFonts w:ascii="宋体" w:hAnsi="宋体" w:cs="宋体" w:eastAsia="宋体" w:hint="default"/>
        </w:rPr>
        <w:t>(6).</w:t>
      </w:r>
      <w:r>
        <w:rPr>
          <w:rFonts w:ascii="宋体" w:hAnsi="宋体" w:cs="宋体" w:eastAsia="宋体" w:hint="default"/>
          <w:spacing w:val="43"/>
        </w:rPr>
        <w:t> </w:t>
      </w:r>
      <w:r>
        <w:rPr/>
        <w:t>转移应收账款且继续涉入形成的资产、负债金额：</w:t>
      </w:r>
      <w:r>
        <w:rPr>
          <w:b w:val="0"/>
          <w:bCs w:val="0"/>
        </w:rPr>
      </w:r>
    </w:p>
    <w:p>
      <w:pPr>
        <w:pStyle w:val="BodyText"/>
        <w:tabs>
          <w:tab w:pos="1060" w:val="left" w:leader="none"/>
        </w:tabs>
        <w:spacing w:line="240" w:lineRule="auto" w:before="56"/>
        <w:ind w:right="2757"/>
        <w:jc w:val="left"/>
      </w:pPr>
      <w:r>
        <w:rPr>
          <w:spacing w:val="-1"/>
        </w:rPr>
        <w:t>□适用</w:t>
        <w:tab/>
      </w:r>
      <w:r>
        <w:rPr>
          <w:spacing w:val="-2"/>
        </w:rPr>
        <w:t>√不适用</w:t>
      </w:r>
    </w:p>
    <w:p>
      <w:pPr>
        <w:spacing w:line="240" w:lineRule="auto" w:before="3"/>
        <w:rPr>
          <w:rFonts w:ascii="宋体" w:hAnsi="宋体" w:cs="宋体" w:eastAsia="宋体" w:hint="default"/>
          <w:sz w:val="18"/>
          <w:szCs w:val="18"/>
        </w:rPr>
      </w:pPr>
    </w:p>
    <w:p>
      <w:pPr>
        <w:pStyle w:val="BodyText"/>
        <w:spacing w:line="274" w:lineRule="exact"/>
        <w:ind w:right="2757"/>
        <w:jc w:val="left"/>
      </w:pPr>
      <w:r>
        <w:rPr/>
        <w:t>其他说明：</w:t>
      </w:r>
    </w:p>
    <w:p>
      <w:pPr>
        <w:pStyle w:val="BodyText"/>
        <w:tabs>
          <w:tab w:pos="1060" w:val="left" w:leader="none"/>
        </w:tabs>
        <w:spacing w:line="274" w:lineRule="exact"/>
        <w:ind w:right="2757"/>
        <w:jc w:val="left"/>
      </w:pPr>
      <w:r>
        <w:rPr>
          <w:spacing w:val="-1"/>
        </w:rPr>
        <w:t>□适用</w:t>
        <w:tab/>
      </w:r>
      <w:r>
        <w:rPr>
          <w:spacing w:val="-2"/>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1195" w:top="1320" w:bottom="1380" w:left="1580" w:right="1040"/>
        </w:sectPr>
      </w:pPr>
    </w:p>
    <w:p>
      <w:pPr>
        <w:pStyle w:val="Heading3"/>
        <w:spacing w:line="240" w:lineRule="auto" w:before="36"/>
        <w:ind w:right="-19"/>
        <w:jc w:val="left"/>
        <w:rPr>
          <w:b w:val="0"/>
          <w:bCs w:val="0"/>
        </w:rPr>
      </w:pPr>
      <w:r>
        <w:rPr>
          <w:rFonts w:ascii="宋体" w:hAnsi="宋体" w:cs="宋体" w:eastAsia="宋体" w:hint="default"/>
        </w:rPr>
        <w:t>6</w:t>
      </w:r>
      <w:r>
        <w:rPr/>
        <w:t>、</w:t>
      </w:r>
      <w:r>
        <w:rPr>
          <w:spacing w:val="-2"/>
        </w:rPr>
        <w:t> </w:t>
      </w:r>
      <w:r>
        <w:rPr/>
        <w:t>预付款项</w:t>
      </w:r>
      <w:r>
        <w:rPr>
          <w:b w:val="0"/>
          <w:bCs w:val="0"/>
        </w:rPr>
      </w:r>
    </w:p>
    <w:p>
      <w:pPr>
        <w:pStyle w:val="Heading3"/>
        <w:spacing w:line="240" w:lineRule="auto" w:before="56"/>
        <w:ind w:right="-19"/>
        <w:jc w:val="left"/>
        <w:rPr>
          <w:b w:val="0"/>
          <w:bCs w:val="0"/>
        </w:rPr>
      </w:pPr>
      <w:r>
        <w:rPr>
          <w:rFonts w:ascii="宋体" w:hAnsi="宋体" w:cs="宋体" w:eastAsia="宋体" w:hint="default"/>
        </w:rPr>
        <w:t>(1).</w:t>
      </w:r>
      <w:r>
        <w:rPr>
          <w:rFonts w:ascii="宋体" w:hAnsi="宋体" w:cs="宋体" w:eastAsia="宋体" w:hint="default"/>
          <w:spacing w:val="90"/>
        </w:rPr>
        <w:t> </w:t>
      </w:r>
      <w:r>
        <w:rPr/>
        <w:t>预付款项按账龄列示</w:t>
      </w:r>
      <w:r>
        <w:rPr>
          <w:b w:val="0"/>
          <w:bCs w:val="0"/>
        </w:rPr>
      </w:r>
    </w:p>
    <w:p>
      <w:pPr>
        <w:pStyle w:val="BodyText"/>
        <w:tabs>
          <w:tab w:pos="1060" w:val="left" w:leader="none"/>
        </w:tabs>
        <w:spacing w:line="240" w:lineRule="auto" w:before="58"/>
        <w:ind w:right="-19"/>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000" w:bottom="280" w:left="1580" w:right="1040"/>
          <w:cols w:num="2" w:equalWidth="0">
            <w:col w:w="2736" w:space="3786"/>
            <w:col w:w="2768"/>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361"/>
        <w:gridCol w:w="1892"/>
        <w:gridCol w:w="1877"/>
        <w:gridCol w:w="1874"/>
        <w:gridCol w:w="1892"/>
      </w:tblGrid>
      <w:tr>
        <w:trPr>
          <w:trHeight w:val="281" w:hRule="exact"/>
        </w:trPr>
        <w:tc>
          <w:tcPr>
            <w:tcW w:w="1361"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7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7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1361" w:type="dxa"/>
            <w:vMerge/>
            <w:tcBorders>
              <w:left w:val="single" w:sz="4" w:space="0" w:color="000000"/>
              <w:bottom w:val="single" w:sz="4" w:space="0" w:color="000000"/>
              <w:right w:val="single" w:sz="4" w:space="0" w:color="000000"/>
            </w:tcBorders>
          </w:tcPr>
          <w:p>
            <w:pP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金额</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3"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1"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r>
      <w:tr>
        <w:trPr>
          <w:trHeight w:val="283"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2,337,576.82</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z w:val="21"/>
              </w:rPr>
              <w:t>95.41</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1,500,186.37</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100.00</w:t>
            </w:r>
          </w:p>
        </w:tc>
      </w:tr>
      <w:tr>
        <w:trPr>
          <w:trHeight w:val="281"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112,426.00</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4.59</w:t>
            </w:r>
          </w:p>
        </w:tc>
        <w:tc>
          <w:tcPr>
            <w:tcW w:w="1874" w:type="dxa"/>
            <w:tcBorders>
              <w:top w:val="single" w:sz="4" w:space="0" w:color="000000"/>
              <w:left w:val="single" w:sz="4" w:space="0" w:color="000000"/>
              <w:bottom w:val="single" w:sz="4" w:space="0" w:color="000000"/>
              <w:right w:val="single" w:sz="4" w:space="0" w:color="000000"/>
            </w:tcBorders>
          </w:tcPr>
          <w:p>
            <w:pPr/>
          </w:p>
        </w:tc>
        <w:tc>
          <w:tcPr>
            <w:tcW w:w="189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2,450,002.82</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z w:val="21"/>
              </w:rPr>
              <w:t>100.00</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1,500,186.37</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100.00</w:t>
            </w:r>
          </w:p>
        </w:tc>
      </w:tr>
    </w:tbl>
    <w:p>
      <w:pPr>
        <w:spacing w:line="240" w:lineRule="auto" w:before="2"/>
        <w:rPr>
          <w:rFonts w:ascii="宋体" w:hAnsi="宋体" w:cs="宋体" w:eastAsia="宋体" w:hint="default"/>
          <w:sz w:val="20"/>
          <w:szCs w:val="20"/>
        </w:rPr>
      </w:pPr>
    </w:p>
    <w:p>
      <w:pPr>
        <w:pStyle w:val="Heading3"/>
        <w:spacing w:line="240" w:lineRule="auto" w:before="36"/>
        <w:ind w:right="2757"/>
        <w:jc w:val="left"/>
        <w:rPr>
          <w:b w:val="0"/>
          <w:bCs w:val="0"/>
        </w:rPr>
      </w:pPr>
      <w:r>
        <w:rPr>
          <w:rFonts w:ascii="宋体" w:hAnsi="宋体" w:cs="宋体" w:eastAsia="宋体" w:hint="default"/>
        </w:rPr>
        <w:t>(2).</w:t>
      </w:r>
      <w:r>
        <w:rPr>
          <w:rFonts w:ascii="宋体" w:hAnsi="宋体" w:cs="宋体" w:eastAsia="宋体" w:hint="default"/>
          <w:spacing w:val="86"/>
        </w:rPr>
        <w:t> </w:t>
      </w:r>
      <w:r>
        <w:rPr/>
        <w:t>按预付对象归集的期末余额前五名的预付款情况：</w:t>
      </w:r>
      <w:r>
        <w:rPr>
          <w:b w:val="0"/>
          <w:bCs w:val="0"/>
        </w:rPr>
      </w:r>
    </w:p>
    <w:p>
      <w:pPr>
        <w:pStyle w:val="BodyText"/>
        <w:tabs>
          <w:tab w:pos="1060" w:val="left" w:leader="none"/>
        </w:tabs>
        <w:spacing w:line="240" w:lineRule="auto" w:before="56"/>
        <w:ind w:right="2757"/>
        <w:jc w:val="left"/>
      </w:pPr>
      <w:r>
        <w:rPr>
          <w:spacing w:val="-1"/>
        </w:rPr>
        <w:t>√适用</w:t>
        <w:tab/>
      </w:r>
      <w:r>
        <w:rPr>
          <w:spacing w:val="-2"/>
        </w:rPr>
        <w:t>□不适用</w:t>
      </w:r>
    </w:p>
    <w:p>
      <w:pPr>
        <w:spacing w:line="240" w:lineRule="auto" w:before="3"/>
        <w:rPr>
          <w:rFonts w:ascii="宋体" w:hAnsi="宋体" w:cs="宋体" w:eastAsia="宋体" w:hint="default"/>
          <w:sz w:val="23"/>
          <w:szCs w:val="23"/>
        </w:rPr>
      </w:pPr>
    </w:p>
    <w:tbl>
      <w:tblPr>
        <w:tblW w:w="0" w:type="auto"/>
        <w:jc w:val="left"/>
        <w:tblInd w:w="105" w:type="dxa"/>
        <w:tblLayout w:type="fixed"/>
        <w:tblCellMar>
          <w:top w:w="0" w:type="dxa"/>
          <w:left w:w="0" w:type="dxa"/>
          <w:bottom w:w="0" w:type="dxa"/>
          <w:right w:w="0" w:type="dxa"/>
        </w:tblCellMar>
        <w:tblLook w:val="01E0"/>
      </w:tblPr>
      <w:tblGrid>
        <w:gridCol w:w="3937"/>
        <w:gridCol w:w="2410"/>
        <w:gridCol w:w="2703"/>
      </w:tblGrid>
      <w:tr>
        <w:trPr>
          <w:trHeight w:val="554"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预付款项期末余额</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占预付款项期末余额合计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数的比例</w:t>
            </w:r>
            <w:r>
              <w:rPr>
                <w:rFonts w:ascii="宋体" w:hAnsi="宋体" w:cs="宋体" w:eastAsia="宋体" w:hint="default"/>
                <w:sz w:val="21"/>
                <w:szCs w:val="21"/>
              </w:rPr>
              <w:t>%</w:t>
            </w: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朱建凯（预付房租）</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175,810.40</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7.18</w:t>
            </w:r>
          </w:p>
        </w:tc>
      </w:tr>
      <w:tr>
        <w:trPr>
          <w:trHeight w:val="28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招远市方远软件开发有限公司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160,000.00</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6.53</w:t>
            </w: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上海敏软网络科技有限公司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160,000.00</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6.53</w:t>
            </w: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河南新联华网络技术有限公司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150,000.00</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6.12</w:t>
            </w:r>
          </w:p>
        </w:tc>
      </w:tr>
      <w:tr>
        <w:trPr>
          <w:trHeight w:val="28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南京傲途软件有限公司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141,500.00</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5.78</w:t>
            </w: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787,310.40</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32.14</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274" w:lineRule="exact" w:before="36"/>
        <w:ind w:right="2757"/>
        <w:jc w:val="left"/>
      </w:pPr>
      <w:r>
        <w:rPr/>
        <w:t>其他说明</w:t>
      </w:r>
    </w:p>
    <w:p>
      <w:pPr>
        <w:pStyle w:val="BodyText"/>
        <w:tabs>
          <w:tab w:pos="1060" w:val="left" w:leader="none"/>
        </w:tabs>
        <w:spacing w:line="274" w:lineRule="exact"/>
        <w:ind w:right="2757"/>
        <w:jc w:val="left"/>
      </w:pPr>
      <w:r>
        <w:rPr>
          <w:spacing w:val="-1"/>
        </w:rPr>
        <w:t>□适用</w:t>
        <w:tab/>
      </w:r>
      <w:r>
        <w:rPr>
          <w:spacing w:val="-2"/>
        </w:rPr>
        <w:t>√不适用</w:t>
      </w:r>
    </w:p>
    <w:p>
      <w:pPr>
        <w:spacing w:line="240" w:lineRule="auto" w:before="3"/>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000" w:bottom="280" w:left="1580" w:right="1040"/>
        </w:sectPr>
      </w:pPr>
    </w:p>
    <w:p>
      <w:pPr>
        <w:pStyle w:val="Heading3"/>
        <w:spacing w:line="240" w:lineRule="auto" w:before="36"/>
        <w:ind w:right="-19"/>
        <w:jc w:val="left"/>
        <w:rPr>
          <w:b w:val="0"/>
          <w:bCs w:val="0"/>
        </w:rPr>
      </w:pPr>
      <w:r>
        <w:rPr>
          <w:rFonts w:ascii="宋体" w:hAnsi="宋体" w:cs="宋体" w:eastAsia="宋体" w:hint="default"/>
        </w:rPr>
        <w:t>7</w:t>
      </w:r>
      <w:r>
        <w:rPr/>
        <w:t>、</w:t>
      </w:r>
      <w:r>
        <w:rPr>
          <w:spacing w:val="-2"/>
        </w:rPr>
        <w:t> </w:t>
      </w:r>
      <w:r>
        <w:rPr/>
        <w:t>应收利息</w:t>
      </w:r>
      <w:r>
        <w:rPr>
          <w:b w:val="0"/>
          <w:bCs w:val="0"/>
        </w:rPr>
      </w:r>
    </w:p>
    <w:p>
      <w:pPr>
        <w:pStyle w:val="Heading3"/>
        <w:spacing w:line="240" w:lineRule="auto" w:before="58"/>
        <w:ind w:right="-19"/>
        <w:jc w:val="left"/>
        <w:rPr>
          <w:b w:val="0"/>
          <w:bCs w:val="0"/>
        </w:rPr>
      </w:pPr>
      <w:r>
        <w:rPr>
          <w:rFonts w:ascii="宋体" w:hAnsi="宋体" w:cs="宋体" w:eastAsia="宋体" w:hint="default"/>
        </w:rPr>
        <w:t>(1).</w:t>
      </w:r>
      <w:r>
        <w:rPr>
          <w:rFonts w:ascii="宋体" w:hAnsi="宋体" w:cs="宋体" w:eastAsia="宋体" w:hint="default"/>
          <w:spacing w:val="19"/>
        </w:rPr>
        <w:t> </w:t>
      </w:r>
      <w:r>
        <w:rPr/>
        <w:t>应收利息分类</w:t>
      </w:r>
      <w:r>
        <w:rPr>
          <w:b w:val="0"/>
          <w:bCs w:val="0"/>
        </w:rPr>
      </w:r>
    </w:p>
    <w:p>
      <w:pPr>
        <w:pStyle w:val="BodyText"/>
        <w:spacing w:line="240" w:lineRule="auto" w:before="56"/>
        <w:ind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000" w:bottom="280" w:left="1580" w:right="1040"/>
          <w:cols w:num="2" w:equalWidth="0">
            <w:col w:w="2033" w:space="4489"/>
            <w:col w:w="2768"/>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780"/>
        <w:gridCol w:w="3048"/>
        <w:gridCol w:w="3068"/>
      </w:tblGrid>
      <w:tr>
        <w:trPr>
          <w:trHeight w:val="283"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72"/>
              <w:jc w:val="right"/>
              <w:rPr>
                <w:rFonts w:ascii="宋体" w:hAnsi="宋体" w:cs="宋体" w:eastAsia="宋体" w:hint="default"/>
                <w:sz w:val="21"/>
                <w:szCs w:val="21"/>
              </w:rPr>
            </w:pPr>
            <w:r>
              <w:rPr>
                <w:rFonts w:ascii="宋体" w:hAnsi="宋体" w:cs="宋体" w:eastAsia="宋体" w:hint="default"/>
                <w:sz w:val="21"/>
                <w:szCs w:val="21"/>
              </w:rPr>
              <w:t>项目</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定期存款</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pacing w:val="-1"/>
                <w:sz w:val="21"/>
              </w:rPr>
              <w:t>47,650.79</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pacing w:val="-1"/>
                <w:sz w:val="21"/>
              </w:rPr>
              <w:t>889,742.73</w:t>
            </w:r>
          </w:p>
        </w:tc>
      </w:tr>
      <w:tr>
        <w:trPr>
          <w:trHeight w:val="281"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保本型理财产品</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pacing w:val="-1"/>
                <w:sz w:val="21"/>
              </w:rPr>
              <w:t>6,676,191.78</w:t>
            </w:r>
          </w:p>
        </w:tc>
        <w:tc>
          <w:tcPr>
            <w:tcW w:w="3068"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72"/>
              <w:jc w:val="right"/>
              <w:rPr>
                <w:rFonts w:ascii="宋体" w:hAnsi="宋体" w:cs="宋体" w:eastAsia="宋体" w:hint="default"/>
                <w:sz w:val="21"/>
                <w:szCs w:val="21"/>
              </w:rPr>
            </w:pPr>
            <w:r>
              <w:rPr>
                <w:rFonts w:ascii="宋体" w:hAnsi="宋体" w:cs="宋体" w:eastAsia="宋体" w:hint="default"/>
                <w:sz w:val="21"/>
                <w:szCs w:val="21"/>
              </w:rPr>
              <w:t>合计</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pacing w:val="-1"/>
                <w:sz w:val="21"/>
              </w:rPr>
              <w:t>6,723,842.57</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pacing w:val="-1"/>
                <w:sz w:val="21"/>
              </w:rPr>
              <w:t>889,742.73</w:t>
            </w:r>
          </w:p>
        </w:tc>
      </w:tr>
    </w:tbl>
    <w:p>
      <w:pPr>
        <w:spacing w:after="0" w:line="241" w:lineRule="exact"/>
        <w:jc w:val="right"/>
        <w:rPr>
          <w:rFonts w:ascii="宋体" w:hAnsi="宋体" w:cs="宋体" w:eastAsia="宋体" w:hint="default"/>
          <w:sz w:val="21"/>
          <w:szCs w:val="21"/>
        </w:rPr>
        <w:sectPr>
          <w:type w:val="continuous"/>
          <w:pgSz w:w="11910" w:h="16840"/>
          <w:pgMar w:top="1000" w:bottom="280" w:left="1580" w:right="1040"/>
        </w:sectPr>
      </w:pPr>
    </w:p>
    <w:p>
      <w:pPr>
        <w:spacing w:line="240" w:lineRule="auto" w:before="4"/>
        <w:rPr>
          <w:rFonts w:ascii="宋体" w:hAnsi="宋体" w:cs="宋体" w:eastAsia="宋体" w:hint="default"/>
          <w:sz w:val="9"/>
          <w:szCs w:val="9"/>
        </w:rPr>
      </w:pPr>
    </w:p>
    <w:p>
      <w:pPr>
        <w:pStyle w:val="Heading3"/>
        <w:spacing w:line="240" w:lineRule="auto" w:before="36"/>
        <w:ind w:left="138" w:right="0"/>
        <w:jc w:val="left"/>
        <w:rPr>
          <w:b w:val="0"/>
          <w:bCs w:val="0"/>
        </w:rPr>
      </w:pPr>
      <w:r>
        <w:rPr>
          <w:rFonts w:ascii="宋体" w:hAnsi="宋体" w:cs="宋体" w:eastAsia="宋体" w:hint="default"/>
        </w:rPr>
        <w:t>(2).</w:t>
      </w:r>
      <w:r>
        <w:rPr>
          <w:rFonts w:ascii="宋体" w:hAnsi="宋体" w:cs="宋体" w:eastAsia="宋体" w:hint="default"/>
          <w:spacing w:val="19"/>
        </w:rPr>
        <w:t> </w:t>
      </w:r>
      <w:r>
        <w:rPr/>
        <w:t>重要逾期利息</w:t>
      </w:r>
      <w:r>
        <w:rPr>
          <w:b w:val="0"/>
          <w:bCs w:val="0"/>
        </w:rPr>
      </w:r>
    </w:p>
    <w:p>
      <w:pPr>
        <w:pStyle w:val="BodyText"/>
        <w:spacing w:line="272" w:lineRule="exact" w:before="86"/>
        <w:ind w:left="138" w:right="7374"/>
        <w:jc w:val="left"/>
      </w:pPr>
      <w:r>
        <w:rPr/>
        <w:t>□适用</w:t>
      </w:r>
      <w:r>
        <w:rPr>
          <w:spacing w:val="-1"/>
        </w:rPr>
        <w:t> </w:t>
      </w:r>
      <w:r>
        <w:rPr/>
        <w:t>√不适用</w:t>
      </w:r>
      <w:r>
        <w:rPr>
          <w:w w:val="100"/>
        </w:rPr>
        <w:t> </w:t>
      </w:r>
      <w:r>
        <w:rPr/>
        <w:t>其他说明：</w:t>
      </w:r>
    </w:p>
    <w:p>
      <w:pPr>
        <w:pStyle w:val="BodyText"/>
        <w:tabs>
          <w:tab w:pos="980" w:val="left" w:leader="none"/>
        </w:tabs>
        <w:spacing w:line="249" w:lineRule="exact"/>
        <w:ind w:left="138"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3"/>
        <w:spacing w:line="290" w:lineRule="auto"/>
        <w:ind w:left="138" w:right="7546"/>
        <w:jc w:val="left"/>
        <w:rPr>
          <w:b w:val="0"/>
          <w:bCs w:val="0"/>
        </w:rPr>
      </w:pPr>
      <w:r>
        <w:rPr>
          <w:rFonts w:ascii="宋体" w:hAnsi="宋体" w:cs="宋体" w:eastAsia="宋体" w:hint="default"/>
        </w:rPr>
        <w:t>8</w:t>
      </w:r>
      <w:r>
        <w:rPr/>
        <w:t>、</w:t>
      </w:r>
      <w:r>
        <w:rPr>
          <w:spacing w:val="-3"/>
        </w:rPr>
        <w:t> </w:t>
      </w:r>
      <w:r>
        <w:rPr/>
        <w:t>应收股利</w:t>
      </w:r>
      <w:r>
        <w:rPr>
          <w:w w:val="100"/>
        </w:rPr>
        <w:t> </w:t>
      </w:r>
      <w:r>
        <w:rPr>
          <w:rFonts w:ascii="宋体" w:hAnsi="宋体" w:cs="宋体" w:eastAsia="宋体" w:hint="default"/>
        </w:rPr>
        <w:t>(1).</w:t>
      </w:r>
      <w:r>
        <w:rPr>
          <w:rFonts w:ascii="宋体" w:hAnsi="宋体" w:cs="宋体" w:eastAsia="宋体" w:hint="default"/>
          <w:spacing w:val="30"/>
        </w:rPr>
        <w:t> </w:t>
      </w:r>
      <w:r>
        <w:rPr/>
        <w:t>应收股利</w:t>
      </w:r>
      <w:r>
        <w:rPr>
          <w:b w:val="0"/>
          <w:bCs w:val="0"/>
        </w:rPr>
      </w:r>
    </w:p>
    <w:p>
      <w:pPr>
        <w:pStyle w:val="BodyText"/>
        <w:spacing w:line="240" w:lineRule="auto" w:before="14"/>
        <w:ind w:left="138" w:right="0"/>
        <w:jc w:val="left"/>
      </w:pPr>
      <w:r>
        <w:rPr/>
        <w:t>□适用</w:t>
      </w:r>
      <w:r>
        <w:rPr>
          <w:spacing w:val="-1"/>
        </w:rPr>
        <w:t> </w:t>
      </w:r>
      <w:r>
        <w:rPr/>
        <w:t>√不适用</w:t>
      </w:r>
    </w:p>
    <w:p>
      <w:pPr>
        <w:pStyle w:val="Heading3"/>
        <w:spacing w:line="240" w:lineRule="auto" w:before="56"/>
        <w:ind w:left="138" w:right="0"/>
        <w:jc w:val="left"/>
        <w:rPr>
          <w:b w:val="0"/>
          <w:bCs w:val="0"/>
        </w:rPr>
      </w:pPr>
      <w:r>
        <w:rPr>
          <w:rFonts w:ascii="宋体" w:hAnsi="宋体" w:cs="宋体" w:eastAsia="宋体" w:hint="default"/>
        </w:rPr>
        <w:t>(2). </w:t>
      </w:r>
      <w:r>
        <w:rPr/>
        <w:t>重要的账龄超过 </w:t>
      </w:r>
      <w:r>
        <w:rPr>
          <w:rFonts w:ascii="Cambria" w:hAnsi="Cambria" w:cs="Cambria" w:eastAsia="Cambria" w:hint="default"/>
        </w:rPr>
        <w:t>1</w:t>
      </w:r>
      <w:r>
        <w:rPr>
          <w:rFonts w:ascii="Cambria" w:hAnsi="Cambria" w:cs="Cambria" w:eastAsia="Cambria" w:hint="default"/>
          <w:spacing w:val="-18"/>
        </w:rPr>
        <w:t> </w:t>
      </w:r>
      <w:r>
        <w:rPr/>
        <w:t>年的应收股利：</w:t>
      </w:r>
      <w:r>
        <w:rPr>
          <w:b w:val="0"/>
          <w:bCs w:val="0"/>
        </w:rPr>
      </w:r>
    </w:p>
    <w:p>
      <w:pPr>
        <w:pStyle w:val="BodyText"/>
        <w:spacing w:line="272" w:lineRule="exact" w:before="69"/>
        <w:ind w:left="138" w:right="7374"/>
        <w:jc w:val="left"/>
      </w:pPr>
      <w:r>
        <w:rPr/>
        <w:t>□适用</w:t>
      </w:r>
      <w:r>
        <w:rPr>
          <w:spacing w:val="-1"/>
        </w:rPr>
        <w:t> </w:t>
      </w:r>
      <w:r>
        <w:rPr/>
        <w:t>√不适用</w:t>
      </w:r>
      <w:r>
        <w:rPr>
          <w:w w:val="100"/>
        </w:rPr>
        <w:t> </w:t>
      </w:r>
      <w:r>
        <w:rPr/>
        <w:t>其他说明：</w:t>
      </w:r>
    </w:p>
    <w:p>
      <w:pPr>
        <w:pStyle w:val="BodyText"/>
        <w:spacing w:line="249" w:lineRule="exact"/>
        <w:ind w:left="138" w:right="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1195" w:top="1320" w:bottom="1380" w:left="1660" w:right="1140"/>
        </w:sectPr>
      </w:pPr>
    </w:p>
    <w:p>
      <w:pPr>
        <w:pStyle w:val="Heading3"/>
        <w:spacing w:line="240" w:lineRule="auto" w:before="36"/>
        <w:ind w:left="138" w:right="-19"/>
        <w:jc w:val="left"/>
        <w:rPr>
          <w:b w:val="0"/>
          <w:bCs w:val="0"/>
        </w:rPr>
      </w:pPr>
      <w:r>
        <w:rPr>
          <w:rFonts w:ascii="宋体" w:hAnsi="宋体" w:cs="宋体" w:eastAsia="宋体" w:hint="default"/>
        </w:rPr>
        <w:t>9</w:t>
      </w:r>
      <w:r>
        <w:rPr/>
        <w:t>、</w:t>
      </w:r>
      <w:r>
        <w:rPr>
          <w:spacing w:val="-1"/>
        </w:rPr>
        <w:t> </w:t>
      </w:r>
      <w:r>
        <w:rPr/>
        <w:t>其他应收款</w:t>
      </w:r>
      <w:r>
        <w:rPr>
          <w:b w:val="0"/>
          <w:bCs w:val="0"/>
        </w:rPr>
      </w:r>
    </w:p>
    <w:p>
      <w:pPr>
        <w:pStyle w:val="Heading3"/>
        <w:spacing w:line="240" w:lineRule="auto" w:before="56"/>
        <w:ind w:left="138" w:right="-19"/>
        <w:jc w:val="left"/>
        <w:rPr>
          <w:b w:val="0"/>
          <w:bCs w:val="0"/>
        </w:rPr>
      </w:pPr>
      <w:r>
        <w:rPr>
          <w:rFonts w:ascii="宋体" w:hAnsi="宋体" w:cs="宋体" w:eastAsia="宋体" w:hint="default"/>
        </w:rPr>
        <w:t>(1).</w:t>
      </w:r>
      <w:r>
        <w:rPr>
          <w:rFonts w:ascii="宋体" w:hAnsi="宋体" w:cs="宋体" w:eastAsia="宋体" w:hint="default"/>
          <w:spacing w:val="61"/>
        </w:rPr>
        <w:t> </w:t>
      </w:r>
      <w:r>
        <w:rPr/>
        <w:t>其他应收款分类披露</w:t>
      </w:r>
      <w:r>
        <w:rPr>
          <w:b w:val="0"/>
          <w:bCs w:val="0"/>
        </w:rPr>
      </w:r>
    </w:p>
    <w:p>
      <w:pPr>
        <w:pStyle w:val="BodyText"/>
        <w:spacing w:line="240" w:lineRule="auto" w:before="58"/>
        <w:ind w:left="138"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189" w:val="left" w:leader="none"/>
        </w:tabs>
        <w:spacing w:line="240" w:lineRule="auto"/>
        <w:ind w:left="138" w:right="0"/>
        <w:jc w:val="left"/>
      </w:pPr>
      <w:r>
        <w:rPr>
          <w:spacing w:val="-1"/>
        </w:rPr>
        <w:t>单位：元</w:t>
        <w:tab/>
      </w:r>
      <w:r>
        <w:rPr>
          <w:spacing w:val="-2"/>
        </w:rPr>
        <w:t>币种：人民币</w:t>
      </w:r>
    </w:p>
    <w:p>
      <w:pPr>
        <w:spacing w:after="0" w:line="240" w:lineRule="auto"/>
        <w:jc w:val="left"/>
        <w:sectPr>
          <w:type w:val="continuous"/>
          <w:pgSz w:w="11910" w:h="16840"/>
          <w:pgMar w:top="1000" w:bottom="280" w:left="1660" w:right="1140"/>
          <w:cols w:num="2" w:equalWidth="0">
            <w:col w:w="2627" w:space="3791"/>
            <w:col w:w="2692"/>
          </w:cols>
        </w:sectPr>
      </w:pPr>
    </w:p>
    <w:p>
      <w:pPr>
        <w:spacing w:line="240" w:lineRule="auto" w:before="8"/>
        <w:rPr>
          <w:rFonts w:ascii="宋体" w:hAnsi="宋体" w:cs="宋体" w:eastAsia="宋体" w:hint="default"/>
          <w:sz w:val="15"/>
          <w:szCs w:val="15"/>
        </w:rPr>
      </w:pPr>
    </w:p>
    <w:p>
      <w:pPr>
        <w:spacing w:before="44"/>
        <w:ind w:left="5331" w:right="5278" w:firstLine="0"/>
        <w:jc w:val="center"/>
        <w:rPr>
          <w:rFonts w:ascii="宋体" w:hAnsi="宋体" w:cs="宋体" w:eastAsia="宋体" w:hint="default"/>
          <w:sz w:val="18"/>
          <w:szCs w:val="18"/>
        </w:rPr>
      </w:pPr>
      <w:r>
        <w:rPr/>
        <w:pict>
          <v:shape style="position:absolute;margin-left:72pt;margin-top:-6.728303pt;width:71.25pt;height:19.46pt;mso-position-horizontal-relative:page;mso-position-vertical-relative:paragraph;z-index:1384" type="#_x0000_t75" stroked="false">
            <v:imagedata r:id="rId33" o:title=""/>
          </v:shape>
        </w:pict>
      </w:r>
      <w:r>
        <w:rPr>
          <w:rFonts w:ascii="宋体" w:hAnsi="宋体" w:cs="宋体" w:eastAsia="宋体" w:hint="default"/>
          <w:sz w:val="18"/>
          <w:szCs w:val="18"/>
        </w:rPr>
        <w:t>福建顶点软件股份有限公司</w:t>
      </w:r>
      <w:r>
        <w:rPr>
          <w:rFonts w:ascii="宋体" w:hAnsi="宋体" w:cs="宋体" w:eastAsia="宋体" w:hint="default"/>
          <w:spacing w:val="-48"/>
          <w:sz w:val="18"/>
          <w:szCs w:val="18"/>
        </w:rPr>
        <w:t> </w:t>
      </w: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1791"/>
        <w:gridCol w:w="1320"/>
        <w:gridCol w:w="1169"/>
        <w:gridCol w:w="1147"/>
        <w:gridCol w:w="1176"/>
        <w:gridCol w:w="1323"/>
        <w:gridCol w:w="1322"/>
        <w:gridCol w:w="1124"/>
        <w:gridCol w:w="1121"/>
        <w:gridCol w:w="1123"/>
        <w:gridCol w:w="1320"/>
      </w:tblGrid>
      <w:tr>
        <w:trPr>
          <w:trHeight w:val="293" w:hRule="exact"/>
        </w:trPr>
        <w:tc>
          <w:tcPr>
            <w:tcW w:w="1791"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613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601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1791" w:type="dxa"/>
            <w:vMerge/>
            <w:tcBorders>
              <w:left w:val="single" w:sz="4" w:space="0" w:color="000000"/>
              <w:right w:val="single" w:sz="4" w:space="0" w:color="000000"/>
            </w:tcBorders>
          </w:tcPr>
          <w:p>
            <w:pPr/>
          </w:p>
        </w:tc>
        <w:tc>
          <w:tcPr>
            <w:tcW w:w="24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1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3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323" w:type="dxa"/>
            <w:vMerge w:val="restart"/>
            <w:tcBorders>
              <w:top w:val="single" w:sz="4" w:space="0" w:color="000000"/>
              <w:left w:val="single" w:sz="4" w:space="0" w:color="000000"/>
              <w:right w:val="single" w:sz="4" w:space="0" w:color="000000"/>
            </w:tcBorders>
          </w:tcPr>
          <w:p>
            <w:pPr>
              <w:pStyle w:val="TableParagraph"/>
              <w:spacing w:line="272" w:lineRule="exact" w:before="135"/>
              <w:ind w:left="446" w:right="443"/>
              <w:jc w:val="center"/>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p>
        </w:tc>
        <w:tc>
          <w:tcPr>
            <w:tcW w:w="24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9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320" w:type="dxa"/>
            <w:vMerge w:val="restart"/>
            <w:tcBorders>
              <w:top w:val="single" w:sz="4" w:space="0" w:color="000000"/>
              <w:left w:val="single" w:sz="4" w:space="0" w:color="000000"/>
              <w:right w:val="single" w:sz="4" w:space="0" w:color="000000"/>
            </w:tcBorders>
          </w:tcPr>
          <w:p>
            <w:pPr>
              <w:pStyle w:val="TableParagraph"/>
              <w:spacing w:line="272" w:lineRule="exact" w:before="135"/>
              <w:ind w:left="443" w:right="442"/>
              <w:jc w:val="center"/>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p>
        </w:tc>
      </w:tr>
      <w:tr>
        <w:trPr>
          <w:trHeight w:val="557" w:hRule="exact"/>
        </w:trPr>
        <w:tc>
          <w:tcPr>
            <w:tcW w:w="1791" w:type="dxa"/>
            <w:vMerge/>
            <w:tcBorders>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1"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73" w:lineRule="exact"/>
              <w:ind w:right="0"/>
              <w:jc w:val="center"/>
              <w:rPr>
                <w:rFonts w:ascii="宋体" w:hAnsi="宋体" w:cs="宋体" w:eastAsia="宋体" w:hint="default"/>
                <w:sz w:val="21"/>
                <w:szCs w:val="21"/>
              </w:rPr>
            </w:pPr>
            <w:r>
              <w:rPr>
                <w:rFonts w:ascii="宋体"/>
                <w:sz w:val="21"/>
              </w:rPr>
              <w:t>(%)</w:t>
            </w:r>
          </w:p>
        </w:tc>
        <w:tc>
          <w:tcPr>
            <w:tcW w:w="1323" w:type="dxa"/>
            <w:vMerge/>
            <w:tcBorders>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89"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73" w:lineRule="exact"/>
              <w:ind w:right="0"/>
              <w:jc w:val="center"/>
              <w:rPr>
                <w:rFonts w:ascii="宋体" w:hAnsi="宋体" w:cs="宋体" w:eastAsia="宋体" w:hint="default"/>
                <w:sz w:val="21"/>
                <w:szCs w:val="21"/>
              </w:rPr>
            </w:pPr>
            <w:r>
              <w:rPr>
                <w:rFonts w:ascii="宋体"/>
                <w:sz w:val="21"/>
              </w:rPr>
              <w:t>(%)</w:t>
            </w:r>
          </w:p>
        </w:tc>
        <w:tc>
          <w:tcPr>
            <w:tcW w:w="1320" w:type="dxa"/>
            <w:vMerge/>
            <w:tcBorders>
              <w:left w:val="single" w:sz="4" w:space="0" w:color="000000"/>
              <w:bottom w:val="single" w:sz="4" w:space="0" w:color="000000"/>
              <w:right w:val="single" w:sz="4" w:space="0" w:color="000000"/>
            </w:tcBorders>
          </w:tcPr>
          <w:p>
            <w:pPr/>
          </w:p>
        </w:tc>
      </w:tr>
      <w:tr>
        <w:trPr>
          <w:trHeight w:val="826" w:hRule="exact"/>
        </w:trPr>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单项金额重大并单</w:t>
            </w:r>
          </w:p>
          <w:p>
            <w:pPr>
              <w:pStyle w:val="TableParagraph"/>
              <w:spacing w:line="240" w:lineRule="auto"/>
              <w:ind w:left="26" w:right="70"/>
              <w:jc w:val="left"/>
              <w:rPr>
                <w:rFonts w:ascii="宋体" w:hAnsi="宋体" w:cs="宋体" w:eastAsia="宋体" w:hint="default"/>
                <w:sz w:val="21"/>
                <w:szCs w:val="21"/>
              </w:rPr>
            </w:pPr>
            <w:r>
              <w:rPr>
                <w:rFonts w:ascii="宋体" w:hAnsi="宋体" w:cs="宋体" w:eastAsia="宋体" w:hint="default"/>
                <w:sz w:val="21"/>
                <w:szCs w:val="21"/>
              </w:rPr>
              <w:t>独计提坏账准备的</w:t>
            </w:r>
            <w:r>
              <w:rPr>
                <w:rFonts w:ascii="宋体" w:hAnsi="宋体" w:cs="宋体" w:eastAsia="宋体" w:hint="default"/>
                <w:w w:val="100"/>
                <w:sz w:val="21"/>
                <w:szCs w:val="21"/>
              </w:rPr>
              <w:t> </w:t>
            </w:r>
            <w:r>
              <w:rPr>
                <w:rFonts w:ascii="宋体" w:hAnsi="宋体" w:cs="宋体" w:eastAsia="宋体" w:hint="default"/>
                <w:sz w:val="21"/>
                <w:szCs w:val="21"/>
              </w:rPr>
              <w:t>其他应收款</w:t>
            </w:r>
          </w:p>
        </w:tc>
        <w:tc>
          <w:tcPr>
            <w:tcW w:w="1320"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829" w:hRule="exact"/>
        </w:trPr>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按信用风险特征组</w:t>
            </w:r>
          </w:p>
          <w:p>
            <w:pPr>
              <w:pStyle w:val="TableParagraph"/>
              <w:spacing w:line="272" w:lineRule="exact" w:before="27"/>
              <w:ind w:left="26" w:right="69"/>
              <w:jc w:val="left"/>
              <w:rPr>
                <w:rFonts w:ascii="宋体" w:hAnsi="宋体" w:cs="宋体" w:eastAsia="宋体" w:hint="default"/>
                <w:sz w:val="21"/>
                <w:szCs w:val="21"/>
              </w:rPr>
            </w:pPr>
            <w:r>
              <w:rPr>
                <w:rFonts w:ascii="宋体" w:hAnsi="宋体" w:cs="宋体" w:eastAsia="宋体" w:hint="default"/>
                <w:sz w:val="21"/>
                <w:szCs w:val="21"/>
              </w:rPr>
              <w:t>合计提坏账准备的</w:t>
            </w:r>
            <w:r>
              <w:rPr>
                <w:rFonts w:ascii="宋体" w:hAnsi="宋体" w:cs="宋体" w:eastAsia="宋体" w:hint="default"/>
                <w:w w:val="100"/>
                <w:sz w:val="21"/>
                <w:szCs w:val="21"/>
              </w:rPr>
              <w:t> </w:t>
            </w:r>
            <w:r>
              <w:rPr>
                <w:rFonts w:ascii="宋体" w:hAnsi="宋体" w:cs="宋体" w:eastAsia="宋体" w:hint="default"/>
                <w:sz w:val="21"/>
                <w:szCs w:val="21"/>
              </w:rPr>
              <w:t>其他应收款</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2,479,726.02</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sz w:val="21"/>
              </w:rPr>
              <w:t>100.00</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 w:right="0"/>
              <w:jc w:val="center"/>
              <w:rPr>
                <w:rFonts w:ascii="宋体" w:hAnsi="宋体" w:cs="宋体" w:eastAsia="宋体" w:hint="default"/>
                <w:sz w:val="21"/>
                <w:szCs w:val="21"/>
              </w:rPr>
            </w:pPr>
            <w:r>
              <w:rPr>
                <w:rFonts w:ascii="宋体"/>
                <w:sz w:val="21"/>
              </w:rPr>
              <w:t>689,378.86</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14" w:right="0"/>
              <w:jc w:val="left"/>
              <w:rPr>
                <w:rFonts w:ascii="宋体" w:hAnsi="宋体" w:cs="宋体" w:eastAsia="宋体" w:hint="default"/>
                <w:sz w:val="21"/>
                <w:szCs w:val="21"/>
              </w:rPr>
            </w:pPr>
            <w:r>
              <w:rPr>
                <w:rFonts w:ascii="宋体"/>
                <w:sz w:val="21"/>
              </w:rPr>
              <w:t>27.80</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1,790,347.16</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6,023,474.34</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6" w:right="0"/>
              <w:jc w:val="left"/>
              <w:rPr>
                <w:rFonts w:ascii="宋体" w:hAnsi="宋体" w:cs="宋体" w:eastAsia="宋体" w:hint="default"/>
                <w:sz w:val="21"/>
                <w:szCs w:val="21"/>
              </w:rPr>
            </w:pPr>
            <w:r>
              <w:rPr>
                <w:rFonts w:ascii="宋体"/>
                <w:sz w:val="21"/>
              </w:rPr>
              <w:t>100.00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 w:right="0"/>
              <w:jc w:val="center"/>
              <w:rPr>
                <w:rFonts w:ascii="宋体" w:hAnsi="宋体" w:cs="宋体" w:eastAsia="宋体" w:hint="default"/>
                <w:sz w:val="21"/>
                <w:szCs w:val="21"/>
              </w:rPr>
            </w:pPr>
            <w:r>
              <w:rPr>
                <w:rFonts w:ascii="宋体"/>
                <w:sz w:val="21"/>
              </w:rPr>
              <w:t>737,123.33</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1" w:right="0"/>
              <w:jc w:val="left"/>
              <w:rPr>
                <w:rFonts w:ascii="宋体" w:hAnsi="宋体" w:cs="宋体" w:eastAsia="宋体" w:hint="default"/>
                <w:sz w:val="21"/>
                <w:szCs w:val="21"/>
              </w:rPr>
            </w:pPr>
            <w:r>
              <w:rPr>
                <w:rFonts w:ascii="宋体"/>
                <w:sz w:val="21"/>
              </w:rPr>
              <w:t>12.24</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5,286,351.01</w:t>
            </w:r>
          </w:p>
        </w:tc>
      </w:tr>
      <w:tr>
        <w:trPr>
          <w:trHeight w:val="826" w:hRule="exact"/>
        </w:trPr>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单项金额不重大但</w:t>
            </w:r>
          </w:p>
          <w:p>
            <w:pPr>
              <w:pStyle w:val="TableParagraph"/>
              <w:spacing w:line="240" w:lineRule="auto"/>
              <w:ind w:left="26" w:right="70"/>
              <w:jc w:val="left"/>
              <w:rPr>
                <w:rFonts w:ascii="宋体" w:hAnsi="宋体" w:cs="宋体" w:eastAsia="宋体" w:hint="default"/>
                <w:sz w:val="21"/>
                <w:szCs w:val="21"/>
              </w:rPr>
            </w:pPr>
            <w:r>
              <w:rPr>
                <w:rFonts w:ascii="宋体" w:hAnsi="宋体" w:cs="宋体" w:eastAsia="宋体" w:hint="default"/>
                <w:sz w:val="21"/>
                <w:szCs w:val="21"/>
              </w:rPr>
              <w:t>单独计提坏账准备</w:t>
            </w:r>
            <w:r>
              <w:rPr>
                <w:rFonts w:ascii="宋体" w:hAnsi="宋体" w:cs="宋体" w:eastAsia="宋体" w:hint="default"/>
                <w:w w:val="100"/>
                <w:sz w:val="21"/>
                <w:szCs w:val="21"/>
              </w:rPr>
              <w:t> </w:t>
            </w:r>
            <w:r>
              <w:rPr>
                <w:rFonts w:ascii="宋体" w:hAnsi="宋体" w:cs="宋体" w:eastAsia="宋体" w:hint="default"/>
                <w:sz w:val="21"/>
                <w:szCs w:val="21"/>
              </w:rPr>
              <w:t>的其他应收款</w:t>
            </w:r>
          </w:p>
        </w:tc>
        <w:tc>
          <w:tcPr>
            <w:tcW w:w="1320"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2,479,726.02</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w w:val="100"/>
                <w:sz w:val="21"/>
              </w:rPr>
              <w:t>/</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0" w:right="0"/>
              <w:jc w:val="center"/>
              <w:rPr>
                <w:rFonts w:ascii="宋体" w:hAnsi="宋体" w:cs="宋体" w:eastAsia="宋体" w:hint="default"/>
                <w:sz w:val="21"/>
                <w:szCs w:val="21"/>
              </w:rPr>
            </w:pPr>
            <w:r>
              <w:rPr>
                <w:rFonts w:ascii="宋体"/>
                <w:sz w:val="21"/>
              </w:rPr>
              <w:t>689,378.86</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1,790,347.16</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6,023,474.34</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 w:right="0"/>
              <w:jc w:val="center"/>
              <w:rPr>
                <w:rFonts w:ascii="宋体" w:hAnsi="宋体" w:cs="宋体" w:eastAsia="宋体" w:hint="default"/>
                <w:sz w:val="21"/>
                <w:szCs w:val="21"/>
              </w:rPr>
            </w:pPr>
            <w:r>
              <w:rPr>
                <w:rFonts w:ascii="宋体"/>
                <w:sz w:val="21"/>
              </w:rPr>
              <w:t>737,123.33</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04" w:right="0"/>
              <w:jc w:val="left"/>
              <w:rPr>
                <w:rFonts w:ascii="宋体" w:hAnsi="宋体" w:cs="宋体" w:eastAsia="宋体" w:hint="default"/>
                <w:sz w:val="21"/>
                <w:szCs w:val="21"/>
              </w:rPr>
            </w:pPr>
            <w:r>
              <w:rPr>
                <w:rFonts w:ascii="宋体"/>
                <w:w w:val="100"/>
                <w:sz w:val="21"/>
              </w:rPr>
              <w:t>/</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5,286,351.01</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spacing w:before="63"/>
        <w:ind w:left="5277" w:right="5278" w:firstLine="0"/>
        <w:jc w:val="center"/>
        <w:rPr>
          <w:rFonts w:ascii="Calibri" w:hAnsi="Calibri" w:cs="Calibri" w:eastAsia="Calibri" w:hint="default"/>
          <w:sz w:val="18"/>
          <w:szCs w:val="18"/>
        </w:rPr>
      </w:pPr>
      <w:r>
        <w:rPr>
          <w:rFonts w:ascii="Calibri"/>
          <w:sz w:val="18"/>
        </w:rPr>
        <w:t>94</w:t>
      </w:r>
    </w:p>
    <w:p>
      <w:pPr>
        <w:spacing w:after="0"/>
        <w:jc w:val="center"/>
        <w:rPr>
          <w:rFonts w:ascii="Calibri" w:hAnsi="Calibri" w:cs="Calibri" w:eastAsia="Calibri" w:hint="default"/>
          <w:sz w:val="18"/>
          <w:szCs w:val="18"/>
        </w:rPr>
        <w:sectPr>
          <w:headerReference w:type="default" r:id="rId35"/>
          <w:footerReference w:type="default" r:id="rId36"/>
          <w:pgSz w:w="16840" w:h="11910" w:orient="landscape"/>
          <w:pgMar w:header="0" w:footer="0" w:top="780" w:bottom="280" w:left="1300" w:right="1380"/>
        </w:sectPr>
      </w:pPr>
    </w:p>
    <w:p>
      <w:pPr>
        <w:spacing w:line="240" w:lineRule="auto" w:before="0"/>
        <w:rPr>
          <w:rFonts w:ascii="Calibri" w:hAnsi="Calibri" w:cs="Calibri" w:eastAsia="Calibri" w:hint="default"/>
          <w:sz w:val="20"/>
          <w:szCs w:val="20"/>
        </w:rPr>
      </w:pPr>
    </w:p>
    <w:p>
      <w:pPr>
        <w:spacing w:after="0" w:line="240" w:lineRule="auto"/>
        <w:rPr>
          <w:rFonts w:ascii="Calibri" w:hAnsi="Calibri" w:cs="Calibri" w:eastAsia="Calibri" w:hint="default"/>
          <w:sz w:val="20"/>
          <w:szCs w:val="20"/>
        </w:rPr>
        <w:sectPr>
          <w:footerReference w:type="default" r:id="rId37"/>
          <w:pgSz w:w="11910" w:h="16840"/>
          <w:pgMar w:footer="1195" w:header="0" w:top="1320" w:bottom="1380" w:left="1580" w:right="1040"/>
          <w:pgNumType w:start="95"/>
        </w:sectPr>
      </w:pPr>
    </w:p>
    <w:p>
      <w:pPr>
        <w:spacing w:line="240" w:lineRule="auto" w:before="5"/>
        <w:rPr>
          <w:rFonts w:ascii="Calibri" w:hAnsi="Calibri" w:cs="Calibri" w:eastAsia="Calibri" w:hint="default"/>
          <w:sz w:val="15"/>
          <w:szCs w:val="15"/>
        </w:rPr>
      </w:pPr>
    </w:p>
    <w:p>
      <w:pPr>
        <w:pStyle w:val="BodyText"/>
        <w:spacing w:line="273" w:lineRule="exact"/>
        <w:ind w:right="0"/>
        <w:jc w:val="left"/>
      </w:pPr>
      <w:r>
        <w:rPr>
          <w:spacing w:val="-2"/>
        </w:rPr>
        <w:t>期末单项金额重大并单项计提坏帐准备的其他应收款</w:t>
      </w:r>
    </w:p>
    <w:p>
      <w:pPr>
        <w:pStyle w:val="BodyText"/>
        <w:spacing w:line="240" w:lineRule="auto"/>
        <w:ind w:right="0"/>
        <w:jc w:val="left"/>
      </w:pPr>
      <w:r>
        <w:rPr/>
        <w:t>□适用</w:t>
      </w:r>
      <w:r>
        <w:rPr>
          <w:spacing w:val="-2"/>
        </w:rPr>
        <w:t> </w:t>
      </w:r>
      <w:r>
        <w:rPr/>
        <w:t>√不适用</w:t>
      </w:r>
      <w:r>
        <w:rPr>
          <w:w w:val="100"/>
        </w:rPr>
        <w:t> </w:t>
      </w:r>
      <w:r>
        <w:rPr>
          <w:spacing w:val="-2"/>
        </w:rPr>
        <w:t>组合中，按账龄分析法计提坏账准备的其他应收款：</w:t>
      </w:r>
    </w:p>
    <w:p>
      <w:pPr>
        <w:pStyle w:val="BodyText"/>
        <w:spacing w:line="271" w:lineRule="exact"/>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000" w:bottom="280" w:left="1580" w:right="1040"/>
          <w:cols w:num="2" w:equalWidth="0">
            <w:col w:w="5053" w:space="1469"/>
            <w:col w:w="2768"/>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374"/>
        <w:gridCol w:w="2203"/>
        <w:gridCol w:w="2131"/>
        <w:gridCol w:w="2187"/>
      </w:tblGrid>
      <w:tr>
        <w:trPr>
          <w:trHeight w:val="283" w:hRule="exact"/>
        </w:trPr>
        <w:tc>
          <w:tcPr>
            <w:tcW w:w="237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5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374" w:type="dxa"/>
            <w:vMerge/>
            <w:tcBorders>
              <w:left w:val="single" w:sz="4" w:space="0" w:color="000000"/>
              <w:bottom w:val="single" w:sz="4" w:space="0" w:color="000000"/>
              <w:right w:val="single" w:sz="4" w:space="0" w:color="000000"/>
            </w:tcBorders>
          </w:tcPr>
          <w:p>
            <w:pP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3"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1"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1,227,276.80</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61,363.84</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5.00</w:t>
            </w: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1,227,276.80</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61,363.84</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5.00</w:t>
            </w:r>
          </w:p>
        </w:tc>
      </w:tr>
      <w:tr>
        <w:trPr>
          <w:trHeight w:val="281"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368,350.00</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36,835.00</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10.00</w:t>
            </w: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418,456.00</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right"/>
              <w:rPr>
                <w:rFonts w:ascii="宋体" w:hAnsi="宋体" w:cs="宋体" w:eastAsia="宋体" w:hint="default"/>
                <w:sz w:val="21"/>
                <w:szCs w:val="21"/>
              </w:rPr>
            </w:pPr>
            <w:r>
              <w:rPr>
                <w:rFonts w:ascii="宋体"/>
                <w:spacing w:val="-1"/>
                <w:sz w:val="21"/>
              </w:rPr>
              <w:t>125,536.80</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z w:val="21"/>
              </w:rPr>
              <w:t>30.00</w:t>
            </w:r>
          </w:p>
        </w:tc>
      </w:tr>
      <w:tr>
        <w:trPr>
          <w:trHeight w:val="284"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465,643.22</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465,643.22</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100.00</w:t>
            </w: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2,479,726.02</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689,378.86</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27.80</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73" w:lineRule="exact" w:before="36"/>
        <w:ind w:right="2757"/>
        <w:jc w:val="left"/>
      </w:pPr>
      <w:r>
        <w:rPr/>
        <w:t>组合中，采用余额百分比法计提坏账准备的其他应收款：</w:t>
      </w:r>
    </w:p>
    <w:p>
      <w:pPr>
        <w:pStyle w:val="BodyText"/>
        <w:spacing w:line="273" w:lineRule="exact"/>
        <w:ind w:right="2757"/>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spacing w:line="274" w:lineRule="exact"/>
        <w:ind w:right="2757"/>
        <w:jc w:val="left"/>
      </w:pPr>
      <w:r>
        <w:rPr/>
        <w:t>组合中，采用其他方法计提坏账准备的其他应收款：</w:t>
      </w:r>
    </w:p>
    <w:p>
      <w:pPr>
        <w:pStyle w:val="BodyText"/>
        <w:spacing w:line="274" w:lineRule="exact"/>
        <w:ind w:right="2757"/>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3"/>
        <w:spacing w:line="240" w:lineRule="auto"/>
        <w:ind w:right="2757"/>
        <w:jc w:val="left"/>
        <w:rPr>
          <w:b w:val="0"/>
          <w:bCs w:val="0"/>
        </w:rPr>
      </w:pPr>
      <w:r>
        <w:rPr>
          <w:rFonts w:ascii="宋体" w:hAnsi="宋体" w:cs="宋体" w:eastAsia="宋体" w:hint="default"/>
        </w:rPr>
        <w:t>(2).</w:t>
      </w:r>
      <w:r>
        <w:rPr>
          <w:rFonts w:ascii="宋体" w:hAnsi="宋体" w:cs="宋体" w:eastAsia="宋体" w:hint="default"/>
          <w:spacing w:val="58"/>
        </w:rPr>
        <w:t> </w:t>
      </w:r>
      <w:r>
        <w:rPr/>
        <w:t>本期计提、收回或转回的坏账准备情况：</w:t>
      </w:r>
      <w:r>
        <w:rPr>
          <w:b w:val="0"/>
          <w:bCs w:val="0"/>
        </w:rPr>
      </w:r>
    </w:p>
    <w:p>
      <w:pPr>
        <w:pStyle w:val="BodyText"/>
        <w:spacing w:line="240" w:lineRule="auto" w:before="56"/>
        <w:ind w:right="2757"/>
        <w:jc w:val="left"/>
      </w:pPr>
      <w:r>
        <w:rPr/>
        <w:t>本期计提坏账准备金额</w:t>
      </w:r>
      <w:r>
        <w:rPr>
          <w:spacing w:val="-52"/>
        </w:rPr>
        <w:t> </w:t>
      </w:r>
      <w:r>
        <w:rPr>
          <w:rFonts w:ascii="宋体" w:hAnsi="宋体" w:cs="宋体" w:eastAsia="宋体" w:hint="default"/>
        </w:rPr>
        <w:t>0</w:t>
      </w:r>
      <w:r>
        <w:rPr>
          <w:rFonts w:ascii="宋体" w:hAnsi="宋体" w:cs="宋体" w:eastAsia="宋体" w:hint="default"/>
          <w:spacing w:val="-55"/>
        </w:rPr>
        <w:t> </w:t>
      </w:r>
      <w:r>
        <w:rPr/>
        <w:t>元；本期转回坏账准备金额</w:t>
      </w:r>
      <w:r>
        <w:rPr>
          <w:spacing w:val="-53"/>
        </w:rPr>
        <w:t> </w:t>
      </w:r>
      <w:r>
        <w:rPr>
          <w:rFonts w:ascii="宋体" w:hAnsi="宋体" w:cs="宋体" w:eastAsia="宋体" w:hint="default"/>
        </w:rPr>
        <w:t>47,744.47</w:t>
      </w:r>
      <w:r>
        <w:rPr>
          <w:rFonts w:ascii="宋体" w:hAnsi="宋体" w:cs="宋体" w:eastAsia="宋体" w:hint="default"/>
          <w:spacing w:val="-53"/>
        </w:rPr>
        <w:t> </w:t>
      </w:r>
      <w:r>
        <w:rPr>
          <w:spacing w:val="-3"/>
        </w:rPr>
        <w:t>元。</w:t>
      </w:r>
      <w:r>
        <w:rPr>
          <w:spacing w:val="-3"/>
          <w:w w:val="100"/>
        </w:rPr>
        <w:t> </w:t>
      </w:r>
      <w:r>
        <w:rPr/>
        <w:t>其中本期坏账准备转回或收回金额重要的：</w:t>
      </w:r>
    </w:p>
    <w:p>
      <w:pPr>
        <w:pStyle w:val="BodyText"/>
        <w:spacing w:line="271" w:lineRule="exact"/>
        <w:ind w:right="2757"/>
        <w:jc w:val="left"/>
      </w:pPr>
      <w:r>
        <w:rPr/>
        <w:t>□适用</w:t>
      </w:r>
      <w:r>
        <w:rPr>
          <w:spacing w:val="-1"/>
        </w:rPr>
        <w:t> </w:t>
      </w:r>
      <w:r>
        <w:rPr/>
        <w:t>√不适用</w:t>
      </w:r>
    </w:p>
    <w:p>
      <w:pPr>
        <w:pStyle w:val="Heading3"/>
        <w:spacing w:line="240" w:lineRule="auto" w:before="58"/>
        <w:ind w:right="2757"/>
        <w:jc w:val="left"/>
        <w:rPr>
          <w:b w:val="0"/>
          <w:bCs w:val="0"/>
        </w:rPr>
      </w:pPr>
      <w:r>
        <w:rPr>
          <w:rFonts w:ascii="宋体" w:hAnsi="宋体" w:cs="宋体" w:eastAsia="宋体" w:hint="default"/>
        </w:rPr>
        <w:t>(3).</w:t>
      </w:r>
      <w:r>
        <w:rPr>
          <w:rFonts w:ascii="宋体" w:hAnsi="宋体" w:cs="宋体" w:eastAsia="宋体" w:hint="default"/>
          <w:spacing w:val="57"/>
        </w:rPr>
        <w:t> </w:t>
      </w:r>
      <w:r>
        <w:rPr/>
        <w:t>本期实际核销的其他应收款情况</w:t>
      </w:r>
      <w:r>
        <w:rPr>
          <w:b w:val="0"/>
          <w:bCs w:val="0"/>
        </w:rPr>
      </w:r>
    </w:p>
    <w:p>
      <w:pPr>
        <w:pStyle w:val="BodyText"/>
        <w:spacing w:line="240" w:lineRule="auto" w:before="56"/>
        <w:ind w:right="5042"/>
        <w:jc w:val="left"/>
      </w:pPr>
      <w:r>
        <w:rPr/>
        <w:t>□适用</w:t>
      </w:r>
      <w:r>
        <w:rPr>
          <w:spacing w:val="-2"/>
        </w:rPr>
        <w:t> </w:t>
      </w:r>
      <w:r>
        <w:rPr/>
        <w:t>√不适用</w:t>
      </w:r>
      <w:r>
        <w:rPr>
          <w:w w:val="100"/>
        </w:rPr>
        <w:t> </w:t>
      </w:r>
      <w:r>
        <w:rPr>
          <w:spacing w:val="-2"/>
        </w:rPr>
        <w:t>其中重要的其他应收款核销情况：</w:t>
      </w:r>
    </w:p>
    <w:p>
      <w:pPr>
        <w:pStyle w:val="BodyText"/>
        <w:spacing w:line="274" w:lineRule="exact" w:before="22"/>
        <w:ind w:right="6323"/>
        <w:jc w:val="left"/>
      </w:pPr>
      <w:r>
        <w:rPr/>
        <w:t>□适用</w:t>
      </w:r>
      <w:r>
        <w:rPr>
          <w:spacing w:val="-2"/>
        </w:rPr>
        <w:t> </w:t>
      </w:r>
      <w:r>
        <w:rPr/>
        <w:t>√不适用</w:t>
      </w:r>
      <w:r>
        <w:rPr>
          <w:w w:val="100"/>
        </w:rPr>
        <w:t> </w:t>
      </w:r>
      <w:r>
        <w:rPr>
          <w:spacing w:val="-2"/>
        </w:rPr>
        <w:t>其他应收款核销说明：</w:t>
      </w:r>
    </w:p>
    <w:p>
      <w:pPr>
        <w:pStyle w:val="BodyText"/>
        <w:spacing w:line="246" w:lineRule="exact"/>
        <w:ind w:right="2757"/>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000" w:bottom="280" w:left="1580" w:right="1040"/>
        </w:sectPr>
      </w:pPr>
    </w:p>
    <w:p>
      <w:pPr>
        <w:pStyle w:val="Heading3"/>
        <w:spacing w:line="240" w:lineRule="auto" w:before="36"/>
        <w:ind w:right="-18"/>
        <w:jc w:val="left"/>
        <w:rPr>
          <w:b w:val="0"/>
          <w:bCs w:val="0"/>
        </w:rPr>
      </w:pPr>
      <w:r>
        <w:rPr>
          <w:rFonts w:ascii="宋体" w:hAnsi="宋体" w:cs="宋体" w:eastAsia="宋体" w:hint="default"/>
        </w:rPr>
        <w:t>(4).</w:t>
      </w:r>
      <w:r>
        <w:rPr>
          <w:rFonts w:ascii="宋体" w:hAnsi="宋体" w:cs="宋体" w:eastAsia="宋体" w:hint="default"/>
          <w:spacing w:val="57"/>
        </w:rPr>
        <w:t> </w:t>
      </w:r>
      <w:r>
        <w:rPr/>
        <w:t>其他应收款按款项性质分类情况</w:t>
      </w:r>
      <w:r>
        <w:rPr>
          <w:b w:val="0"/>
          <w:bCs w:val="0"/>
        </w:rPr>
      </w:r>
    </w:p>
    <w:p>
      <w:pPr>
        <w:pStyle w:val="BodyText"/>
        <w:spacing w:line="240" w:lineRule="auto" w:before="59"/>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000" w:bottom="280" w:left="1580" w:right="1040"/>
          <w:cols w:num="2" w:equalWidth="0">
            <w:col w:w="3759" w:space="2753"/>
            <w:col w:w="277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77"/>
        <w:gridCol w:w="2981"/>
        <w:gridCol w:w="2991"/>
      </w:tblGrid>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备用金及其他</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398,694.80</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661,328.71</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押金及保证金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2,081,031.22</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2,175,353.22</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上市服务费</w:t>
            </w:r>
          </w:p>
        </w:tc>
        <w:tc>
          <w:tcPr>
            <w:tcW w:w="2981" w:type="dxa"/>
            <w:tcBorders>
              <w:top w:val="single" w:sz="4" w:space="0" w:color="000000"/>
              <w:left w:val="single" w:sz="4" w:space="0" w:color="000000"/>
              <w:bottom w:val="single" w:sz="4" w:space="0" w:color="000000"/>
              <w:right w:val="single" w:sz="4" w:space="0" w:color="000000"/>
            </w:tcBorders>
          </w:tcPr>
          <w:p>
            <w:pP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3,186,792.41</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2,479,726.02</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6,023,474.34</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000" w:bottom="280" w:left="1580" w:right="1040"/>
        </w:sectPr>
      </w:pPr>
    </w:p>
    <w:p>
      <w:pPr>
        <w:pStyle w:val="Heading3"/>
        <w:spacing w:line="240" w:lineRule="auto" w:before="36"/>
        <w:ind w:right="-16"/>
        <w:jc w:val="left"/>
        <w:rPr>
          <w:b w:val="0"/>
          <w:bCs w:val="0"/>
        </w:rPr>
      </w:pPr>
      <w:r>
        <w:rPr>
          <w:rFonts w:ascii="宋体" w:hAnsi="宋体" w:cs="宋体" w:eastAsia="宋体" w:hint="default"/>
        </w:rPr>
        <w:t>(5).</w:t>
      </w:r>
      <w:r>
        <w:rPr>
          <w:rFonts w:ascii="宋体" w:hAnsi="宋体" w:cs="宋体" w:eastAsia="宋体" w:hint="default"/>
          <w:spacing w:val="54"/>
        </w:rPr>
        <w:t> </w:t>
      </w:r>
      <w:r>
        <w:rPr/>
        <w:t>按欠款方归集的期末余额前五名的其他应收款情况：</w:t>
      </w:r>
      <w:r>
        <w:rPr>
          <w:b w:val="0"/>
          <w:bCs w:val="0"/>
        </w:rPr>
      </w:r>
    </w:p>
    <w:p>
      <w:pPr>
        <w:pStyle w:val="BodyText"/>
        <w:spacing w:line="240" w:lineRule="auto" w:before="56"/>
        <w:ind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000" w:bottom="280" w:left="1580" w:right="1040"/>
          <w:cols w:num="2" w:equalWidth="0">
            <w:col w:w="5655" w:space="867"/>
            <w:col w:w="2768"/>
          </w:cols>
        </w:sectPr>
      </w:pPr>
    </w:p>
    <w:p>
      <w:pPr>
        <w:spacing w:line="240" w:lineRule="auto" w:before="9"/>
        <w:rPr>
          <w:rFonts w:ascii="宋体" w:hAnsi="宋体" w:cs="宋体" w:eastAsia="宋体"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1538"/>
        <w:gridCol w:w="1357"/>
        <w:gridCol w:w="1226"/>
        <w:gridCol w:w="1332"/>
        <w:gridCol w:w="1765"/>
        <w:gridCol w:w="1678"/>
      </w:tblGrid>
      <w:tr>
        <w:trPr>
          <w:trHeight w:val="828" w:hRule="exact"/>
        </w:trPr>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93"/>
              <w:jc w:val="right"/>
              <w:rPr>
                <w:rFonts w:ascii="宋体" w:hAnsi="宋体" w:cs="宋体" w:eastAsia="宋体" w:hint="default"/>
                <w:sz w:val="21"/>
                <w:szCs w:val="21"/>
              </w:rPr>
            </w:pPr>
            <w:r>
              <w:rPr>
                <w:rFonts w:ascii="宋体" w:hAnsi="宋体" w:cs="宋体" w:eastAsia="宋体" w:hint="default"/>
                <w:spacing w:val="-1"/>
                <w:sz w:val="21"/>
                <w:szCs w:val="21"/>
              </w:rPr>
              <w:t>单位名称</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款项的性质</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48"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12"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5" w:right="0"/>
              <w:jc w:val="left"/>
              <w:rPr>
                <w:rFonts w:ascii="宋体" w:hAnsi="宋体" w:cs="宋体" w:eastAsia="宋体" w:hint="default"/>
                <w:sz w:val="21"/>
                <w:szCs w:val="21"/>
              </w:rPr>
            </w:pPr>
            <w:r>
              <w:rPr>
                <w:rFonts w:ascii="宋体" w:hAnsi="宋体" w:cs="宋体" w:eastAsia="宋体" w:hint="default"/>
                <w:sz w:val="21"/>
                <w:szCs w:val="21"/>
              </w:rPr>
              <w:t>占其他应收款期末</w:t>
            </w:r>
          </w:p>
          <w:p>
            <w:pPr>
              <w:pStyle w:val="TableParagraph"/>
              <w:spacing w:line="240" w:lineRule="auto"/>
              <w:ind w:left="717" w:right="34" w:hanging="682"/>
              <w:jc w:val="left"/>
              <w:rPr>
                <w:rFonts w:ascii="宋体" w:hAnsi="宋体" w:cs="宋体" w:eastAsia="宋体" w:hint="default"/>
                <w:sz w:val="21"/>
                <w:szCs w:val="21"/>
              </w:rPr>
            </w:pPr>
            <w:r>
              <w:rPr>
                <w:rFonts w:ascii="宋体" w:hAnsi="宋体" w:cs="宋体" w:eastAsia="宋体" w:hint="default"/>
                <w:sz w:val="21"/>
                <w:szCs w:val="21"/>
              </w:rPr>
              <w:t>余额合计数的比例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12" w:right="41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p>
        </w:tc>
      </w:tr>
      <w:tr>
        <w:trPr>
          <w:trHeight w:val="828" w:hRule="exact"/>
        </w:trPr>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重庆文化产权</w:t>
            </w:r>
          </w:p>
          <w:p>
            <w:pPr>
              <w:pStyle w:val="TableParagraph"/>
              <w:spacing w:line="272" w:lineRule="exact" w:before="27"/>
              <w:ind w:left="26" w:right="237"/>
              <w:jc w:val="left"/>
              <w:rPr>
                <w:rFonts w:ascii="宋体" w:hAnsi="宋体" w:cs="宋体" w:eastAsia="宋体" w:hint="default"/>
                <w:sz w:val="21"/>
                <w:szCs w:val="21"/>
              </w:rPr>
            </w:pPr>
            <w:r>
              <w:rPr>
                <w:rFonts w:ascii="宋体" w:hAnsi="宋体" w:cs="宋体" w:eastAsia="宋体" w:hint="default"/>
                <w:sz w:val="21"/>
                <w:szCs w:val="21"/>
              </w:rPr>
              <w:t>交易中心有限</w:t>
            </w:r>
            <w:r>
              <w:rPr>
                <w:rFonts w:ascii="宋体" w:hAnsi="宋体" w:cs="宋体" w:eastAsia="宋体" w:hint="default"/>
                <w:w w:val="100"/>
                <w:sz w:val="21"/>
                <w:szCs w:val="21"/>
              </w:rPr>
              <w:t> </w:t>
            </w:r>
            <w:r>
              <w:rPr>
                <w:rFonts w:ascii="宋体" w:hAnsi="宋体" w:cs="宋体" w:eastAsia="宋体" w:hint="default"/>
                <w:sz w:val="21"/>
                <w:szCs w:val="21"/>
              </w:rPr>
              <w:t>责任公司</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押金及保证</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199,900.00</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8.06</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199,900.00</w:t>
            </w:r>
          </w:p>
        </w:tc>
      </w:tr>
      <w:tr>
        <w:trPr>
          <w:trHeight w:val="554" w:hRule="exact"/>
        </w:trPr>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福建省高速公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路监控中心</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押金及保证</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196,056.00</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7.91</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58,816.80</w:t>
            </w:r>
          </w:p>
        </w:tc>
      </w:tr>
      <w:tr>
        <w:trPr>
          <w:trHeight w:val="826" w:hRule="exact"/>
        </w:trPr>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深圳美百年大</w:t>
            </w:r>
          </w:p>
          <w:p>
            <w:pPr>
              <w:pStyle w:val="TableParagraph"/>
              <w:spacing w:line="240" w:lineRule="auto"/>
              <w:ind w:left="26" w:right="237"/>
              <w:jc w:val="left"/>
              <w:rPr>
                <w:rFonts w:ascii="宋体" w:hAnsi="宋体" w:cs="宋体" w:eastAsia="宋体" w:hint="default"/>
                <w:sz w:val="21"/>
                <w:szCs w:val="21"/>
              </w:rPr>
            </w:pPr>
            <w:r>
              <w:rPr>
                <w:rFonts w:ascii="宋体" w:hAnsi="宋体" w:cs="宋体" w:eastAsia="宋体" w:hint="default"/>
                <w:sz w:val="21"/>
                <w:szCs w:val="21"/>
              </w:rPr>
              <w:t>美商业管理有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押金及保证</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139,050.00</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5.61</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6,952.50</w:t>
            </w:r>
          </w:p>
        </w:tc>
      </w:tr>
      <w:tr>
        <w:trPr>
          <w:trHeight w:val="555" w:hRule="exact"/>
        </w:trPr>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亿维航公司综</w:t>
            </w:r>
          </w:p>
          <w:p>
            <w:pPr>
              <w:pStyle w:val="TableParagraph"/>
              <w:spacing w:line="275" w:lineRule="exact"/>
              <w:ind w:left="26" w:right="0"/>
              <w:jc w:val="left"/>
              <w:rPr>
                <w:rFonts w:ascii="宋体" w:hAnsi="宋体" w:cs="宋体" w:eastAsia="宋体" w:hint="default"/>
                <w:sz w:val="21"/>
                <w:szCs w:val="21"/>
              </w:rPr>
            </w:pPr>
            <w:r>
              <w:rPr>
                <w:rFonts w:ascii="宋体" w:hAnsi="宋体" w:cs="宋体" w:eastAsia="宋体" w:hint="default"/>
                <w:sz w:val="21"/>
                <w:szCs w:val="21"/>
              </w:rPr>
              <w:t>合部备用金</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134,805.00</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5.44</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6,740.25</w:t>
            </w:r>
          </w:p>
        </w:tc>
      </w:tr>
      <w:tr>
        <w:trPr>
          <w:trHeight w:val="557" w:hRule="exact"/>
        </w:trPr>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46"/>
              <w:jc w:val="right"/>
              <w:rPr>
                <w:rFonts w:ascii="宋体" w:hAnsi="宋体" w:cs="宋体" w:eastAsia="宋体" w:hint="default"/>
                <w:sz w:val="21"/>
                <w:szCs w:val="21"/>
              </w:rPr>
            </w:pPr>
            <w:r>
              <w:rPr>
                <w:rFonts w:ascii="宋体" w:hAnsi="宋体" w:cs="宋体" w:eastAsia="宋体" w:hint="default"/>
                <w:spacing w:val="-1"/>
                <w:sz w:val="21"/>
                <w:szCs w:val="21"/>
              </w:rPr>
              <w:t>天津农学院</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押金及保证</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96,000.00</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z w:val="21"/>
              </w:rPr>
              <w:t>3.87</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4,800.00</w:t>
            </w:r>
          </w:p>
        </w:tc>
      </w:tr>
      <w:tr>
        <w:trPr>
          <w:trHeight w:val="281" w:hRule="exact"/>
        </w:trPr>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1"/>
              <w:jc w:val="center"/>
              <w:rPr>
                <w:rFonts w:ascii="宋体" w:hAnsi="宋体" w:cs="宋体" w:eastAsia="宋体" w:hint="default"/>
                <w:sz w:val="21"/>
                <w:szCs w:val="21"/>
              </w:rPr>
            </w:pPr>
            <w:r>
              <w:rPr>
                <w:rFonts w:ascii="宋体"/>
                <w:w w:val="100"/>
                <w:sz w:val="21"/>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765,811.00</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2"/>
              <w:jc w:val="center"/>
              <w:rPr>
                <w:rFonts w:ascii="宋体" w:hAnsi="宋体" w:cs="宋体" w:eastAsia="宋体" w:hint="default"/>
                <w:sz w:val="21"/>
                <w:szCs w:val="21"/>
              </w:rPr>
            </w:pPr>
            <w:r>
              <w:rPr>
                <w:rFonts w:ascii="宋体"/>
                <w:w w:val="100"/>
                <w:sz w:val="21"/>
              </w:rPr>
              <w:t>/</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30.89</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277,209.55</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3"/>
        <w:spacing w:line="240" w:lineRule="auto" w:before="36"/>
        <w:ind w:left="138" w:right="146"/>
        <w:jc w:val="left"/>
        <w:rPr>
          <w:b w:val="0"/>
          <w:bCs w:val="0"/>
        </w:rPr>
      </w:pPr>
      <w:r>
        <w:rPr>
          <w:rFonts w:ascii="宋体" w:hAnsi="宋体" w:cs="宋体" w:eastAsia="宋体" w:hint="default"/>
        </w:rPr>
        <w:t>(6).</w:t>
      </w:r>
      <w:r>
        <w:rPr>
          <w:rFonts w:ascii="宋体" w:hAnsi="宋体" w:cs="宋体" w:eastAsia="宋体" w:hint="default"/>
          <w:spacing w:val="59"/>
        </w:rPr>
        <w:t> </w:t>
      </w:r>
      <w:r>
        <w:rPr/>
        <w:t>涉及政府补助的应收款项</w:t>
      </w:r>
      <w:r>
        <w:rPr>
          <w:b w:val="0"/>
          <w:bCs w:val="0"/>
        </w:rPr>
      </w:r>
    </w:p>
    <w:p>
      <w:pPr>
        <w:pStyle w:val="BodyText"/>
        <w:spacing w:line="240" w:lineRule="auto" w:before="58"/>
        <w:ind w:left="138" w:right="146"/>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3"/>
        <w:spacing w:line="240" w:lineRule="auto"/>
        <w:ind w:left="138" w:right="146"/>
        <w:jc w:val="left"/>
        <w:rPr>
          <w:b w:val="0"/>
          <w:bCs w:val="0"/>
        </w:rPr>
      </w:pPr>
      <w:r>
        <w:rPr>
          <w:rFonts w:ascii="宋体" w:hAnsi="宋体" w:cs="宋体" w:eastAsia="宋体" w:hint="default"/>
        </w:rPr>
        <w:t>(7).</w:t>
      </w:r>
      <w:r>
        <w:rPr>
          <w:rFonts w:ascii="宋体" w:hAnsi="宋体" w:cs="宋体" w:eastAsia="宋体" w:hint="default"/>
          <w:spacing w:val="59"/>
        </w:rPr>
        <w:t> </w:t>
      </w:r>
      <w:r>
        <w:rPr/>
        <w:t>因金融资产转移而终止确认的其他应收款：</w:t>
      </w:r>
      <w:r>
        <w:rPr>
          <w:b w:val="0"/>
          <w:bCs w:val="0"/>
        </w:rPr>
      </w:r>
    </w:p>
    <w:p>
      <w:pPr>
        <w:pStyle w:val="BodyText"/>
        <w:tabs>
          <w:tab w:pos="980" w:val="left" w:leader="none"/>
        </w:tabs>
        <w:spacing w:line="240" w:lineRule="auto" w:before="56"/>
        <w:ind w:left="138" w:right="146"/>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3"/>
        <w:spacing w:line="240" w:lineRule="auto"/>
        <w:ind w:left="138" w:right="146"/>
        <w:jc w:val="left"/>
        <w:rPr>
          <w:b w:val="0"/>
          <w:bCs w:val="0"/>
        </w:rPr>
      </w:pPr>
      <w:r>
        <w:rPr>
          <w:rFonts w:ascii="宋体" w:hAnsi="宋体" w:cs="宋体" w:eastAsia="宋体" w:hint="default"/>
        </w:rPr>
        <w:t>(8).</w:t>
      </w:r>
      <w:r>
        <w:rPr>
          <w:rFonts w:ascii="宋体" w:hAnsi="宋体" w:cs="宋体" w:eastAsia="宋体" w:hint="default"/>
          <w:spacing w:val="55"/>
        </w:rPr>
        <w:t> </w:t>
      </w:r>
      <w:r>
        <w:rPr/>
        <w:t>转移其他应收款且继续涉入形成的资产、负债的金额：</w:t>
      </w:r>
      <w:r>
        <w:rPr>
          <w:b w:val="0"/>
          <w:bCs w:val="0"/>
        </w:rPr>
      </w:r>
    </w:p>
    <w:p>
      <w:pPr>
        <w:pStyle w:val="BodyText"/>
        <w:tabs>
          <w:tab w:pos="980" w:val="left" w:leader="none"/>
        </w:tabs>
        <w:spacing w:line="240" w:lineRule="auto" w:before="58"/>
        <w:ind w:left="138" w:right="146"/>
        <w:jc w:val="left"/>
      </w:pPr>
      <w:r>
        <w:rPr>
          <w:spacing w:val="-1"/>
        </w:rPr>
        <w:t>□适用</w:t>
        <w:tab/>
      </w:r>
      <w:r>
        <w:rPr>
          <w:spacing w:val="-2"/>
        </w:rPr>
        <w:t>√不适用</w:t>
      </w:r>
    </w:p>
    <w:p>
      <w:pPr>
        <w:spacing w:line="240" w:lineRule="auto" w:before="8"/>
        <w:rPr>
          <w:rFonts w:ascii="宋体" w:hAnsi="宋体" w:cs="宋体" w:eastAsia="宋体" w:hint="default"/>
          <w:sz w:val="20"/>
          <w:szCs w:val="20"/>
        </w:rPr>
      </w:pPr>
    </w:p>
    <w:p>
      <w:pPr>
        <w:pStyle w:val="BodyText"/>
        <w:spacing w:line="273" w:lineRule="exact"/>
        <w:ind w:left="138" w:right="146"/>
        <w:jc w:val="left"/>
      </w:pPr>
      <w:r>
        <w:rPr/>
        <w:t>其他说明：</w:t>
      </w:r>
    </w:p>
    <w:p>
      <w:pPr>
        <w:pStyle w:val="BodyText"/>
        <w:tabs>
          <w:tab w:pos="980" w:val="left" w:leader="none"/>
        </w:tabs>
        <w:spacing w:line="273" w:lineRule="exact"/>
        <w:ind w:left="138" w:right="146"/>
        <w:jc w:val="left"/>
      </w:pPr>
      <w:r>
        <w:rPr>
          <w:spacing w:val="-1"/>
        </w:rPr>
        <w:t>□适用</w:t>
        <w:tab/>
      </w:r>
      <w:r>
        <w:rPr>
          <w:spacing w:val="-2"/>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1195" w:top="1320" w:bottom="1380" w:left="1660" w:right="1120"/>
        </w:sectPr>
      </w:pPr>
    </w:p>
    <w:p>
      <w:pPr>
        <w:pStyle w:val="Heading3"/>
        <w:tabs>
          <w:tab w:pos="769" w:val="left" w:leader="none"/>
          <w:tab w:pos="977" w:val="left" w:leader="none"/>
        </w:tabs>
        <w:spacing w:line="290" w:lineRule="auto" w:before="36"/>
        <w:ind w:left="138" w:right="98"/>
        <w:jc w:val="left"/>
        <w:rPr>
          <w:b w:val="0"/>
          <w:bCs w:val="0"/>
        </w:rPr>
      </w:pPr>
      <w:r>
        <w:rPr>
          <w:rFonts w:ascii="宋体" w:hAnsi="宋体" w:cs="宋体" w:eastAsia="宋体" w:hint="default"/>
          <w:spacing w:val="-1"/>
        </w:rPr>
        <w:t>10</w:t>
      </w:r>
      <w:r>
        <w:rPr>
          <w:spacing w:val="-1"/>
        </w:rPr>
        <w:t>、</w:t>
        <w:tab/>
        <w:tab/>
      </w:r>
      <w:r>
        <w:rPr/>
        <w:t>存货</w:t>
      </w:r>
      <w:r>
        <w:rPr>
          <w:w w:val="100"/>
        </w:rPr>
        <w:t> </w:t>
      </w:r>
      <w:r>
        <w:rPr>
          <w:rFonts w:ascii="宋体" w:hAnsi="宋体" w:cs="宋体" w:eastAsia="宋体" w:hint="default"/>
          <w:w w:val="95"/>
        </w:rPr>
        <w:t>(1).</w:t>
        <w:tab/>
      </w:r>
      <w:r>
        <w:rPr/>
        <w:t>存货分类</w:t>
      </w:r>
      <w:r>
        <w:rPr>
          <w:b w:val="0"/>
          <w:bCs w:val="0"/>
        </w:rPr>
      </w:r>
    </w:p>
    <w:p>
      <w:pPr>
        <w:pStyle w:val="BodyText"/>
        <w:spacing w:line="240" w:lineRule="auto" w:before="12"/>
        <w:ind w:left="13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189" w:val="left" w:leader="none"/>
        </w:tabs>
        <w:spacing w:line="240" w:lineRule="auto"/>
        <w:ind w:left="138" w:right="0"/>
        <w:jc w:val="left"/>
      </w:pPr>
      <w:r>
        <w:rPr>
          <w:spacing w:val="-1"/>
        </w:rPr>
        <w:t>单位：元</w:t>
        <w:tab/>
      </w:r>
      <w:r>
        <w:rPr>
          <w:spacing w:val="-2"/>
        </w:rPr>
        <w:t>币种：人民币</w:t>
      </w:r>
    </w:p>
    <w:p>
      <w:pPr>
        <w:spacing w:after="0" w:line="240" w:lineRule="auto"/>
        <w:jc w:val="left"/>
        <w:sectPr>
          <w:type w:val="continuous"/>
          <w:pgSz w:w="11910" w:h="16840"/>
          <w:pgMar w:top="1000" w:bottom="280" w:left="1660" w:right="1120"/>
          <w:cols w:num="2" w:equalWidth="0">
            <w:col w:w="1715" w:space="4806"/>
            <w:col w:w="2609"/>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229"/>
        <w:gridCol w:w="1431"/>
        <w:gridCol w:w="977"/>
        <w:gridCol w:w="1431"/>
        <w:gridCol w:w="1433"/>
        <w:gridCol w:w="965"/>
        <w:gridCol w:w="1430"/>
      </w:tblGrid>
      <w:tr>
        <w:trPr>
          <w:trHeight w:val="283" w:hRule="exact"/>
        </w:trPr>
        <w:tc>
          <w:tcPr>
            <w:tcW w:w="1229" w:type="dxa"/>
            <w:vMerge w:val="restart"/>
            <w:tcBorders>
              <w:top w:val="single" w:sz="4" w:space="0" w:color="000000"/>
              <w:left w:val="single" w:sz="4" w:space="0" w:color="000000"/>
              <w:right w:val="single" w:sz="4" w:space="0" w:color="000000"/>
            </w:tcBorders>
          </w:tcPr>
          <w:p>
            <w:pPr>
              <w:pStyle w:val="TableParagraph"/>
              <w:spacing w:line="240" w:lineRule="auto" w:before="107"/>
              <w:ind w:left="398"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38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82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1229" w:type="dxa"/>
            <w:vMerge/>
            <w:tcBorders>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9"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5"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5"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3" w:hRule="exact"/>
        </w:trPr>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94,278.20</w:t>
            </w:r>
          </w:p>
        </w:tc>
        <w:tc>
          <w:tcPr>
            <w:tcW w:w="977"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94,278.20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18,773.97</w:t>
            </w:r>
          </w:p>
        </w:tc>
        <w:tc>
          <w:tcPr>
            <w:tcW w:w="965"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18,773.97</w:t>
            </w:r>
          </w:p>
        </w:tc>
      </w:tr>
      <w:tr>
        <w:trPr>
          <w:trHeight w:val="283" w:hRule="exact"/>
        </w:trPr>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发出商品</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2,365,686.14</w:t>
            </w:r>
          </w:p>
        </w:tc>
        <w:tc>
          <w:tcPr>
            <w:tcW w:w="977"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2,365,686.14</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2,248,341.16</w:t>
            </w:r>
          </w:p>
        </w:tc>
        <w:tc>
          <w:tcPr>
            <w:tcW w:w="965"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2,248,341.16</w:t>
            </w:r>
          </w:p>
        </w:tc>
      </w:tr>
      <w:tr>
        <w:trPr>
          <w:trHeight w:val="281" w:hRule="exact"/>
        </w:trPr>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劳务成本</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49,841,871.28</w:t>
            </w:r>
          </w:p>
        </w:tc>
        <w:tc>
          <w:tcPr>
            <w:tcW w:w="977"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49,841,871.28</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34,001,461.87</w:t>
            </w:r>
          </w:p>
        </w:tc>
        <w:tc>
          <w:tcPr>
            <w:tcW w:w="965"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34,001,461.87</w:t>
            </w:r>
          </w:p>
        </w:tc>
      </w:tr>
      <w:tr>
        <w:trPr>
          <w:trHeight w:val="283" w:hRule="exact"/>
        </w:trPr>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52,301,835.62</w:t>
            </w:r>
          </w:p>
        </w:tc>
        <w:tc>
          <w:tcPr>
            <w:tcW w:w="977"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52,301,835.62</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36,268,577.00</w:t>
            </w:r>
          </w:p>
        </w:tc>
        <w:tc>
          <w:tcPr>
            <w:tcW w:w="965"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36,268,577.00</w:t>
            </w:r>
          </w:p>
        </w:tc>
      </w:tr>
    </w:tbl>
    <w:p>
      <w:pPr>
        <w:spacing w:line="240" w:lineRule="auto" w:before="12"/>
        <w:rPr>
          <w:rFonts w:ascii="宋体" w:hAnsi="宋体" w:cs="宋体" w:eastAsia="宋体" w:hint="default"/>
          <w:sz w:val="19"/>
          <w:szCs w:val="19"/>
        </w:rPr>
      </w:pPr>
    </w:p>
    <w:p>
      <w:pPr>
        <w:pStyle w:val="Heading3"/>
        <w:tabs>
          <w:tab w:pos="769" w:val="left" w:leader="none"/>
        </w:tabs>
        <w:spacing w:line="240" w:lineRule="auto" w:before="36"/>
        <w:ind w:left="138" w:right="146"/>
        <w:jc w:val="left"/>
        <w:rPr>
          <w:b w:val="0"/>
          <w:bCs w:val="0"/>
        </w:rPr>
      </w:pPr>
      <w:r>
        <w:rPr>
          <w:rFonts w:ascii="宋体" w:hAnsi="宋体" w:cs="宋体" w:eastAsia="宋体" w:hint="default"/>
          <w:w w:val="95"/>
        </w:rPr>
        <w:t>(2).</w:t>
        <w:tab/>
      </w:r>
      <w:r>
        <w:rPr/>
        <w:t>存货跌价准备</w:t>
      </w:r>
      <w:r>
        <w:rPr>
          <w:b w:val="0"/>
          <w:bCs w:val="0"/>
        </w:rPr>
      </w:r>
    </w:p>
    <w:p>
      <w:pPr>
        <w:pStyle w:val="BodyText"/>
        <w:spacing w:line="240" w:lineRule="auto" w:before="58"/>
        <w:ind w:left="138" w:right="146"/>
        <w:jc w:val="left"/>
      </w:pPr>
      <w:r>
        <w:rPr/>
        <w:t>□适用</w:t>
      </w:r>
      <w:r>
        <w:rPr>
          <w:spacing w:val="-1"/>
        </w:rPr>
        <w:t> </w:t>
      </w:r>
      <w:r>
        <w:rPr/>
        <w:t>√不适用</w:t>
      </w:r>
    </w:p>
    <w:p>
      <w:pPr>
        <w:pStyle w:val="Heading3"/>
        <w:tabs>
          <w:tab w:pos="769" w:val="left" w:leader="none"/>
        </w:tabs>
        <w:spacing w:line="240" w:lineRule="auto" w:before="56"/>
        <w:ind w:left="138" w:right="146"/>
        <w:jc w:val="left"/>
        <w:rPr>
          <w:b w:val="0"/>
          <w:bCs w:val="0"/>
        </w:rPr>
      </w:pPr>
      <w:r>
        <w:rPr>
          <w:rFonts w:ascii="宋体" w:hAnsi="宋体" w:cs="宋体" w:eastAsia="宋体" w:hint="default"/>
          <w:w w:val="95"/>
        </w:rPr>
        <w:t>(3).</w:t>
        <w:tab/>
      </w:r>
      <w:r>
        <w:rPr/>
        <w:t>存货期末余额含有借款费用资本化金额的说明：</w:t>
      </w:r>
      <w:r>
        <w:rPr>
          <w:b w:val="0"/>
          <w:bCs w:val="0"/>
        </w:rPr>
      </w:r>
    </w:p>
    <w:p>
      <w:pPr>
        <w:pStyle w:val="BodyText"/>
        <w:tabs>
          <w:tab w:pos="980" w:val="left" w:leader="none"/>
        </w:tabs>
        <w:spacing w:line="240" w:lineRule="auto" w:before="58"/>
        <w:ind w:left="138" w:right="146"/>
        <w:jc w:val="left"/>
      </w:pPr>
      <w:r>
        <w:rPr>
          <w:spacing w:val="-1"/>
        </w:rPr>
        <w:t>□适用</w:t>
        <w:tab/>
      </w:r>
      <w:r>
        <w:rPr>
          <w:spacing w:val="-2"/>
        </w:rPr>
        <w:t>√不适用</w:t>
      </w:r>
    </w:p>
    <w:p>
      <w:pPr>
        <w:spacing w:after="0" w:line="240" w:lineRule="auto"/>
        <w:jc w:val="left"/>
        <w:sectPr>
          <w:type w:val="continuous"/>
          <w:pgSz w:w="11910" w:h="16840"/>
          <w:pgMar w:top="1000" w:bottom="280" w:left="1660" w:right="1120"/>
        </w:sectPr>
      </w:pPr>
    </w:p>
    <w:p>
      <w:pPr>
        <w:spacing w:line="240" w:lineRule="auto" w:before="4"/>
        <w:rPr>
          <w:rFonts w:ascii="宋体" w:hAnsi="宋体" w:cs="宋体" w:eastAsia="宋体" w:hint="default"/>
          <w:sz w:val="9"/>
          <w:szCs w:val="9"/>
        </w:rPr>
      </w:pPr>
    </w:p>
    <w:p>
      <w:pPr>
        <w:pStyle w:val="Heading3"/>
        <w:tabs>
          <w:tab w:pos="849" w:val="left" w:leader="none"/>
        </w:tabs>
        <w:spacing w:line="240" w:lineRule="auto" w:before="36"/>
        <w:ind w:right="2757"/>
        <w:jc w:val="left"/>
        <w:rPr>
          <w:b w:val="0"/>
          <w:bCs w:val="0"/>
        </w:rPr>
      </w:pPr>
      <w:r>
        <w:rPr>
          <w:rFonts w:ascii="宋体" w:hAnsi="宋体" w:cs="宋体" w:eastAsia="宋体" w:hint="default"/>
          <w:w w:val="95"/>
        </w:rPr>
        <w:t>(4).</w:t>
        <w:tab/>
      </w:r>
      <w:r>
        <w:rPr/>
        <w:t>期末建造合同形成的已完工未结算资产情况：</w:t>
      </w:r>
      <w:r>
        <w:rPr>
          <w:b w:val="0"/>
          <w:bCs w:val="0"/>
        </w:rPr>
      </w:r>
    </w:p>
    <w:p>
      <w:pPr>
        <w:pStyle w:val="BodyText"/>
        <w:spacing w:line="272" w:lineRule="exact" w:before="86"/>
        <w:ind w:right="7474"/>
        <w:jc w:val="left"/>
      </w:pPr>
      <w:r>
        <w:rPr/>
        <w:t>□适用</w:t>
      </w:r>
      <w:r>
        <w:rPr>
          <w:spacing w:val="-1"/>
        </w:rPr>
        <w:t> </w:t>
      </w:r>
      <w:r>
        <w:rPr/>
        <w:t>√不适用</w:t>
      </w:r>
      <w:r>
        <w:rPr>
          <w:w w:val="100"/>
        </w:rPr>
        <w:t> </w:t>
      </w:r>
      <w:r>
        <w:rPr/>
        <w:t>其他说明</w:t>
      </w:r>
    </w:p>
    <w:p>
      <w:pPr>
        <w:pStyle w:val="BodyText"/>
        <w:tabs>
          <w:tab w:pos="1060" w:val="left" w:leader="none"/>
        </w:tabs>
        <w:spacing w:line="249" w:lineRule="exact"/>
        <w:ind w:right="2757"/>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3"/>
        <w:spacing w:line="240" w:lineRule="auto"/>
        <w:ind w:right="2757"/>
        <w:jc w:val="left"/>
        <w:rPr>
          <w:b w:val="0"/>
          <w:bCs w:val="0"/>
        </w:rPr>
      </w:pPr>
      <w:r>
        <w:rPr>
          <w:rFonts w:ascii="宋体" w:hAnsi="宋体" w:cs="宋体" w:eastAsia="宋体" w:hint="default"/>
        </w:rPr>
        <w:t>11</w:t>
      </w:r>
      <w:r>
        <w:rPr/>
        <w:t>、</w:t>
      </w:r>
      <w:r>
        <w:rPr>
          <w:spacing w:val="-24"/>
        </w:rPr>
        <w:t> </w:t>
      </w:r>
      <w:r>
        <w:rPr/>
        <w:t>持有待售资产</w:t>
      </w:r>
      <w:r>
        <w:rPr>
          <w:b w:val="0"/>
          <w:bCs w:val="0"/>
        </w:rPr>
      </w:r>
    </w:p>
    <w:p>
      <w:pPr>
        <w:pStyle w:val="BodyText"/>
        <w:spacing w:line="240" w:lineRule="auto" w:before="56"/>
        <w:ind w:right="2757"/>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3"/>
        <w:spacing w:line="240" w:lineRule="auto"/>
        <w:ind w:right="2757"/>
        <w:jc w:val="left"/>
        <w:rPr>
          <w:b w:val="0"/>
          <w:bCs w:val="0"/>
        </w:rPr>
      </w:pPr>
      <w:r>
        <w:rPr>
          <w:rFonts w:ascii="宋体" w:hAnsi="宋体" w:cs="宋体" w:eastAsia="宋体" w:hint="default"/>
        </w:rPr>
        <w:t>12</w:t>
      </w:r>
      <w:r>
        <w:rPr/>
        <w:t>、</w:t>
      </w:r>
      <w:r>
        <w:rPr>
          <w:spacing w:val="-25"/>
        </w:rPr>
        <w:t> </w:t>
      </w:r>
      <w:r>
        <w:rPr/>
        <w:t>一年内到期的非流动资产</w:t>
      </w:r>
      <w:r>
        <w:rPr>
          <w:b w:val="0"/>
          <w:bCs w:val="0"/>
        </w:rPr>
      </w:r>
    </w:p>
    <w:p>
      <w:pPr>
        <w:pStyle w:val="BodyText"/>
        <w:spacing w:line="240" w:lineRule="auto" w:before="56"/>
        <w:ind w:right="2757"/>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0" w:footer="1195" w:top="1320" w:bottom="1380" w:left="1580" w:right="1040"/>
        </w:sectPr>
      </w:pPr>
    </w:p>
    <w:p>
      <w:pPr>
        <w:pStyle w:val="Heading3"/>
        <w:spacing w:line="240" w:lineRule="auto" w:before="36"/>
        <w:ind w:right="-18"/>
        <w:jc w:val="left"/>
        <w:rPr>
          <w:b w:val="0"/>
          <w:bCs w:val="0"/>
        </w:rPr>
      </w:pPr>
      <w:r>
        <w:rPr>
          <w:rFonts w:ascii="宋体" w:hAnsi="宋体" w:cs="宋体" w:eastAsia="宋体" w:hint="default"/>
        </w:rPr>
        <w:t>13</w:t>
      </w:r>
      <w:r>
        <w:rPr/>
        <w:t>、</w:t>
      </w:r>
      <w:r>
        <w:rPr>
          <w:spacing w:val="-24"/>
        </w:rPr>
        <w:t> </w:t>
      </w:r>
      <w:r>
        <w:rPr/>
        <w:t>其他流动资产</w:t>
      </w:r>
      <w:r>
        <w:rPr>
          <w:b w:val="0"/>
          <w:bCs w:val="0"/>
        </w:rPr>
      </w:r>
    </w:p>
    <w:p>
      <w:pPr>
        <w:pStyle w:val="BodyText"/>
        <w:spacing w:line="240" w:lineRule="auto" w:before="56"/>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000" w:bottom="280" w:left="1580" w:right="1040"/>
          <w:cols w:num="2" w:equalWidth="0">
            <w:col w:w="1990" w:space="4532"/>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89"/>
        <w:gridCol w:w="2916"/>
        <w:gridCol w:w="2845"/>
      </w:tblGrid>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26"/>
              <w:jc w:val="right"/>
              <w:rPr>
                <w:rFonts w:ascii="宋体" w:hAnsi="宋体" w:cs="宋体" w:eastAsia="宋体" w:hint="default"/>
                <w:sz w:val="21"/>
                <w:szCs w:val="21"/>
              </w:rPr>
            </w:pPr>
            <w:r>
              <w:rPr>
                <w:rFonts w:ascii="宋体" w:hAnsi="宋体" w:cs="宋体" w:eastAsia="宋体" w:hint="default"/>
                <w:sz w:val="21"/>
                <w:szCs w:val="21"/>
              </w:rPr>
              <w:t>项目</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待抵扣进项税额</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1,075,214.10</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待认证进项税额</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8,719.43</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保本型理财产品</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600,000,000.00</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79"/>
              <w:jc w:val="right"/>
              <w:rPr>
                <w:rFonts w:ascii="宋体" w:hAnsi="宋体" w:cs="宋体" w:eastAsia="宋体" w:hint="default"/>
                <w:sz w:val="21"/>
                <w:szCs w:val="21"/>
              </w:rPr>
            </w:pPr>
            <w:r>
              <w:rPr>
                <w:rFonts w:ascii="宋体" w:hAnsi="宋体" w:cs="宋体" w:eastAsia="宋体" w:hint="default"/>
                <w:sz w:val="21"/>
                <w:szCs w:val="21"/>
              </w:rPr>
              <w:t>合计</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601,083,933.53</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bl>
    <w:p>
      <w:pPr>
        <w:spacing w:line="240" w:lineRule="auto" w:before="7"/>
        <w:rPr>
          <w:rFonts w:ascii="宋体" w:hAnsi="宋体" w:cs="宋体" w:eastAsia="宋体" w:hint="default"/>
          <w:sz w:val="15"/>
          <w:szCs w:val="15"/>
        </w:rPr>
      </w:pPr>
    </w:p>
    <w:p>
      <w:pPr>
        <w:pStyle w:val="BodyText"/>
        <w:spacing w:line="272" w:lineRule="exact" w:before="64"/>
        <w:ind w:right="8208"/>
        <w:jc w:val="left"/>
      </w:pPr>
      <w:r>
        <w:rPr/>
        <w:t>其他说明</w:t>
      </w:r>
      <w:r>
        <w:rPr>
          <w:w w:val="100"/>
        </w:rPr>
        <w:t> </w:t>
      </w:r>
      <w:r>
        <w:rPr/>
        <w:t>无</w:t>
      </w:r>
    </w:p>
    <w:p>
      <w:pPr>
        <w:spacing w:line="240" w:lineRule="auto" w:before="4"/>
        <w:rPr>
          <w:rFonts w:ascii="宋体" w:hAnsi="宋体" w:cs="宋体" w:eastAsia="宋体" w:hint="default"/>
          <w:sz w:val="23"/>
          <w:szCs w:val="23"/>
        </w:rPr>
      </w:pPr>
    </w:p>
    <w:p>
      <w:pPr>
        <w:pStyle w:val="Heading3"/>
        <w:spacing w:line="240" w:lineRule="auto"/>
        <w:ind w:right="2757"/>
        <w:jc w:val="left"/>
        <w:rPr>
          <w:b w:val="0"/>
          <w:bCs w:val="0"/>
        </w:rPr>
      </w:pPr>
      <w:r>
        <w:rPr>
          <w:rFonts w:ascii="宋体" w:hAnsi="宋体" w:cs="宋体" w:eastAsia="宋体" w:hint="default"/>
        </w:rPr>
        <w:t>14</w:t>
      </w:r>
      <w:r>
        <w:rPr/>
        <w:t>、</w:t>
      </w:r>
      <w:r>
        <w:rPr>
          <w:spacing w:val="-24"/>
        </w:rPr>
        <w:t> </w:t>
      </w:r>
      <w:r>
        <w:rPr/>
        <w:t>可供出售金融资产</w:t>
      </w:r>
      <w:r>
        <w:rPr>
          <w:b w:val="0"/>
          <w:bCs w:val="0"/>
        </w:rPr>
      </w:r>
    </w:p>
    <w:p>
      <w:pPr>
        <w:pStyle w:val="Heading3"/>
        <w:tabs>
          <w:tab w:pos="861" w:val="left" w:leader="none"/>
        </w:tabs>
        <w:spacing w:line="240" w:lineRule="auto" w:before="58"/>
        <w:ind w:right="2757"/>
        <w:jc w:val="left"/>
        <w:rPr>
          <w:b w:val="0"/>
          <w:bCs w:val="0"/>
        </w:rPr>
      </w:pPr>
      <w:r>
        <w:rPr>
          <w:rFonts w:ascii="宋体" w:hAnsi="宋体" w:cs="宋体" w:eastAsia="宋体" w:hint="default"/>
          <w:w w:val="95"/>
        </w:rPr>
        <w:t>(1).</w:t>
        <w:tab/>
      </w:r>
      <w:r>
        <w:rPr/>
        <w:t>可供出售金融资产情况</w:t>
      </w:r>
      <w:r>
        <w:rPr>
          <w:b w:val="0"/>
          <w:bCs w:val="0"/>
        </w:rPr>
      </w:r>
    </w:p>
    <w:p>
      <w:pPr>
        <w:pStyle w:val="BodyText"/>
        <w:spacing w:line="240" w:lineRule="auto" w:before="56"/>
        <w:ind w:right="2757"/>
        <w:jc w:val="left"/>
      </w:pPr>
      <w:r>
        <w:rPr/>
        <w:t>□适用</w:t>
      </w:r>
      <w:r>
        <w:rPr>
          <w:spacing w:val="-1"/>
        </w:rPr>
        <w:t> </w:t>
      </w:r>
      <w:r>
        <w:rPr/>
        <w:t>√不适用</w:t>
      </w:r>
    </w:p>
    <w:p>
      <w:pPr>
        <w:pStyle w:val="Heading3"/>
        <w:tabs>
          <w:tab w:pos="861" w:val="left" w:leader="none"/>
        </w:tabs>
        <w:spacing w:line="240" w:lineRule="auto" w:before="58"/>
        <w:ind w:right="2757"/>
        <w:jc w:val="left"/>
        <w:rPr>
          <w:b w:val="0"/>
          <w:bCs w:val="0"/>
        </w:rPr>
      </w:pPr>
      <w:r>
        <w:rPr>
          <w:rFonts w:ascii="宋体" w:hAnsi="宋体" w:cs="宋体" w:eastAsia="宋体" w:hint="default"/>
          <w:w w:val="95"/>
        </w:rPr>
        <w:t>(2).</w:t>
        <w:tab/>
      </w:r>
      <w:r>
        <w:rPr/>
        <w:t>期末按公允价值计量的可供出售金融资产</w:t>
      </w:r>
      <w:r>
        <w:rPr>
          <w:b w:val="0"/>
          <w:bCs w:val="0"/>
        </w:rPr>
      </w:r>
    </w:p>
    <w:p>
      <w:pPr>
        <w:pStyle w:val="BodyText"/>
        <w:spacing w:line="240" w:lineRule="auto" w:before="56"/>
        <w:ind w:right="2757"/>
        <w:jc w:val="left"/>
      </w:pPr>
      <w:r>
        <w:rPr/>
        <w:t>□适用</w:t>
      </w:r>
      <w:r>
        <w:rPr>
          <w:spacing w:val="-1"/>
        </w:rPr>
        <w:t> </w:t>
      </w:r>
      <w:r>
        <w:rPr/>
        <w:t>√不适用</w:t>
      </w:r>
    </w:p>
    <w:p>
      <w:pPr>
        <w:pStyle w:val="Heading3"/>
        <w:tabs>
          <w:tab w:pos="861" w:val="left" w:leader="none"/>
        </w:tabs>
        <w:spacing w:line="240" w:lineRule="auto" w:before="58"/>
        <w:ind w:right="2757"/>
        <w:jc w:val="left"/>
        <w:rPr>
          <w:b w:val="0"/>
          <w:bCs w:val="0"/>
        </w:rPr>
      </w:pPr>
      <w:r>
        <w:rPr>
          <w:rFonts w:ascii="宋体" w:hAnsi="宋体" w:cs="宋体" w:eastAsia="宋体" w:hint="default"/>
          <w:w w:val="95"/>
        </w:rPr>
        <w:t>(3).</w:t>
        <w:tab/>
      </w:r>
      <w:r>
        <w:rPr/>
        <w:t>期末按成本计量的可供出售金融资产</w:t>
      </w:r>
      <w:r>
        <w:rPr>
          <w:b w:val="0"/>
          <w:bCs w:val="0"/>
        </w:rPr>
      </w:r>
    </w:p>
    <w:p>
      <w:pPr>
        <w:pStyle w:val="BodyText"/>
        <w:spacing w:line="240" w:lineRule="auto" w:before="56"/>
        <w:ind w:right="2757"/>
        <w:jc w:val="left"/>
      </w:pPr>
      <w:r>
        <w:rPr/>
        <w:t>□适用</w:t>
      </w:r>
      <w:r>
        <w:rPr>
          <w:spacing w:val="-1"/>
        </w:rPr>
        <w:t> </w:t>
      </w:r>
      <w:r>
        <w:rPr/>
        <w:t>√不适用</w:t>
      </w:r>
    </w:p>
    <w:p>
      <w:pPr>
        <w:pStyle w:val="Heading3"/>
        <w:tabs>
          <w:tab w:pos="861" w:val="left" w:leader="none"/>
        </w:tabs>
        <w:spacing w:line="240" w:lineRule="auto" w:before="59"/>
        <w:ind w:right="2757"/>
        <w:jc w:val="left"/>
        <w:rPr>
          <w:b w:val="0"/>
          <w:bCs w:val="0"/>
        </w:rPr>
      </w:pPr>
      <w:r>
        <w:rPr>
          <w:rFonts w:ascii="宋体" w:hAnsi="宋体" w:cs="宋体" w:eastAsia="宋体" w:hint="default"/>
          <w:w w:val="95"/>
        </w:rPr>
        <w:t>(4).</w:t>
        <w:tab/>
      </w:r>
      <w:r>
        <w:rPr/>
        <w:t>报告期内可供出售金融资产减值的变动情况</w:t>
      </w:r>
      <w:r>
        <w:rPr>
          <w:b w:val="0"/>
          <w:bCs w:val="0"/>
        </w:rPr>
      </w:r>
    </w:p>
    <w:p>
      <w:pPr>
        <w:pStyle w:val="BodyText"/>
        <w:spacing w:line="240" w:lineRule="auto" w:before="56"/>
        <w:ind w:right="2757"/>
        <w:jc w:val="left"/>
      </w:pPr>
      <w:r>
        <w:rPr/>
        <w:t>□适用</w:t>
      </w:r>
      <w:r>
        <w:rPr>
          <w:spacing w:val="-1"/>
        </w:rPr>
        <w:t> </w:t>
      </w:r>
      <w:r>
        <w:rPr/>
        <w:t>√不适用</w:t>
      </w:r>
    </w:p>
    <w:p>
      <w:pPr>
        <w:pStyle w:val="Heading3"/>
        <w:tabs>
          <w:tab w:pos="861" w:val="left" w:leader="none"/>
        </w:tabs>
        <w:spacing w:line="240" w:lineRule="auto" w:before="58"/>
        <w:ind w:right="0"/>
        <w:jc w:val="left"/>
        <w:rPr>
          <w:b w:val="0"/>
          <w:bCs w:val="0"/>
        </w:rPr>
      </w:pPr>
      <w:r>
        <w:rPr>
          <w:rFonts w:ascii="宋体" w:hAnsi="宋体" w:cs="宋体" w:eastAsia="宋体" w:hint="default"/>
          <w:w w:val="95"/>
        </w:rPr>
        <w:t>(5).</w:t>
        <w:tab/>
      </w:r>
      <w:r>
        <w:rPr/>
        <w:t>可供出售权益工具期末公允价值严重下跌或非暂时性下跌但未计提减值准备的相关说明：</w:t>
      </w:r>
      <w:r>
        <w:rPr>
          <w:b w:val="0"/>
          <w:bCs w:val="0"/>
        </w:rPr>
      </w:r>
    </w:p>
    <w:p>
      <w:pPr>
        <w:pStyle w:val="BodyText"/>
        <w:spacing w:line="240" w:lineRule="auto" w:before="56"/>
        <w:ind w:right="7474"/>
        <w:jc w:val="left"/>
      </w:pPr>
      <w:r>
        <w:rPr/>
        <w:t>□适用</w:t>
      </w:r>
      <w:r>
        <w:rPr>
          <w:spacing w:val="-1"/>
        </w:rPr>
        <w:t> </w:t>
      </w:r>
      <w:r>
        <w:rPr/>
        <w:t>√不适用</w:t>
      </w:r>
      <w:r>
        <w:rPr>
          <w:w w:val="100"/>
        </w:rPr>
        <w:t> </w:t>
      </w:r>
      <w:r>
        <w:rPr/>
        <w:t>其他说明</w:t>
      </w:r>
    </w:p>
    <w:p>
      <w:pPr>
        <w:pStyle w:val="BodyText"/>
        <w:spacing w:line="271" w:lineRule="exact"/>
        <w:ind w:right="2757"/>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3"/>
        <w:spacing w:line="290" w:lineRule="auto"/>
        <w:ind w:right="6516"/>
        <w:jc w:val="left"/>
        <w:rPr>
          <w:b w:val="0"/>
          <w:bCs w:val="0"/>
        </w:rPr>
      </w:pPr>
      <w:r>
        <w:rPr>
          <w:rFonts w:ascii="宋体" w:hAnsi="宋体" w:cs="宋体" w:eastAsia="宋体" w:hint="default"/>
        </w:rPr>
        <w:t>15</w:t>
      </w:r>
      <w:r>
        <w:rPr/>
        <w:t>、</w:t>
      </w:r>
      <w:r>
        <w:rPr>
          <w:spacing w:val="-25"/>
        </w:rPr>
        <w:t> </w:t>
      </w:r>
      <w:r>
        <w:rPr/>
        <w:t>持有至到期投资</w:t>
      </w:r>
      <w:r>
        <w:rPr>
          <w:w w:val="100"/>
        </w:rPr>
        <w:t> </w:t>
      </w:r>
      <w:r>
        <w:rPr>
          <w:rFonts w:ascii="宋体" w:hAnsi="宋体" w:cs="宋体" w:eastAsia="宋体" w:hint="default"/>
        </w:rPr>
        <w:t>(1).</w:t>
      </w:r>
      <w:r>
        <w:rPr/>
        <w:t>持有至到期投资情况：</w:t>
      </w:r>
      <w:r>
        <w:rPr>
          <w:b w:val="0"/>
          <w:bCs w:val="0"/>
        </w:rPr>
      </w:r>
    </w:p>
    <w:p>
      <w:pPr>
        <w:pStyle w:val="BodyText"/>
        <w:spacing w:line="228" w:lineRule="exact"/>
        <w:ind w:right="2757"/>
        <w:jc w:val="left"/>
      </w:pPr>
      <w:r>
        <w:rPr/>
        <w:t>□适用</w:t>
      </w:r>
      <w:r>
        <w:rPr>
          <w:spacing w:val="-1"/>
        </w:rPr>
        <w:t> </w:t>
      </w:r>
      <w:r>
        <w:rPr/>
        <w:t>√不适用</w:t>
      </w:r>
    </w:p>
    <w:p>
      <w:pPr>
        <w:pStyle w:val="Heading3"/>
        <w:spacing w:line="273" w:lineRule="exact"/>
        <w:ind w:right="2757"/>
        <w:jc w:val="left"/>
        <w:rPr>
          <w:b w:val="0"/>
          <w:bCs w:val="0"/>
        </w:rPr>
      </w:pPr>
      <w:r>
        <w:rPr>
          <w:rFonts w:ascii="宋体" w:hAnsi="宋体" w:cs="宋体" w:eastAsia="宋体" w:hint="default"/>
        </w:rPr>
        <w:t>(2).</w:t>
      </w:r>
      <w:r>
        <w:rPr/>
        <w:t>期末重要的持有至到期投资：</w:t>
      </w:r>
      <w:r>
        <w:rPr>
          <w:b w:val="0"/>
          <w:bCs w:val="0"/>
        </w:rPr>
      </w:r>
    </w:p>
    <w:p>
      <w:pPr>
        <w:spacing w:line="272" w:lineRule="exact" w:before="27"/>
        <w:ind w:left="218" w:right="5673"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本期重分类的持有至到期投资：</w:t>
      </w:r>
      <w:r>
        <w:rPr>
          <w:rFonts w:ascii="宋体" w:hAnsi="宋体" w:cs="宋体" w:eastAsia="宋体" w:hint="default"/>
          <w:sz w:val="21"/>
          <w:szCs w:val="21"/>
        </w:rPr>
      </w:r>
    </w:p>
    <w:p>
      <w:pPr>
        <w:pStyle w:val="BodyText"/>
        <w:tabs>
          <w:tab w:pos="1060" w:val="left" w:leader="none"/>
        </w:tabs>
        <w:spacing w:line="249" w:lineRule="exact"/>
        <w:ind w:right="2757"/>
        <w:jc w:val="left"/>
      </w:pPr>
      <w:r>
        <w:rPr>
          <w:spacing w:val="-1"/>
        </w:rPr>
        <w:t>□适用</w:t>
        <w:tab/>
      </w:r>
      <w:r>
        <w:rPr>
          <w:spacing w:val="-2"/>
        </w:rPr>
        <w:t>√不适用</w:t>
      </w:r>
    </w:p>
    <w:p>
      <w:pPr>
        <w:spacing w:after="0" w:line="249" w:lineRule="exact"/>
        <w:jc w:val="left"/>
        <w:sectPr>
          <w:type w:val="continuous"/>
          <w:pgSz w:w="11910" w:h="16840"/>
          <w:pgMar w:top="1000" w:bottom="280" w:left="1580" w:right="1040"/>
        </w:sectPr>
      </w:pPr>
    </w:p>
    <w:p>
      <w:pPr>
        <w:spacing w:line="240" w:lineRule="auto" w:before="0"/>
        <w:rPr>
          <w:rFonts w:ascii="宋体" w:hAnsi="宋体" w:cs="宋体" w:eastAsia="宋体" w:hint="default"/>
          <w:sz w:val="20"/>
          <w:szCs w:val="20"/>
        </w:rPr>
      </w:pPr>
    </w:p>
    <w:p>
      <w:pPr>
        <w:pStyle w:val="BodyText"/>
        <w:spacing w:line="273" w:lineRule="exact" w:before="170"/>
        <w:ind w:left="138" w:right="146"/>
        <w:jc w:val="left"/>
      </w:pPr>
      <w:r>
        <w:rPr/>
        <w:t>其他说明：</w:t>
      </w:r>
    </w:p>
    <w:p>
      <w:pPr>
        <w:pStyle w:val="BodyText"/>
        <w:spacing w:line="273" w:lineRule="exact"/>
        <w:ind w:left="138" w:right="146"/>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3"/>
        <w:spacing w:line="240" w:lineRule="auto"/>
        <w:ind w:left="138" w:right="146"/>
        <w:jc w:val="left"/>
        <w:rPr>
          <w:b w:val="0"/>
          <w:bCs w:val="0"/>
        </w:rPr>
      </w:pPr>
      <w:r>
        <w:rPr>
          <w:rFonts w:ascii="宋体" w:hAnsi="宋体" w:cs="宋体" w:eastAsia="宋体" w:hint="default"/>
        </w:rPr>
        <w:t>16</w:t>
      </w:r>
      <w:r>
        <w:rPr/>
        <w:t>、</w:t>
      </w:r>
      <w:r>
        <w:rPr>
          <w:spacing w:val="-25"/>
        </w:rPr>
        <w:t> </w:t>
      </w:r>
      <w:r>
        <w:rPr/>
        <w:t>长期应收款</w:t>
      </w:r>
      <w:r>
        <w:rPr>
          <w:b w:val="0"/>
          <w:bCs w:val="0"/>
        </w:rPr>
      </w:r>
    </w:p>
    <w:p>
      <w:pPr>
        <w:pStyle w:val="Heading3"/>
        <w:spacing w:line="240" w:lineRule="auto" w:before="58"/>
        <w:ind w:left="138" w:right="146"/>
        <w:jc w:val="left"/>
        <w:rPr>
          <w:b w:val="0"/>
          <w:bCs w:val="0"/>
        </w:rPr>
      </w:pPr>
      <w:r>
        <w:rPr>
          <w:rFonts w:ascii="宋体" w:hAnsi="宋体" w:cs="宋体" w:eastAsia="宋体" w:hint="default"/>
        </w:rPr>
        <w:t>(1)</w:t>
      </w:r>
      <w:r>
        <w:rPr>
          <w:rFonts w:ascii="宋体" w:hAnsi="宋体" w:cs="宋体" w:eastAsia="宋体" w:hint="default"/>
          <w:spacing w:val="4"/>
        </w:rPr>
        <w:t> </w:t>
      </w:r>
      <w:r>
        <w:rPr/>
        <w:t>长期应收款情况：</w:t>
      </w:r>
      <w:r>
        <w:rPr>
          <w:b w:val="0"/>
          <w:bCs w:val="0"/>
        </w:rPr>
      </w:r>
    </w:p>
    <w:p>
      <w:pPr>
        <w:pStyle w:val="BodyText"/>
        <w:spacing w:line="240" w:lineRule="auto" w:before="56"/>
        <w:ind w:left="138" w:right="146"/>
        <w:jc w:val="left"/>
      </w:pPr>
      <w:r>
        <w:rPr/>
        <w:t>□适用</w:t>
      </w:r>
      <w:r>
        <w:rPr>
          <w:spacing w:val="-1"/>
        </w:rPr>
        <w:t> </w:t>
      </w:r>
      <w:r>
        <w:rPr/>
        <w:t>√不适用</w:t>
      </w:r>
    </w:p>
    <w:p>
      <w:pPr>
        <w:pStyle w:val="Heading3"/>
        <w:spacing w:line="240" w:lineRule="auto" w:before="58"/>
        <w:ind w:left="138" w:right="146"/>
        <w:jc w:val="left"/>
        <w:rPr>
          <w:b w:val="0"/>
          <w:bCs w:val="0"/>
        </w:rPr>
      </w:pPr>
      <w:r>
        <w:rPr>
          <w:rFonts w:ascii="宋体" w:hAnsi="宋体" w:cs="宋体" w:eastAsia="宋体" w:hint="default"/>
        </w:rPr>
        <w:t>(2)</w:t>
      </w:r>
      <w:r>
        <w:rPr>
          <w:rFonts w:ascii="宋体" w:hAnsi="宋体" w:cs="宋体" w:eastAsia="宋体" w:hint="default"/>
          <w:spacing w:val="2"/>
        </w:rPr>
        <w:t> </w:t>
      </w:r>
      <w:r>
        <w:rPr/>
        <w:t>因金融资产转移而终止确认的长期应收款</w:t>
      </w:r>
      <w:r>
        <w:rPr>
          <w:b w:val="0"/>
          <w:bCs w:val="0"/>
        </w:rPr>
      </w:r>
    </w:p>
    <w:p>
      <w:pPr>
        <w:pStyle w:val="BodyText"/>
        <w:tabs>
          <w:tab w:pos="980" w:val="left" w:leader="none"/>
        </w:tabs>
        <w:spacing w:line="240" w:lineRule="auto" w:before="56"/>
        <w:ind w:left="138" w:right="146"/>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3"/>
        <w:spacing w:line="240" w:lineRule="auto"/>
        <w:ind w:left="138" w:right="146"/>
        <w:jc w:val="left"/>
        <w:rPr>
          <w:b w:val="0"/>
          <w:bCs w:val="0"/>
        </w:rPr>
      </w:pPr>
      <w:r>
        <w:rPr>
          <w:rFonts w:ascii="宋体" w:hAnsi="宋体" w:cs="宋体" w:eastAsia="宋体" w:hint="default"/>
        </w:rPr>
        <w:t>(3) </w:t>
      </w:r>
      <w:r>
        <w:rPr/>
        <w:t>转移长期应收款且继续涉入形成的资产、负债金额</w:t>
      </w:r>
      <w:r>
        <w:rPr>
          <w:b w:val="0"/>
          <w:bCs w:val="0"/>
        </w:rPr>
      </w:r>
    </w:p>
    <w:p>
      <w:pPr>
        <w:pStyle w:val="BodyText"/>
        <w:tabs>
          <w:tab w:pos="980" w:val="left" w:leader="none"/>
        </w:tabs>
        <w:spacing w:line="240" w:lineRule="auto" w:before="59"/>
        <w:ind w:left="138" w:right="146"/>
        <w:jc w:val="left"/>
      </w:pPr>
      <w:r>
        <w:rPr>
          <w:spacing w:val="-1"/>
        </w:rPr>
        <w:t>□适用</w:t>
        <w:tab/>
      </w:r>
      <w:r>
        <w:rPr>
          <w:spacing w:val="-2"/>
        </w:rPr>
        <w:t>√不适用</w:t>
      </w:r>
    </w:p>
    <w:p>
      <w:pPr>
        <w:spacing w:line="240" w:lineRule="auto" w:before="8"/>
        <w:rPr>
          <w:rFonts w:ascii="宋体" w:hAnsi="宋体" w:cs="宋体" w:eastAsia="宋体" w:hint="default"/>
          <w:sz w:val="20"/>
          <w:szCs w:val="20"/>
        </w:rPr>
      </w:pPr>
    </w:p>
    <w:p>
      <w:pPr>
        <w:pStyle w:val="BodyText"/>
        <w:spacing w:line="273" w:lineRule="exact"/>
        <w:ind w:left="138" w:right="146"/>
        <w:jc w:val="left"/>
      </w:pPr>
      <w:r>
        <w:rPr/>
        <w:t>其他说明</w:t>
      </w:r>
    </w:p>
    <w:p>
      <w:pPr>
        <w:pStyle w:val="BodyText"/>
        <w:spacing w:line="273" w:lineRule="exact"/>
        <w:ind w:left="138" w:right="146"/>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3"/>
        <w:spacing w:line="240" w:lineRule="auto"/>
        <w:ind w:left="138" w:right="146"/>
        <w:jc w:val="left"/>
        <w:rPr>
          <w:b w:val="0"/>
          <w:bCs w:val="0"/>
        </w:rPr>
      </w:pPr>
      <w:r>
        <w:rPr>
          <w:rFonts w:ascii="宋体" w:hAnsi="宋体" w:cs="宋体" w:eastAsia="宋体" w:hint="default"/>
        </w:rPr>
        <w:t>17</w:t>
      </w:r>
      <w:r>
        <w:rPr/>
        <w:t>、</w:t>
      </w:r>
      <w:r>
        <w:rPr>
          <w:spacing w:val="-24"/>
        </w:rPr>
        <w:t> </w:t>
      </w:r>
      <w:r>
        <w:rPr/>
        <w:t>长期股权投资</w:t>
      </w:r>
      <w:r>
        <w:rPr>
          <w:b w:val="0"/>
          <w:bCs w:val="0"/>
        </w:rPr>
      </w:r>
    </w:p>
    <w:p>
      <w:pPr>
        <w:pStyle w:val="BodyText"/>
        <w:spacing w:line="240" w:lineRule="auto" w:before="58"/>
        <w:ind w:left="138" w:right="146"/>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3"/>
        <w:spacing w:line="240" w:lineRule="auto"/>
        <w:ind w:left="138" w:right="146"/>
        <w:jc w:val="left"/>
        <w:rPr>
          <w:b w:val="0"/>
          <w:bCs w:val="0"/>
        </w:rPr>
      </w:pPr>
      <w:r>
        <w:rPr>
          <w:rFonts w:ascii="宋体" w:hAnsi="宋体" w:cs="宋体" w:eastAsia="宋体" w:hint="default"/>
        </w:rPr>
        <w:t>18</w:t>
      </w:r>
      <w:r>
        <w:rPr/>
        <w:t>、</w:t>
      </w:r>
      <w:r>
        <w:rPr>
          <w:spacing w:val="-24"/>
        </w:rPr>
        <w:t> </w:t>
      </w:r>
      <w:r>
        <w:rPr/>
        <w:t>投资性房地产</w:t>
      </w:r>
      <w:r>
        <w:rPr>
          <w:b w:val="0"/>
          <w:bCs w:val="0"/>
        </w:rPr>
      </w:r>
    </w:p>
    <w:p>
      <w:pPr>
        <w:pStyle w:val="BodyText"/>
        <w:spacing w:line="240" w:lineRule="auto" w:before="56"/>
        <w:ind w:left="138" w:right="6298"/>
        <w:jc w:val="left"/>
      </w:pPr>
      <w:r>
        <w:rPr>
          <w:spacing w:val="-2"/>
        </w:rPr>
        <w:t>投资性房地产计量模式</w:t>
      </w:r>
      <w:r>
        <w:rPr>
          <w:spacing w:val="-86"/>
        </w:rPr>
        <w:t> </w:t>
      </w:r>
      <w:r>
        <w:rPr>
          <w:spacing w:val="-86"/>
        </w:rPr>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1195" w:top="1320" w:bottom="1380" w:left="1660" w:right="1120"/>
        </w:sectPr>
      </w:pPr>
    </w:p>
    <w:p>
      <w:pPr>
        <w:pStyle w:val="Heading3"/>
        <w:spacing w:line="240" w:lineRule="auto" w:before="36"/>
        <w:ind w:left="138" w:right="-19"/>
        <w:jc w:val="left"/>
        <w:rPr>
          <w:b w:val="0"/>
          <w:bCs w:val="0"/>
        </w:rPr>
      </w:pPr>
      <w:r>
        <w:rPr>
          <w:rFonts w:ascii="宋体" w:hAnsi="宋体" w:cs="宋体" w:eastAsia="宋体" w:hint="default"/>
        </w:rPr>
        <w:t>19</w:t>
      </w:r>
      <w:r>
        <w:rPr/>
        <w:t>、</w:t>
      </w:r>
      <w:r>
        <w:rPr>
          <w:spacing w:val="-25"/>
        </w:rPr>
        <w:t> </w:t>
      </w:r>
      <w:r>
        <w:rPr/>
        <w:t>固定资产</w:t>
      </w:r>
      <w:r>
        <w:rPr>
          <w:b w:val="0"/>
          <w:bCs w:val="0"/>
        </w:rPr>
      </w:r>
    </w:p>
    <w:p>
      <w:pPr>
        <w:pStyle w:val="Heading3"/>
        <w:spacing w:line="240" w:lineRule="auto" w:before="56"/>
        <w:ind w:left="138" w:right="-19"/>
        <w:jc w:val="left"/>
        <w:rPr>
          <w:b w:val="0"/>
          <w:bCs w:val="0"/>
        </w:rPr>
      </w:pPr>
      <w:r>
        <w:rPr>
          <w:rFonts w:ascii="宋体" w:hAnsi="宋体" w:cs="宋体" w:eastAsia="宋体" w:hint="default"/>
        </w:rPr>
        <w:t>(1).</w:t>
      </w:r>
      <w:r>
        <w:rPr>
          <w:rFonts w:ascii="宋体" w:hAnsi="宋体" w:cs="宋体" w:eastAsia="宋体" w:hint="default"/>
          <w:spacing w:val="60"/>
        </w:rPr>
        <w:t> </w:t>
      </w:r>
      <w:r>
        <w:rPr/>
        <w:t>固定资产情况</w:t>
      </w:r>
      <w:r>
        <w:rPr>
          <w:b w:val="0"/>
          <w:bCs w:val="0"/>
        </w:rPr>
      </w:r>
    </w:p>
    <w:p>
      <w:pPr>
        <w:pStyle w:val="BodyText"/>
        <w:spacing w:line="240" w:lineRule="auto" w:before="58"/>
        <w:ind w:left="138"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189" w:val="left" w:leader="none"/>
        </w:tabs>
        <w:spacing w:line="240" w:lineRule="auto"/>
        <w:ind w:left="138" w:right="0"/>
        <w:jc w:val="left"/>
      </w:pPr>
      <w:r>
        <w:rPr>
          <w:spacing w:val="-1"/>
        </w:rPr>
        <w:t>单位：元</w:t>
        <w:tab/>
      </w:r>
      <w:r>
        <w:rPr>
          <w:spacing w:val="-2"/>
        </w:rPr>
        <w:t>币种：人民币</w:t>
      </w:r>
    </w:p>
    <w:p>
      <w:pPr>
        <w:spacing w:after="0" w:line="240" w:lineRule="auto"/>
        <w:jc w:val="left"/>
        <w:sectPr>
          <w:type w:val="continuous"/>
          <w:pgSz w:w="11910" w:h="16840"/>
          <w:pgMar w:top="1000" w:bottom="280" w:left="1660" w:right="1120"/>
          <w:cols w:num="2" w:equalWidth="0">
            <w:col w:w="1994" w:space="4528"/>
            <w:col w:w="2608"/>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475"/>
        <w:gridCol w:w="1229"/>
        <w:gridCol w:w="1191"/>
        <w:gridCol w:w="1190"/>
        <w:gridCol w:w="1318"/>
        <w:gridCol w:w="1493"/>
      </w:tblGrid>
      <w:tr>
        <w:trPr>
          <w:trHeight w:val="242" w:hRule="exact"/>
        </w:trPr>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9"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0"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电子设备类</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hAnsi="宋体" w:cs="宋体" w:eastAsia="宋体" w:hint="default"/>
                <w:sz w:val="18"/>
                <w:szCs w:val="18"/>
              </w:rPr>
              <w:t>其他类（办公）</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245" w:hRule="exact"/>
        </w:trPr>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6"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sz w:val="18"/>
              </w:rPr>
              <w:t>47,409,585.46</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5,181,394.63</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 w:right="0"/>
              <w:jc w:val="center"/>
              <w:rPr>
                <w:rFonts w:ascii="宋体" w:hAnsi="宋体" w:cs="宋体" w:eastAsia="宋体" w:hint="default"/>
                <w:sz w:val="18"/>
                <w:szCs w:val="18"/>
              </w:rPr>
            </w:pPr>
            <w:r>
              <w:rPr>
                <w:rFonts w:ascii="宋体"/>
                <w:sz w:val="18"/>
              </w:rPr>
              <w:t>7,130,683.46</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2,191,464.52</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61,913,128.07</w:t>
            </w:r>
          </w:p>
        </w:tc>
      </w:tr>
      <w:tr>
        <w:trPr>
          <w:trHeight w:val="242" w:hRule="exact"/>
        </w:trPr>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6"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214,200.00</w:t>
            </w:r>
          </w:p>
        </w:tc>
        <w:tc>
          <w:tcPr>
            <w:tcW w:w="1191"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 w:right="0"/>
              <w:jc w:val="center"/>
              <w:rPr>
                <w:rFonts w:ascii="宋体" w:hAnsi="宋体" w:cs="宋体" w:eastAsia="宋体" w:hint="default"/>
                <w:sz w:val="18"/>
                <w:szCs w:val="18"/>
              </w:rPr>
            </w:pPr>
            <w:r>
              <w:rPr>
                <w:rFonts w:ascii="宋体"/>
                <w:sz w:val="18"/>
              </w:rPr>
              <w:t>1,180,973.88</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72,607.00</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1,467,780.88</w:t>
            </w:r>
          </w:p>
        </w:tc>
      </w:tr>
      <w:tr>
        <w:trPr>
          <w:trHeight w:val="245" w:hRule="exact"/>
        </w:trPr>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56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）购置</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1"/>
              <w:jc w:val="right"/>
              <w:rPr>
                <w:rFonts w:ascii="宋体" w:hAnsi="宋体" w:cs="宋体" w:eastAsia="宋体" w:hint="default"/>
                <w:sz w:val="18"/>
                <w:szCs w:val="18"/>
              </w:rPr>
            </w:pPr>
            <w:r>
              <w:rPr>
                <w:rFonts w:ascii="宋体"/>
                <w:spacing w:val="-1"/>
                <w:sz w:val="18"/>
              </w:rPr>
              <w:t>214,200.00</w:t>
            </w:r>
          </w:p>
        </w:tc>
        <w:tc>
          <w:tcPr>
            <w:tcW w:w="1191"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52" w:right="0"/>
              <w:jc w:val="center"/>
              <w:rPr>
                <w:rFonts w:ascii="宋体" w:hAnsi="宋体" w:cs="宋体" w:eastAsia="宋体" w:hint="default"/>
                <w:sz w:val="18"/>
                <w:szCs w:val="18"/>
              </w:rPr>
            </w:pPr>
            <w:r>
              <w:rPr>
                <w:rFonts w:ascii="宋体"/>
                <w:sz w:val="18"/>
              </w:rPr>
              <w:t>1,180,973.88</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
              <w:jc w:val="right"/>
              <w:rPr>
                <w:rFonts w:ascii="宋体" w:hAnsi="宋体" w:cs="宋体" w:eastAsia="宋体" w:hint="default"/>
                <w:sz w:val="18"/>
                <w:szCs w:val="18"/>
              </w:rPr>
            </w:pPr>
            <w:r>
              <w:rPr>
                <w:rFonts w:ascii="宋体"/>
                <w:spacing w:val="-1"/>
                <w:sz w:val="18"/>
              </w:rPr>
              <w:t>72,607.00</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1"/>
              <w:jc w:val="right"/>
              <w:rPr>
                <w:rFonts w:ascii="宋体" w:hAnsi="宋体" w:cs="宋体" w:eastAsia="宋体" w:hint="default"/>
                <w:sz w:val="18"/>
                <w:szCs w:val="18"/>
              </w:rPr>
            </w:pPr>
            <w:r>
              <w:rPr>
                <w:rFonts w:ascii="宋体"/>
                <w:spacing w:val="-1"/>
                <w:sz w:val="18"/>
              </w:rPr>
              <w:t>1,467,780.88</w:t>
            </w:r>
          </w:p>
        </w:tc>
      </w:tr>
      <w:tr>
        <w:trPr>
          <w:trHeight w:val="243" w:hRule="exact"/>
        </w:trPr>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365"/>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）在建工程转入</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365"/>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）企业合并增加</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77"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 w:right="0"/>
              <w:jc w:val="center"/>
              <w:rPr>
                <w:rFonts w:ascii="宋体" w:hAnsi="宋体" w:cs="宋体" w:eastAsia="宋体" w:hint="default"/>
                <w:sz w:val="18"/>
                <w:szCs w:val="18"/>
              </w:rPr>
            </w:pPr>
            <w:r>
              <w:rPr>
                <w:rFonts w:ascii="宋体"/>
                <w:sz w:val="18"/>
              </w:rPr>
              <w:t>2,261,865.19</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543,800.00</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2,805,665.19</w:t>
            </w:r>
          </w:p>
        </w:tc>
      </w:tr>
      <w:tr>
        <w:trPr>
          <w:trHeight w:val="245" w:hRule="exact"/>
        </w:trPr>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6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）处置或报废</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 w:right="0"/>
              <w:jc w:val="center"/>
              <w:rPr>
                <w:rFonts w:ascii="宋体" w:hAnsi="宋体" w:cs="宋体" w:eastAsia="宋体" w:hint="default"/>
                <w:sz w:val="18"/>
                <w:szCs w:val="18"/>
              </w:rPr>
            </w:pPr>
            <w:r>
              <w:rPr>
                <w:rFonts w:ascii="宋体"/>
                <w:sz w:val="18"/>
              </w:rPr>
              <w:t>2,261,865.19</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543,800.00</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2,805,665.19</w:t>
            </w:r>
          </w:p>
        </w:tc>
      </w:tr>
      <w:tr>
        <w:trPr>
          <w:trHeight w:val="242" w:hRule="exact"/>
        </w:trPr>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6"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sz w:val="18"/>
              </w:rPr>
              <w:t>47,623,785.46</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5,181,394.63</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 w:right="0"/>
              <w:jc w:val="center"/>
              <w:rPr>
                <w:rFonts w:ascii="宋体" w:hAnsi="宋体" w:cs="宋体" w:eastAsia="宋体" w:hint="default"/>
                <w:sz w:val="18"/>
                <w:szCs w:val="18"/>
              </w:rPr>
            </w:pPr>
            <w:r>
              <w:rPr>
                <w:rFonts w:ascii="宋体"/>
                <w:sz w:val="18"/>
              </w:rPr>
              <w:t>6,049,792.15</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1,720,271.52</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60,575,243.76</w:t>
            </w:r>
          </w:p>
        </w:tc>
      </w:tr>
      <w:tr>
        <w:trPr>
          <w:trHeight w:val="245" w:hRule="exact"/>
        </w:trPr>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6"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sz w:val="18"/>
              </w:rPr>
              <w:t>11,802,198.98</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2,432,277.16</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 w:right="0"/>
              <w:jc w:val="center"/>
              <w:rPr>
                <w:rFonts w:ascii="宋体" w:hAnsi="宋体" w:cs="宋体" w:eastAsia="宋体" w:hint="default"/>
                <w:sz w:val="18"/>
                <w:szCs w:val="18"/>
              </w:rPr>
            </w:pPr>
            <w:r>
              <w:rPr>
                <w:rFonts w:ascii="宋体"/>
                <w:sz w:val="18"/>
              </w:rPr>
              <w:t>4,720,645.26</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1,229,564.45</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20,184,685.85</w:t>
            </w:r>
          </w:p>
        </w:tc>
      </w:tr>
      <w:tr>
        <w:trPr>
          <w:trHeight w:val="242" w:hRule="exact"/>
        </w:trPr>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6"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2,286,589.68</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407,834.76</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 w:right="0"/>
              <w:jc w:val="center"/>
              <w:rPr>
                <w:rFonts w:ascii="宋体" w:hAnsi="宋体" w:cs="宋体" w:eastAsia="宋体" w:hint="default"/>
                <w:sz w:val="18"/>
                <w:szCs w:val="18"/>
              </w:rPr>
            </w:pPr>
            <w:r>
              <w:rPr>
                <w:rFonts w:ascii="宋体"/>
                <w:sz w:val="18"/>
              </w:rPr>
              <w:t>1,289,633.81</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290,110.11</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4,274,168.36</w:t>
            </w:r>
          </w:p>
        </w:tc>
      </w:tr>
      <w:tr>
        <w:trPr>
          <w:trHeight w:val="245" w:hRule="exact"/>
        </w:trPr>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56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1"/>
              <w:jc w:val="right"/>
              <w:rPr>
                <w:rFonts w:ascii="宋体" w:hAnsi="宋体" w:cs="宋体" w:eastAsia="宋体" w:hint="default"/>
                <w:sz w:val="18"/>
                <w:szCs w:val="18"/>
              </w:rPr>
            </w:pPr>
            <w:r>
              <w:rPr>
                <w:rFonts w:ascii="宋体"/>
                <w:spacing w:val="-1"/>
                <w:sz w:val="18"/>
              </w:rPr>
              <w:t>2,286,589.68</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2"/>
              <w:jc w:val="right"/>
              <w:rPr>
                <w:rFonts w:ascii="宋体" w:hAnsi="宋体" w:cs="宋体" w:eastAsia="宋体" w:hint="default"/>
                <w:sz w:val="18"/>
                <w:szCs w:val="18"/>
              </w:rPr>
            </w:pPr>
            <w:r>
              <w:rPr>
                <w:rFonts w:ascii="宋体"/>
                <w:spacing w:val="-1"/>
                <w:sz w:val="18"/>
              </w:rPr>
              <w:t>407,834.76</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52" w:right="0"/>
              <w:jc w:val="center"/>
              <w:rPr>
                <w:rFonts w:ascii="宋体" w:hAnsi="宋体" w:cs="宋体" w:eastAsia="宋体" w:hint="default"/>
                <w:sz w:val="18"/>
                <w:szCs w:val="18"/>
              </w:rPr>
            </w:pPr>
            <w:r>
              <w:rPr>
                <w:rFonts w:ascii="宋体"/>
                <w:sz w:val="18"/>
              </w:rPr>
              <w:t>1,289,633.81</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
              <w:jc w:val="right"/>
              <w:rPr>
                <w:rFonts w:ascii="宋体" w:hAnsi="宋体" w:cs="宋体" w:eastAsia="宋体" w:hint="default"/>
                <w:sz w:val="18"/>
                <w:szCs w:val="18"/>
              </w:rPr>
            </w:pPr>
            <w:r>
              <w:rPr>
                <w:rFonts w:ascii="宋体"/>
                <w:spacing w:val="-1"/>
                <w:sz w:val="18"/>
              </w:rPr>
              <w:t>290,110.11</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1"/>
              <w:jc w:val="right"/>
              <w:rPr>
                <w:rFonts w:ascii="宋体" w:hAnsi="宋体" w:cs="宋体" w:eastAsia="宋体" w:hint="default"/>
                <w:sz w:val="18"/>
                <w:szCs w:val="18"/>
              </w:rPr>
            </w:pPr>
            <w:r>
              <w:rPr>
                <w:rFonts w:ascii="宋体"/>
                <w:spacing w:val="-1"/>
                <w:sz w:val="18"/>
              </w:rPr>
              <w:t>4,274,168.36</w:t>
            </w:r>
          </w:p>
        </w:tc>
      </w:tr>
      <w:tr>
        <w:trPr>
          <w:trHeight w:val="242" w:hRule="exact"/>
        </w:trPr>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6"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 w:right="0"/>
              <w:jc w:val="center"/>
              <w:rPr>
                <w:rFonts w:ascii="宋体" w:hAnsi="宋体" w:cs="宋体" w:eastAsia="宋体" w:hint="default"/>
                <w:sz w:val="18"/>
                <w:szCs w:val="18"/>
              </w:rPr>
            </w:pPr>
            <w:r>
              <w:rPr>
                <w:rFonts w:ascii="宋体"/>
                <w:sz w:val="18"/>
              </w:rPr>
              <w:t>2,148,771.94</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517,723.84</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2,666,495.78</w:t>
            </w:r>
          </w:p>
        </w:tc>
      </w:tr>
      <w:tr>
        <w:trPr>
          <w:trHeight w:val="245" w:hRule="exact"/>
        </w:trPr>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6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）处置或报废</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 w:right="0"/>
              <w:jc w:val="center"/>
              <w:rPr>
                <w:rFonts w:ascii="宋体" w:hAnsi="宋体" w:cs="宋体" w:eastAsia="宋体" w:hint="default"/>
                <w:sz w:val="18"/>
                <w:szCs w:val="18"/>
              </w:rPr>
            </w:pPr>
            <w:r>
              <w:rPr>
                <w:rFonts w:ascii="宋体"/>
                <w:sz w:val="18"/>
              </w:rPr>
              <w:t>2,148,771.94</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517,723.84</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2,666,495.78</w:t>
            </w:r>
          </w:p>
        </w:tc>
      </w:tr>
      <w:tr>
        <w:trPr>
          <w:trHeight w:val="242" w:hRule="exact"/>
        </w:trPr>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6"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sz w:val="18"/>
              </w:rPr>
              <w:t>14,088,788.66</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2,840,111.92</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 w:right="0"/>
              <w:jc w:val="center"/>
              <w:rPr>
                <w:rFonts w:ascii="宋体" w:hAnsi="宋体" w:cs="宋体" w:eastAsia="宋体" w:hint="default"/>
                <w:sz w:val="18"/>
                <w:szCs w:val="18"/>
              </w:rPr>
            </w:pPr>
            <w:r>
              <w:rPr>
                <w:rFonts w:ascii="宋体"/>
                <w:sz w:val="18"/>
              </w:rPr>
              <w:t>3,861,507.13</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1,001,950.72</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21,792,358.43</w:t>
            </w:r>
          </w:p>
        </w:tc>
      </w:tr>
      <w:tr>
        <w:trPr>
          <w:trHeight w:val="245" w:hRule="exact"/>
        </w:trPr>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6"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r>
      <w:tr>
        <w:trPr>
          <w:trHeight w:val="243" w:hRule="exact"/>
        </w:trPr>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386"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56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6"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00" w:bottom="280" w:left="1660" w:right="1120"/>
        </w:sectPr>
      </w:pPr>
    </w:p>
    <w:p>
      <w:pPr>
        <w:spacing w:line="240" w:lineRule="auto" w:before="9"/>
        <w:rPr>
          <w:rFonts w:ascii="宋体" w:hAnsi="宋体" w:cs="宋体" w:eastAsia="宋体"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2475"/>
        <w:gridCol w:w="1229"/>
        <w:gridCol w:w="1191"/>
        <w:gridCol w:w="1190"/>
        <w:gridCol w:w="1318"/>
        <w:gridCol w:w="1493"/>
      </w:tblGrid>
      <w:tr>
        <w:trPr>
          <w:trHeight w:val="245" w:hRule="exact"/>
        </w:trPr>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56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）处置或报废</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6"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6"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期末账面价值</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33,534,996.80</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2,341,282.71</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2,188,285.02</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718,320.80</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38,782,885.33</w:t>
            </w:r>
          </w:p>
        </w:tc>
      </w:tr>
      <w:tr>
        <w:trPr>
          <w:trHeight w:val="245" w:hRule="exact"/>
        </w:trPr>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6"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期初账面价值</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35,607,386.48</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2,749,117.47</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2,410,038.20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961,900.07</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41,728,442.22</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3"/>
        <w:spacing w:line="240" w:lineRule="auto" w:before="36"/>
        <w:ind w:left="138" w:right="146"/>
        <w:jc w:val="left"/>
        <w:rPr>
          <w:b w:val="0"/>
          <w:bCs w:val="0"/>
        </w:rPr>
      </w:pPr>
      <w:r>
        <w:rPr>
          <w:rFonts w:ascii="宋体" w:hAnsi="宋体" w:cs="宋体" w:eastAsia="宋体" w:hint="default"/>
        </w:rPr>
        <w:t>(2).</w:t>
      </w:r>
      <w:r>
        <w:rPr>
          <w:rFonts w:ascii="宋体" w:hAnsi="宋体" w:cs="宋体" w:eastAsia="宋体" w:hint="default"/>
          <w:spacing w:val="59"/>
        </w:rPr>
        <w:t> </w:t>
      </w:r>
      <w:r>
        <w:rPr/>
        <w:t>暂时闲置的固定资产情况</w:t>
      </w:r>
      <w:r>
        <w:rPr>
          <w:b w:val="0"/>
          <w:bCs w:val="0"/>
        </w:rPr>
      </w:r>
    </w:p>
    <w:p>
      <w:pPr>
        <w:pStyle w:val="BodyText"/>
        <w:spacing w:line="240" w:lineRule="auto" w:before="56"/>
        <w:ind w:left="138" w:right="146"/>
        <w:jc w:val="left"/>
      </w:pPr>
      <w:r>
        <w:rPr/>
        <w:t>□适用</w:t>
      </w:r>
      <w:r>
        <w:rPr>
          <w:spacing w:val="-1"/>
        </w:rPr>
        <w:t> </w:t>
      </w:r>
      <w:r>
        <w:rPr/>
        <w:t>√不适用</w:t>
      </w:r>
    </w:p>
    <w:p>
      <w:pPr>
        <w:pStyle w:val="Heading3"/>
        <w:spacing w:line="240" w:lineRule="auto" w:before="58"/>
        <w:ind w:left="138" w:right="146"/>
        <w:jc w:val="left"/>
        <w:rPr>
          <w:b w:val="0"/>
          <w:bCs w:val="0"/>
        </w:rPr>
      </w:pPr>
      <w:r>
        <w:rPr>
          <w:rFonts w:ascii="宋体" w:hAnsi="宋体" w:cs="宋体" w:eastAsia="宋体" w:hint="default"/>
        </w:rPr>
        <w:t>(3).</w:t>
      </w:r>
      <w:r>
        <w:rPr>
          <w:rFonts w:ascii="宋体" w:hAnsi="宋体" w:cs="宋体" w:eastAsia="宋体" w:hint="default"/>
          <w:spacing w:val="57"/>
        </w:rPr>
        <w:t> </w:t>
      </w:r>
      <w:r>
        <w:rPr/>
        <w:t>通过融资租赁租入的固定资产情况</w:t>
      </w:r>
      <w:r>
        <w:rPr>
          <w:b w:val="0"/>
          <w:bCs w:val="0"/>
        </w:rPr>
      </w:r>
    </w:p>
    <w:p>
      <w:pPr>
        <w:pStyle w:val="BodyText"/>
        <w:spacing w:line="240" w:lineRule="auto" w:before="56"/>
        <w:ind w:left="138" w:right="146"/>
        <w:jc w:val="left"/>
      </w:pPr>
      <w:r>
        <w:rPr/>
        <w:t>□适用</w:t>
      </w:r>
      <w:r>
        <w:rPr>
          <w:spacing w:val="-1"/>
        </w:rPr>
        <w:t> </w:t>
      </w:r>
      <w:r>
        <w:rPr/>
        <w:t>√不适用</w:t>
      </w:r>
    </w:p>
    <w:p>
      <w:pPr>
        <w:pStyle w:val="Heading3"/>
        <w:spacing w:line="240" w:lineRule="auto" w:before="59"/>
        <w:ind w:left="138" w:right="146"/>
        <w:jc w:val="left"/>
        <w:rPr>
          <w:b w:val="0"/>
          <w:bCs w:val="0"/>
        </w:rPr>
      </w:pPr>
      <w:r>
        <w:rPr>
          <w:rFonts w:ascii="宋体" w:hAnsi="宋体" w:cs="宋体" w:eastAsia="宋体" w:hint="default"/>
        </w:rPr>
        <w:t>(4).</w:t>
      </w:r>
      <w:r>
        <w:rPr>
          <w:rFonts w:ascii="宋体" w:hAnsi="宋体" w:cs="宋体" w:eastAsia="宋体" w:hint="default"/>
          <w:spacing w:val="56"/>
        </w:rPr>
        <w:t> </w:t>
      </w:r>
      <w:r>
        <w:rPr/>
        <w:t>通过经营租赁租出的固定资产</w:t>
      </w:r>
      <w:r>
        <w:rPr>
          <w:b w:val="0"/>
          <w:bCs w:val="0"/>
        </w:rPr>
      </w:r>
    </w:p>
    <w:p>
      <w:pPr>
        <w:pStyle w:val="BodyText"/>
        <w:spacing w:line="240" w:lineRule="auto" w:before="56"/>
        <w:ind w:left="138" w:right="146"/>
        <w:jc w:val="left"/>
      </w:pPr>
      <w:r>
        <w:rPr/>
        <w:t>□适用</w:t>
      </w:r>
      <w:r>
        <w:rPr>
          <w:spacing w:val="-1"/>
        </w:rPr>
        <w:t> </w:t>
      </w:r>
      <w:r>
        <w:rPr/>
        <w:t>√不适用</w:t>
      </w:r>
    </w:p>
    <w:p>
      <w:pPr>
        <w:pStyle w:val="Heading3"/>
        <w:spacing w:line="240" w:lineRule="auto" w:before="58"/>
        <w:ind w:left="138" w:right="146"/>
        <w:jc w:val="left"/>
        <w:rPr>
          <w:b w:val="0"/>
          <w:bCs w:val="0"/>
        </w:rPr>
      </w:pPr>
      <w:r>
        <w:rPr>
          <w:rFonts w:ascii="宋体" w:hAnsi="宋体" w:cs="宋体" w:eastAsia="宋体" w:hint="default"/>
        </w:rPr>
        <w:t>(5).</w:t>
      </w:r>
      <w:r>
        <w:rPr>
          <w:rFonts w:ascii="宋体" w:hAnsi="宋体" w:cs="宋体" w:eastAsia="宋体" w:hint="default"/>
          <w:spacing w:val="57"/>
        </w:rPr>
        <w:t> </w:t>
      </w:r>
      <w:r>
        <w:rPr/>
        <w:t>未办妥产权证书的固定资产情况</w:t>
      </w:r>
      <w:r>
        <w:rPr>
          <w:b w:val="0"/>
          <w:bCs w:val="0"/>
        </w:rPr>
      </w:r>
    </w:p>
    <w:p>
      <w:pPr>
        <w:pStyle w:val="BodyText"/>
        <w:spacing w:line="240" w:lineRule="auto" w:before="56"/>
        <w:ind w:left="138" w:right="7394"/>
        <w:jc w:val="left"/>
      </w:pPr>
      <w:r>
        <w:rPr/>
        <w:t>□适用</w:t>
      </w:r>
      <w:r>
        <w:rPr>
          <w:spacing w:val="-1"/>
        </w:rPr>
        <w:t> </w:t>
      </w:r>
      <w:r>
        <w:rPr/>
        <w:t>√不适用</w:t>
      </w:r>
      <w:r>
        <w:rPr>
          <w:w w:val="100"/>
        </w:rPr>
        <w:t> </w:t>
      </w:r>
      <w:r>
        <w:rPr/>
        <w:t>其他说明：</w:t>
      </w:r>
    </w:p>
    <w:p>
      <w:pPr>
        <w:pStyle w:val="BodyText"/>
        <w:spacing w:line="271" w:lineRule="exact"/>
        <w:ind w:left="138" w:right="146"/>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3"/>
        <w:spacing w:line="240" w:lineRule="auto"/>
        <w:ind w:left="138" w:right="146"/>
        <w:jc w:val="left"/>
        <w:rPr>
          <w:b w:val="0"/>
          <w:bCs w:val="0"/>
        </w:rPr>
      </w:pPr>
      <w:r>
        <w:rPr>
          <w:rFonts w:ascii="宋体" w:hAnsi="宋体" w:cs="宋体" w:eastAsia="宋体" w:hint="default"/>
        </w:rPr>
        <w:t>20</w:t>
      </w:r>
      <w:r>
        <w:rPr/>
        <w:t>、</w:t>
      </w:r>
      <w:r>
        <w:rPr>
          <w:spacing w:val="-25"/>
        </w:rPr>
        <w:t> </w:t>
      </w:r>
      <w:r>
        <w:rPr/>
        <w:t>在建工程</w:t>
      </w:r>
      <w:r>
        <w:rPr>
          <w:b w:val="0"/>
          <w:bCs w:val="0"/>
        </w:rPr>
      </w:r>
    </w:p>
    <w:p>
      <w:pPr>
        <w:pStyle w:val="Heading3"/>
        <w:spacing w:line="240" w:lineRule="auto" w:before="56"/>
        <w:ind w:left="138" w:right="146"/>
        <w:jc w:val="left"/>
        <w:rPr>
          <w:b w:val="0"/>
          <w:bCs w:val="0"/>
        </w:rPr>
      </w:pPr>
      <w:r>
        <w:rPr>
          <w:rFonts w:ascii="宋体" w:hAnsi="宋体" w:cs="宋体" w:eastAsia="宋体" w:hint="default"/>
        </w:rPr>
        <w:t>(1).</w:t>
      </w:r>
      <w:r>
        <w:rPr>
          <w:rFonts w:ascii="宋体" w:hAnsi="宋体" w:cs="宋体" w:eastAsia="宋体" w:hint="default"/>
          <w:spacing w:val="60"/>
        </w:rPr>
        <w:t> </w:t>
      </w:r>
      <w:r>
        <w:rPr/>
        <w:t>在建工程情况</w:t>
      </w:r>
      <w:r>
        <w:rPr>
          <w:b w:val="0"/>
          <w:bCs w:val="0"/>
        </w:rPr>
      </w:r>
    </w:p>
    <w:p>
      <w:pPr>
        <w:pStyle w:val="BodyText"/>
        <w:spacing w:line="240" w:lineRule="auto" w:before="58"/>
        <w:ind w:left="138" w:right="146"/>
        <w:jc w:val="left"/>
      </w:pPr>
      <w:r>
        <w:rPr/>
        <w:t>□适用</w:t>
      </w:r>
      <w:r>
        <w:rPr>
          <w:spacing w:val="-1"/>
        </w:rPr>
        <w:t> </w:t>
      </w:r>
      <w:r>
        <w:rPr/>
        <w:t>√不适用</w:t>
      </w:r>
    </w:p>
    <w:p>
      <w:pPr>
        <w:pStyle w:val="Heading3"/>
        <w:spacing w:line="240" w:lineRule="auto" w:before="56"/>
        <w:ind w:left="138" w:right="146"/>
        <w:jc w:val="left"/>
        <w:rPr>
          <w:b w:val="0"/>
          <w:bCs w:val="0"/>
        </w:rPr>
      </w:pPr>
      <w:r>
        <w:rPr>
          <w:rFonts w:ascii="宋体" w:hAnsi="宋体" w:cs="宋体" w:eastAsia="宋体" w:hint="default"/>
        </w:rPr>
        <w:t>(2).</w:t>
      </w:r>
      <w:r>
        <w:rPr>
          <w:rFonts w:ascii="宋体" w:hAnsi="宋体" w:cs="宋体" w:eastAsia="宋体" w:hint="default"/>
          <w:spacing w:val="57"/>
        </w:rPr>
        <w:t> </w:t>
      </w:r>
      <w:r>
        <w:rPr/>
        <w:t>重要在建工程项目本期变动情况</w:t>
      </w:r>
      <w:r>
        <w:rPr>
          <w:b w:val="0"/>
          <w:bCs w:val="0"/>
        </w:rPr>
      </w:r>
    </w:p>
    <w:p>
      <w:pPr>
        <w:pStyle w:val="BodyText"/>
        <w:spacing w:line="240" w:lineRule="auto" w:before="59"/>
        <w:ind w:left="138" w:right="146"/>
        <w:jc w:val="left"/>
      </w:pPr>
      <w:r>
        <w:rPr/>
        <w:t>□适用</w:t>
      </w:r>
      <w:r>
        <w:rPr>
          <w:spacing w:val="-1"/>
        </w:rPr>
        <w:t> </w:t>
      </w:r>
      <w:r>
        <w:rPr/>
        <w:t>√不适用</w:t>
      </w:r>
    </w:p>
    <w:p>
      <w:pPr>
        <w:pStyle w:val="Heading3"/>
        <w:spacing w:line="240" w:lineRule="auto" w:before="56"/>
        <w:ind w:left="138" w:right="146"/>
        <w:jc w:val="left"/>
        <w:rPr>
          <w:b w:val="0"/>
          <w:bCs w:val="0"/>
        </w:rPr>
      </w:pPr>
      <w:r>
        <w:rPr>
          <w:rFonts w:ascii="宋体" w:hAnsi="宋体" w:cs="宋体" w:eastAsia="宋体" w:hint="default"/>
        </w:rPr>
        <w:t>(3).</w:t>
      </w:r>
      <w:r>
        <w:rPr>
          <w:rFonts w:ascii="宋体" w:hAnsi="宋体" w:cs="宋体" w:eastAsia="宋体" w:hint="default"/>
          <w:spacing w:val="57"/>
        </w:rPr>
        <w:t> </w:t>
      </w:r>
      <w:r>
        <w:rPr/>
        <w:t>本期计提在建工程减值准备情况：</w:t>
      </w:r>
      <w:r>
        <w:rPr>
          <w:b w:val="0"/>
          <w:bCs w:val="0"/>
        </w:rPr>
      </w:r>
    </w:p>
    <w:p>
      <w:pPr>
        <w:pStyle w:val="BodyText"/>
        <w:spacing w:line="272" w:lineRule="exact" w:before="86"/>
        <w:ind w:left="138" w:right="7394"/>
        <w:jc w:val="left"/>
      </w:pPr>
      <w:r>
        <w:rPr/>
        <w:t>□适用</w:t>
      </w:r>
      <w:r>
        <w:rPr>
          <w:spacing w:val="-1"/>
        </w:rPr>
        <w:t> </w:t>
      </w:r>
      <w:r>
        <w:rPr/>
        <w:t>√不适用</w:t>
      </w:r>
      <w:r>
        <w:rPr>
          <w:w w:val="100"/>
        </w:rPr>
        <w:t> </w:t>
      </w:r>
      <w:r>
        <w:rPr/>
        <w:t>其他说明</w:t>
      </w:r>
    </w:p>
    <w:p>
      <w:pPr>
        <w:pStyle w:val="BodyText"/>
        <w:spacing w:line="249" w:lineRule="exact"/>
        <w:ind w:left="138" w:right="146"/>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3"/>
        <w:spacing w:line="240" w:lineRule="auto"/>
        <w:ind w:left="138" w:right="146"/>
        <w:jc w:val="left"/>
        <w:rPr>
          <w:b w:val="0"/>
          <w:bCs w:val="0"/>
        </w:rPr>
      </w:pPr>
      <w:r>
        <w:rPr>
          <w:rFonts w:ascii="宋体" w:hAnsi="宋体" w:cs="宋体" w:eastAsia="宋体" w:hint="default"/>
        </w:rPr>
        <w:t>21</w:t>
      </w:r>
      <w:r>
        <w:rPr/>
        <w:t>、</w:t>
      </w:r>
      <w:r>
        <w:rPr>
          <w:spacing w:val="-25"/>
        </w:rPr>
        <w:t> </w:t>
      </w:r>
      <w:r>
        <w:rPr/>
        <w:t>工程物资</w:t>
      </w:r>
      <w:r>
        <w:rPr>
          <w:b w:val="0"/>
          <w:bCs w:val="0"/>
        </w:rPr>
      </w:r>
    </w:p>
    <w:p>
      <w:pPr>
        <w:pStyle w:val="BodyText"/>
        <w:spacing w:line="240" w:lineRule="auto" w:before="56"/>
        <w:ind w:left="138" w:right="146"/>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3"/>
        <w:spacing w:line="240" w:lineRule="auto"/>
        <w:ind w:left="138" w:right="146"/>
        <w:jc w:val="left"/>
        <w:rPr>
          <w:b w:val="0"/>
          <w:bCs w:val="0"/>
        </w:rPr>
      </w:pPr>
      <w:r>
        <w:rPr>
          <w:rFonts w:ascii="宋体" w:hAnsi="宋体" w:cs="宋体" w:eastAsia="宋体" w:hint="default"/>
        </w:rPr>
        <w:t>22</w:t>
      </w:r>
      <w:r>
        <w:rPr/>
        <w:t>、</w:t>
      </w:r>
      <w:r>
        <w:rPr>
          <w:spacing w:val="-24"/>
        </w:rPr>
        <w:t> </w:t>
      </w:r>
      <w:r>
        <w:rPr/>
        <w:t>固定资产清理</w:t>
      </w:r>
      <w:r>
        <w:rPr>
          <w:b w:val="0"/>
          <w:bCs w:val="0"/>
        </w:rPr>
      </w:r>
    </w:p>
    <w:p>
      <w:pPr>
        <w:pStyle w:val="BodyText"/>
        <w:spacing w:line="240" w:lineRule="auto" w:before="56"/>
        <w:ind w:left="138" w:right="146"/>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3"/>
        <w:spacing w:line="240" w:lineRule="auto"/>
        <w:ind w:left="138" w:right="146"/>
        <w:jc w:val="left"/>
        <w:rPr>
          <w:b w:val="0"/>
          <w:bCs w:val="0"/>
        </w:rPr>
      </w:pPr>
      <w:r>
        <w:rPr>
          <w:rFonts w:ascii="宋体" w:hAnsi="宋体" w:cs="宋体" w:eastAsia="宋体" w:hint="default"/>
        </w:rPr>
        <w:t>23</w:t>
      </w:r>
      <w:r>
        <w:rPr/>
        <w:t>、</w:t>
      </w:r>
      <w:r>
        <w:rPr>
          <w:spacing w:val="-24"/>
        </w:rPr>
        <w:t> </w:t>
      </w:r>
      <w:r>
        <w:rPr/>
        <w:t>生产性生物资产</w:t>
      </w:r>
      <w:r>
        <w:rPr>
          <w:b w:val="0"/>
          <w:bCs w:val="0"/>
        </w:rPr>
      </w:r>
    </w:p>
    <w:p>
      <w:pPr>
        <w:pStyle w:val="Heading3"/>
        <w:spacing w:line="240" w:lineRule="auto" w:before="56"/>
        <w:ind w:left="138" w:right="146"/>
        <w:jc w:val="left"/>
        <w:rPr>
          <w:b w:val="0"/>
          <w:bCs w:val="0"/>
        </w:rPr>
      </w:pPr>
      <w:r>
        <w:rPr>
          <w:rFonts w:ascii="宋体" w:hAnsi="宋体" w:cs="宋体" w:eastAsia="宋体" w:hint="default"/>
        </w:rPr>
        <w:t>(1).</w:t>
      </w:r>
      <w:r>
        <w:rPr>
          <w:rFonts w:ascii="宋体" w:hAnsi="宋体" w:cs="宋体" w:eastAsia="宋体" w:hint="default"/>
          <w:spacing w:val="73"/>
        </w:rPr>
        <w:t> </w:t>
      </w:r>
      <w:r>
        <w:rPr/>
        <w:t>采用成本计量模式的生产性生物资产</w:t>
      </w:r>
      <w:r>
        <w:rPr>
          <w:b w:val="0"/>
          <w:bCs w:val="0"/>
        </w:rPr>
      </w:r>
    </w:p>
    <w:p>
      <w:pPr>
        <w:pStyle w:val="BodyText"/>
        <w:spacing w:line="240" w:lineRule="auto" w:before="56"/>
        <w:ind w:left="138" w:right="146"/>
        <w:jc w:val="left"/>
      </w:pPr>
      <w:r>
        <w:rPr/>
        <w:t>□适用</w:t>
      </w:r>
      <w:r>
        <w:rPr>
          <w:spacing w:val="-1"/>
        </w:rPr>
        <w:t> </w:t>
      </w:r>
      <w:r>
        <w:rPr/>
        <w:t>√不适用</w:t>
      </w:r>
    </w:p>
    <w:p>
      <w:pPr>
        <w:pStyle w:val="Heading3"/>
        <w:spacing w:line="240" w:lineRule="auto" w:before="58"/>
        <w:ind w:left="138" w:right="146"/>
        <w:jc w:val="left"/>
        <w:rPr>
          <w:b w:val="0"/>
          <w:bCs w:val="0"/>
        </w:rPr>
      </w:pPr>
      <w:r>
        <w:rPr>
          <w:rFonts w:ascii="宋体" w:hAnsi="宋体" w:cs="宋体" w:eastAsia="宋体" w:hint="default"/>
        </w:rPr>
        <w:t>(2).</w:t>
      </w:r>
      <w:r>
        <w:rPr>
          <w:rFonts w:ascii="宋体" w:hAnsi="宋体" w:cs="宋体" w:eastAsia="宋体" w:hint="default"/>
          <w:spacing w:val="73"/>
        </w:rPr>
        <w:t> </w:t>
      </w:r>
      <w:r>
        <w:rPr/>
        <w:t>采用公允价值计量模式的生产性生物资产</w:t>
      </w:r>
      <w:r>
        <w:rPr>
          <w:b w:val="0"/>
          <w:bCs w:val="0"/>
        </w:rPr>
      </w:r>
    </w:p>
    <w:p>
      <w:pPr>
        <w:pStyle w:val="BodyText"/>
        <w:spacing w:line="240" w:lineRule="auto" w:before="56"/>
        <w:ind w:left="138" w:right="7394"/>
        <w:jc w:val="left"/>
      </w:pPr>
      <w:r>
        <w:rPr/>
        <w:t>□适用</w:t>
      </w:r>
      <w:r>
        <w:rPr>
          <w:spacing w:val="-1"/>
        </w:rPr>
        <w:t> </w:t>
      </w:r>
      <w:r>
        <w:rPr/>
        <w:t>√不适用</w:t>
      </w:r>
      <w:r>
        <w:rPr>
          <w:w w:val="100"/>
        </w:rPr>
        <w:t> </w:t>
      </w:r>
      <w:r>
        <w:rPr/>
        <w:t>其他说明</w:t>
      </w:r>
    </w:p>
    <w:p>
      <w:pPr>
        <w:pStyle w:val="BodyText"/>
        <w:spacing w:line="271" w:lineRule="exact"/>
        <w:ind w:left="138" w:right="146"/>
        <w:jc w:val="left"/>
      </w:pPr>
      <w:r>
        <w:rPr/>
        <w:t>□适用</w:t>
      </w:r>
      <w:r>
        <w:rPr>
          <w:spacing w:val="-1"/>
        </w:rPr>
        <w:t> </w:t>
      </w:r>
      <w:r>
        <w:rPr/>
        <w:t>√不适用</w:t>
      </w:r>
    </w:p>
    <w:p>
      <w:pPr>
        <w:spacing w:after="0" w:line="271" w:lineRule="exact"/>
        <w:jc w:val="left"/>
        <w:sectPr>
          <w:pgSz w:w="11910" w:h="16840"/>
          <w:pgMar w:header="0" w:footer="1195" w:top="1320" w:bottom="1380" w:left="1660" w:right="1120"/>
        </w:sectPr>
      </w:pPr>
    </w:p>
    <w:p>
      <w:pPr>
        <w:spacing w:line="240" w:lineRule="auto" w:before="4"/>
        <w:rPr>
          <w:rFonts w:ascii="宋体" w:hAnsi="宋体" w:cs="宋体" w:eastAsia="宋体" w:hint="default"/>
          <w:sz w:val="9"/>
          <w:szCs w:val="9"/>
        </w:rPr>
      </w:pPr>
    </w:p>
    <w:p>
      <w:pPr>
        <w:pStyle w:val="Heading3"/>
        <w:spacing w:line="240" w:lineRule="auto" w:before="36"/>
        <w:ind w:right="2757"/>
        <w:jc w:val="left"/>
        <w:rPr>
          <w:b w:val="0"/>
          <w:bCs w:val="0"/>
        </w:rPr>
      </w:pPr>
      <w:r>
        <w:rPr>
          <w:rFonts w:ascii="宋体" w:hAnsi="宋体" w:cs="宋体" w:eastAsia="宋体" w:hint="default"/>
        </w:rPr>
        <w:t>24</w:t>
      </w:r>
      <w:r>
        <w:rPr/>
        <w:t>、</w:t>
      </w:r>
      <w:r>
        <w:rPr>
          <w:spacing w:val="-25"/>
        </w:rPr>
        <w:t> </w:t>
      </w:r>
      <w:r>
        <w:rPr/>
        <w:t>油气资产</w:t>
      </w:r>
      <w:r>
        <w:rPr>
          <w:b w:val="0"/>
          <w:bCs w:val="0"/>
        </w:rPr>
      </w:r>
    </w:p>
    <w:p>
      <w:pPr>
        <w:pStyle w:val="BodyText"/>
        <w:spacing w:line="240" w:lineRule="auto" w:before="58"/>
        <w:ind w:right="2757"/>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footerReference w:type="default" r:id="rId38"/>
          <w:pgSz w:w="11910" w:h="16840"/>
          <w:pgMar w:footer="1195" w:header="0" w:top="1320" w:bottom="1380" w:left="1580" w:right="1040"/>
        </w:sectPr>
      </w:pPr>
    </w:p>
    <w:p>
      <w:pPr>
        <w:pStyle w:val="Heading3"/>
        <w:spacing w:line="240" w:lineRule="auto" w:before="36"/>
        <w:ind w:right="-20"/>
        <w:jc w:val="left"/>
        <w:rPr>
          <w:b w:val="0"/>
          <w:bCs w:val="0"/>
        </w:rPr>
      </w:pPr>
      <w:r>
        <w:rPr>
          <w:rFonts w:ascii="宋体" w:hAnsi="宋体" w:cs="宋体" w:eastAsia="宋体" w:hint="default"/>
        </w:rPr>
        <w:t>25</w:t>
      </w:r>
      <w:r>
        <w:rPr/>
        <w:t>、</w:t>
      </w:r>
      <w:r>
        <w:rPr>
          <w:spacing w:val="-25"/>
        </w:rPr>
        <w:t> </w:t>
      </w:r>
      <w:r>
        <w:rPr/>
        <w:t>无形资产</w:t>
      </w:r>
      <w:r>
        <w:rPr>
          <w:b w:val="0"/>
          <w:bCs w:val="0"/>
        </w:rPr>
      </w:r>
    </w:p>
    <w:p>
      <w:pPr>
        <w:pStyle w:val="Heading3"/>
        <w:spacing w:line="240" w:lineRule="auto" w:before="58"/>
        <w:ind w:right="-20"/>
        <w:jc w:val="left"/>
        <w:rPr>
          <w:b w:val="0"/>
          <w:bCs w:val="0"/>
        </w:rPr>
      </w:pPr>
      <w:r>
        <w:rPr>
          <w:rFonts w:ascii="宋体" w:hAnsi="宋体" w:cs="宋体" w:eastAsia="宋体" w:hint="default"/>
        </w:rPr>
        <w:t>(1).</w:t>
      </w:r>
      <w:r>
        <w:rPr>
          <w:rFonts w:ascii="宋体" w:hAnsi="宋体" w:cs="宋体" w:eastAsia="宋体" w:hint="default"/>
          <w:spacing w:val="75"/>
        </w:rPr>
        <w:t> </w:t>
      </w:r>
      <w:r>
        <w:rPr/>
        <w:t>无形资产情况</w:t>
      </w:r>
      <w:r>
        <w:rPr>
          <w:b w:val="0"/>
          <w:bCs w:val="0"/>
        </w:rPr>
      </w:r>
    </w:p>
    <w:p>
      <w:pPr>
        <w:pStyle w:val="BodyText"/>
        <w:tabs>
          <w:tab w:pos="1060" w:val="left" w:leader="none"/>
        </w:tabs>
        <w:spacing w:line="240" w:lineRule="auto" w:before="56"/>
        <w:ind w:right="-20"/>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000" w:bottom="280" w:left="1580" w:right="1040"/>
          <w:cols w:num="2" w:equalWidth="0">
            <w:col w:w="2088" w:space="4434"/>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73"/>
        <w:gridCol w:w="1354"/>
        <w:gridCol w:w="1354"/>
        <w:gridCol w:w="1310"/>
        <w:gridCol w:w="1477"/>
        <w:gridCol w:w="1582"/>
      </w:tblGrid>
      <w:tr>
        <w:trPr>
          <w:trHeight w:val="350"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44"/>
              <w:jc w:val="right"/>
              <w:rPr>
                <w:rFonts w:ascii="宋体" w:hAnsi="宋体" w:cs="宋体" w:eastAsia="宋体" w:hint="default"/>
                <w:sz w:val="21"/>
                <w:szCs w:val="21"/>
              </w:rPr>
            </w:pPr>
            <w:r>
              <w:rPr>
                <w:rFonts w:ascii="宋体" w:hAnsi="宋体" w:cs="宋体" w:eastAsia="宋体" w:hint="default"/>
                <w:spacing w:val="-1"/>
                <w:sz w:val="21"/>
                <w:szCs w:val="21"/>
              </w:rPr>
              <w:t>土地使用权</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55" w:right="0"/>
              <w:jc w:val="left"/>
              <w:rPr>
                <w:rFonts w:ascii="宋体" w:hAnsi="宋体" w:cs="宋体" w:eastAsia="宋体" w:hint="default"/>
                <w:sz w:val="21"/>
                <w:szCs w:val="21"/>
              </w:rPr>
            </w:pPr>
            <w:r>
              <w:rPr>
                <w:rFonts w:ascii="宋体" w:hAnsi="宋体" w:cs="宋体" w:eastAsia="宋体" w:hint="default"/>
                <w:sz w:val="21"/>
                <w:szCs w:val="21"/>
              </w:rPr>
              <w:t>专利权</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4" w:right="0"/>
              <w:jc w:val="left"/>
              <w:rPr>
                <w:rFonts w:ascii="宋体" w:hAnsi="宋体" w:cs="宋体" w:eastAsia="宋体" w:hint="default"/>
                <w:sz w:val="21"/>
                <w:szCs w:val="21"/>
              </w:rPr>
            </w:pPr>
            <w:r>
              <w:rPr>
                <w:rFonts w:ascii="宋体" w:hAnsi="宋体" w:cs="宋体" w:eastAsia="宋体" w:hint="default"/>
                <w:sz w:val="21"/>
                <w:szCs w:val="21"/>
              </w:rPr>
              <w:t>非专利技术</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1" w:right="0"/>
              <w:jc w:val="left"/>
              <w:rPr>
                <w:rFonts w:ascii="宋体" w:hAnsi="宋体" w:cs="宋体" w:eastAsia="宋体" w:hint="default"/>
                <w:sz w:val="21"/>
                <w:szCs w:val="21"/>
              </w:rPr>
            </w:pPr>
            <w:r>
              <w:rPr>
                <w:rFonts w:ascii="宋体" w:hAnsi="宋体" w:cs="宋体" w:eastAsia="宋体" w:hint="default"/>
                <w:sz w:val="21"/>
                <w:szCs w:val="21"/>
              </w:rPr>
              <w:t>应用软件</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350"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354"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351"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52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518,320.40</w:t>
            </w:r>
          </w:p>
        </w:tc>
        <w:tc>
          <w:tcPr>
            <w:tcW w:w="1354"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1,770,094.45</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2,288,414.85</w:t>
            </w:r>
          </w:p>
        </w:tc>
      </w:tr>
      <w:tr>
        <w:trPr>
          <w:trHeight w:val="554"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354"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541,315.88</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541,315.88</w:t>
            </w:r>
          </w:p>
        </w:tc>
      </w:tr>
      <w:tr>
        <w:trPr>
          <w:trHeight w:val="350"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购置</w:t>
            </w:r>
          </w:p>
        </w:tc>
        <w:tc>
          <w:tcPr>
            <w:tcW w:w="1354"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541,315.88</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541,315.88</w:t>
            </w:r>
          </w:p>
        </w:tc>
      </w:tr>
      <w:tr>
        <w:trPr>
          <w:trHeight w:val="554"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内部研</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发</w:t>
            </w:r>
          </w:p>
        </w:tc>
        <w:tc>
          <w:tcPr>
            <w:tcW w:w="1354"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企业合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并增加</w:t>
            </w:r>
          </w:p>
        </w:tc>
        <w:tc>
          <w:tcPr>
            <w:tcW w:w="1354"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5"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354"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p>
        </w:tc>
        <w:tc>
          <w:tcPr>
            <w:tcW w:w="1354"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351"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419"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518,320.40</w:t>
            </w:r>
          </w:p>
        </w:tc>
        <w:tc>
          <w:tcPr>
            <w:tcW w:w="1354"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2,311,410.33</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2,829,730.73</w:t>
            </w:r>
          </w:p>
        </w:tc>
      </w:tr>
      <w:tr>
        <w:trPr>
          <w:trHeight w:val="350"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二、累计摊销</w:t>
            </w:r>
          </w:p>
        </w:tc>
        <w:tc>
          <w:tcPr>
            <w:tcW w:w="1354"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283,869.43</w:t>
            </w:r>
          </w:p>
        </w:tc>
        <w:tc>
          <w:tcPr>
            <w:tcW w:w="1354"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858,427.40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1,142,296.83</w:t>
            </w:r>
          </w:p>
        </w:tc>
      </w:tr>
      <w:tr>
        <w:trPr>
          <w:trHeight w:val="554"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6,946.68</w:t>
            </w:r>
          </w:p>
        </w:tc>
        <w:tc>
          <w:tcPr>
            <w:tcW w:w="1354"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194,865.92</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201,812.60</w:t>
            </w:r>
          </w:p>
        </w:tc>
      </w:tr>
      <w:tr>
        <w:trPr>
          <w:trHeight w:val="350"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3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6,946.68</w:t>
            </w:r>
          </w:p>
        </w:tc>
        <w:tc>
          <w:tcPr>
            <w:tcW w:w="1354"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194,865.92</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201,812.60</w:t>
            </w:r>
          </w:p>
        </w:tc>
      </w:tr>
      <w:tr>
        <w:trPr>
          <w:trHeight w:val="554"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354"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839"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p>
        </w:tc>
        <w:tc>
          <w:tcPr>
            <w:tcW w:w="1354"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290,816.11</w:t>
            </w:r>
          </w:p>
        </w:tc>
        <w:tc>
          <w:tcPr>
            <w:tcW w:w="1354"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1,053,293.32</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1,344,109.43</w:t>
            </w:r>
          </w:p>
        </w:tc>
      </w:tr>
      <w:tr>
        <w:trPr>
          <w:trHeight w:val="351"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354"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354"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354"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1354"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354"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p>
        </w:tc>
        <w:tc>
          <w:tcPr>
            <w:tcW w:w="1354"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354"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354"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52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期末账面价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值</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227,504.29</w:t>
            </w:r>
          </w:p>
        </w:tc>
        <w:tc>
          <w:tcPr>
            <w:tcW w:w="1354"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1,258,117.01</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1,485,621.30</w:t>
            </w:r>
          </w:p>
        </w:tc>
      </w:tr>
      <w:tr>
        <w:trPr>
          <w:trHeight w:val="350"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25"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期初账面价</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234,450.94</w:t>
            </w:r>
          </w:p>
        </w:tc>
        <w:tc>
          <w:tcPr>
            <w:tcW w:w="1354"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911,667.08</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1,146,118.02</w:t>
            </w:r>
          </w:p>
        </w:tc>
      </w:tr>
    </w:tbl>
    <w:p>
      <w:pPr>
        <w:spacing w:after="0" w:line="243" w:lineRule="exact"/>
        <w:jc w:val="right"/>
        <w:rPr>
          <w:rFonts w:ascii="宋体" w:hAnsi="宋体" w:cs="宋体" w:eastAsia="宋体" w:hint="default"/>
          <w:sz w:val="21"/>
          <w:szCs w:val="21"/>
        </w:rPr>
        <w:sectPr>
          <w:type w:val="continuous"/>
          <w:pgSz w:w="11910" w:h="16840"/>
          <w:pgMar w:top="1000" w:bottom="280" w:left="1580" w:right="1040"/>
        </w:sectPr>
      </w:pPr>
    </w:p>
    <w:p>
      <w:pPr>
        <w:spacing w:line="240" w:lineRule="auto" w:before="9"/>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1973"/>
        <w:gridCol w:w="1354"/>
        <w:gridCol w:w="1354"/>
        <w:gridCol w:w="1310"/>
        <w:gridCol w:w="1477"/>
        <w:gridCol w:w="1582"/>
      </w:tblGrid>
      <w:tr>
        <w:trPr>
          <w:trHeight w:val="351"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值</w:t>
            </w:r>
          </w:p>
        </w:tc>
        <w:tc>
          <w:tcPr>
            <w:tcW w:w="1354"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1" w:lineRule="exact"/>
        <w:ind w:right="2757"/>
        <w:jc w:val="left"/>
        <w:rPr>
          <w:rFonts w:ascii="宋体" w:hAnsi="宋体" w:cs="宋体" w:eastAsia="宋体" w:hint="default"/>
        </w:rPr>
      </w:pPr>
      <w:r>
        <w:rPr>
          <w:spacing w:val="-2"/>
        </w:rPr>
        <w:t>本期末通过公司内部研发形成的无形资产占无形资产余额的比例</w:t>
      </w:r>
      <w:r>
        <w:rPr>
          <w:spacing w:val="1"/>
        </w:rPr>
        <w:t> </w:t>
      </w:r>
      <w:r>
        <w:rPr>
          <w:rFonts w:ascii="宋体" w:hAnsi="宋体" w:cs="宋体" w:eastAsia="宋体" w:hint="default"/>
        </w:rPr>
        <w:t>0</w:t>
      </w:r>
    </w:p>
    <w:p>
      <w:pPr>
        <w:spacing w:line="240" w:lineRule="auto" w:before="3"/>
        <w:rPr>
          <w:rFonts w:ascii="宋体" w:hAnsi="宋体" w:cs="宋体" w:eastAsia="宋体" w:hint="default"/>
          <w:sz w:val="25"/>
          <w:szCs w:val="25"/>
        </w:rPr>
      </w:pPr>
    </w:p>
    <w:p>
      <w:pPr>
        <w:pStyle w:val="Heading3"/>
        <w:spacing w:line="240" w:lineRule="auto"/>
        <w:ind w:right="2757"/>
        <w:jc w:val="left"/>
        <w:rPr>
          <w:b w:val="0"/>
          <w:bCs w:val="0"/>
        </w:rPr>
      </w:pPr>
      <w:r>
        <w:rPr>
          <w:rFonts w:ascii="宋体" w:hAnsi="宋体" w:cs="宋体" w:eastAsia="宋体" w:hint="default"/>
        </w:rPr>
        <w:t>(2).</w:t>
      </w:r>
      <w:r>
        <w:rPr>
          <w:rFonts w:ascii="宋体" w:hAnsi="宋体" w:cs="宋体" w:eastAsia="宋体" w:hint="default"/>
          <w:spacing w:val="73"/>
        </w:rPr>
        <w:t> </w:t>
      </w:r>
      <w:r>
        <w:rPr/>
        <w:t>未办妥产权证书的土地使用权情况：</w:t>
      </w:r>
      <w:r>
        <w:rPr>
          <w:b w:val="0"/>
          <w:bCs w:val="0"/>
        </w:rPr>
      </w:r>
    </w:p>
    <w:p>
      <w:pPr>
        <w:pStyle w:val="BodyText"/>
        <w:spacing w:line="272" w:lineRule="exact" w:before="86"/>
        <w:ind w:right="7474"/>
        <w:jc w:val="left"/>
      </w:pPr>
      <w:r>
        <w:rPr/>
        <w:t>□适用</w:t>
      </w:r>
      <w:r>
        <w:rPr>
          <w:spacing w:val="-1"/>
        </w:rPr>
        <w:t> </w:t>
      </w:r>
      <w:r>
        <w:rPr/>
        <w:t>√不适用</w:t>
      </w:r>
      <w:r>
        <w:rPr>
          <w:w w:val="100"/>
        </w:rPr>
        <w:t> </w:t>
      </w:r>
      <w:r>
        <w:rPr/>
        <w:t>其他说明：</w:t>
      </w:r>
    </w:p>
    <w:p>
      <w:pPr>
        <w:pStyle w:val="BodyText"/>
        <w:spacing w:line="249" w:lineRule="exact"/>
        <w:ind w:right="2757"/>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3"/>
        <w:spacing w:line="240" w:lineRule="auto"/>
        <w:ind w:right="2757"/>
        <w:jc w:val="left"/>
        <w:rPr>
          <w:b w:val="0"/>
          <w:bCs w:val="0"/>
        </w:rPr>
      </w:pPr>
      <w:r>
        <w:rPr>
          <w:rFonts w:ascii="宋体" w:hAnsi="宋体" w:cs="宋体" w:eastAsia="宋体" w:hint="default"/>
        </w:rPr>
        <w:t>26</w:t>
      </w:r>
      <w:r>
        <w:rPr/>
        <w:t>、</w:t>
      </w:r>
      <w:r>
        <w:rPr>
          <w:spacing w:val="-25"/>
        </w:rPr>
        <w:t> </w:t>
      </w:r>
      <w:r>
        <w:rPr/>
        <w:t>开发支出</w:t>
      </w:r>
      <w:r>
        <w:rPr>
          <w:b w:val="0"/>
          <w:bCs w:val="0"/>
        </w:rPr>
      </w:r>
    </w:p>
    <w:p>
      <w:pPr>
        <w:pStyle w:val="BodyText"/>
        <w:spacing w:line="240" w:lineRule="auto" w:before="56"/>
        <w:ind w:right="2757"/>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3"/>
        <w:spacing w:line="240" w:lineRule="auto"/>
        <w:ind w:right="2757"/>
        <w:jc w:val="left"/>
        <w:rPr>
          <w:b w:val="0"/>
          <w:bCs w:val="0"/>
        </w:rPr>
      </w:pPr>
      <w:r>
        <w:rPr>
          <w:rFonts w:ascii="宋体" w:hAnsi="宋体" w:cs="宋体" w:eastAsia="宋体" w:hint="default"/>
        </w:rPr>
        <w:t>27</w:t>
      </w:r>
      <w:r>
        <w:rPr/>
        <w:t>、</w:t>
      </w:r>
      <w:r>
        <w:rPr>
          <w:spacing w:val="-26"/>
        </w:rPr>
        <w:t> </w:t>
      </w:r>
      <w:r>
        <w:rPr/>
        <w:t>商誉</w:t>
      </w:r>
      <w:r>
        <w:rPr>
          <w:b w:val="0"/>
          <w:bCs w:val="0"/>
        </w:rPr>
      </w:r>
    </w:p>
    <w:p>
      <w:pPr>
        <w:pStyle w:val="Heading3"/>
        <w:spacing w:line="240" w:lineRule="auto" w:before="56"/>
        <w:ind w:right="2757"/>
        <w:jc w:val="left"/>
        <w:rPr>
          <w:b w:val="0"/>
          <w:bCs w:val="0"/>
        </w:rPr>
      </w:pPr>
      <w:r>
        <w:rPr>
          <w:rFonts w:ascii="宋体" w:hAnsi="宋体" w:cs="宋体" w:eastAsia="宋体" w:hint="default"/>
        </w:rPr>
        <w:t>(1).</w:t>
      </w:r>
      <w:r>
        <w:rPr>
          <w:rFonts w:ascii="宋体" w:hAnsi="宋体" w:cs="宋体" w:eastAsia="宋体" w:hint="default"/>
          <w:spacing w:val="60"/>
        </w:rPr>
        <w:t> </w:t>
      </w:r>
      <w:r>
        <w:rPr/>
        <w:t>商誉账面原值</w:t>
      </w:r>
      <w:r>
        <w:rPr>
          <w:b w:val="0"/>
          <w:bCs w:val="0"/>
        </w:rPr>
      </w:r>
    </w:p>
    <w:p>
      <w:pPr>
        <w:spacing w:line="290" w:lineRule="auto" w:before="58"/>
        <w:ind w:left="218" w:right="719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pacing w:val="60"/>
          <w:sz w:val="21"/>
          <w:szCs w:val="21"/>
        </w:rPr>
        <w:t> </w:t>
      </w:r>
      <w:r>
        <w:rPr>
          <w:rFonts w:ascii="宋体" w:hAnsi="宋体" w:cs="宋体" w:eastAsia="宋体" w:hint="default"/>
          <w:b/>
          <w:bCs/>
          <w:sz w:val="21"/>
          <w:szCs w:val="21"/>
        </w:rPr>
        <w:t>商誉减值准备</w:t>
      </w:r>
      <w:r>
        <w:rPr>
          <w:rFonts w:ascii="宋体" w:hAnsi="宋体" w:cs="宋体" w:eastAsia="宋体" w:hint="default"/>
          <w:sz w:val="21"/>
          <w:szCs w:val="21"/>
        </w:rPr>
      </w:r>
    </w:p>
    <w:p>
      <w:pPr>
        <w:pStyle w:val="BodyText"/>
        <w:spacing w:line="272" w:lineRule="exact" w:before="42"/>
        <w:ind w:right="2757"/>
        <w:jc w:val="left"/>
      </w:pPr>
      <w:r>
        <w:rPr/>
        <w:t>□适用</w:t>
      </w:r>
      <w:r>
        <w:rPr>
          <w:spacing w:val="-2"/>
        </w:rPr>
        <w:t> </w:t>
      </w:r>
      <w:r>
        <w:rPr/>
        <w:t>√不适用</w:t>
      </w:r>
      <w:r>
        <w:rPr>
          <w:w w:val="100"/>
        </w:rPr>
        <w:t> </w:t>
      </w:r>
      <w:r>
        <w:rPr>
          <w:spacing w:val="-2"/>
        </w:rPr>
        <w:t>说明商誉减值测试过程、参数及商誉减值损失的确认方法</w:t>
      </w:r>
    </w:p>
    <w:p>
      <w:pPr>
        <w:pStyle w:val="BodyText"/>
        <w:spacing w:line="249" w:lineRule="exact"/>
        <w:ind w:right="2757"/>
        <w:jc w:val="left"/>
      </w:pPr>
      <w:r>
        <w:rPr/>
        <w:t>□适用</w:t>
      </w:r>
      <w:r>
        <w:rPr>
          <w:spacing w:val="-1"/>
        </w:rPr>
        <w:t> </w:t>
      </w:r>
      <w:r>
        <w:rPr/>
        <w:t>√不适用</w:t>
      </w:r>
    </w:p>
    <w:p>
      <w:pPr>
        <w:spacing w:line="240" w:lineRule="auto" w:before="9"/>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footerReference w:type="default" r:id="rId39"/>
          <w:pgSz w:w="11910" w:h="16840"/>
          <w:pgMar w:footer="1195" w:header="0" w:top="1320" w:bottom="1380" w:left="1580" w:right="1040"/>
          <w:pgNumType w:start="101"/>
        </w:sectPr>
      </w:pPr>
    </w:p>
    <w:p>
      <w:pPr>
        <w:pStyle w:val="BodyText"/>
        <w:spacing w:line="274" w:lineRule="exact" w:before="36"/>
        <w:ind w:right="-18"/>
        <w:jc w:val="left"/>
      </w:pPr>
      <w:r>
        <w:rPr/>
        <w:t>其他说明</w:t>
      </w:r>
    </w:p>
    <w:p>
      <w:pPr>
        <w:spacing w:line="290" w:lineRule="auto" w:before="0"/>
        <w:ind w:left="218" w:right="-1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28</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长期待摊费用</w:t>
      </w:r>
      <w:r>
        <w:rPr>
          <w:rFonts w:ascii="宋体" w:hAnsi="宋体" w:cs="宋体" w:eastAsia="宋体" w:hint="default"/>
          <w:sz w:val="21"/>
          <w:szCs w:val="21"/>
        </w:rPr>
      </w:r>
    </w:p>
    <w:p>
      <w:pPr>
        <w:pStyle w:val="BodyText"/>
        <w:spacing w:line="240" w:lineRule="auto" w:before="14"/>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000" w:bottom="280" w:left="1580" w:right="1040"/>
          <w:cols w:num="2" w:equalWidth="0">
            <w:col w:w="1990" w:space="4532"/>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447"/>
        <w:gridCol w:w="1498"/>
        <w:gridCol w:w="1495"/>
        <w:gridCol w:w="1498"/>
        <w:gridCol w:w="1522"/>
        <w:gridCol w:w="1589"/>
      </w:tblGrid>
      <w:tr>
        <w:trPr>
          <w:trHeight w:val="281"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4"/>
              <w:jc w:val="right"/>
              <w:rPr>
                <w:rFonts w:ascii="宋体" w:hAnsi="宋体" w:cs="宋体" w:eastAsia="宋体" w:hint="default"/>
                <w:sz w:val="21"/>
                <w:szCs w:val="21"/>
              </w:rPr>
            </w:pPr>
            <w:r>
              <w:rPr>
                <w:rFonts w:ascii="宋体" w:hAnsi="宋体" w:cs="宋体" w:eastAsia="宋体" w:hint="default"/>
                <w:sz w:val="21"/>
                <w:szCs w:val="21"/>
              </w:rPr>
              <w:t>项目</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left"/>
              <w:rPr>
                <w:rFonts w:ascii="宋体" w:hAnsi="宋体" w:cs="宋体" w:eastAsia="宋体" w:hint="default"/>
                <w:sz w:val="21"/>
                <w:szCs w:val="21"/>
              </w:rPr>
            </w:pPr>
            <w:r>
              <w:rPr>
                <w:rFonts w:ascii="宋体" w:hAnsi="宋体" w:cs="宋体" w:eastAsia="宋体" w:hint="default"/>
                <w:sz w:val="21"/>
                <w:szCs w:val="21"/>
              </w:rPr>
              <w:t>本期增加金额</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hAnsi="宋体" w:cs="宋体" w:eastAsia="宋体" w:hint="default"/>
                <w:spacing w:val="-1"/>
                <w:sz w:val="21"/>
                <w:szCs w:val="21"/>
              </w:rPr>
              <w:t>本期摊销金额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4" w:right="0"/>
              <w:jc w:val="left"/>
              <w:rPr>
                <w:rFonts w:ascii="宋体" w:hAnsi="宋体" w:cs="宋体" w:eastAsia="宋体" w:hint="default"/>
                <w:sz w:val="21"/>
                <w:szCs w:val="21"/>
              </w:rPr>
            </w:pPr>
            <w:r>
              <w:rPr>
                <w:rFonts w:ascii="宋体" w:hAnsi="宋体" w:cs="宋体" w:eastAsia="宋体" w:hint="default"/>
                <w:sz w:val="21"/>
                <w:szCs w:val="21"/>
              </w:rPr>
              <w:t>其他减少金额</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7"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房屋装修支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出</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33" w:right="0"/>
              <w:jc w:val="left"/>
              <w:rPr>
                <w:rFonts w:ascii="宋体" w:hAnsi="宋体" w:cs="宋体" w:eastAsia="宋体" w:hint="default"/>
                <w:sz w:val="21"/>
                <w:szCs w:val="21"/>
              </w:rPr>
            </w:pPr>
            <w:r>
              <w:rPr>
                <w:rFonts w:ascii="宋体"/>
                <w:sz w:val="21"/>
              </w:rPr>
              <w:t>640,806.13</w:t>
            </w:r>
          </w:p>
        </w:tc>
        <w:tc>
          <w:tcPr>
            <w:tcW w:w="1495"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330,442.59</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24" w:right="0"/>
              <w:jc w:val="left"/>
              <w:rPr>
                <w:rFonts w:ascii="宋体" w:hAnsi="宋体" w:cs="宋体" w:eastAsia="宋体" w:hint="default"/>
                <w:sz w:val="21"/>
                <w:szCs w:val="21"/>
              </w:rPr>
            </w:pPr>
            <w:r>
              <w:rPr>
                <w:rFonts w:ascii="宋体"/>
                <w:sz w:val="21"/>
              </w:rPr>
              <w:t>310,363.54</w:t>
            </w:r>
          </w:p>
        </w:tc>
      </w:tr>
      <w:tr>
        <w:trPr>
          <w:trHeight w:val="281"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4"/>
              <w:jc w:val="right"/>
              <w:rPr>
                <w:rFonts w:ascii="宋体" w:hAnsi="宋体" w:cs="宋体" w:eastAsia="宋体" w:hint="default"/>
                <w:sz w:val="21"/>
                <w:szCs w:val="21"/>
              </w:rPr>
            </w:pPr>
            <w:r>
              <w:rPr>
                <w:rFonts w:ascii="宋体" w:hAnsi="宋体" w:cs="宋体" w:eastAsia="宋体" w:hint="default"/>
                <w:sz w:val="21"/>
                <w:szCs w:val="21"/>
              </w:rPr>
              <w:t>合计</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3" w:right="0"/>
              <w:jc w:val="left"/>
              <w:rPr>
                <w:rFonts w:ascii="宋体" w:hAnsi="宋体" w:cs="宋体" w:eastAsia="宋体" w:hint="default"/>
                <w:sz w:val="21"/>
                <w:szCs w:val="21"/>
              </w:rPr>
            </w:pPr>
            <w:r>
              <w:rPr>
                <w:rFonts w:ascii="宋体"/>
                <w:sz w:val="21"/>
              </w:rPr>
              <w:t>640,806.13</w:t>
            </w:r>
          </w:p>
        </w:tc>
        <w:tc>
          <w:tcPr>
            <w:tcW w:w="1495"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330,442.59</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sz w:val="21"/>
              </w:rPr>
              <w:t>310,363.54</w:t>
            </w:r>
          </w:p>
        </w:tc>
      </w:tr>
    </w:tbl>
    <w:p>
      <w:pPr>
        <w:pStyle w:val="BodyText"/>
        <w:spacing w:line="240" w:lineRule="exact"/>
        <w:ind w:right="2757"/>
        <w:jc w:val="left"/>
      </w:pPr>
      <w:r>
        <w:rPr/>
        <w:t>其他说明：</w:t>
      </w:r>
    </w:p>
    <w:p>
      <w:pPr>
        <w:pStyle w:val="BodyText"/>
        <w:spacing w:line="274" w:lineRule="exact"/>
        <w:ind w:right="2757"/>
        <w:jc w:val="left"/>
      </w:pPr>
      <w:r>
        <w:rPr>
          <w:w w:val="100"/>
        </w:rPr>
        <w:t>无</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000" w:bottom="280" w:left="1580" w:right="1040"/>
        </w:sectPr>
      </w:pPr>
    </w:p>
    <w:p>
      <w:pPr>
        <w:pStyle w:val="Heading3"/>
        <w:spacing w:line="290" w:lineRule="auto" w:before="36"/>
        <w:ind w:right="-18"/>
        <w:jc w:val="left"/>
        <w:rPr>
          <w:b w:val="0"/>
          <w:bCs w:val="0"/>
        </w:rPr>
      </w:pPr>
      <w:r>
        <w:rPr>
          <w:rFonts w:ascii="宋体" w:hAnsi="宋体" w:cs="宋体" w:eastAsia="宋体" w:hint="default"/>
        </w:rPr>
        <w:t>29</w:t>
      </w:r>
      <w:r>
        <w:rPr/>
        <w:t>、 递延所得税资产</w:t>
      </w:r>
      <w:r>
        <w:rPr>
          <w:rFonts w:ascii="宋体" w:hAnsi="宋体" w:cs="宋体" w:eastAsia="宋体" w:hint="default"/>
        </w:rPr>
        <w:t>/</w:t>
      </w:r>
      <w:r>
        <w:rPr>
          <w:rFonts w:ascii="宋体" w:hAnsi="宋体" w:cs="宋体" w:eastAsia="宋体" w:hint="default"/>
          <w:spacing w:val="-24"/>
        </w:rPr>
        <w:t> </w:t>
      </w:r>
      <w:r>
        <w:rPr/>
        <w:t>递延所得税负债</w:t>
      </w:r>
      <w:r>
        <w:rPr>
          <w:w w:val="100"/>
        </w:rPr>
        <w:t> </w:t>
      </w:r>
      <w:r>
        <w:rPr>
          <w:rFonts w:ascii="宋体" w:hAnsi="宋体" w:cs="宋体" w:eastAsia="宋体" w:hint="default"/>
        </w:rPr>
        <w:t>(1).</w:t>
      </w:r>
      <w:r>
        <w:rPr>
          <w:rFonts w:ascii="宋体" w:hAnsi="宋体" w:cs="宋体" w:eastAsia="宋体" w:hint="default"/>
          <w:spacing w:val="56"/>
        </w:rPr>
        <w:t> </w:t>
      </w:r>
      <w:r>
        <w:rPr/>
        <w:t>未经抵销的递延所得税资产</w:t>
      </w:r>
      <w:r>
        <w:rPr>
          <w:b w:val="0"/>
          <w:bCs w:val="0"/>
        </w:rPr>
      </w:r>
    </w:p>
    <w:p>
      <w:pPr>
        <w:pStyle w:val="BodyText"/>
        <w:spacing w:line="240" w:lineRule="auto" w:before="14"/>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000" w:bottom="280" w:left="1580" w:right="1040"/>
          <w:cols w:num="2" w:equalWidth="0">
            <w:col w:w="3889" w:space="2633"/>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425"/>
        <w:gridCol w:w="1687"/>
        <w:gridCol w:w="1628"/>
        <w:gridCol w:w="1688"/>
        <w:gridCol w:w="1625"/>
      </w:tblGrid>
      <w:tr>
        <w:trPr>
          <w:trHeight w:val="295" w:hRule="exact"/>
        </w:trPr>
        <w:tc>
          <w:tcPr>
            <w:tcW w:w="2425"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4" w:hRule="exact"/>
        </w:trPr>
        <w:tc>
          <w:tcPr>
            <w:tcW w:w="2425" w:type="dxa"/>
            <w:vMerge/>
            <w:tcBorders>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可抵扣暂时性差</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异</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资产</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sz w:val="21"/>
                <w:szCs w:val="21"/>
              </w:rPr>
              <w:t>可抵扣暂时性差</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异</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资产</w:t>
            </w:r>
          </w:p>
        </w:tc>
      </w:tr>
      <w:tr>
        <w:trPr>
          <w:trHeight w:val="295"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4,579,655.63</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579,373.18</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4,069,894.74</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505,397.08</w:t>
            </w:r>
          </w:p>
        </w:tc>
      </w:tr>
      <w:tr>
        <w:trPr>
          <w:trHeight w:val="295"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内部交易未实现利润</w:t>
            </w:r>
          </w:p>
        </w:tc>
        <w:tc>
          <w:tcPr>
            <w:tcW w:w="1687"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14"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10,110,017.09</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1,806,518.43</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5,029,684.05</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1,257,421.01</w:t>
            </w:r>
          </w:p>
        </w:tc>
      </w:tr>
      <w:tr>
        <w:trPr>
          <w:trHeight w:val="293"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已开票未确认收入毛利</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111,807,304.02</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12,484,531.50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90,985,545.51</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9,868,825.30</w:t>
            </w:r>
          </w:p>
        </w:tc>
      </w:tr>
      <w:tr>
        <w:trPr>
          <w:trHeight w:val="295"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已计提未发放职工薪酬</w:t>
            </w:r>
          </w:p>
        </w:tc>
        <w:tc>
          <w:tcPr>
            <w:tcW w:w="1687"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14,247,745.00</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1,647,166.75</w:t>
            </w:r>
          </w:p>
        </w:tc>
      </w:tr>
      <w:tr>
        <w:trPr>
          <w:trHeight w:val="296"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股份支付计提费用</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1,890,468.13</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189,046.81</w:t>
            </w:r>
          </w:p>
        </w:tc>
        <w:tc>
          <w:tcPr>
            <w:tcW w:w="1688"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128,387,444.87</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15,059,469.92</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114,332,869.30</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13,278,810.14</w:t>
            </w:r>
          </w:p>
        </w:tc>
      </w:tr>
    </w:tbl>
    <w:p>
      <w:pPr>
        <w:spacing w:after="0" w:line="241" w:lineRule="exact"/>
        <w:jc w:val="right"/>
        <w:rPr>
          <w:rFonts w:ascii="宋体" w:hAnsi="宋体" w:cs="宋体" w:eastAsia="宋体" w:hint="default"/>
          <w:sz w:val="21"/>
          <w:szCs w:val="21"/>
        </w:rPr>
        <w:sectPr>
          <w:type w:val="continuous"/>
          <w:pgSz w:w="11910" w:h="16840"/>
          <w:pgMar w:top="1000" w:bottom="280" w:left="1580" w:right="104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10" w:h="16840"/>
          <w:pgMar w:header="0" w:footer="1195" w:top="1320" w:bottom="1380" w:left="1580" w:right="1040"/>
        </w:sectPr>
      </w:pPr>
    </w:p>
    <w:p>
      <w:pPr>
        <w:pStyle w:val="Heading3"/>
        <w:spacing w:line="240" w:lineRule="auto" w:before="36"/>
        <w:ind w:right="-18"/>
        <w:jc w:val="left"/>
        <w:rPr>
          <w:b w:val="0"/>
          <w:bCs w:val="0"/>
        </w:rPr>
      </w:pPr>
      <w:r>
        <w:rPr>
          <w:rFonts w:ascii="宋体" w:hAnsi="宋体" w:cs="宋体" w:eastAsia="宋体" w:hint="default"/>
        </w:rPr>
        <w:t>(2).</w:t>
      </w:r>
      <w:r>
        <w:rPr>
          <w:rFonts w:ascii="宋体" w:hAnsi="宋体" w:cs="宋体" w:eastAsia="宋体" w:hint="default"/>
          <w:spacing w:val="56"/>
        </w:rPr>
        <w:t> </w:t>
      </w:r>
      <w:r>
        <w:rPr/>
        <w:t>未经抵销的递延所得税负债</w:t>
      </w:r>
      <w:r>
        <w:rPr>
          <w:b w:val="0"/>
          <w:bCs w:val="0"/>
        </w:rPr>
      </w:r>
    </w:p>
    <w:p>
      <w:pPr>
        <w:pStyle w:val="BodyText"/>
        <w:spacing w:line="240" w:lineRule="auto" w:before="56"/>
        <w:ind w:right="-18"/>
        <w:jc w:val="left"/>
      </w:pPr>
      <w:r>
        <w:rPr/>
        <w:t>□适用</w:t>
      </w:r>
      <w:r>
        <w:rPr>
          <w:spacing w:val="-1"/>
        </w:rPr>
        <w:t> </w:t>
      </w:r>
      <w:r>
        <w:rPr/>
        <w:t>√不适用</w:t>
      </w:r>
    </w:p>
    <w:p>
      <w:pPr>
        <w:pStyle w:val="Heading3"/>
        <w:spacing w:line="240" w:lineRule="auto" w:before="58"/>
        <w:ind w:right="-18"/>
        <w:jc w:val="left"/>
        <w:rPr>
          <w:b w:val="0"/>
          <w:bCs w:val="0"/>
        </w:rPr>
      </w:pPr>
      <w:r>
        <w:rPr>
          <w:rFonts w:ascii="宋体" w:hAnsi="宋体" w:cs="宋体" w:eastAsia="宋体" w:hint="default"/>
        </w:rPr>
        <w:t>(3).</w:t>
      </w:r>
      <w:r>
        <w:rPr>
          <w:rFonts w:ascii="宋体" w:hAnsi="宋体" w:cs="宋体" w:eastAsia="宋体" w:hint="default"/>
          <w:spacing w:val="59"/>
        </w:rPr>
        <w:t> </w:t>
      </w:r>
      <w:r>
        <w:rPr/>
        <w:t>以抵销后净额列示的递延所得税资产或负债：</w:t>
      </w:r>
      <w:r>
        <w:rPr>
          <w:b w:val="0"/>
          <w:bCs w:val="0"/>
        </w:rPr>
      </w:r>
    </w:p>
    <w:p>
      <w:pPr>
        <w:pStyle w:val="BodyText"/>
        <w:spacing w:line="240" w:lineRule="auto" w:before="56"/>
        <w:ind w:right="-18"/>
        <w:jc w:val="left"/>
      </w:pPr>
      <w:r>
        <w:rPr/>
        <w:t>□适用</w:t>
      </w:r>
      <w:r>
        <w:rPr>
          <w:spacing w:val="-1"/>
        </w:rPr>
        <w:t> </w:t>
      </w:r>
      <w:r>
        <w:rPr/>
        <w:t>√不适用</w:t>
      </w:r>
    </w:p>
    <w:p>
      <w:pPr>
        <w:pStyle w:val="Heading3"/>
        <w:spacing w:line="240" w:lineRule="auto" w:before="58"/>
        <w:ind w:right="-18"/>
        <w:jc w:val="left"/>
        <w:rPr>
          <w:b w:val="0"/>
          <w:bCs w:val="0"/>
        </w:rPr>
      </w:pPr>
      <w:r>
        <w:rPr>
          <w:rFonts w:ascii="宋体" w:hAnsi="宋体" w:cs="宋体" w:eastAsia="宋体" w:hint="default"/>
        </w:rPr>
        <w:t>(4).</w:t>
      </w:r>
      <w:r>
        <w:rPr>
          <w:rFonts w:ascii="宋体" w:hAnsi="宋体" w:cs="宋体" w:eastAsia="宋体" w:hint="default"/>
          <w:spacing w:val="56"/>
        </w:rPr>
        <w:t> </w:t>
      </w:r>
      <w:r>
        <w:rPr/>
        <w:t>未确认递延所得税资产明细</w:t>
      </w:r>
      <w:r>
        <w:rPr>
          <w:b w:val="0"/>
          <w:bCs w:val="0"/>
        </w:rPr>
      </w:r>
    </w:p>
    <w:p>
      <w:pPr>
        <w:pStyle w:val="BodyText"/>
        <w:spacing w:line="240" w:lineRule="auto" w:before="56"/>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269" w:val="left" w:leader="none"/>
        </w:tabs>
        <w:spacing w:line="240" w:lineRule="auto" w:before="138"/>
        <w:ind w:right="0"/>
        <w:jc w:val="left"/>
      </w:pPr>
      <w:r>
        <w:rPr>
          <w:spacing w:val="-1"/>
        </w:rPr>
        <w:t>单位：元</w:t>
        <w:tab/>
      </w:r>
      <w:r>
        <w:rPr>
          <w:spacing w:val="-2"/>
        </w:rPr>
        <w:t>币种：人民币</w:t>
      </w:r>
    </w:p>
    <w:p>
      <w:pPr>
        <w:spacing w:after="0" w:line="240" w:lineRule="auto"/>
        <w:jc w:val="left"/>
        <w:sectPr>
          <w:type w:val="continuous"/>
          <w:pgSz w:w="11910" w:h="16840"/>
          <w:pgMar w:top="1000" w:bottom="280" w:left="1580" w:right="1040"/>
          <w:cols w:num="2" w:equalWidth="0">
            <w:col w:w="5026" w:space="1496"/>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90"/>
        <w:gridCol w:w="3082"/>
        <w:gridCol w:w="3077"/>
      </w:tblGrid>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764,442.79</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1,325,301.90</w:t>
            </w:r>
          </w:p>
        </w:tc>
      </w:tr>
      <w:tr>
        <w:trPr>
          <w:trHeight w:val="296"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5,293,680.15</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12,709,206.79</w:t>
            </w:r>
          </w:p>
        </w:tc>
      </w:tr>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6,058,122.94</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14,034,508.69</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000" w:bottom="280" w:left="1580" w:right="1040"/>
        </w:sectPr>
      </w:pPr>
    </w:p>
    <w:p>
      <w:pPr>
        <w:pStyle w:val="Heading3"/>
        <w:spacing w:line="240" w:lineRule="auto" w:before="36"/>
        <w:ind w:right="-17"/>
        <w:jc w:val="left"/>
        <w:rPr>
          <w:b w:val="0"/>
          <w:bCs w:val="0"/>
        </w:rPr>
      </w:pPr>
      <w:r>
        <w:rPr>
          <w:rFonts w:ascii="宋体" w:hAnsi="宋体" w:cs="宋体" w:eastAsia="宋体" w:hint="default"/>
        </w:rPr>
        <w:t>(5).</w:t>
      </w:r>
      <w:r>
        <w:rPr>
          <w:rFonts w:ascii="宋体" w:hAnsi="宋体" w:cs="宋体" w:eastAsia="宋体" w:hint="default"/>
          <w:spacing w:val="55"/>
        </w:rPr>
        <w:t> </w:t>
      </w:r>
      <w:r>
        <w:rPr/>
        <w:t>未确认递延所得税资产的可抵扣亏损将于以下年度到期</w:t>
      </w:r>
      <w:r>
        <w:rPr>
          <w:b w:val="0"/>
          <w:bCs w:val="0"/>
        </w:rPr>
      </w:r>
    </w:p>
    <w:p>
      <w:pPr>
        <w:pStyle w:val="BodyText"/>
        <w:spacing w:line="240" w:lineRule="auto" w:before="56"/>
        <w:ind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000" w:bottom="280" w:left="1580" w:right="1040"/>
          <w:cols w:num="2" w:equalWidth="0">
            <w:col w:w="5866" w:space="601"/>
            <w:col w:w="2823"/>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083"/>
        <w:gridCol w:w="2288"/>
        <w:gridCol w:w="2324"/>
        <w:gridCol w:w="2355"/>
      </w:tblGrid>
      <w:tr>
        <w:trPr>
          <w:trHeight w:val="295"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823"/>
              <w:jc w:val="right"/>
              <w:rPr>
                <w:rFonts w:ascii="宋体" w:hAnsi="宋体" w:cs="宋体" w:eastAsia="宋体" w:hint="default"/>
                <w:sz w:val="21"/>
                <w:szCs w:val="21"/>
              </w:rPr>
            </w:pPr>
            <w:r>
              <w:rPr>
                <w:rFonts w:ascii="宋体" w:hAnsi="宋体" w:cs="宋体" w:eastAsia="宋体" w:hint="default"/>
                <w:sz w:val="21"/>
                <w:szCs w:val="21"/>
              </w:rPr>
              <w:t>年份</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18" w:right="0"/>
              <w:jc w:val="left"/>
              <w:rPr>
                <w:rFonts w:ascii="宋体" w:hAnsi="宋体" w:cs="宋体" w:eastAsia="宋体" w:hint="default"/>
                <w:sz w:val="21"/>
                <w:szCs w:val="21"/>
              </w:rPr>
            </w:pPr>
            <w:r>
              <w:rPr>
                <w:rFonts w:ascii="宋体" w:hAnsi="宋体" w:cs="宋体" w:eastAsia="宋体" w:hint="default"/>
                <w:sz w:val="21"/>
                <w:szCs w:val="21"/>
              </w:rPr>
              <w:t>期末金额</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37" w:right="0"/>
              <w:jc w:val="left"/>
              <w:rPr>
                <w:rFonts w:ascii="宋体" w:hAnsi="宋体" w:cs="宋体" w:eastAsia="宋体" w:hint="default"/>
                <w:sz w:val="21"/>
                <w:szCs w:val="21"/>
              </w:rPr>
            </w:pPr>
            <w:r>
              <w:rPr>
                <w:rFonts w:ascii="宋体" w:hAnsi="宋体" w:cs="宋体" w:eastAsia="宋体" w:hint="default"/>
                <w:sz w:val="21"/>
                <w:szCs w:val="21"/>
              </w:rPr>
              <w:t>期初金额</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283"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8,290.98</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3,208,049.13</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973,815.40</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5,767,153.95</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2021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1,562,734.59</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3,725,712.73</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2022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2,757,130.16</w:t>
            </w:r>
          </w:p>
        </w:tc>
        <w:tc>
          <w:tcPr>
            <w:tcW w:w="2324"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823"/>
              <w:jc w:val="right"/>
              <w:rPr>
                <w:rFonts w:ascii="宋体" w:hAnsi="宋体" w:cs="宋体" w:eastAsia="宋体" w:hint="default"/>
                <w:sz w:val="21"/>
                <w:szCs w:val="21"/>
              </w:rPr>
            </w:pPr>
            <w:r>
              <w:rPr>
                <w:rFonts w:ascii="宋体" w:hAnsi="宋体" w:cs="宋体" w:eastAsia="宋体" w:hint="default"/>
                <w:sz w:val="21"/>
                <w:szCs w:val="21"/>
              </w:rPr>
              <w:t>合计</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5,293,680.15</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12,709,206.79</w:t>
            </w:r>
          </w:p>
        </w:tc>
        <w:tc>
          <w:tcPr>
            <w:tcW w:w="235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74" w:lineRule="exact" w:before="36"/>
        <w:ind w:right="2757"/>
        <w:jc w:val="left"/>
      </w:pPr>
      <w:r>
        <w:rPr/>
        <w:t>其他说明：</w:t>
      </w:r>
    </w:p>
    <w:p>
      <w:pPr>
        <w:pStyle w:val="BodyText"/>
        <w:spacing w:line="274" w:lineRule="exact"/>
        <w:ind w:right="2757"/>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000" w:bottom="280" w:left="1580" w:right="1040"/>
        </w:sectPr>
      </w:pPr>
    </w:p>
    <w:p>
      <w:pPr>
        <w:pStyle w:val="Heading3"/>
        <w:spacing w:line="240" w:lineRule="auto" w:before="36"/>
        <w:ind w:right="-18"/>
        <w:jc w:val="left"/>
        <w:rPr>
          <w:b w:val="0"/>
          <w:bCs w:val="0"/>
        </w:rPr>
      </w:pPr>
      <w:r>
        <w:rPr>
          <w:rFonts w:ascii="宋体" w:hAnsi="宋体" w:cs="宋体" w:eastAsia="宋体" w:hint="default"/>
        </w:rPr>
        <w:t>30</w:t>
      </w:r>
      <w:r>
        <w:rPr/>
        <w:t>、</w:t>
      </w:r>
      <w:r>
        <w:rPr>
          <w:spacing w:val="-24"/>
        </w:rPr>
        <w:t> </w:t>
      </w:r>
      <w:r>
        <w:rPr/>
        <w:t>其他非流动资产</w:t>
      </w:r>
      <w:r>
        <w:rPr>
          <w:b w:val="0"/>
          <w:bCs w:val="0"/>
        </w:rPr>
      </w:r>
    </w:p>
    <w:p>
      <w:pPr>
        <w:pStyle w:val="BodyText"/>
        <w:spacing w:line="240" w:lineRule="auto" w:before="56"/>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000" w:bottom="280" w:left="1580" w:right="1040"/>
          <w:cols w:num="2" w:equalWidth="0">
            <w:col w:w="2201" w:space="4321"/>
            <w:col w:w="2768"/>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816"/>
        <w:gridCol w:w="3080"/>
        <w:gridCol w:w="3001"/>
      </w:tblGrid>
      <w:tr>
        <w:trPr>
          <w:trHeight w:val="283"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90"/>
              <w:jc w:val="right"/>
              <w:rPr>
                <w:rFonts w:ascii="宋体" w:hAnsi="宋体" w:cs="宋体" w:eastAsia="宋体" w:hint="default"/>
                <w:sz w:val="21"/>
                <w:szCs w:val="21"/>
              </w:rPr>
            </w:pPr>
            <w:r>
              <w:rPr>
                <w:rFonts w:ascii="宋体" w:hAnsi="宋体" w:cs="宋体" w:eastAsia="宋体" w:hint="default"/>
                <w:sz w:val="21"/>
                <w:szCs w:val="21"/>
              </w:rPr>
              <w:t>项目</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预付房屋款</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53,751,050.57</w:t>
            </w:r>
          </w:p>
        </w:tc>
        <w:tc>
          <w:tcPr>
            <w:tcW w:w="300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90"/>
              <w:jc w:val="right"/>
              <w:rPr>
                <w:rFonts w:ascii="宋体" w:hAnsi="宋体" w:cs="宋体" w:eastAsia="宋体" w:hint="default"/>
                <w:sz w:val="21"/>
                <w:szCs w:val="21"/>
              </w:rPr>
            </w:pPr>
            <w:r>
              <w:rPr>
                <w:rFonts w:ascii="宋体" w:hAnsi="宋体" w:cs="宋体" w:eastAsia="宋体" w:hint="default"/>
                <w:sz w:val="21"/>
                <w:szCs w:val="21"/>
              </w:rPr>
              <w:t>合计</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53,751,050.57</w:t>
            </w:r>
          </w:p>
        </w:tc>
        <w:tc>
          <w:tcPr>
            <w:tcW w:w="300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exact"/>
        <w:ind w:right="2757"/>
        <w:jc w:val="left"/>
      </w:pPr>
      <w:r>
        <w:rPr/>
        <w:t>其他说明：</w:t>
      </w:r>
    </w:p>
    <w:p>
      <w:pPr>
        <w:pStyle w:val="BodyText"/>
        <w:spacing w:line="237" w:lineRule="auto" w:before="2"/>
        <w:ind w:right="228" w:firstLine="419"/>
        <w:jc w:val="both"/>
      </w:pPr>
      <w:r>
        <w:rPr>
          <w:spacing w:val="-2"/>
        </w:rPr>
        <w:t>公司与福州软件园产业基地开发有限公司签署《福州软件园研发楼转让合同》，购买福州软</w:t>
      </w:r>
      <w:r>
        <w:rPr>
          <w:w w:val="100"/>
        </w:rPr>
        <w:t> </w:t>
      </w:r>
      <w:r>
        <w:rPr/>
        <w:t>件大道</w:t>
      </w:r>
      <w:r>
        <w:rPr>
          <w:spacing w:val="9"/>
        </w:rPr>
        <w:t> </w:t>
      </w:r>
      <w:r>
        <w:rPr>
          <w:rFonts w:ascii="宋体" w:hAnsi="宋体" w:cs="宋体" w:eastAsia="宋体" w:hint="default"/>
        </w:rPr>
        <w:t>89</w:t>
      </w:r>
      <w:r>
        <w:rPr>
          <w:rFonts w:ascii="宋体" w:hAnsi="宋体" w:cs="宋体" w:eastAsia="宋体" w:hint="default"/>
          <w:spacing w:val="9"/>
        </w:rPr>
        <w:t> </w:t>
      </w:r>
      <w:r>
        <w:rPr/>
        <w:t>号软件园</w:t>
      </w:r>
      <w:r>
        <w:rPr>
          <w:spacing w:val="9"/>
        </w:rPr>
        <w:t> </w:t>
      </w:r>
      <w:r>
        <w:rPr>
          <w:rFonts w:ascii="宋体" w:hAnsi="宋体" w:cs="宋体" w:eastAsia="宋体" w:hint="default"/>
        </w:rPr>
        <w:t>G</w:t>
      </w:r>
      <w:r>
        <w:rPr>
          <w:rFonts w:ascii="宋体" w:hAnsi="宋体" w:cs="宋体" w:eastAsia="宋体" w:hint="default"/>
          <w:spacing w:val="9"/>
        </w:rPr>
        <w:t> </w:t>
      </w:r>
      <w:r>
        <w:rPr/>
        <w:t>区</w:t>
      </w:r>
      <w:r>
        <w:rPr>
          <w:spacing w:val="9"/>
        </w:rPr>
        <w:t> </w:t>
      </w:r>
      <w:r>
        <w:rPr>
          <w:rFonts w:ascii="宋体" w:hAnsi="宋体" w:cs="宋体" w:eastAsia="宋体" w:hint="default"/>
          <w:spacing w:val="-16"/>
        </w:rPr>
        <w:t>8</w:t>
      </w:r>
      <w:r>
        <w:rPr>
          <w:spacing w:val="-16"/>
        </w:rPr>
        <w:t>、</w:t>
      </w:r>
      <w:r>
        <w:rPr>
          <w:rFonts w:ascii="宋体" w:hAnsi="宋体" w:cs="宋体" w:eastAsia="宋体" w:hint="default"/>
          <w:spacing w:val="-16"/>
        </w:rPr>
        <w:t>9</w:t>
      </w:r>
      <w:r>
        <w:rPr>
          <w:rFonts w:ascii="宋体" w:hAnsi="宋体" w:cs="宋体" w:eastAsia="宋体" w:hint="default"/>
          <w:spacing w:val="9"/>
        </w:rPr>
        <w:t> </w:t>
      </w:r>
      <w:r>
        <w:rPr>
          <w:spacing w:val="-4"/>
        </w:rPr>
        <w:t>号楼（闽侯县荆溪镇永丰村文山里福州软件园动漫游戏产业基地</w:t>
      </w:r>
      <w:r>
        <w:rPr>
          <w:spacing w:val="-103"/>
        </w:rPr>
        <w:t> </w:t>
      </w:r>
      <w:r>
        <w:rPr>
          <w:spacing w:val="-103"/>
        </w:rPr>
      </w:r>
      <w:r>
        <w:rPr/>
        <w:t>二期 </w:t>
      </w:r>
      <w:r>
        <w:rPr>
          <w:rFonts w:ascii="宋体" w:hAnsi="宋体" w:cs="宋体" w:eastAsia="宋体" w:hint="default"/>
        </w:rPr>
        <w:t>D1</w:t>
      </w:r>
      <w:r>
        <w:rPr/>
        <w:t>、</w:t>
      </w:r>
      <w:r>
        <w:rPr>
          <w:rFonts w:ascii="宋体" w:hAnsi="宋体" w:cs="宋体" w:eastAsia="宋体" w:hint="default"/>
        </w:rPr>
        <w:t>D2</w:t>
      </w:r>
      <w:r>
        <w:rPr>
          <w:rFonts w:ascii="宋体" w:hAnsi="宋体" w:cs="宋体" w:eastAsia="宋体" w:hint="default"/>
          <w:spacing w:val="-2"/>
        </w:rPr>
        <w:t> </w:t>
      </w:r>
      <w:r>
        <w:rPr/>
        <w:t>楼）。上述房产截至期末交接手尚未办理完毕。</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3"/>
        <w:spacing w:line="240" w:lineRule="auto"/>
        <w:ind w:right="2757"/>
        <w:jc w:val="left"/>
        <w:rPr>
          <w:b w:val="0"/>
          <w:bCs w:val="0"/>
        </w:rPr>
      </w:pPr>
      <w:r>
        <w:rPr>
          <w:rFonts w:ascii="宋体" w:hAnsi="宋体" w:cs="宋体" w:eastAsia="宋体" w:hint="default"/>
        </w:rPr>
        <w:t>31</w:t>
      </w:r>
      <w:r>
        <w:rPr/>
        <w:t>、</w:t>
      </w:r>
      <w:r>
        <w:rPr>
          <w:spacing w:val="-25"/>
        </w:rPr>
        <w:t> </w:t>
      </w:r>
      <w:r>
        <w:rPr/>
        <w:t>短期借款</w:t>
      </w:r>
      <w:r>
        <w:rPr>
          <w:b w:val="0"/>
          <w:bCs w:val="0"/>
        </w:rPr>
      </w:r>
    </w:p>
    <w:p>
      <w:pPr>
        <w:pStyle w:val="Heading3"/>
        <w:tabs>
          <w:tab w:pos="849" w:val="left" w:leader="none"/>
        </w:tabs>
        <w:spacing w:line="240" w:lineRule="auto" w:before="56"/>
        <w:ind w:right="2757"/>
        <w:jc w:val="left"/>
        <w:rPr>
          <w:b w:val="0"/>
          <w:bCs w:val="0"/>
        </w:rPr>
      </w:pPr>
      <w:r>
        <w:rPr>
          <w:rFonts w:ascii="宋体" w:hAnsi="宋体" w:cs="宋体" w:eastAsia="宋体" w:hint="default"/>
          <w:w w:val="95"/>
        </w:rPr>
        <w:t>(1).</w:t>
        <w:tab/>
      </w:r>
      <w:r>
        <w:rPr/>
        <w:t>短期借款分类</w:t>
      </w:r>
      <w:r>
        <w:rPr>
          <w:b w:val="0"/>
          <w:bCs w:val="0"/>
        </w:rPr>
      </w:r>
    </w:p>
    <w:p>
      <w:pPr>
        <w:pStyle w:val="BodyText"/>
        <w:spacing w:line="240" w:lineRule="auto" w:before="58"/>
        <w:ind w:right="2757"/>
        <w:jc w:val="left"/>
      </w:pPr>
      <w:r>
        <w:rPr/>
        <w:t>□适用</w:t>
      </w:r>
      <w:r>
        <w:rPr>
          <w:spacing w:val="-1"/>
        </w:rPr>
        <w:t> </w:t>
      </w:r>
      <w:r>
        <w:rPr/>
        <w:t>√不适用</w:t>
      </w:r>
    </w:p>
    <w:p>
      <w:pPr>
        <w:spacing w:after="0" w:line="240" w:lineRule="auto"/>
        <w:jc w:val="left"/>
        <w:sectPr>
          <w:type w:val="continuous"/>
          <w:pgSz w:w="11910" w:h="16840"/>
          <w:pgMar w:top="1000" w:bottom="280" w:left="1580" w:right="1040"/>
        </w:sectPr>
      </w:pPr>
    </w:p>
    <w:p>
      <w:pPr>
        <w:spacing w:line="240" w:lineRule="auto" w:before="4"/>
        <w:rPr>
          <w:rFonts w:ascii="宋体" w:hAnsi="宋体" w:cs="宋体" w:eastAsia="宋体" w:hint="default"/>
          <w:sz w:val="9"/>
          <w:szCs w:val="9"/>
        </w:rPr>
      </w:pPr>
    </w:p>
    <w:p>
      <w:pPr>
        <w:pStyle w:val="Heading3"/>
        <w:tabs>
          <w:tab w:pos="849" w:val="left" w:leader="none"/>
        </w:tabs>
        <w:spacing w:line="240" w:lineRule="auto" w:before="36"/>
        <w:ind w:right="2757"/>
        <w:jc w:val="left"/>
        <w:rPr>
          <w:b w:val="0"/>
          <w:bCs w:val="0"/>
        </w:rPr>
      </w:pPr>
      <w:r>
        <w:rPr>
          <w:rFonts w:ascii="宋体" w:hAnsi="宋体" w:cs="宋体" w:eastAsia="宋体" w:hint="default"/>
          <w:w w:val="95"/>
        </w:rPr>
        <w:t>(2).</w:t>
        <w:tab/>
      </w:r>
      <w:r>
        <w:rPr/>
        <w:t>已逾期未偿还的短期借款情况</w:t>
      </w:r>
      <w:r>
        <w:rPr>
          <w:b w:val="0"/>
          <w:bCs w:val="0"/>
        </w:rPr>
      </w:r>
    </w:p>
    <w:p>
      <w:pPr>
        <w:pStyle w:val="BodyText"/>
        <w:spacing w:line="240" w:lineRule="auto" w:before="58"/>
        <w:ind w:right="2757"/>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3" w:lineRule="exact"/>
        <w:ind w:right="2757"/>
        <w:jc w:val="left"/>
      </w:pPr>
      <w:r>
        <w:rPr/>
        <w:t>其中重要的已逾期未偿还的短期借款情况如下：</w:t>
      </w:r>
    </w:p>
    <w:p>
      <w:pPr>
        <w:pStyle w:val="BodyText"/>
        <w:spacing w:line="240" w:lineRule="auto"/>
        <w:ind w:right="7474"/>
        <w:jc w:val="left"/>
      </w:pPr>
      <w:r>
        <w:rPr/>
        <w:t>□适用</w:t>
      </w:r>
      <w:r>
        <w:rPr>
          <w:spacing w:val="-1"/>
        </w:rPr>
        <w:t> </w:t>
      </w:r>
      <w:r>
        <w:rPr/>
        <w:t>√不适用</w:t>
      </w:r>
      <w:r>
        <w:rPr>
          <w:w w:val="100"/>
        </w:rPr>
        <w:t> </w:t>
      </w:r>
      <w:r>
        <w:rPr/>
        <w:t>其他说明</w:t>
      </w:r>
    </w:p>
    <w:p>
      <w:pPr>
        <w:pStyle w:val="BodyText"/>
        <w:spacing w:line="271" w:lineRule="exact"/>
        <w:ind w:right="2757"/>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3"/>
        <w:spacing w:line="240" w:lineRule="auto"/>
        <w:ind w:right="2757"/>
        <w:jc w:val="left"/>
        <w:rPr>
          <w:b w:val="0"/>
          <w:bCs w:val="0"/>
        </w:rPr>
      </w:pPr>
      <w:r>
        <w:rPr>
          <w:rFonts w:ascii="宋体" w:hAnsi="宋体" w:cs="宋体" w:eastAsia="宋体" w:hint="default"/>
        </w:rPr>
        <w:t>32</w:t>
      </w:r>
      <w:r>
        <w:rPr/>
        <w:t>、</w:t>
      </w:r>
      <w:r>
        <w:rPr>
          <w:spacing w:val="-27"/>
        </w:rPr>
        <w:t> </w:t>
      </w:r>
      <w:r>
        <w:rPr/>
        <w:t>以公允价值计量且其变动计入当期损益的金融负债</w:t>
      </w:r>
      <w:r>
        <w:rPr>
          <w:b w:val="0"/>
          <w:bCs w:val="0"/>
        </w:rPr>
      </w:r>
    </w:p>
    <w:p>
      <w:pPr>
        <w:pStyle w:val="BodyText"/>
        <w:spacing w:line="240" w:lineRule="auto" w:before="58"/>
        <w:ind w:right="2757"/>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3"/>
        <w:spacing w:line="240" w:lineRule="auto"/>
        <w:ind w:right="2757"/>
        <w:jc w:val="left"/>
        <w:rPr>
          <w:b w:val="0"/>
          <w:bCs w:val="0"/>
        </w:rPr>
      </w:pPr>
      <w:r>
        <w:rPr>
          <w:rFonts w:ascii="宋体" w:hAnsi="宋体" w:cs="宋体" w:eastAsia="宋体" w:hint="default"/>
        </w:rPr>
        <w:t>33</w:t>
      </w:r>
      <w:r>
        <w:rPr/>
        <w:t>、</w:t>
      </w:r>
      <w:r>
        <w:rPr>
          <w:spacing w:val="-24"/>
        </w:rPr>
        <w:t> </w:t>
      </w:r>
      <w:r>
        <w:rPr/>
        <w:t>衍生金融负债</w:t>
      </w:r>
      <w:r>
        <w:rPr>
          <w:b w:val="0"/>
          <w:bCs w:val="0"/>
        </w:rPr>
      </w:r>
    </w:p>
    <w:p>
      <w:pPr>
        <w:pStyle w:val="BodyText"/>
        <w:spacing w:line="240" w:lineRule="auto" w:before="58"/>
        <w:ind w:right="2757"/>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3"/>
        <w:spacing w:line="240" w:lineRule="auto"/>
        <w:ind w:right="2757"/>
        <w:jc w:val="left"/>
        <w:rPr>
          <w:b w:val="0"/>
          <w:bCs w:val="0"/>
        </w:rPr>
      </w:pPr>
      <w:r>
        <w:rPr>
          <w:rFonts w:ascii="宋体" w:hAnsi="宋体" w:cs="宋体" w:eastAsia="宋体" w:hint="default"/>
        </w:rPr>
        <w:t>34</w:t>
      </w:r>
      <w:r>
        <w:rPr/>
        <w:t>、</w:t>
      </w:r>
      <w:r>
        <w:rPr>
          <w:spacing w:val="-25"/>
        </w:rPr>
        <w:t> </w:t>
      </w:r>
      <w:r>
        <w:rPr/>
        <w:t>应付票据</w:t>
      </w:r>
      <w:r>
        <w:rPr>
          <w:b w:val="0"/>
          <w:bCs w:val="0"/>
        </w:rPr>
      </w:r>
    </w:p>
    <w:p>
      <w:pPr>
        <w:pStyle w:val="BodyText"/>
        <w:spacing w:line="240" w:lineRule="auto" w:before="58"/>
        <w:ind w:right="2757"/>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0" w:footer="1195" w:top="1320" w:bottom="1380" w:left="1580" w:right="1040"/>
        </w:sectPr>
      </w:pPr>
    </w:p>
    <w:p>
      <w:pPr>
        <w:pStyle w:val="Heading3"/>
        <w:spacing w:line="240" w:lineRule="auto" w:before="36"/>
        <w:ind w:right="-19"/>
        <w:jc w:val="left"/>
        <w:rPr>
          <w:b w:val="0"/>
          <w:bCs w:val="0"/>
        </w:rPr>
      </w:pPr>
      <w:r>
        <w:rPr>
          <w:rFonts w:ascii="宋体" w:hAnsi="宋体" w:cs="宋体" w:eastAsia="宋体" w:hint="default"/>
        </w:rPr>
        <w:t>35</w:t>
      </w:r>
      <w:r>
        <w:rPr/>
        <w:t>、</w:t>
      </w:r>
      <w:r>
        <w:rPr>
          <w:spacing w:val="-25"/>
        </w:rPr>
        <w:t> </w:t>
      </w:r>
      <w:r>
        <w:rPr/>
        <w:t>应付账款</w:t>
      </w:r>
      <w:r>
        <w:rPr>
          <w:b w:val="0"/>
          <w:bCs w:val="0"/>
        </w:rPr>
      </w:r>
    </w:p>
    <w:p>
      <w:pPr>
        <w:pStyle w:val="Heading3"/>
        <w:spacing w:line="240" w:lineRule="auto" w:before="56"/>
        <w:ind w:right="-19"/>
        <w:jc w:val="left"/>
        <w:rPr>
          <w:b w:val="0"/>
          <w:bCs w:val="0"/>
        </w:rPr>
      </w:pPr>
      <w:r>
        <w:rPr>
          <w:rFonts w:ascii="宋体" w:hAnsi="宋体" w:cs="宋体" w:eastAsia="宋体" w:hint="default"/>
        </w:rPr>
        <w:t>(1).</w:t>
      </w:r>
      <w:r>
        <w:rPr>
          <w:rFonts w:ascii="宋体" w:hAnsi="宋体" w:cs="宋体" w:eastAsia="宋体" w:hint="default"/>
          <w:spacing w:val="60"/>
        </w:rPr>
        <w:t> </w:t>
      </w:r>
      <w:r>
        <w:rPr/>
        <w:t>应付账款列示</w:t>
      </w:r>
      <w:r>
        <w:rPr>
          <w:b w:val="0"/>
          <w:bCs w:val="0"/>
        </w:rPr>
      </w:r>
    </w:p>
    <w:p>
      <w:pPr>
        <w:pStyle w:val="BodyText"/>
        <w:spacing w:line="240" w:lineRule="auto" w:before="59"/>
        <w:ind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000" w:bottom="280" w:left="1580" w:right="1040"/>
          <w:cols w:num="2" w:equalWidth="0">
            <w:col w:w="2074" w:space="4448"/>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42"/>
        <w:gridCol w:w="2866"/>
        <w:gridCol w:w="3341"/>
      </w:tblGrid>
      <w:tr>
        <w:trPr>
          <w:trHeight w:val="281"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03"/>
              <w:jc w:val="right"/>
              <w:rPr>
                <w:rFonts w:ascii="宋体" w:hAnsi="宋体" w:cs="宋体" w:eastAsia="宋体" w:hint="default"/>
                <w:sz w:val="21"/>
                <w:szCs w:val="21"/>
              </w:rPr>
            </w:pPr>
            <w:r>
              <w:rPr>
                <w:rFonts w:ascii="宋体" w:hAnsi="宋体" w:cs="宋体" w:eastAsia="宋体" w:hint="default"/>
                <w:sz w:val="21"/>
                <w:szCs w:val="21"/>
              </w:rPr>
              <w:t>项目</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货款</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1,103,508.23</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583,866.82</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03"/>
              <w:jc w:val="right"/>
              <w:rPr>
                <w:rFonts w:ascii="宋体" w:hAnsi="宋体" w:cs="宋体" w:eastAsia="宋体" w:hint="default"/>
                <w:sz w:val="21"/>
                <w:szCs w:val="21"/>
              </w:rPr>
            </w:pPr>
            <w:r>
              <w:rPr>
                <w:rFonts w:ascii="宋体" w:hAnsi="宋体" w:cs="宋体" w:eastAsia="宋体" w:hint="default"/>
                <w:sz w:val="21"/>
                <w:szCs w:val="21"/>
              </w:rPr>
              <w:t>合计</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1,103,508.23</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583,866.82</w:t>
            </w:r>
          </w:p>
        </w:tc>
      </w:tr>
    </w:tbl>
    <w:p>
      <w:pPr>
        <w:spacing w:line="240" w:lineRule="auto" w:before="12"/>
        <w:rPr>
          <w:rFonts w:ascii="宋体" w:hAnsi="宋体" w:cs="宋体" w:eastAsia="宋体" w:hint="default"/>
          <w:sz w:val="19"/>
          <w:szCs w:val="19"/>
        </w:rPr>
      </w:pPr>
    </w:p>
    <w:p>
      <w:pPr>
        <w:pStyle w:val="Heading3"/>
        <w:spacing w:line="240" w:lineRule="auto" w:before="36"/>
        <w:ind w:right="2757"/>
        <w:jc w:val="left"/>
        <w:rPr>
          <w:b w:val="0"/>
          <w:bCs w:val="0"/>
        </w:rPr>
      </w:pPr>
      <w:r>
        <w:rPr>
          <w:rFonts w:ascii="宋体" w:hAnsi="宋体" w:cs="宋体" w:eastAsia="宋体" w:hint="default"/>
        </w:rPr>
        <w:t>(2). </w:t>
      </w:r>
      <w:r>
        <w:rPr/>
        <w:t>账龄超过 </w:t>
      </w:r>
      <w:r>
        <w:rPr>
          <w:rFonts w:ascii="Cambria" w:hAnsi="Cambria" w:cs="Cambria" w:eastAsia="Cambria" w:hint="default"/>
        </w:rPr>
        <w:t>1</w:t>
      </w:r>
      <w:r>
        <w:rPr>
          <w:rFonts w:ascii="Cambria" w:hAnsi="Cambria" w:cs="Cambria" w:eastAsia="Cambria" w:hint="default"/>
          <w:spacing w:val="9"/>
        </w:rPr>
        <w:t> </w:t>
      </w:r>
      <w:r>
        <w:rPr/>
        <w:t>年的重要应付账款</w:t>
      </w:r>
      <w:r>
        <w:rPr>
          <w:b w:val="0"/>
          <w:bCs w:val="0"/>
        </w:rPr>
      </w:r>
    </w:p>
    <w:p>
      <w:pPr>
        <w:pStyle w:val="BodyText"/>
        <w:spacing w:line="272" w:lineRule="exact" w:before="69"/>
        <w:ind w:right="7474"/>
        <w:jc w:val="left"/>
      </w:pPr>
      <w:r>
        <w:rPr/>
        <w:t>□适用</w:t>
      </w:r>
      <w:r>
        <w:rPr>
          <w:spacing w:val="-1"/>
        </w:rPr>
        <w:t> </w:t>
      </w:r>
      <w:r>
        <w:rPr/>
        <w:t>√不适用</w:t>
      </w:r>
      <w:r>
        <w:rPr>
          <w:w w:val="100"/>
        </w:rPr>
        <w:t> </w:t>
      </w:r>
      <w:r>
        <w:rPr/>
        <w:t>其他说明</w:t>
      </w:r>
    </w:p>
    <w:p>
      <w:pPr>
        <w:pStyle w:val="BodyText"/>
        <w:spacing w:line="249" w:lineRule="exact"/>
        <w:ind w:right="2757"/>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000" w:bottom="280" w:left="1580" w:right="1040"/>
        </w:sectPr>
      </w:pPr>
    </w:p>
    <w:p>
      <w:pPr>
        <w:pStyle w:val="Heading3"/>
        <w:spacing w:line="240" w:lineRule="auto" w:before="36"/>
        <w:ind w:right="-19"/>
        <w:jc w:val="left"/>
        <w:rPr>
          <w:b w:val="0"/>
          <w:bCs w:val="0"/>
        </w:rPr>
      </w:pPr>
      <w:r>
        <w:rPr>
          <w:rFonts w:ascii="宋体" w:hAnsi="宋体" w:cs="宋体" w:eastAsia="宋体" w:hint="default"/>
        </w:rPr>
        <w:t>36</w:t>
      </w:r>
      <w:r>
        <w:rPr/>
        <w:t>、</w:t>
      </w:r>
      <w:r>
        <w:rPr>
          <w:spacing w:val="-25"/>
        </w:rPr>
        <w:t> </w:t>
      </w:r>
      <w:r>
        <w:rPr/>
        <w:t>预收款项</w:t>
      </w:r>
      <w:r>
        <w:rPr>
          <w:b w:val="0"/>
          <w:bCs w:val="0"/>
        </w:rPr>
      </w:r>
    </w:p>
    <w:p>
      <w:pPr>
        <w:pStyle w:val="Heading3"/>
        <w:spacing w:line="240" w:lineRule="auto" w:before="56"/>
        <w:ind w:right="-19"/>
        <w:jc w:val="left"/>
        <w:rPr>
          <w:b w:val="0"/>
          <w:bCs w:val="0"/>
        </w:rPr>
      </w:pPr>
      <w:r>
        <w:rPr>
          <w:rFonts w:ascii="宋体" w:hAnsi="宋体" w:cs="宋体" w:eastAsia="宋体" w:hint="default"/>
        </w:rPr>
        <w:t>(1). </w:t>
      </w:r>
      <w:r>
        <w:rPr/>
        <w:t>预收账款项列示</w:t>
      </w:r>
      <w:r>
        <w:rPr>
          <w:b w:val="0"/>
          <w:bCs w:val="0"/>
        </w:rPr>
      </w:r>
    </w:p>
    <w:p>
      <w:pPr>
        <w:pStyle w:val="BodyText"/>
        <w:spacing w:line="240" w:lineRule="auto" w:before="58"/>
        <w:ind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000" w:bottom="280" w:left="1580" w:right="1040"/>
          <w:cols w:num="2" w:equalWidth="0">
            <w:col w:w="2225" w:space="4297"/>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0"/>
        <w:gridCol w:w="3077"/>
        <w:gridCol w:w="3073"/>
      </w:tblGrid>
      <w:tr>
        <w:trPr>
          <w:trHeight w:val="281"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32"/>
              <w:jc w:val="right"/>
              <w:rPr>
                <w:rFonts w:ascii="宋体" w:hAnsi="宋体" w:cs="宋体" w:eastAsia="宋体" w:hint="default"/>
                <w:sz w:val="21"/>
                <w:szCs w:val="21"/>
              </w:rPr>
            </w:pPr>
            <w:r>
              <w:rPr>
                <w:rFonts w:ascii="宋体" w:hAnsi="宋体" w:cs="宋体" w:eastAsia="宋体" w:hint="default"/>
                <w:sz w:val="21"/>
                <w:szCs w:val="21"/>
              </w:rPr>
              <w:t>项目</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货款</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146,986,314.76</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126,413,346.99</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32"/>
              <w:jc w:val="right"/>
              <w:rPr>
                <w:rFonts w:ascii="宋体" w:hAnsi="宋体" w:cs="宋体" w:eastAsia="宋体" w:hint="default"/>
                <w:sz w:val="21"/>
                <w:szCs w:val="21"/>
              </w:rPr>
            </w:pPr>
            <w:r>
              <w:rPr>
                <w:rFonts w:ascii="宋体" w:hAnsi="宋体" w:cs="宋体" w:eastAsia="宋体" w:hint="default"/>
                <w:sz w:val="21"/>
                <w:szCs w:val="21"/>
              </w:rPr>
              <w:t>合计</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146,986,314.76</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126,413,346.99</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000" w:bottom="280" w:left="1580" w:right="1040"/>
        </w:sectPr>
      </w:pPr>
    </w:p>
    <w:p>
      <w:pPr>
        <w:pStyle w:val="Heading3"/>
        <w:spacing w:line="240" w:lineRule="auto" w:before="36"/>
        <w:ind w:right="-16"/>
        <w:jc w:val="left"/>
        <w:rPr>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4"/>
        </w:rPr>
        <w:t> </w:t>
      </w:r>
      <w:r>
        <w:rPr>
          <w:rFonts w:ascii="Cambria" w:hAnsi="Cambria" w:cs="Cambria" w:eastAsia="Cambria" w:hint="default"/>
        </w:rPr>
        <w:t>1</w:t>
      </w:r>
      <w:r>
        <w:rPr>
          <w:rFonts w:ascii="Cambria" w:hAnsi="Cambria" w:cs="Cambria" w:eastAsia="Cambria" w:hint="default"/>
          <w:spacing w:val="3"/>
        </w:rPr>
        <w:t> </w:t>
      </w:r>
      <w:r>
        <w:rPr/>
        <w:t>年的重要预收款项</w:t>
      </w:r>
      <w:r>
        <w:rPr>
          <w:b w:val="0"/>
          <w:bCs w:val="0"/>
        </w:rPr>
      </w:r>
    </w:p>
    <w:p>
      <w:pPr>
        <w:pStyle w:val="BodyText"/>
        <w:spacing w:line="240" w:lineRule="auto" w:before="41"/>
        <w:ind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000" w:bottom="280" w:left="1580" w:right="1040"/>
          <w:cols w:num="2" w:equalWidth="0">
            <w:col w:w="3507" w:space="3015"/>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89"/>
        <w:gridCol w:w="3012"/>
        <w:gridCol w:w="3049"/>
      </w:tblGrid>
      <w:tr>
        <w:trPr>
          <w:trHeight w:val="281"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3" w:right="0"/>
              <w:jc w:val="left"/>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283"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南京交通职业技术学院</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639" w:right="0"/>
              <w:jc w:val="left"/>
              <w:rPr>
                <w:rFonts w:ascii="宋体" w:hAnsi="宋体" w:cs="宋体" w:eastAsia="宋体" w:hint="default"/>
                <w:sz w:val="21"/>
                <w:szCs w:val="21"/>
              </w:rPr>
            </w:pPr>
            <w:r>
              <w:rPr>
                <w:rFonts w:ascii="宋体"/>
                <w:sz w:val="21"/>
              </w:rPr>
              <w:t>4,207,000.00</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项目尚未完成验收结算</w:t>
            </w:r>
          </w:p>
        </w:tc>
      </w:tr>
    </w:tbl>
    <w:p>
      <w:pPr>
        <w:spacing w:after="0" w:line="243" w:lineRule="exact"/>
        <w:jc w:val="left"/>
        <w:rPr>
          <w:rFonts w:ascii="宋体" w:hAnsi="宋体" w:cs="宋体" w:eastAsia="宋体" w:hint="default"/>
          <w:sz w:val="21"/>
          <w:szCs w:val="21"/>
        </w:rPr>
        <w:sectPr>
          <w:type w:val="continuous"/>
          <w:pgSz w:w="11910" w:h="16840"/>
          <w:pgMar w:top="1000" w:bottom="280" w:left="1580" w:right="1040"/>
        </w:sectPr>
      </w:pPr>
    </w:p>
    <w:p>
      <w:pPr>
        <w:spacing w:line="240" w:lineRule="auto" w:before="9"/>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2989"/>
        <w:gridCol w:w="3012"/>
        <w:gridCol w:w="3049"/>
      </w:tblGrid>
      <w:tr>
        <w:trPr>
          <w:trHeight w:val="284"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华鑫证券有限责任公司</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2,825,471.67</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项目尚未完成验收结算</w:t>
            </w:r>
          </w:p>
        </w:tc>
      </w:tr>
      <w:tr>
        <w:trPr>
          <w:trHeight w:val="283"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东吴证券股份有限公司</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2,776,837.60</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项目尚未完成验收结算</w:t>
            </w:r>
          </w:p>
        </w:tc>
      </w:tr>
      <w:tr>
        <w:trPr>
          <w:trHeight w:val="281"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福建省高速公路有限责任公司</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2,297,748.92</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项目尚未完成验收结算</w:t>
            </w:r>
          </w:p>
        </w:tc>
      </w:tr>
      <w:tr>
        <w:trPr>
          <w:trHeight w:val="283"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海通证券股份有限公司</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1,768,395.72</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项目尚未完成验收结算</w:t>
            </w:r>
          </w:p>
        </w:tc>
      </w:tr>
      <w:tr>
        <w:trPr>
          <w:trHeight w:val="283"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13,875,453.91</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3"/>
        <w:spacing w:line="240" w:lineRule="auto" w:before="36"/>
        <w:ind w:right="2757"/>
        <w:jc w:val="left"/>
        <w:rPr>
          <w:b w:val="0"/>
          <w:bCs w:val="0"/>
        </w:rPr>
      </w:pPr>
      <w:r>
        <w:rPr>
          <w:rFonts w:ascii="宋体" w:hAnsi="宋体" w:cs="宋体" w:eastAsia="宋体" w:hint="default"/>
        </w:rPr>
        <w:t>(3).</w:t>
      </w:r>
      <w:r>
        <w:rPr>
          <w:rFonts w:ascii="宋体" w:hAnsi="宋体" w:cs="宋体" w:eastAsia="宋体" w:hint="default"/>
          <w:spacing w:val="-1"/>
        </w:rPr>
        <w:t> </w:t>
      </w:r>
      <w:r>
        <w:rPr/>
        <w:t>期末建造合同形成的已结算未完工项目情况：</w:t>
      </w:r>
      <w:r>
        <w:rPr>
          <w:b w:val="0"/>
          <w:bCs w:val="0"/>
        </w:rPr>
      </w:r>
    </w:p>
    <w:p>
      <w:pPr>
        <w:pStyle w:val="BodyText"/>
        <w:spacing w:line="240" w:lineRule="auto" w:before="56"/>
        <w:ind w:right="7474"/>
        <w:jc w:val="left"/>
      </w:pPr>
      <w:r>
        <w:rPr/>
        <w:t>□适用</w:t>
      </w:r>
      <w:r>
        <w:rPr>
          <w:spacing w:val="-1"/>
        </w:rPr>
        <w:t> </w:t>
      </w:r>
      <w:r>
        <w:rPr/>
        <w:t>√不适用</w:t>
      </w:r>
      <w:r>
        <w:rPr>
          <w:w w:val="100"/>
        </w:rPr>
        <w:t> </w:t>
      </w:r>
      <w:r>
        <w:rPr/>
        <w:t>其他说明</w:t>
      </w:r>
    </w:p>
    <w:p>
      <w:pPr>
        <w:pStyle w:val="BodyText"/>
        <w:spacing w:line="271" w:lineRule="exact"/>
        <w:ind w:right="2757"/>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1195" w:top="1320" w:bottom="1380" w:left="1580" w:right="1040"/>
        </w:sectPr>
      </w:pPr>
    </w:p>
    <w:p>
      <w:pPr>
        <w:pStyle w:val="Heading3"/>
        <w:spacing w:line="290" w:lineRule="auto" w:before="36"/>
        <w:ind w:right="-16"/>
        <w:jc w:val="left"/>
        <w:rPr>
          <w:b w:val="0"/>
          <w:bCs w:val="0"/>
        </w:rPr>
      </w:pPr>
      <w:r>
        <w:rPr>
          <w:rFonts w:ascii="宋体" w:hAnsi="宋体" w:cs="宋体" w:eastAsia="宋体" w:hint="default"/>
        </w:rPr>
        <w:t>37</w:t>
      </w:r>
      <w:r>
        <w:rPr/>
        <w:t>、</w:t>
      </w:r>
      <w:r>
        <w:rPr>
          <w:spacing w:val="-25"/>
        </w:rPr>
        <w:t> </w:t>
      </w:r>
      <w:r>
        <w:rPr/>
        <w:t>应付职工薪酬</w:t>
      </w:r>
      <w:r>
        <w:rPr>
          <w:w w:val="100"/>
        </w:rPr>
        <w:t> </w:t>
      </w:r>
      <w:r>
        <w:rPr>
          <w:rFonts w:ascii="宋体" w:hAnsi="宋体" w:cs="宋体" w:eastAsia="宋体" w:hint="default"/>
        </w:rPr>
        <w:t>(1).</w:t>
      </w:r>
      <w:r>
        <w:rPr/>
        <w:t>应付职工薪酬列示：</w:t>
      </w:r>
      <w:r>
        <w:rPr>
          <w:b w:val="0"/>
          <w:bCs w:val="0"/>
        </w:rPr>
      </w:r>
    </w:p>
    <w:p>
      <w:pPr>
        <w:pStyle w:val="BodyText"/>
        <w:spacing w:line="240" w:lineRule="auto" w:before="12"/>
        <w:ind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000" w:bottom="280" w:left="1580" w:right="1040"/>
          <w:cols w:num="2" w:equalWidth="0">
            <w:col w:w="2544" w:space="3978"/>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093"/>
        <w:gridCol w:w="1702"/>
        <w:gridCol w:w="1700"/>
        <w:gridCol w:w="1935"/>
        <w:gridCol w:w="1620"/>
      </w:tblGrid>
      <w:tr>
        <w:trPr>
          <w:trHeight w:val="283"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一、短期薪酬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14,883,345.00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110,771,667.64</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106,693,862.64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 w:right="0"/>
              <w:jc w:val="center"/>
              <w:rPr>
                <w:rFonts w:ascii="宋体" w:hAnsi="宋体" w:cs="宋体" w:eastAsia="宋体" w:hint="default"/>
                <w:sz w:val="21"/>
                <w:szCs w:val="21"/>
              </w:rPr>
            </w:pPr>
            <w:r>
              <w:rPr>
                <w:rFonts w:ascii="宋体"/>
                <w:sz w:val="21"/>
              </w:rPr>
              <w:t>18,961,150.00</w:t>
            </w:r>
          </w:p>
        </w:tc>
      </w:tr>
      <w:tr>
        <w:trPr>
          <w:trHeight w:val="55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二、离职后福利</w:t>
            </w:r>
            <w:r>
              <w:rPr>
                <w:rFonts w:ascii="宋体" w:hAnsi="宋体" w:cs="宋体" w:eastAsia="宋体" w:hint="default"/>
                <w:sz w:val="21"/>
                <w:szCs w:val="21"/>
              </w:rPr>
              <w:t>-</w:t>
            </w:r>
            <w:r>
              <w:rPr>
                <w:rFonts w:ascii="宋体" w:hAnsi="宋体" w:cs="宋体" w:eastAsia="宋体" w:hint="default"/>
                <w:sz w:val="21"/>
                <w:szCs w:val="21"/>
              </w:rPr>
              <w:t>设</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定提存计划</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7,060,871.61</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7,060,871.61</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三、一年内到期的其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他福利</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935"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14,883,345.00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117,832,539.25</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113,754,734.25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 w:right="0"/>
              <w:jc w:val="center"/>
              <w:rPr>
                <w:rFonts w:ascii="宋体" w:hAnsi="宋体" w:cs="宋体" w:eastAsia="宋体" w:hint="default"/>
                <w:sz w:val="21"/>
                <w:szCs w:val="21"/>
              </w:rPr>
            </w:pPr>
            <w:r>
              <w:rPr>
                <w:rFonts w:ascii="宋体"/>
                <w:sz w:val="21"/>
              </w:rPr>
              <w:t>18,961,150.00</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000" w:bottom="280" w:left="1580" w:right="1040"/>
        </w:sectPr>
      </w:pPr>
    </w:p>
    <w:p>
      <w:pPr>
        <w:pStyle w:val="Heading3"/>
        <w:spacing w:line="240" w:lineRule="auto" w:before="36"/>
        <w:ind w:right="-16"/>
        <w:jc w:val="left"/>
        <w:rPr>
          <w:b w:val="0"/>
          <w:bCs w:val="0"/>
        </w:rPr>
      </w:pPr>
      <w:r>
        <w:rPr>
          <w:rFonts w:ascii="宋体" w:hAnsi="宋体" w:cs="宋体" w:eastAsia="宋体" w:hint="default"/>
        </w:rPr>
        <w:t>(2).</w:t>
      </w:r>
      <w:r>
        <w:rPr/>
        <w:t>短期薪酬列示：</w:t>
      </w:r>
      <w:r>
        <w:rPr>
          <w:b w:val="0"/>
          <w:bCs w:val="0"/>
        </w:rPr>
      </w:r>
    </w:p>
    <w:p>
      <w:pPr>
        <w:pStyle w:val="BodyText"/>
        <w:spacing w:line="240" w:lineRule="auto" w:before="56"/>
        <w:ind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000" w:bottom="280" w:left="1580" w:right="1040"/>
          <w:cols w:num="2" w:equalWidth="0">
            <w:col w:w="2122" w:space="4506"/>
            <w:col w:w="2662"/>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237"/>
        <w:gridCol w:w="1699"/>
        <w:gridCol w:w="1702"/>
        <w:gridCol w:w="1791"/>
        <w:gridCol w:w="1620"/>
      </w:tblGrid>
      <w:tr>
        <w:trPr>
          <w:trHeight w:val="283"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8"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一、工资、奖金、津贴</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和补贴</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0"/>
              <w:jc w:val="center"/>
              <w:rPr>
                <w:rFonts w:ascii="宋体" w:hAnsi="宋体" w:cs="宋体" w:eastAsia="宋体" w:hint="default"/>
                <w:sz w:val="21"/>
                <w:szCs w:val="21"/>
              </w:rPr>
            </w:pPr>
            <w:r>
              <w:rPr>
                <w:rFonts w:ascii="宋体"/>
                <w:sz w:val="21"/>
              </w:rPr>
              <w:t>14,883,345.00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96,864,410.96</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92,786,605.96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 w:right="0"/>
              <w:jc w:val="center"/>
              <w:rPr>
                <w:rFonts w:ascii="宋体" w:hAnsi="宋体" w:cs="宋体" w:eastAsia="宋体" w:hint="default"/>
                <w:sz w:val="21"/>
                <w:szCs w:val="21"/>
              </w:rPr>
            </w:pPr>
            <w:r>
              <w:rPr>
                <w:rFonts w:ascii="宋体"/>
                <w:sz w:val="21"/>
              </w:rPr>
              <w:t>18,961,150.00</w:t>
            </w:r>
          </w:p>
        </w:tc>
      </w:tr>
      <w:tr>
        <w:trPr>
          <w:trHeight w:val="283"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69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5,358,134.84</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5,358,134.84</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69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3,539,374.11</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3,539,374.11</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其中：医疗保险费</w:t>
            </w:r>
          </w:p>
        </w:tc>
        <w:tc>
          <w:tcPr>
            <w:tcW w:w="169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3,200,243.30</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3,200,243.30</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37"/>
              <w:jc w:val="right"/>
              <w:rPr>
                <w:rFonts w:ascii="宋体" w:hAnsi="宋体" w:cs="宋体" w:eastAsia="宋体" w:hint="default"/>
                <w:sz w:val="21"/>
                <w:szCs w:val="21"/>
              </w:rPr>
            </w:pPr>
            <w:r>
              <w:rPr>
                <w:rFonts w:ascii="宋体" w:hAnsi="宋体" w:cs="宋体" w:eastAsia="宋体" w:hint="default"/>
                <w:spacing w:val="-1"/>
                <w:sz w:val="21"/>
                <w:szCs w:val="21"/>
              </w:rPr>
              <w:t>工伤保险费</w:t>
            </w:r>
          </w:p>
        </w:tc>
        <w:tc>
          <w:tcPr>
            <w:tcW w:w="169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111,481.29</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111,481.29</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37"/>
              <w:jc w:val="right"/>
              <w:rPr>
                <w:rFonts w:ascii="宋体" w:hAnsi="宋体" w:cs="宋体" w:eastAsia="宋体" w:hint="default"/>
                <w:sz w:val="21"/>
                <w:szCs w:val="21"/>
              </w:rPr>
            </w:pPr>
            <w:r>
              <w:rPr>
                <w:rFonts w:ascii="宋体" w:hAnsi="宋体" w:cs="宋体" w:eastAsia="宋体" w:hint="default"/>
                <w:spacing w:val="-1"/>
                <w:sz w:val="21"/>
                <w:szCs w:val="21"/>
              </w:rPr>
              <w:t>生育保险费</w:t>
            </w:r>
          </w:p>
        </w:tc>
        <w:tc>
          <w:tcPr>
            <w:tcW w:w="169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227,649.52</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227,649.52</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69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4,756,225.20</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4,756,225.20</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五、工会经费和职工教</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育经费</w:t>
            </w:r>
          </w:p>
        </w:tc>
        <w:tc>
          <w:tcPr>
            <w:tcW w:w="169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253,522.53</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253,522.53</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0"/>
              <w:jc w:val="center"/>
              <w:rPr>
                <w:rFonts w:ascii="宋体" w:hAnsi="宋体" w:cs="宋体" w:eastAsia="宋体" w:hint="default"/>
                <w:sz w:val="21"/>
                <w:szCs w:val="21"/>
              </w:rPr>
            </w:pPr>
            <w:r>
              <w:rPr>
                <w:rFonts w:ascii="宋体"/>
                <w:sz w:val="21"/>
              </w:rPr>
              <w:t>14,883,345.00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110,771,667.64</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106,693,862.64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 w:right="0"/>
              <w:jc w:val="center"/>
              <w:rPr>
                <w:rFonts w:ascii="宋体" w:hAnsi="宋体" w:cs="宋体" w:eastAsia="宋体" w:hint="default"/>
                <w:sz w:val="21"/>
                <w:szCs w:val="21"/>
              </w:rPr>
            </w:pPr>
            <w:r>
              <w:rPr>
                <w:rFonts w:ascii="宋体"/>
                <w:sz w:val="21"/>
              </w:rPr>
              <w:t>18,961,150.00</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000" w:bottom="280" w:left="1580" w:right="1040"/>
        </w:sectPr>
      </w:pPr>
    </w:p>
    <w:p>
      <w:pPr>
        <w:pStyle w:val="Heading3"/>
        <w:spacing w:line="240" w:lineRule="auto" w:before="36"/>
        <w:ind w:right="-16"/>
        <w:jc w:val="left"/>
        <w:rPr>
          <w:b w:val="0"/>
          <w:bCs w:val="0"/>
        </w:rPr>
      </w:pPr>
      <w:r>
        <w:rPr>
          <w:rFonts w:ascii="宋体" w:hAnsi="宋体" w:cs="宋体" w:eastAsia="宋体" w:hint="default"/>
        </w:rPr>
        <w:t>(3).</w:t>
      </w:r>
      <w:r>
        <w:rPr/>
        <w:t>设定提存计划列示</w:t>
      </w:r>
      <w:r>
        <w:rPr>
          <w:b w:val="0"/>
          <w:bCs w:val="0"/>
        </w:rPr>
      </w:r>
    </w:p>
    <w:p>
      <w:pPr>
        <w:pStyle w:val="BodyText"/>
        <w:tabs>
          <w:tab w:pos="1060" w:val="left" w:leader="none"/>
        </w:tabs>
        <w:spacing w:line="240" w:lineRule="auto" w:before="58"/>
        <w:ind w:right="-16"/>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000" w:bottom="280" w:left="1580" w:right="1040"/>
          <w:cols w:num="2" w:equalWidth="0">
            <w:col w:w="2333" w:space="4189"/>
            <w:col w:w="2768"/>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588"/>
        <w:gridCol w:w="1622"/>
        <w:gridCol w:w="1608"/>
        <w:gridCol w:w="1640"/>
        <w:gridCol w:w="1591"/>
      </w:tblGrid>
      <w:tr>
        <w:trPr>
          <w:trHeight w:val="286"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81"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7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9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、基本养老保险</w:t>
            </w:r>
          </w:p>
        </w:tc>
        <w:tc>
          <w:tcPr>
            <w:tcW w:w="1622" w:type="dxa"/>
            <w:tcBorders>
              <w:top w:val="single" w:sz="6" w:space="0" w:color="000000"/>
              <w:left w:val="single" w:sz="6" w:space="0" w:color="000000"/>
              <w:bottom w:val="single" w:sz="4" w:space="0" w:color="000000"/>
              <w:right w:val="single" w:sz="4" w:space="0" w:color="000000"/>
            </w:tcBorders>
          </w:tcPr>
          <w:p>
            <w:pPr/>
          </w:p>
        </w:tc>
        <w:tc>
          <w:tcPr>
            <w:tcW w:w="1608" w:type="dxa"/>
            <w:tcBorders>
              <w:top w:val="single" w:sz="6"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6,856,755.24</w:t>
            </w:r>
          </w:p>
        </w:tc>
        <w:tc>
          <w:tcPr>
            <w:tcW w:w="1640" w:type="dxa"/>
            <w:tcBorders>
              <w:top w:val="single" w:sz="6"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6,856,755.24</w:t>
            </w:r>
          </w:p>
        </w:tc>
        <w:tc>
          <w:tcPr>
            <w:tcW w:w="1591" w:type="dxa"/>
            <w:tcBorders>
              <w:top w:val="single" w:sz="6" w:space="0" w:color="000000"/>
              <w:left w:val="single" w:sz="4" w:space="0" w:color="000000"/>
              <w:bottom w:val="single" w:sz="4" w:space="0" w:color="000000"/>
              <w:right w:val="single" w:sz="4" w:space="0" w:color="000000"/>
            </w:tcBorders>
          </w:tcPr>
          <w:p>
            <w:pPr/>
          </w:p>
        </w:tc>
      </w:tr>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、失业保险费</w:t>
            </w:r>
          </w:p>
        </w:tc>
        <w:tc>
          <w:tcPr>
            <w:tcW w:w="1622" w:type="dxa"/>
            <w:tcBorders>
              <w:top w:val="single" w:sz="4" w:space="0" w:color="000000"/>
              <w:left w:val="single" w:sz="6"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204,116.37</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204,116.37</w:t>
            </w:r>
          </w:p>
        </w:tc>
        <w:tc>
          <w:tcPr>
            <w:tcW w:w="1591"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22" w:type="dxa"/>
            <w:tcBorders>
              <w:top w:val="single" w:sz="4" w:space="0" w:color="000000"/>
              <w:left w:val="single" w:sz="6"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7,060,871.61</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7,060,871.61</w:t>
            </w:r>
          </w:p>
        </w:tc>
        <w:tc>
          <w:tcPr>
            <w:tcW w:w="159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00" w:bottom="2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74" w:lineRule="exact" w:before="179"/>
        <w:ind w:right="2757"/>
        <w:jc w:val="left"/>
      </w:pPr>
      <w:r>
        <w:rPr/>
        <w:t>其他说明：</w:t>
      </w:r>
    </w:p>
    <w:p>
      <w:pPr>
        <w:pStyle w:val="BodyText"/>
        <w:spacing w:line="274" w:lineRule="exact"/>
        <w:ind w:right="2757"/>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1195" w:top="1320" w:bottom="1380" w:left="1580" w:right="1040"/>
        </w:sectPr>
      </w:pPr>
    </w:p>
    <w:p>
      <w:pPr>
        <w:pStyle w:val="Heading3"/>
        <w:spacing w:line="240" w:lineRule="auto" w:before="36"/>
        <w:ind w:right="202"/>
        <w:jc w:val="left"/>
        <w:rPr>
          <w:b w:val="0"/>
          <w:bCs w:val="0"/>
        </w:rPr>
      </w:pPr>
      <w:r>
        <w:rPr>
          <w:rFonts w:ascii="宋体" w:hAnsi="宋体" w:cs="宋体" w:eastAsia="宋体" w:hint="default"/>
        </w:rPr>
        <w:t>38</w:t>
      </w:r>
      <w:r>
        <w:rPr/>
        <w:t>、</w:t>
      </w:r>
      <w:r>
        <w:rPr>
          <w:spacing w:val="-25"/>
        </w:rPr>
        <w:t> </w:t>
      </w:r>
      <w:r>
        <w:rPr/>
        <w:t>应交税费</w:t>
      </w:r>
      <w:r>
        <w:rPr>
          <w:b w:val="0"/>
          <w:bCs w:val="0"/>
        </w:rPr>
      </w:r>
    </w:p>
    <w:p>
      <w:pPr>
        <w:pStyle w:val="BodyText"/>
        <w:tabs>
          <w:tab w:pos="1060" w:val="left" w:leader="none"/>
        </w:tabs>
        <w:spacing w:line="240" w:lineRule="auto" w:before="56"/>
        <w:ind w:right="-12"/>
        <w:jc w:val="left"/>
      </w:pPr>
      <w:r>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000" w:bottom="280" w:left="1580" w:right="1040"/>
          <w:cols w:num="2" w:equalWidth="0">
            <w:col w:w="1901" w:space="4621"/>
            <w:col w:w="2768"/>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981"/>
        <w:gridCol w:w="2955"/>
        <w:gridCol w:w="2960"/>
      </w:tblGrid>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25"/>
              <w:jc w:val="right"/>
              <w:rPr>
                <w:rFonts w:ascii="宋体" w:hAnsi="宋体" w:cs="宋体" w:eastAsia="宋体" w:hint="default"/>
                <w:sz w:val="21"/>
                <w:szCs w:val="21"/>
              </w:rPr>
            </w:pPr>
            <w:r>
              <w:rPr>
                <w:rFonts w:ascii="宋体" w:hAnsi="宋体" w:cs="宋体" w:eastAsia="宋体" w:hint="default"/>
                <w:sz w:val="21"/>
                <w:szCs w:val="21"/>
              </w:rPr>
              <w:t>项目</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2,794,511.49</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5,120,129.98</w:t>
            </w:r>
          </w:p>
        </w:tc>
      </w:tr>
      <w:tr>
        <w:trPr>
          <w:trHeight w:val="281"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6,041,122.57</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5,254,479.92</w:t>
            </w:r>
          </w:p>
        </w:tc>
      </w:tr>
      <w:tr>
        <w:trPr>
          <w:trHeight w:val="284"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320,728.39</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255,514.93</w:t>
            </w:r>
          </w:p>
        </w:tc>
      </w:tr>
      <w:tr>
        <w:trPr>
          <w:trHeight w:val="281"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194,593.68</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355,946.07</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138,888.32</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254,356.26</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其他税种</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224,332.01</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173,758.57</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25"/>
              <w:jc w:val="right"/>
              <w:rPr>
                <w:rFonts w:ascii="宋体" w:hAnsi="宋体" w:cs="宋体" w:eastAsia="宋体" w:hint="default"/>
                <w:sz w:val="21"/>
                <w:szCs w:val="21"/>
              </w:rPr>
            </w:pPr>
            <w:r>
              <w:rPr>
                <w:rFonts w:ascii="宋体" w:hAnsi="宋体" w:cs="宋体" w:eastAsia="宋体" w:hint="default"/>
                <w:sz w:val="21"/>
                <w:szCs w:val="21"/>
              </w:rPr>
              <w:t>合计</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9,714,176.46</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11,414,185.73</w:t>
            </w:r>
          </w:p>
        </w:tc>
      </w:tr>
    </w:tbl>
    <w:p>
      <w:pPr>
        <w:pStyle w:val="BodyText"/>
        <w:spacing w:line="239" w:lineRule="exact"/>
        <w:ind w:right="2757"/>
        <w:jc w:val="left"/>
      </w:pPr>
      <w:r>
        <w:rPr/>
        <w:t>其他说明：</w:t>
      </w:r>
    </w:p>
    <w:p>
      <w:pPr>
        <w:pStyle w:val="BodyText"/>
        <w:spacing w:line="273" w:lineRule="exact"/>
        <w:ind w:right="2757"/>
        <w:jc w:val="left"/>
      </w:pPr>
      <w:r>
        <w:rPr>
          <w:w w:val="100"/>
        </w:rPr>
        <w:t>无</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3"/>
        <w:spacing w:line="240" w:lineRule="auto"/>
        <w:ind w:right="2757"/>
        <w:jc w:val="left"/>
        <w:rPr>
          <w:b w:val="0"/>
          <w:bCs w:val="0"/>
        </w:rPr>
      </w:pPr>
      <w:r>
        <w:rPr>
          <w:rFonts w:ascii="宋体" w:hAnsi="宋体" w:cs="宋体" w:eastAsia="宋体" w:hint="default"/>
        </w:rPr>
        <w:t>39</w:t>
      </w:r>
      <w:r>
        <w:rPr/>
        <w:t>、</w:t>
      </w:r>
      <w:r>
        <w:rPr>
          <w:spacing w:val="-25"/>
        </w:rPr>
        <w:t> </w:t>
      </w:r>
      <w:r>
        <w:rPr/>
        <w:t>应付利息</w:t>
      </w:r>
      <w:r>
        <w:rPr>
          <w:b w:val="0"/>
          <w:bCs w:val="0"/>
        </w:rPr>
      </w:r>
    </w:p>
    <w:p>
      <w:pPr>
        <w:pStyle w:val="BodyText"/>
        <w:spacing w:line="272" w:lineRule="exact" w:before="86"/>
        <w:ind w:right="5042"/>
        <w:jc w:val="left"/>
      </w:pPr>
      <w:r>
        <w:rPr/>
        <w:t>□适用</w:t>
      </w:r>
      <w:r>
        <w:rPr>
          <w:spacing w:val="-2"/>
        </w:rPr>
        <w:t> </w:t>
      </w:r>
      <w:r>
        <w:rPr/>
        <w:t>√不适用</w:t>
      </w:r>
      <w:r>
        <w:rPr>
          <w:w w:val="100"/>
        </w:rPr>
        <w:t> </w:t>
      </w:r>
      <w:r>
        <w:rPr>
          <w:spacing w:val="-2"/>
        </w:rPr>
        <w:t>重要的已逾期未支付的利息情况：</w:t>
      </w:r>
    </w:p>
    <w:p>
      <w:pPr>
        <w:pStyle w:val="BodyText"/>
        <w:spacing w:line="249" w:lineRule="exact"/>
        <w:ind w:right="2757"/>
        <w:jc w:val="left"/>
      </w:pPr>
      <w:r>
        <w:rPr/>
        <w:t>□适用</w:t>
      </w:r>
      <w:r>
        <w:rPr>
          <w:spacing w:val="-1"/>
        </w:rPr>
        <w:t> </w:t>
      </w:r>
      <w:r>
        <w:rPr/>
        <w:t>√不适用</w:t>
      </w:r>
    </w:p>
    <w:p>
      <w:pPr>
        <w:pStyle w:val="BodyText"/>
        <w:spacing w:line="240" w:lineRule="auto" w:before="56"/>
        <w:ind w:right="2757"/>
        <w:jc w:val="left"/>
      </w:pPr>
      <w:r>
        <w:rPr/>
        <w:t>其他说明：</w:t>
      </w:r>
    </w:p>
    <w:p>
      <w:pPr>
        <w:pStyle w:val="BodyText"/>
        <w:spacing w:line="240" w:lineRule="auto" w:before="58"/>
        <w:ind w:right="2757"/>
        <w:jc w:val="left"/>
      </w:pPr>
      <w:r>
        <w:rPr/>
        <w:t>□适用</w:t>
      </w:r>
      <w:r>
        <w:rPr>
          <w:spacing w:val="-1"/>
        </w:rPr>
        <w:t> </w:t>
      </w:r>
      <w:r>
        <w:rPr/>
        <w:t>√不适用</w:t>
      </w:r>
    </w:p>
    <w:p>
      <w:pPr>
        <w:spacing w:line="240" w:lineRule="auto" w:before="11"/>
        <w:rPr>
          <w:rFonts w:ascii="宋体" w:hAnsi="宋体" w:cs="宋体" w:eastAsia="宋体" w:hint="default"/>
          <w:sz w:val="29"/>
          <w:szCs w:val="29"/>
        </w:rPr>
      </w:pPr>
    </w:p>
    <w:p>
      <w:pPr>
        <w:pStyle w:val="Heading3"/>
        <w:spacing w:line="240" w:lineRule="auto"/>
        <w:ind w:right="2757"/>
        <w:jc w:val="left"/>
        <w:rPr>
          <w:b w:val="0"/>
          <w:bCs w:val="0"/>
        </w:rPr>
      </w:pPr>
      <w:r>
        <w:rPr>
          <w:rFonts w:ascii="宋体" w:hAnsi="宋体" w:cs="宋体" w:eastAsia="宋体" w:hint="default"/>
        </w:rPr>
        <w:t>40</w:t>
      </w:r>
      <w:r>
        <w:rPr/>
        <w:t>、</w:t>
      </w:r>
      <w:r>
        <w:rPr>
          <w:spacing w:val="-25"/>
        </w:rPr>
        <w:t> </w:t>
      </w:r>
      <w:r>
        <w:rPr/>
        <w:t>应付股利</w:t>
      </w:r>
      <w:r>
        <w:rPr>
          <w:b w:val="0"/>
          <w:bCs w:val="0"/>
        </w:rPr>
      </w:r>
    </w:p>
    <w:p>
      <w:pPr>
        <w:pStyle w:val="BodyText"/>
        <w:spacing w:line="240" w:lineRule="auto" w:before="56"/>
        <w:ind w:right="2757"/>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000" w:bottom="280" w:left="1580" w:right="1040"/>
        </w:sectPr>
      </w:pPr>
    </w:p>
    <w:p>
      <w:pPr>
        <w:pStyle w:val="Heading3"/>
        <w:spacing w:line="240" w:lineRule="auto" w:before="36"/>
        <w:ind w:right="-18"/>
        <w:jc w:val="left"/>
        <w:rPr>
          <w:b w:val="0"/>
          <w:bCs w:val="0"/>
        </w:rPr>
      </w:pPr>
      <w:r>
        <w:rPr>
          <w:rFonts w:ascii="宋体" w:hAnsi="宋体" w:cs="宋体" w:eastAsia="宋体" w:hint="default"/>
        </w:rPr>
        <w:t>41</w:t>
      </w:r>
      <w:r>
        <w:rPr/>
        <w:t>、</w:t>
      </w:r>
      <w:r>
        <w:rPr>
          <w:spacing w:val="-25"/>
        </w:rPr>
        <w:t> </w:t>
      </w:r>
      <w:r>
        <w:rPr/>
        <w:t>其他应付款</w:t>
      </w:r>
      <w:r>
        <w:rPr>
          <w:b w:val="0"/>
          <w:bCs w:val="0"/>
        </w:rPr>
      </w:r>
    </w:p>
    <w:p>
      <w:pPr>
        <w:pStyle w:val="Heading3"/>
        <w:spacing w:line="240" w:lineRule="auto" w:before="56"/>
        <w:ind w:right="-18"/>
        <w:jc w:val="left"/>
        <w:rPr>
          <w:b w:val="0"/>
          <w:bCs w:val="0"/>
        </w:rPr>
      </w:pPr>
      <w:r>
        <w:rPr>
          <w:rFonts w:ascii="宋体" w:hAnsi="宋体" w:cs="宋体" w:eastAsia="宋体" w:hint="default"/>
        </w:rPr>
        <w:t>(1).</w:t>
      </w:r>
      <w:r>
        <w:rPr>
          <w:rFonts w:ascii="宋体" w:hAnsi="宋体" w:cs="宋体" w:eastAsia="宋体" w:hint="default"/>
          <w:spacing w:val="-4"/>
        </w:rPr>
        <w:t> </w:t>
      </w:r>
      <w:r>
        <w:rPr/>
        <w:t>按款项性质列示其他应付款</w:t>
      </w:r>
      <w:r>
        <w:rPr>
          <w:b w:val="0"/>
          <w:bCs w:val="0"/>
        </w:rPr>
      </w:r>
    </w:p>
    <w:p>
      <w:pPr>
        <w:pStyle w:val="BodyText"/>
        <w:spacing w:line="240" w:lineRule="auto" w:before="59"/>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000" w:bottom="280" w:left="1580" w:right="1040"/>
          <w:cols w:num="2" w:equalWidth="0">
            <w:col w:w="3276" w:space="3245"/>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24"/>
        <w:gridCol w:w="3000"/>
        <w:gridCol w:w="3125"/>
      </w:tblGrid>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日常费用及其他往来款项</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68,414.17</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110,972.30</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限制性股票回购义务</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38,503,920.00</w:t>
            </w:r>
          </w:p>
        </w:tc>
        <w:tc>
          <w:tcPr>
            <w:tcW w:w="312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38,572,334.17</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110,972.30</w:t>
            </w:r>
          </w:p>
        </w:tc>
      </w:tr>
    </w:tbl>
    <w:p>
      <w:pPr>
        <w:spacing w:line="240" w:lineRule="auto" w:before="2"/>
        <w:rPr>
          <w:rFonts w:ascii="宋体" w:hAnsi="宋体" w:cs="宋体" w:eastAsia="宋体" w:hint="default"/>
          <w:sz w:val="20"/>
          <w:szCs w:val="20"/>
        </w:rPr>
      </w:pPr>
    </w:p>
    <w:p>
      <w:pPr>
        <w:pStyle w:val="Heading3"/>
        <w:spacing w:line="240" w:lineRule="auto" w:before="36"/>
        <w:ind w:right="2757"/>
        <w:jc w:val="left"/>
        <w:rPr>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4"/>
        </w:rPr>
        <w:t> </w:t>
      </w:r>
      <w:r>
        <w:rPr>
          <w:rFonts w:ascii="Cambria" w:hAnsi="Cambria" w:cs="Cambria" w:eastAsia="Cambria" w:hint="default"/>
        </w:rPr>
        <w:t>1</w:t>
      </w:r>
      <w:r>
        <w:rPr>
          <w:rFonts w:ascii="Cambria" w:hAnsi="Cambria" w:cs="Cambria" w:eastAsia="Cambria" w:hint="default"/>
          <w:spacing w:val="3"/>
        </w:rPr>
        <w:t> </w:t>
      </w:r>
      <w:r>
        <w:rPr/>
        <w:t>年的重要其他应付款</w:t>
      </w:r>
      <w:r>
        <w:rPr>
          <w:b w:val="0"/>
          <w:bCs w:val="0"/>
        </w:rPr>
      </w:r>
    </w:p>
    <w:p>
      <w:pPr>
        <w:pStyle w:val="BodyText"/>
        <w:spacing w:line="240" w:lineRule="auto" w:before="39"/>
        <w:ind w:right="7474"/>
        <w:jc w:val="left"/>
      </w:pPr>
      <w:r>
        <w:rPr/>
        <w:t>□适用</w:t>
      </w:r>
      <w:r>
        <w:rPr>
          <w:spacing w:val="-1"/>
        </w:rPr>
        <w:t> </w:t>
      </w:r>
      <w:r>
        <w:rPr/>
        <w:t>√不适用</w:t>
      </w:r>
      <w:r>
        <w:rPr>
          <w:w w:val="100"/>
        </w:rPr>
        <w:t> </w:t>
      </w:r>
      <w:r>
        <w:rPr/>
        <w:t>其他说明</w:t>
      </w:r>
    </w:p>
    <w:p>
      <w:pPr>
        <w:pStyle w:val="BodyText"/>
        <w:spacing w:line="271" w:lineRule="exact"/>
        <w:ind w:right="2757"/>
        <w:jc w:val="left"/>
      </w:pPr>
      <w:r>
        <w:rPr/>
        <w:t>□适用</w:t>
      </w:r>
      <w:r>
        <w:rPr>
          <w:spacing w:val="-1"/>
        </w:rPr>
        <w:t> </w:t>
      </w:r>
      <w:r>
        <w:rPr/>
        <w:t>√不适用</w:t>
      </w:r>
    </w:p>
    <w:p>
      <w:pPr>
        <w:spacing w:after="0" w:line="271" w:lineRule="exact"/>
        <w:jc w:val="left"/>
        <w:sectPr>
          <w:type w:val="continuous"/>
          <w:pgSz w:w="11910" w:h="16840"/>
          <w:pgMar w:top="1000" w:bottom="280" w:left="1580" w:right="1040"/>
        </w:sectPr>
      </w:pPr>
    </w:p>
    <w:p>
      <w:pPr>
        <w:spacing w:line="240" w:lineRule="auto" w:before="4"/>
        <w:rPr>
          <w:rFonts w:ascii="宋体" w:hAnsi="宋体" w:cs="宋体" w:eastAsia="宋体" w:hint="default"/>
          <w:sz w:val="9"/>
          <w:szCs w:val="9"/>
        </w:rPr>
      </w:pPr>
    </w:p>
    <w:p>
      <w:pPr>
        <w:pStyle w:val="Heading3"/>
        <w:spacing w:line="240" w:lineRule="auto" w:before="36"/>
        <w:ind w:right="2757"/>
        <w:jc w:val="left"/>
        <w:rPr>
          <w:b w:val="0"/>
          <w:bCs w:val="0"/>
        </w:rPr>
      </w:pPr>
      <w:r>
        <w:rPr>
          <w:rFonts w:ascii="宋体" w:hAnsi="宋体" w:cs="宋体" w:eastAsia="宋体" w:hint="default"/>
        </w:rPr>
        <w:t>42</w:t>
      </w:r>
      <w:r>
        <w:rPr/>
        <w:t>、</w:t>
      </w:r>
      <w:r>
        <w:rPr>
          <w:spacing w:val="-24"/>
        </w:rPr>
        <w:t> </w:t>
      </w:r>
      <w:r>
        <w:rPr/>
        <w:t>持有待售负债</w:t>
      </w:r>
      <w:r>
        <w:rPr>
          <w:b w:val="0"/>
          <w:bCs w:val="0"/>
        </w:rPr>
      </w:r>
    </w:p>
    <w:p>
      <w:pPr>
        <w:pStyle w:val="BodyText"/>
        <w:spacing w:line="240" w:lineRule="auto" w:before="58"/>
        <w:ind w:right="2757"/>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3"/>
        <w:spacing w:line="240" w:lineRule="auto"/>
        <w:ind w:right="2757"/>
        <w:jc w:val="left"/>
        <w:rPr>
          <w:b w:val="0"/>
          <w:bCs w:val="0"/>
        </w:rPr>
      </w:pPr>
      <w:r>
        <w:rPr>
          <w:rFonts w:ascii="宋体" w:hAnsi="宋体" w:cs="宋体" w:eastAsia="宋体" w:hint="default"/>
        </w:rPr>
        <w:t>43</w:t>
      </w:r>
      <w:r>
        <w:rPr/>
        <w:t>、 </w:t>
      </w:r>
      <w:r>
        <w:rPr>
          <w:rFonts w:ascii="宋体" w:hAnsi="宋体" w:cs="宋体" w:eastAsia="宋体" w:hint="default"/>
        </w:rPr>
        <w:t>1</w:t>
      </w:r>
      <w:r>
        <w:rPr>
          <w:rFonts w:ascii="宋体" w:hAnsi="宋体" w:cs="宋体" w:eastAsia="宋体" w:hint="default"/>
          <w:spacing w:val="-77"/>
        </w:rPr>
        <w:t> </w:t>
      </w:r>
      <w:r>
        <w:rPr/>
        <w:t>年内到期的非流动负债</w:t>
      </w:r>
      <w:r>
        <w:rPr>
          <w:b w:val="0"/>
          <w:bCs w:val="0"/>
        </w:rPr>
      </w:r>
    </w:p>
    <w:p>
      <w:pPr>
        <w:pStyle w:val="BodyText"/>
        <w:spacing w:line="240" w:lineRule="auto" w:before="58"/>
        <w:ind w:right="2757"/>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1195" w:top="1320" w:bottom="1380" w:left="1580" w:right="1040"/>
        </w:sectPr>
      </w:pPr>
    </w:p>
    <w:p>
      <w:pPr>
        <w:spacing w:line="290" w:lineRule="auto" w:before="36"/>
        <w:ind w:left="218" w:right="-18" w:firstLine="0"/>
        <w:jc w:val="left"/>
        <w:rPr>
          <w:rFonts w:ascii="宋体" w:hAnsi="宋体" w:cs="宋体" w:eastAsia="宋体" w:hint="default"/>
          <w:sz w:val="21"/>
          <w:szCs w:val="21"/>
        </w:rPr>
      </w:pPr>
      <w:r>
        <w:rPr>
          <w:rFonts w:ascii="宋体" w:hAnsi="宋体" w:cs="宋体" w:eastAsia="宋体" w:hint="default"/>
          <w:b/>
          <w:bCs/>
          <w:sz w:val="21"/>
          <w:szCs w:val="21"/>
        </w:rPr>
        <w:t>44</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其他流动负债</w:t>
      </w:r>
      <w:r>
        <w:rPr>
          <w:rFonts w:ascii="宋体" w:hAnsi="宋体" w:cs="宋体" w:eastAsia="宋体" w:hint="default"/>
          <w:b/>
          <w:bCs/>
          <w:w w:val="100"/>
          <w:sz w:val="21"/>
          <w:szCs w:val="21"/>
        </w:rPr>
        <w:t> </w:t>
      </w:r>
      <w:r>
        <w:rPr>
          <w:rFonts w:ascii="宋体" w:hAnsi="宋体" w:cs="宋体" w:eastAsia="宋体" w:hint="default"/>
          <w:sz w:val="21"/>
          <w:szCs w:val="21"/>
        </w:rPr>
        <w:t>其他流动负债情况</w:t>
      </w:r>
    </w:p>
    <w:p>
      <w:pPr>
        <w:pStyle w:val="BodyText"/>
        <w:tabs>
          <w:tab w:pos="1060" w:val="left" w:leader="none"/>
        </w:tabs>
        <w:spacing w:line="229" w:lineRule="exact"/>
        <w:ind w:right="-18"/>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000" w:bottom="280" w:left="1580" w:right="1040"/>
          <w:cols w:num="2" w:equalWidth="0">
            <w:col w:w="1990" w:space="4532"/>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04"/>
        <w:gridCol w:w="3118"/>
        <w:gridCol w:w="3128"/>
      </w:tblGrid>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38"/>
              <w:jc w:val="right"/>
              <w:rPr>
                <w:rFonts w:ascii="宋体" w:hAnsi="宋体" w:cs="宋体" w:eastAsia="宋体" w:hint="default"/>
                <w:sz w:val="21"/>
                <w:szCs w:val="21"/>
              </w:rPr>
            </w:pPr>
            <w:r>
              <w:rPr>
                <w:rFonts w:ascii="宋体" w:hAnsi="宋体" w:cs="宋体" w:eastAsia="宋体" w:hint="default"/>
                <w:sz w:val="21"/>
                <w:szCs w:val="21"/>
              </w:rPr>
              <w:t>项目</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待转销项税额</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2,459,976.09</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1,554,609.03</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84"/>
              <w:jc w:val="right"/>
              <w:rPr>
                <w:rFonts w:ascii="宋体" w:hAnsi="宋体" w:cs="宋体" w:eastAsia="宋体" w:hint="default"/>
                <w:sz w:val="21"/>
                <w:szCs w:val="21"/>
              </w:rPr>
            </w:pPr>
            <w:r>
              <w:rPr>
                <w:rFonts w:ascii="宋体" w:hAnsi="宋体" w:cs="宋体" w:eastAsia="宋体" w:hint="default"/>
                <w:sz w:val="21"/>
                <w:szCs w:val="21"/>
              </w:rPr>
              <w:t>合计</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2,459,976.09</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1,554,609.03</w:t>
            </w:r>
          </w:p>
        </w:tc>
      </w:tr>
    </w:tbl>
    <w:p>
      <w:pPr>
        <w:spacing w:line="240" w:lineRule="auto" w:before="5"/>
        <w:rPr>
          <w:rFonts w:ascii="宋体" w:hAnsi="宋体" w:cs="宋体" w:eastAsia="宋体" w:hint="default"/>
          <w:sz w:val="15"/>
          <w:szCs w:val="15"/>
        </w:rPr>
      </w:pPr>
    </w:p>
    <w:p>
      <w:pPr>
        <w:pStyle w:val="BodyText"/>
        <w:spacing w:line="274" w:lineRule="exact" w:before="36"/>
        <w:ind w:right="2757"/>
        <w:jc w:val="left"/>
      </w:pPr>
      <w:r>
        <w:rPr/>
        <w:t>短期应付债券的增减变动：</w:t>
      </w:r>
    </w:p>
    <w:p>
      <w:pPr>
        <w:pStyle w:val="BodyText"/>
        <w:spacing w:line="290" w:lineRule="auto"/>
        <w:ind w:right="7474"/>
        <w:jc w:val="left"/>
      </w:pPr>
      <w:r>
        <w:rPr/>
        <w:t>□适用</w:t>
      </w:r>
      <w:r>
        <w:rPr>
          <w:spacing w:val="-1"/>
        </w:rPr>
        <w:t> </w:t>
      </w:r>
      <w:r>
        <w:rPr/>
        <w:t>√不适用</w:t>
      </w:r>
      <w:r>
        <w:rPr>
          <w:w w:val="100"/>
        </w:rPr>
        <w:t> </w:t>
      </w:r>
      <w:r>
        <w:rPr/>
        <w:t>其他说明：</w:t>
      </w:r>
    </w:p>
    <w:p>
      <w:pPr>
        <w:pStyle w:val="BodyText"/>
        <w:spacing w:line="240" w:lineRule="auto" w:before="14"/>
        <w:ind w:right="2757"/>
        <w:jc w:val="left"/>
      </w:pPr>
      <w:r>
        <w:rPr/>
        <w:t>□适用</w:t>
      </w:r>
      <w:r>
        <w:rPr>
          <w:spacing w:val="-1"/>
        </w:rPr>
        <w:t> </w:t>
      </w:r>
      <w:r>
        <w:rPr/>
        <w:t>√不适用</w:t>
      </w:r>
    </w:p>
    <w:p>
      <w:pPr>
        <w:spacing w:line="240" w:lineRule="auto" w:before="11"/>
        <w:rPr>
          <w:rFonts w:ascii="宋体" w:hAnsi="宋体" w:cs="宋体" w:eastAsia="宋体" w:hint="default"/>
          <w:sz w:val="29"/>
          <w:szCs w:val="29"/>
        </w:rPr>
      </w:pPr>
    </w:p>
    <w:p>
      <w:pPr>
        <w:pStyle w:val="Heading3"/>
        <w:spacing w:line="240" w:lineRule="auto"/>
        <w:ind w:right="2757"/>
        <w:jc w:val="left"/>
        <w:rPr>
          <w:b w:val="0"/>
          <w:bCs w:val="0"/>
        </w:rPr>
      </w:pPr>
      <w:r>
        <w:rPr>
          <w:rFonts w:ascii="宋体" w:hAnsi="宋体" w:cs="宋体" w:eastAsia="宋体" w:hint="default"/>
        </w:rPr>
        <w:t>45</w:t>
      </w:r>
      <w:r>
        <w:rPr/>
        <w:t>、</w:t>
      </w:r>
      <w:r>
        <w:rPr>
          <w:spacing w:val="-25"/>
        </w:rPr>
        <w:t> </w:t>
      </w:r>
      <w:r>
        <w:rPr/>
        <w:t>长期借款</w:t>
      </w:r>
      <w:r>
        <w:rPr>
          <w:b w:val="0"/>
          <w:bCs w:val="0"/>
        </w:rPr>
      </w:r>
    </w:p>
    <w:p>
      <w:pPr>
        <w:pStyle w:val="Heading3"/>
        <w:tabs>
          <w:tab w:pos="849" w:val="left" w:leader="none"/>
        </w:tabs>
        <w:spacing w:line="240" w:lineRule="auto" w:before="56"/>
        <w:ind w:right="2757"/>
        <w:jc w:val="left"/>
        <w:rPr>
          <w:b w:val="0"/>
          <w:bCs w:val="0"/>
        </w:rPr>
      </w:pPr>
      <w:r>
        <w:rPr>
          <w:rFonts w:ascii="宋体" w:hAnsi="宋体" w:cs="宋体" w:eastAsia="宋体" w:hint="default"/>
          <w:w w:val="95"/>
        </w:rPr>
        <w:t>(1).</w:t>
        <w:tab/>
      </w:r>
      <w:r>
        <w:rPr/>
        <w:t>长期借款分类</w:t>
      </w:r>
      <w:r>
        <w:rPr>
          <w:b w:val="0"/>
          <w:bCs w:val="0"/>
        </w:rPr>
      </w:r>
    </w:p>
    <w:p>
      <w:pPr>
        <w:pStyle w:val="BodyText"/>
        <w:spacing w:line="240" w:lineRule="auto" w:before="59"/>
        <w:ind w:right="2757"/>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spacing w:line="273" w:lineRule="exact"/>
        <w:ind w:right="2757"/>
        <w:jc w:val="left"/>
      </w:pPr>
      <w:r>
        <w:rPr/>
        <w:t>其他说明，包括利率区间：</w:t>
      </w:r>
    </w:p>
    <w:p>
      <w:pPr>
        <w:pStyle w:val="BodyText"/>
        <w:spacing w:line="273" w:lineRule="exact"/>
        <w:ind w:right="2757"/>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3"/>
        <w:tabs>
          <w:tab w:pos="889" w:val="left" w:leader="none"/>
        </w:tabs>
        <w:spacing w:line="290" w:lineRule="auto"/>
        <w:ind w:right="7549"/>
        <w:jc w:val="left"/>
        <w:rPr>
          <w:b w:val="0"/>
          <w:bCs w:val="0"/>
        </w:rPr>
      </w:pPr>
      <w:r>
        <w:rPr>
          <w:rFonts w:ascii="宋体" w:hAnsi="宋体" w:cs="宋体" w:eastAsia="宋体" w:hint="default"/>
        </w:rPr>
        <w:t>46</w:t>
      </w:r>
      <w:r>
        <w:rPr/>
        <w:t>、</w:t>
      </w:r>
      <w:r>
        <w:rPr>
          <w:spacing w:val="-25"/>
        </w:rPr>
        <w:t> </w:t>
      </w:r>
      <w:r>
        <w:rPr/>
        <w:t>应付债券</w:t>
      </w:r>
      <w:r>
        <w:rPr>
          <w:w w:val="100"/>
        </w:rPr>
        <w:t> </w:t>
      </w:r>
      <w:r>
        <w:rPr>
          <w:rFonts w:ascii="宋体" w:hAnsi="宋体" w:cs="宋体" w:eastAsia="宋体" w:hint="default"/>
          <w:w w:val="95"/>
        </w:rPr>
        <w:t>(1).</w:t>
        <w:tab/>
      </w:r>
      <w:r>
        <w:rPr/>
        <w:t>应付债券</w:t>
      </w:r>
      <w:r>
        <w:rPr>
          <w:b w:val="0"/>
          <w:bCs w:val="0"/>
        </w:rPr>
      </w:r>
    </w:p>
    <w:p>
      <w:pPr>
        <w:pStyle w:val="BodyText"/>
        <w:spacing w:line="240" w:lineRule="auto" w:before="12"/>
        <w:ind w:right="2757"/>
        <w:jc w:val="left"/>
      </w:pPr>
      <w:r>
        <w:rPr/>
        <w:t>□适用</w:t>
      </w:r>
      <w:r>
        <w:rPr>
          <w:spacing w:val="-1"/>
        </w:rPr>
        <w:t> </w:t>
      </w:r>
      <w:r>
        <w:rPr/>
        <w:t>√不适用</w:t>
      </w:r>
    </w:p>
    <w:p>
      <w:pPr>
        <w:pStyle w:val="Heading3"/>
        <w:tabs>
          <w:tab w:pos="889" w:val="left" w:leader="none"/>
        </w:tabs>
        <w:spacing w:line="240" w:lineRule="auto" w:before="58"/>
        <w:ind w:right="0"/>
        <w:jc w:val="left"/>
        <w:rPr>
          <w:b w:val="0"/>
          <w:bCs w:val="0"/>
        </w:rPr>
      </w:pPr>
      <w:r>
        <w:rPr>
          <w:rFonts w:ascii="宋体" w:hAnsi="宋体" w:cs="宋体" w:eastAsia="宋体" w:hint="default"/>
          <w:w w:val="99"/>
        </w:rPr>
        <w:t>(2).</w:t>
      </w:r>
      <w:r>
        <w:rPr>
          <w:rFonts w:ascii="宋体" w:hAnsi="宋体" w:cs="宋体" w:eastAsia="宋体" w:hint="default"/>
        </w:rPr>
        <w:tab/>
      </w:r>
      <w:r>
        <w:rPr>
          <w:w w:val="100"/>
        </w:rPr>
        <w:t>应付债券的增减变动</w:t>
      </w:r>
      <w:r>
        <w:rPr>
          <w:spacing w:val="-108"/>
          <w:w w:val="100"/>
        </w:rPr>
        <w:t>：</w:t>
      </w:r>
      <w:r>
        <w:rPr>
          <w:w w:val="100"/>
        </w:rPr>
        <w:t>（</w:t>
      </w:r>
      <w:r>
        <w:rPr>
          <w:spacing w:val="-3"/>
          <w:w w:val="100"/>
        </w:rPr>
        <w:t>不</w:t>
      </w:r>
      <w:r>
        <w:rPr>
          <w:w w:val="100"/>
        </w:rPr>
        <w:t>包括划分为金融负</w:t>
      </w:r>
      <w:r>
        <w:rPr>
          <w:spacing w:val="-3"/>
          <w:w w:val="100"/>
        </w:rPr>
        <w:t>债</w:t>
      </w:r>
      <w:r>
        <w:rPr>
          <w:w w:val="100"/>
        </w:rPr>
        <w:t>的</w:t>
      </w:r>
      <w:r>
        <w:rPr>
          <w:spacing w:val="-3"/>
          <w:w w:val="100"/>
        </w:rPr>
        <w:t>优</w:t>
      </w:r>
      <w:r>
        <w:rPr>
          <w:w w:val="100"/>
        </w:rPr>
        <w:t>先股、永续债等其</w:t>
      </w:r>
      <w:r>
        <w:rPr>
          <w:spacing w:val="-3"/>
          <w:w w:val="100"/>
        </w:rPr>
        <w:t>他</w:t>
      </w:r>
      <w:r>
        <w:rPr>
          <w:w w:val="100"/>
        </w:rPr>
        <w:t>金</w:t>
      </w:r>
      <w:r>
        <w:rPr>
          <w:spacing w:val="-3"/>
          <w:w w:val="100"/>
        </w:rPr>
        <w:t>融</w:t>
      </w:r>
      <w:r>
        <w:rPr>
          <w:w w:val="100"/>
        </w:rPr>
        <w:t>工具）</w:t>
      </w:r>
      <w:r>
        <w:rPr>
          <w:b w:val="0"/>
          <w:bCs w:val="0"/>
          <w:w w:val="100"/>
        </w:rPr>
      </w:r>
    </w:p>
    <w:p>
      <w:pPr>
        <w:pStyle w:val="BodyText"/>
        <w:spacing w:line="240" w:lineRule="auto" w:before="57"/>
        <w:ind w:right="2757"/>
        <w:jc w:val="left"/>
      </w:pPr>
      <w:r>
        <w:rPr/>
        <w:t>□适用</w:t>
      </w:r>
      <w:r>
        <w:rPr>
          <w:spacing w:val="-1"/>
        </w:rPr>
        <w:t> </w:t>
      </w:r>
      <w:r>
        <w:rPr/>
        <w:t>√不适用</w:t>
      </w:r>
    </w:p>
    <w:p>
      <w:pPr>
        <w:pStyle w:val="Heading3"/>
        <w:tabs>
          <w:tab w:pos="889" w:val="left" w:leader="none"/>
        </w:tabs>
        <w:spacing w:line="240" w:lineRule="auto" w:before="58"/>
        <w:ind w:right="2757"/>
        <w:jc w:val="left"/>
        <w:rPr>
          <w:b w:val="0"/>
          <w:bCs w:val="0"/>
        </w:rPr>
      </w:pPr>
      <w:r>
        <w:rPr>
          <w:rFonts w:ascii="宋体" w:hAnsi="宋体" w:cs="宋体" w:eastAsia="宋体" w:hint="default"/>
          <w:w w:val="95"/>
        </w:rPr>
        <w:t>(3).</w:t>
        <w:tab/>
      </w:r>
      <w:r>
        <w:rPr/>
        <w:t>可转换公司债券的转股条件、转股时间说明：</w:t>
      </w:r>
      <w:r>
        <w:rPr>
          <w:b w:val="0"/>
          <w:bCs w:val="0"/>
        </w:rPr>
      </w:r>
    </w:p>
    <w:p>
      <w:pPr>
        <w:pStyle w:val="BodyText"/>
        <w:tabs>
          <w:tab w:pos="1060" w:val="left" w:leader="none"/>
        </w:tabs>
        <w:spacing w:line="240" w:lineRule="auto" w:before="56"/>
        <w:ind w:right="2757"/>
        <w:jc w:val="left"/>
      </w:pPr>
      <w:r>
        <w:rPr>
          <w:spacing w:val="-1"/>
        </w:rPr>
        <w:t>□适用</w:t>
        <w:tab/>
      </w:r>
      <w:r>
        <w:rPr>
          <w:spacing w:val="-2"/>
        </w:rPr>
        <w:t>√不适用</w:t>
      </w:r>
    </w:p>
    <w:p>
      <w:pPr>
        <w:spacing w:line="240" w:lineRule="auto" w:before="11"/>
        <w:rPr>
          <w:rFonts w:ascii="宋体" w:hAnsi="宋体" w:cs="宋体" w:eastAsia="宋体" w:hint="default"/>
          <w:sz w:val="29"/>
          <w:szCs w:val="29"/>
        </w:rPr>
      </w:pPr>
    </w:p>
    <w:p>
      <w:pPr>
        <w:tabs>
          <w:tab w:pos="889" w:val="left" w:leader="none"/>
        </w:tabs>
        <w:spacing w:line="290" w:lineRule="auto" w:before="0"/>
        <w:ind w:left="218" w:right="3809" w:firstLine="0"/>
        <w:jc w:val="left"/>
        <w:rPr>
          <w:rFonts w:ascii="宋体" w:hAnsi="宋体" w:cs="宋体" w:eastAsia="宋体" w:hint="default"/>
          <w:sz w:val="21"/>
          <w:szCs w:val="21"/>
        </w:rPr>
      </w:pPr>
      <w:r>
        <w:rPr>
          <w:rFonts w:ascii="宋体" w:hAnsi="宋体" w:cs="宋体" w:eastAsia="宋体" w:hint="default"/>
          <w:b/>
          <w:bCs/>
          <w:w w:val="95"/>
          <w:sz w:val="21"/>
          <w:szCs w:val="21"/>
        </w:rPr>
        <w:t>(4).</w:t>
        <w:tab/>
      </w:r>
      <w:r>
        <w:rPr>
          <w:rFonts w:ascii="宋体" w:hAnsi="宋体" w:cs="宋体" w:eastAsia="宋体" w:hint="default"/>
          <w:b/>
          <w:bCs/>
          <w:sz w:val="21"/>
          <w:szCs w:val="21"/>
        </w:rPr>
        <w:t>划分为金融负债的其他金融工具说明：</w:t>
      </w:r>
      <w:r>
        <w:rPr>
          <w:rFonts w:ascii="宋体" w:hAnsi="宋体" w:cs="宋体" w:eastAsia="宋体" w:hint="default"/>
          <w:b/>
          <w:bCs/>
          <w:w w:val="100"/>
          <w:sz w:val="21"/>
          <w:szCs w:val="21"/>
        </w:rPr>
        <w:t> </w:t>
      </w:r>
      <w:r>
        <w:rPr>
          <w:rFonts w:ascii="宋体" w:hAnsi="宋体" w:cs="宋体" w:eastAsia="宋体" w:hint="default"/>
          <w:spacing w:val="-2"/>
          <w:sz w:val="21"/>
          <w:szCs w:val="21"/>
        </w:rPr>
        <w:t>期末发行在外的优先股、永续债等其他金融工具基本情况</w:t>
      </w:r>
    </w:p>
    <w:p>
      <w:pPr>
        <w:pStyle w:val="BodyText"/>
        <w:spacing w:line="227" w:lineRule="exact"/>
        <w:ind w:right="2757"/>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4" w:lineRule="exact"/>
        <w:ind w:right="2757"/>
        <w:jc w:val="left"/>
      </w:pPr>
      <w:r>
        <w:rPr/>
        <w:t>期末发行在外的优先股、永续债等金融工具变动情况表</w:t>
      </w:r>
    </w:p>
    <w:p>
      <w:pPr>
        <w:pStyle w:val="BodyText"/>
        <w:spacing w:line="290" w:lineRule="auto"/>
        <w:ind w:right="5042"/>
        <w:jc w:val="left"/>
      </w:pPr>
      <w:r>
        <w:rPr/>
        <w:t>□适用</w:t>
      </w:r>
      <w:r>
        <w:rPr>
          <w:spacing w:val="-2"/>
        </w:rPr>
        <w:t> </w:t>
      </w:r>
      <w:r>
        <w:rPr/>
        <w:t>√不适用</w:t>
      </w:r>
      <w:r>
        <w:rPr>
          <w:w w:val="100"/>
        </w:rPr>
        <w:t> </w:t>
      </w:r>
      <w:r>
        <w:rPr>
          <w:spacing w:val="-2"/>
        </w:rPr>
        <w:t>其他金融工具划分为金融负债的依据说明</w:t>
      </w:r>
    </w:p>
    <w:p>
      <w:pPr>
        <w:pStyle w:val="BodyText"/>
        <w:spacing w:line="240" w:lineRule="auto" w:before="15"/>
        <w:ind w:right="2757"/>
        <w:jc w:val="left"/>
      </w:pPr>
      <w:r>
        <w:rPr/>
        <w:t>□适用</w:t>
      </w:r>
      <w:r>
        <w:rPr>
          <w:spacing w:val="-1"/>
        </w:rPr>
        <w:t> </w:t>
      </w:r>
      <w:r>
        <w:rPr/>
        <w:t>√不适用</w:t>
      </w:r>
    </w:p>
    <w:p>
      <w:pPr>
        <w:spacing w:after="0" w:line="240" w:lineRule="auto"/>
        <w:jc w:val="left"/>
        <w:sectPr>
          <w:type w:val="continuous"/>
          <w:pgSz w:w="11910" w:h="16840"/>
          <w:pgMar w:top="1000" w:bottom="280" w:left="1580" w:right="1040"/>
        </w:sectPr>
      </w:pPr>
    </w:p>
    <w:p>
      <w:pPr>
        <w:spacing w:line="240" w:lineRule="auto" w:before="4"/>
        <w:rPr>
          <w:rFonts w:ascii="宋体" w:hAnsi="宋体" w:cs="宋体" w:eastAsia="宋体" w:hint="default"/>
          <w:sz w:val="9"/>
          <w:szCs w:val="9"/>
        </w:rPr>
      </w:pPr>
    </w:p>
    <w:p>
      <w:pPr>
        <w:pStyle w:val="BodyText"/>
        <w:spacing w:line="240" w:lineRule="auto" w:before="36"/>
        <w:ind w:right="2757"/>
        <w:jc w:val="left"/>
      </w:pPr>
      <w:r>
        <w:rPr/>
        <w:t>其他说明：</w:t>
      </w:r>
    </w:p>
    <w:p>
      <w:pPr>
        <w:pStyle w:val="BodyText"/>
        <w:spacing w:line="240" w:lineRule="auto" w:before="58"/>
        <w:ind w:right="2757"/>
        <w:jc w:val="left"/>
      </w:pPr>
      <w:r>
        <w:rPr/>
        <w:t>□适用</w:t>
      </w:r>
      <w:r>
        <w:rPr>
          <w:spacing w:val="-1"/>
        </w:rPr>
        <w:t> </w:t>
      </w:r>
      <w:r>
        <w:rPr/>
        <w:t>√不适用</w:t>
      </w:r>
    </w:p>
    <w:p>
      <w:pPr>
        <w:spacing w:line="240" w:lineRule="auto" w:before="11"/>
        <w:rPr>
          <w:rFonts w:ascii="宋体" w:hAnsi="宋体" w:cs="宋体" w:eastAsia="宋体" w:hint="default"/>
          <w:sz w:val="29"/>
          <w:szCs w:val="29"/>
        </w:rPr>
      </w:pPr>
    </w:p>
    <w:p>
      <w:pPr>
        <w:pStyle w:val="Heading3"/>
        <w:spacing w:line="240" w:lineRule="auto"/>
        <w:ind w:right="2757"/>
        <w:jc w:val="left"/>
        <w:rPr>
          <w:b w:val="0"/>
          <w:bCs w:val="0"/>
        </w:rPr>
      </w:pPr>
      <w:r>
        <w:rPr>
          <w:rFonts w:ascii="宋体" w:hAnsi="宋体" w:cs="宋体" w:eastAsia="宋体" w:hint="default"/>
        </w:rPr>
        <w:t>47</w:t>
      </w:r>
      <w:r>
        <w:rPr/>
        <w:t>、</w:t>
      </w:r>
      <w:r>
        <w:rPr>
          <w:spacing w:val="-25"/>
        </w:rPr>
        <w:t> </w:t>
      </w:r>
      <w:r>
        <w:rPr/>
        <w:t>长期应付款</w:t>
      </w:r>
      <w:r>
        <w:rPr>
          <w:b w:val="0"/>
          <w:bCs w:val="0"/>
        </w:rPr>
      </w:r>
    </w:p>
    <w:p>
      <w:pPr>
        <w:pStyle w:val="Heading3"/>
        <w:spacing w:line="274" w:lineRule="exact" w:before="56"/>
        <w:ind w:right="2757"/>
        <w:jc w:val="left"/>
        <w:rPr>
          <w:b w:val="0"/>
          <w:bCs w:val="0"/>
        </w:rPr>
      </w:pPr>
      <w:r>
        <w:rPr>
          <w:rFonts w:ascii="宋体" w:hAnsi="宋体" w:cs="宋体" w:eastAsia="宋体" w:hint="default"/>
        </w:rPr>
        <w:t>(1) </w:t>
      </w:r>
      <w:r>
        <w:rPr/>
        <w:t>按款项性质列示长期应付款：</w:t>
      </w:r>
      <w:r>
        <w:rPr>
          <w:b w:val="0"/>
          <w:bCs w:val="0"/>
        </w:rPr>
      </w:r>
    </w:p>
    <w:p>
      <w:pPr>
        <w:pStyle w:val="BodyText"/>
        <w:spacing w:line="274" w:lineRule="exact"/>
        <w:ind w:right="2757"/>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3"/>
        <w:spacing w:line="240" w:lineRule="auto"/>
        <w:ind w:right="2757"/>
        <w:jc w:val="left"/>
        <w:rPr>
          <w:b w:val="0"/>
          <w:bCs w:val="0"/>
        </w:rPr>
      </w:pPr>
      <w:r>
        <w:rPr>
          <w:rFonts w:ascii="宋体" w:hAnsi="宋体" w:cs="宋体" w:eastAsia="宋体" w:hint="default"/>
        </w:rPr>
        <w:t>48</w:t>
      </w:r>
      <w:r>
        <w:rPr/>
        <w:t>、</w:t>
      </w:r>
      <w:r>
        <w:rPr>
          <w:spacing w:val="-24"/>
        </w:rPr>
        <w:t> </w:t>
      </w:r>
      <w:r>
        <w:rPr/>
        <w:t>长期应付职工薪酬</w:t>
      </w:r>
      <w:r>
        <w:rPr>
          <w:b w:val="0"/>
          <w:bCs w:val="0"/>
        </w:rPr>
      </w:r>
    </w:p>
    <w:p>
      <w:pPr>
        <w:pStyle w:val="BodyText"/>
        <w:spacing w:line="240" w:lineRule="auto" w:before="58"/>
        <w:ind w:right="2757"/>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3"/>
        <w:spacing w:line="240" w:lineRule="auto"/>
        <w:ind w:right="2757"/>
        <w:jc w:val="left"/>
        <w:rPr>
          <w:b w:val="0"/>
          <w:bCs w:val="0"/>
        </w:rPr>
      </w:pPr>
      <w:r>
        <w:rPr>
          <w:rFonts w:ascii="宋体" w:hAnsi="宋体" w:cs="宋体" w:eastAsia="宋体" w:hint="default"/>
        </w:rPr>
        <w:t>49</w:t>
      </w:r>
      <w:r>
        <w:rPr/>
        <w:t>、</w:t>
      </w:r>
      <w:r>
        <w:rPr>
          <w:spacing w:val="-25"/>
        </w:rPr>
        <w:t> </w:t>
      </w:r>
      <w:r>
        <w:rPr/>
        <w:t>专项应付款</w:t>
      </w:r>
      <w:r>
        <w:rPr>
          <w:b w:val="0"/>
          <w:bCs w:val="0"/>
        </w:rPr>
      </w:r>
    </w:p>
    <w:p>
      <w:pPr>
        <w:pStyle w:val="BodyText"/>
        <w:spacing w:line="240" w:lineRule="auto" w:before="58"/>
        <w:ind w:right="2757"/>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3"/>
        <w:spacing w:line="240" w:lineRule="auto"/>
        <w:ind w:right="2757"/>
        <w:jc w:val="left"/>
        <w:rPr>
          <w:b w:val="0"/>
          <w:bCs w:val="0"/>
        </w:rPr>
      </w:pPr>
      <w:r>
        <w:rPr>
          <w:rFonts w:ascii="宋体" w:hAnsi="宋体" w:cs="宋体" w:eastAsia="宋体" w:hint="default"/>
        </w:rPr>
        <w:t>50</w:t>
      </w:r>
      <w:r>
        <w:rPr/>
        <w:t>、</w:t>
      </w:r>
      <w:r>
        <w:rPr>
          <w:spacing w:val="-25"/>
        </w:rPr>
        <w:t> </w:t>
      </w:r>
      <w:r>
        <w:rPr/>
        <w:t>预计负债</w:t>
      </w:r>
      <w:r>
        <w:rPr>
          <w:b w:val="0"/>
          <w:bCs w:val="0"/>
        </w:rPr>
      </w:r>
    </w:p>
    <w:p>
      <w:pPr>
        <w:pStyle w:val="BodyText"/>
        <w:spacing w:line="240" w:lineRule="auto" w:before="58"/>
        <w:ind w:right="2757"/>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spacing w:line="290" w:lineRule="auto" w:before="0"/>
        <w:ind w:left="218" w:right="7701" w:firstLine="0"/>
        <w:jc w:val="left"/>
        <w:rPr>
          <w:rFonts w:ascii="宋体" w:hAnsi="宋体" w:cs="宋体" w:eastAsia="宋体" w:hint="default"/>
          <w:sz w:val="21"/>
          <w:szCs w:val="21"/>
        </w:rPr>
      </w:pPr>
      <w:r>
        <w:rPr>
          <w:rFonts w:ascii="宋体" w:hAnsi="宋体" w:cs="宋体" w:eastAsia="宋体" w:hint="default"/>
          <w:b/>
          <w:bCs/>
          <w:sz w:val="21"/>
          <w:szCs w:val="21"/>
        </w:rPr>
        <w:t>51</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递延收益</w:t>
      </w:r>
      <w:r>
        <w:rPr>
          <w:rFonts w:ascii="宋体" w:hAnsi="宋体" w:cs="宋体" w:eastAsia="宋体" w:hint="default"/>
          <w:b/>
          <w:bCs/>
          <w:w w:val="100"/>
          <w:sz w:val="21"/>
          <w:szCs w:val="21"/>
        </w:rPr>
        <w:t> </w:t>
      </w:r>
      <w:r>
        <w:rPr>
          <w:rFonts w:ascii="宋体" w:hAnsi="宋体" w:cs="宋体" w:eastAsia="宋体" w:hint="default"/>
          <w:sz w:val="21"/>
          <w:szCs w:val="21"/>
        </w:rPr>
        <w:t>递延收益情况</w:t>
      </w:r>
    </w:p>
    <w:p>
      <w:pPr>
        <w:pStyle w:val="BodyText"/>
        <w:tabs>
          <w:tab w:pos="1060" w:val="left" w:leader="none"/>
        </w:tabs>
        <w:spacing w:line="229" w:lineRule="exact"/>
        <w:ind w:right="2757"/>
        <w:jc w:val="left"/>
      </w:pPr>
      <w:r>
        <w:rPr>
          <w:spacing w:val="-1"/>
        </w:rPr>
        <w:t>□适用</w:t>
        <w:tab/>
      </w:r>
      <w:r>
        <w:rPr>
          <w:spacing w:val="-2"/>
        </w:rPr>
        <w:t>√不适用</w:t>
      </w:r>
    </w:p>
    <w:p>
      <w:pPr>
        <w:pStyle w:val="BodyText"/>
        <w:spacing w:line="240" w:lineRule="auto" w:before="56"/>
        <w:ind w:right="2757"/>
        <w:jc w:val="left"/>
      </w:pPr>
      <w:r>
        <w:rPr/>
        <w:t>涉及政府补助的项目：</w:t>
      </w:r>
    </w:p>
    <w:p>
      <w:pPr>
        <w:pStyle w:val="BodyText"/>
        <w:spacing w:line="290" w:lineRule="auto" w:before="58"/>
        <w:ind w:right="7474"/>
        <w:jc w:val="left"/>
      </w:pPr>
      <w:r>
        <w:rPr/>
        <w:t>□适用</w:t>
      </w:r>
      <w:r>
        <w:rPr>
          <w:spacing w:val="-1"/>
        </w:rPr>
        <w:t> </w:t>
      </w:r>
      <w:r>
        <w:rPr/>
        <w:t>√不适用</w:t>
      </w:r>
      <w:r>
        <w:rPr>
          <w:w w:val="100"/>
        </w:rPr>
        <w:t> </w:t>
      </w:r>
      <w:r>
        <w:rPr/>
        <w:t>其他说明：</w:t>
      </w:r>
    </w:p>
    <w:p>
      <w:pPr>
        <w:pStyle w:val="BodyText"/>
        <w:spacing w:line="240" w:lineRule="auto" w:before="14"/>
        <w:ind w:right="2757"/>
        <w:jc w:val="left"/>
      </w:pPr>
      <w:r>
        <w:rPr/>
        <w:t>□适用</w:t>
      </w:r>
      <w:r>
        <w:rPr>
          <w:spacing w:val="-1"/>
        </w:rPr>
        <w:t> </w:t>
      </w:r>
      <w:r>
        <w:rPr/>
        <w:t>√不适用</w:t>
      </w:r>
    </w:p>
    <w:p>
      <w:pPr>
        <w:spacing w:line="240" w:lineRule="auto" w:before="11"/>
        <w:rPr>
          <w:rFonts w:ascii="宋体" w:hAnsi="宋体" w:cs="宋体" w:eastAsia="宋体" w:hint="default"/>
          <w:sz w:val="29"/>
          <w:szCs w:val="29"/>
        </w:rPr>
      </w:pPr>
    </w:p>
    <w:p>
      <w:pPr>
        <w:pStyle w:val="Heading3"/>
        <w:spacing w:line="240" w:lineRule="auto"/>
        <w:ind w:right="2757"/>
        <w:jc w:val="left"/>
        <w:rPr>
          <w:b w:val="0"/>
          <w:bCs w:val="0"/>
        </w:rPr>
      </w:pPr>
      <w:r>
        <w:rPr>
          <w:rFonts w:ascii="宋体" w:hAnsi="宋体" w:cs="宋体" w:eastAsia="宋体" w:hint="default"/>
        </w:rPr>
        <w:t>52</w:t>
      </w:r>
      <w:r>
        <w:rPr/>
        <w:t>、</w:t>
      </w:r>
      <w:r>
        <w:rPr>
          <w:spacing w:val="-24"/>
        </w:rPr>
        <w:t> </w:t>
      </w:r>
      <w:r>
        <w:rPr/>
        <w:t>其他非流动负债</w:t>
      </w:r>
      <w:r>
        <w:rPr>
          <w:b w:val="0"/>
          <w:bCs w:val="0"/>
        </w:rPr>
      </w:r>
    </w:p>
    <w:p>
      <w:pPr>
        <w:pStyle w:val="BodyText"/>
        <w:spacing w:line="240" w:lineRule="auto" w:before="56"/>
        <w:ind w:right="2757"/>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0" w:footer="1195" w:top="1320" w:bottom="1380" w:left="1580" w:right="1040"/>
        </w:sectPr>
      </w:pPr>
    </w:p>
    <w:p>
      <w:pPr>
        <w:pStyle w:val="Heading3"/>
        <w:spacing w:line="240" w:lineRule="auto" w:before="36"/>
        <w:ind w:right="-18"/>
        <w:jc w:val="left"/>
        <w:rPr>
          <w:b w:val="0"/>
          <w:bCs w:val="0"/>
        </w:rPr>
      </w:pPr>
      <w:r>
        <w:rPr>
          <w:rFonts w:ascii="宋体" w:hAnsi="宋体" w:cs="宋体" w:eastAsia="宋体" w:hint="default"/>
        </w:rPr>
        <w:t>53</w:t>
      </w:r>
      <w:r>
        <w:rPr/>
        <w:t>、</w:t>
      </w:r>
      <w:r>
        <w:rPr>
          <w:spacing w:val="-26"/>
        </w:rPr>
        <w:t> </w:t>
      </w:r>
      <w:r>
        <w:rPr/>
        <w:t>股本</w:t>
      </w:r>
      <w:r>
        <w:rPr>
          <w:b w:val="0"/>
          <w:bCs w:val="0"/>
        </w:rPr>
      </w:r>
    </w:p>
    <w:p>
      <w:pPr>
        <w:pStyle w:val="BodyText"/>
        <w:spacing w:line="240" w:lineRule="auto" w:before="56"/>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000" w:bottom="280" w:left="1580" w:right="1040"/>
          <w:cols w:num="2" w:equalWidth="0">
            <w:col w:w="1795" w:space="4726"/>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761"/>
        <w:gridCol w:w="1580"/>
        <w:gridCol w:w="1582"/>
        <w:gridCol w:w="602"/>
        <w:gridCol w:w="675"/>
        <w:gridCol w:w="689"/>
        <w:gridCol w:w="1582"/>
        <w:gridCol w:w="1579"/>
      </w:tblGrid>
      <w:tr>
        <w:trPr>
          <w:trHeight w:val="283" w:hRule="exact"/>
        </w:trPr>
        <w:tc>
          <w:tcPr>
            <w:tcW w:w="761" w:type="dxa"/>
            <w:vMerge w:val="restart"/>
            <w:tcBorders>
              <w:top w:val="single" w:sz="4" w:space="0" w:color="000000"/>
              <w:left w:val="single" w:sz="4" w:space="0" w:color="000000"/>
              <w:right w:val="single" w:sz="4" w:space="0" w:color="000000"/>
            </w:tcBorders>
          </w:tcPr>
          <w:p>
            <w:pPr/>
          </w:p>
        </w:tc>
        <w:tc>
          <w:tcPr>
            <w:tcW w:w="1580"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36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513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54"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宋体" w:hAnsi="宋体" w:cs="宋体" w:eastAsia="宋体" w:hint="default"/>
                <w:sz w:val="21"/>
                <w:szCs w:val="21"/>
              </w:rPr>
              <w:t>+</w:t>
            </w:r>
            <w:r>
              <w:rPr>
                <w:rFonts w:ascii="宋体" w:hAnsi="宋体" w:cs="宋体" w:eastAsia="宋体" w:hint="default"/>
                <w:sz w:val="21"/>
                <w:szCs w:val="21"/>
              </w:rPr>
              <w:t>、一）</w:t>
            </w:r>
          </w:p>
        </w:tc>
        <w:tc>
          <w:tcPr>
            <w:tcW w:w="1579"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362"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826" w:hRule="exact"/>
        </w:trPr>
        <w:tc>
          <w:tcPr>
            <w:tcW w:w="761" w:type="dxa"/>
            <w:vMerge/>
            <w:tcBorders>
              <w:left w:val="single" w:sz="4" w:space="0" w:color="000000"/>
              <w:bottom w:val="single" w:sz="4" w:space="0" w:color="000000"/>
              <w:right w:val="single" w:sz="4" w:space="0" w:color="000000"/>
            </w:tcBorders>
          </w:tcPr>
          <w:p>
            <w:pPr/>
          </w:p>
        </w:tc>
        <w:tc>
          <w:tcPr>
            <w:tcW w:w="1580" w:type="dxa"/>
            <w:vMerge/>
            <w:tcBorders>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575" w:right="571"/>
              <w:jc w:val="center"/>
              <w:rPr>
                <w:rFonts w:ascii="宋体" w:hAnsi="宋体" w:cs="宋体" w:eastAsia="宋体" w:hint="default"/>
                <w:sz w:val="21"/>
                <w:szCs w:val="21"/>
              </w:rPr>
            </w:pPr>
            <w:r>
              <w:rPr>
                <w:rFonts w:ascii="宋体" w:hAnsi="宋体" w:cs="宋体" w:eastAsia="宋体" w:hint="default"/>
                <w:sz w:val="21"/>
                <w:szCs w:val="21"/>
              </w:rPr>
              <w:t>发行</w:t>
            </w:r>
            <w:r>
              <w:rPr>
                <w:rFonts w:ascii="宋体" w:hAnsi="宋体" w:cs="宋体" w:eastAsia="宋体" w:hint="default"/>
                <w:w w:val="100"/>
                <w:sz w:val="21"/>
                <w:szCs w:val="21"/>
              </w:rPr>
              <w:t> </w:t>
            </w:r>
            <w:r>
              <w:rPr>
                <w:rFonts w:ascii="宋体" w:hAnsi="宋体" w:cs="宋体" w:eastAsia="宋体" w:hint="default"/>
                <w:sz w:val="21"/>
                <w:szCs w:val="21"/>
              </w:rPr>
              <w:t>新股</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89" w:right="191"/>
              <w:jc w:val="left"/>
              <w:rPr>
                <w:rFonts w:ascii="宋体" w:hAnsi="宋体" w:cs="宋体" w:eastAsia="宋体" w:hint="default"/>
                <w:sz w:val="21"/>
                <w:szCs w:val="21"/>
              </w:rPr>
            </w:pPr>
            <w:r>
              <w:rPr>
                <w:rFonts w:ascii="宋体" w:hAnsi="宋体" w:cs="宋体" w:eastAsia="宋体" w:hint="default"/>
                <w:sz w:val="21"/>
                <w:szCs w:val="21"/>
              </w:rPr>
              <w:t>送</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公积</w:t>
            </w:r>
          </w:p>
          <w:p>
            <w:pPr>
              <w:pStyle w:val="TableParagraph"/>
              <w:spacing w:line="240" w:lineRule="auto"/>
              <w:ind w:left="119" w:right="120"/>
              <w:jc w:val="center"/>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转股</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9"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579" w:type="dxa"/>
            <w:vMerge/>
            <w:tcBorders>
              <w:left w:val="single" w:sz="4" w:space="0" w:color="000000"/>
              <w:bottom w:val="single" w:sz="4" w:space="0" w:color="000000"/>
              <w:right w:val="single" w:sz="4" w:space="0" w:color="000000"/>
            </w:tcBorders>
          </w:tcPr>
          <w:p>
            <w:pPr/>
          </w:p>
        </w:tc>
      </w:tr>
      <w:tr>
        <w:trPr>
          <w:trHeight w:val="557" w:hRule="exact"/>
        </w:trPr>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5" w:right="0"/>
              <w:jc w:val="left"/>
              <w:rPr>
                <w:rFonts w:ascii="宋体" w:hAnsi="宋体" w:cs="宋体" w:eastAsia="宋体" w:hint="default"/>
                <w:sz w:val="21"/>
                <w:szCs w:val="21"/>
              </w:rPr>
            </w:pPr>
            <w:r>
              <w:rPr>
                <w:rFonts w:ascii="宋体" w:hAnsi="宋体" w:cs="宋体" w:eastAsia="宋体" w:hint="default"/>
                <w:sz w:val="21"/>
                <w:szCs w:val="21"/>
              </w:rPr>
              <w:t>股份</w:t>
            </w:r>
          </w:p>
          <w:p>
            <w:pPr>
              <w:pStyle w:val="TableParagraph"/>
              <w:spacing w:line="273" w:lineRule="exact"/>
              <w:ind w:left="165" w:right="0"/>
              <w:jc w:val="left"/>
              <w:rPr>
                <w:rFonts w:ascii="宋体" w:hAnsi="宋体" w:cs="宋体" w:eastAsia="宋体" w:hint="default"/>
                <w:sz w:val="21"/>
                <w:szCs w:val="21"/>
              </w:rPr>
            </w:pPr>
            <w:r>
              <w:rPr>
                <w:rFonts w:ascii="宋体" w:hAnsi="宋体" w:cs="宋体" w:eastAsia="宋体" w:hint="default"/>
                <w:sz w:val="21"/>
                <w:szCs w:val="21"/>
              </w:rPr>
              <w:t>总数</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63,140,000.00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22,727,000.00</w:t>
            </w:r>
          </w:p>
        </w:tc>
        <w:tc>
          <w:tcPr>
            <w:tcW w:w="602"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sz w:val="21"/>
              </w:rPr>
              <w:t>22,727,000.00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85,867,000.00</w:t>
            </w:r>
          </w:p>
        </w:tc>
      </w:tr>
    </w:tbl>
    <w:p>
      <w:pPr>
        <w:pStyle w:val="BodyText"/>
        <w:spacing w:line="240" w:lineRule="auto" w:before="26"/>
        <w:ind w:right="2757"/>
        <w:jc w:val="left"/>
      </w:pPr>
      <w:r>
        <w:rPr/>
        <w:t>其他说明：</w:t>
      </w:r>
    </w:p>
    <w:p>
      <w:pPr>
        <w:pStyle w:val="BodyText"/>
        <w:spacing w:line="237" w:lineRule="auto" w:before="59"/>
        <w:ind w:right="228" w:firstLine="419"/>
        <w:jc w:val="both"/>
      </w:pPr>
      <w:r>
        <w:rPr>
          <w:spacing w:val="-5"/>
        </w:rPr>
        <w:t>（</w:t>
      </w:r>
      <w:r>
        <w:rPr>
          <w:rFonts w:ascii="宋体" w:hAnsi="宋体" w:cs="宋体" w:eastAsia="宋体" w:hint="default"/>
          <w:spacing w:val="-5"/>
        </w:rPr>
        <w:t>1</w:t>
      </w:r>
      <w:r>
        <w:rPr>
          <w:spacing w:val="-5"/>
        </w:rPr>
        <w:t>）</w:t>
      </w:r>
      <w:r>
        <w:rPr>
          <w:rFonts w:ascii="宋体" w:hAnsi="宋体" w:cs="宋体" w:eastAsia="宋体" w:hint="default"/>
          <w:spacing w:val="-5"/>
        </w:rPr>
        <w:t>2017</w:t>
      </w:r>
      <w:r>
        <w:rPr>
          <w:rFonts w:ascii="宋体" w:hAnsi="宋体" w:cs="宋体" w:eastAsia="宋体" w:hint="default"/>
          <w:spacing w:val="-46"/>
        </w:rPr>
        <w:t> </w:t>
      </w:r>
      <w:r>
        <w:rPr/>
        <w:t>年</w:t>
      </w:r>
      <w:r>
        <w:rPr>
          <w:spacing w:val="-44"/>
        </w:rPr>
        <w:t> </w:t>
      </w:r>
      <w:r>
        <w:rPr>
          <w:rFonts w:ascii="宋体" w:hAnsi="宋体" w:cs="宋体" w:eastAsia="宋体" w:hint="default"/>
        </w:rPr>
        <w:t>4</w:t>
      </w:r>
      <w:r>
        <w:rPr>
          <w:rFonts w:ascii="宋体" w:hAnsi="宋体" w:cs="宋体" w:eastAsia="宋体" w:hint="default"/>
          <w:spacing w:val="-46"/>
        </w:rPr>
        <w:t> </w:t>
      </w:r>
      <w:r>
        <w:rPr>
          <w:spacing w:val="-4"/>
        </w:rPr>
        <w:t>月经中国证券监督管理委员会证监许可〔</w:t>
      </w:r>
      <w:r>
        <w:rPr>
          <w:rFonts w:ascii="宋体" w:hAnsi="宋体" w:cs="宋体" w:eastAsia="宋体" w:hint="default"/>
          <w:spacing w:val="-4"/>
        </w:rPr>
        <w:t>2017</w:t>
      </w:r>
      <w:r>
        <w:rPr>
          <w:spacing w:val="-4"/>
        </w:rPr>
        <w:t>〕</w:t>
      </w:r>
      <w:r>
        <w:rPr>
          <w:rFonts w:ascii="宋体" w:hAnsi="宋体" w:cs="宋体" w:eastAsia="宋体" w:hint="default"/>
          <w:spacing w:val="-4"/>
        </w:rPr>
        <w:t>615</w:t>
      </w:r>
      <w:r>
        <w:rPr>
          <w:rFonts w:ascii="宋体" w:hAnsi="宋体" w:cs="宋体" w:eastAsia="宋体" w:hint="default"/>
          <w:spacing w:val="-44"/>
        </w:rPr>
        <w:t> </w:t>
      </w:r>
      <w:r>
        <w:rPr/>
        <w:t>号“关于核准福建顶点软</w:t>
      </w:r>
      <w:r>
        <w:rPr>
          <w:w w:val="100"/>
        </w:rPr>
        <w:t> </w:t>
      </w:r>
      <w:r>
        <w:rPr/>
        <w:t>件股份有限公司首次公开发行股票的批复”核准，本公司向社会公众发行人民币普通股（</w:t>
      </w:r>
      <w:r>
        <w:rPr>
          <w:rFonts w:ascii="宋体" w:hAnsi="宋体" w:cs="宋体" w:eastAsia="宋体" w:hint="default"/>
        </w:rPr>
        <w:t>A</w:t>
      </w:r>
      <w:r>
        <w:rPr>
          <w:rFonts w:ascii="宋体" w:hAnsi="宋体" w:cs="宋体" w:eastAsia="宋体" w:hint="default"/>
          <w:spacing w:val="-56"/>
        </w:rPr>
        <w:t> </w:t>
      </w:r>
      <w:r>
        <w:rPr/>
        <w:t>股）</w:t>
      </w:r>
      <w:r>
        <w:rPr>
          <w:w w:val="100"/>
        </w:rPr>
        <w:t> </w:t>
      </w:r>
      <w:r>
        <w:rPr>
          <w:rFonts w:ascii="宋体" w:hAnsi="宋体" w:cs="宋体" w:eastAsia="宋体" w:hint="default"/>
        </w:rPr>
        <w:t>2,105</w:t>
      </w:r>
      <w:r>
        <w:rPr>
          <w:rFonts w:ascii="宋体" w:hAnsi="宋体" w:cs="宋体" w:eastAsia="宋体" w:hint="default"/>
          <w:spacing w:val="-55"/>
        </w:rPr>
        <w:t> </w:t>
      </w:r>
      <w:r>
        <w:rPr/>
        <w:t>万股，每股面值</w:t>
      </w:r>
      <w:r>
        <w:rPr>
          <w:spacing w:val="-52"/>
        </w:rPr>
        <w:t> </w:t>
      </w:r>
      <w:r>
        <w:rPr>
          <w:rFonts w:ascii="宋体" w:hAnsi="宋体" w:cs="宋体" w:eastAsia="宋体" w:hint="default"/>
        </w:rPr>
        <w:t>1</w:t>
      </w:r>
      <w:r>
        <w:rPr>
          <w:rFonts w:ascii="宋体" w:hAnsi="宋体" w:cs="宋体" w:eastAsia="宋体" w:hint="default"/>
          <w:spacing w:val="-55"/>
        </w:rPr>
        <w:t> </w:t>
      </w:r>
      <w:r>
        <w:rPr/>
        <w:t>元，每股发行价为</w:t>
      </w:r>
      <w:r>
        <w:rPr>
          <w:spacing w:val="-53"/>
        </w:rPr>
        <w:t> </w:t>
      </w:r>
      <w:r>
        <w:rPr>
          <w:rFonts w:ascii="宋体" w:hAnsi="宋体" w:cs="宋体" w:eastAsia="宋体" w:hint="default"/>
        </w:rPr>
        <w:t>19.05</w:t>
      </w:r>
      <w:r>
        <w:rPr>
          <w:rFonts w:ascii="宋体" w:hAnsi="宋体" w:cs="宋体" w:eastAsia="宋体" w:hint="default"/>
          <w:spacing w:val="-55"/>
        </w:rPr>
        <w:t> </w:t>
      </w:r>
      <w:r>
        <w:rPr/>
        <w:t>元。上述增资已经致同会计师事务所（特殊普</w:t>
      </w:r>
    </w:p>
    <w:p>
      <w:pPr>
        <w:spacing w:after="0" w:line="237" w:lineRule="auto"/>
        <w:jc w:val="both"/>
        <w:sectPr>
          <w:type w:val="continuous"/>
          <w:pgSz w:w="11910" w:h="16840"/>
          <w:pgMar w:top="1000" w:bottom="280" w:left="1580" w:right="1040"/>
        </w:sectPr>
      </w:pPr>
    </w:p>
    <w:p>
      <w:pPr>
        <w:spacing w:line="240" w:lineRule="auto" w:before="4"/>
        <w:rPr>
          <w:rFonts w:ascii="宋体" w:hAnsi="宋体" w:cs="宋体" w:eastAsia="宋体" w:hint="default"/>
          <w:sz w:val="9"/>
          <w:szCs w:val="9"/>
        </w:rPr>
      </w:pPr>
    </w:p>
    <w:p>
      <w:pPr>
        <w:pStyle w:val="BodyText"/>
        <w:spacing w:line="274" w:lineRule="exact" w:before="36"/>
        <w:ind w:left="138" w:right="0"/>
        <w:jc w:val="left"/>
      </w:pPr>
      <w:r>
        <w:rPr>
          <w:spacing w:val="-9"/>
        </w:rPr>
        <w:t>通合伙）审验，并于</w:t>
      </w:r>
      <w:r>
        <w:rPr>
          <w:spacing w:val="-47"/>
        </w:rPr>
        <w:t> </w:t>
      </w:r>
      <w:r>
        <w:rPr>
          <w:rFonts w:ascii="宋体" w:hAnsi="宋体" w:cs="宋体" w:eastAsia="宋体" w:hint="default"/>
        </w:rPr>
        <w:t>2017</w:t>
      </w:r>
      <w:r>
        <w:rPr>
          <w:rFonts w:ascii="宋体" w:hAnsi="宋体" w:cs="宋体" w:eastAsia="宋体" w:hint="default"/>
          <w:spacing w:val="-49"/>
        </w:rPr>
        <w:t> </w:t>
      </w:r>
      <w:r>
        <w:rPr/>
        <w:t>年</w:t>
      </w:r>
      <w:r>
        <w:rPr>
          <w:spacing w:val="-47"/>
        </w:rPr>
        <w:t> </w:t>
      </w:r>
      <w:r>
        <w:rPr>
          <w:rFonts w:ascii="宋体" w:hAnsi="宋体" w:cs="宋体" w:eastAsia="宋体" w:hint="default"/>
        </w:rPr>
        <w:t>5</w:t>
      </w:r>
      <w:r>
        <w:rPr>
          <w:rFonts w:ascii="宋体" w:hAnsi="宋体" w:cs="宋体" w:eastAsia="宋体" w:hint="default"/>
          <w:spacing w:val="-49"/>
        </w:rPr>
        <w:t> </w:t>
      </w:r>
      <w:r>
        <w:rPr/>
        <w:t>月</w:t>
      </w:r>
      <w:r>
        <w:rPr>
          <w:spacing w:val="-47"/>
        </w:rPr>
        <w:t> </w:t>
      </w:r>
      <w:r>
        <w:rPr>
          <w:rFonts w:ascii="宋体" w:hAnsi="宋体" w:cs="宋体" w:eastAsia="宋体" w:hint="default"/>
        </w:rPr>
        <w:t>16</w:t>
      </w:r>
      <w:r>
        <w:rPr>
          <w:rFonts w:ascii="宋体" w:hAnsi="宋体" w:cs="宋体" w:eastAsia="宋体" w:hint="default"/>
          <w:spacing w:val="-49"/>
        </w:rPr>
        <w:t> </w:t>
      </w:r>
      <w:r>
        <w:rPr>
          <w:spacing w:val="-6"/>
        </w:rPr>
        <w:t>日出具“致同验字（</w:t>
      </w:r>
      <w:r>
        <w:rPr>
          <w:rFonts w:ascii="宋体" w:hAnsi="宋体" w:cs="宋体" w:eastAsia="宋体" w:hint="default"/>
          <w:spacing w:val="-6"/>
        </w:rPr>
        <w:t>2017</w:t>
      </w:r>
      <w:r>
        <w:rPr>
          <w:spacing w:val="-6"/>
        </w:rPr>
        <w:t>）第</w:t>
      </w:r>
      <w:r>
        <w:rPr>
          <w:spacing w:val="-49"/>
        </w:rPr>
        <w:t> </w:t>
      </w:r>
      <w:r>
        <w:rPr>
          <w:rFonts w:ascii="宋体" w:hAnsi="宋体" w:cs="宋体" w:eastAsia="宋体" w:hint="default"/>
        </w:rPr>
        <w:t>350ZA0022</w:t>
      </w:r>
      <w:r>
        <w:rPr>
          <w:rFonts w:ascii="宋体" w:hAnsi="宋体" w:cs="宋体" w:eastAsia="宋体" w:hint="default"/>
          <w:spacing w:val="-47"/>
        </w:rPr>
        <w:t> </w:t>
      </w:r>
      <w:r>
        <w:rPr>
          <w:spacing w:val="-9"/>
        </w:rPr>
        <w:t>号”《验资报告》；</w:t>
      </w:r>
    </w:p>
    <w:p>
      <w:pPr>
        <w:pStyle w:val="BodyText"/>
        <w:spacing w:line="286" w:lineRule="exact"/>
        <w:ind w:left="138" w:right="0"/>
        <w:jc w:val="left"/>
      </w:pPr>
      <w:r>
        <w:rPr/>
        <w:t>（</w:t>
      </w:r>
      <w:r>
        <w:rPr>
          <w:rFonts w:ascii="Calibri" w:hAnsi="Calibri" w:cs="Calibri" w:eastAsia="Calibri" w:hint="default"/>
        </w:rPr>
        <w:t>2</w:t>
      </w:r>
      <w:r>
        <w:rPr/>
        <w:t>）</w:t>
      </w:r>
      <w:r>
        <w:rPr>
          <w:rFonts w:ascii="Calibri" w:hAnsi="Calibri" w:cs="Calibri" w:eastAsia="Calibri" w:hint="default"/>
        </w:rPr>
        <w:t>2017  </w:t>
      </w:r>
      <w:r>
        <w:rPr/>
        <w:t>年 </w:t>
      </w:r>
      <w:r>
        <w:rPr>
          <w:rFonts w:ascii="Calibri" w:hAnsi="Calibri" w:cs="Calibri" w:eastAsia="Calibri" w:hint="default"/>
        </w:rPr>
        <w:t>7  </w:t>
      </w:r>
      <w:r>
        <w:rPr/>
        <w:t>月 </w:t>
      </w:r>
      <w:r>
        <w:rPr>
          <w:rFonts w:ascii="Calibri" w:hAnsi="Calibri" w:cs="Calibri" w:eastAsia="Calibri" w:hint="default"/>
        </w:rPr>
        <w:t>26  </w:t>
      </w:r>
      <w:r>
        <w:rPr/>
        <w:t>日召开 </w:t>
      </w:r>
      <w:r>
        <w:rPr>
          <w:rFonts w:ascii="Calibri" w:hAnsi="Calibri" w:cs="Calibri" w:eastAsia="Calibri" w:hint="default"/>
        </w:rPr>
        <w:t>2017 </w:t>
      </w:r>
      <w:r>
        <w:rPr>
          <w:rFonts w:ascii="Calibri" w:hAnsi="Calibri" w:cs="Calibri" w:eastAsia="Calibri" w:hint="default"/>
          <w:spacing w:val="23"/>
        </w:rPr>
        <w:t> </w:t>
      </w:r>
      <w:r>
        <w:rPr/>
        <w:t>年第三次临时股东大会审议通过了股票激励计划相关议案，</w:t>
      </w:r>
    </w:p>
    <w:p>
      <w:pPr>
        <w:pStyle w:val="BodyText"/>
        <w:spacing w:line="272" w:lineRule="exact"/>
        <w:ind w:left="138" w:right="0"/>
        <w:jc w:val="left"/>
      </w:pPr>
      <w:r>
        <w:rPr/>
        <w:t>确定授予</w:t>
      </w:r>
      <w:r>
        <w:rPr>
          <w:spacing w:val="5"/>
        </w:rPr>
        <w:t> </w:t>
      </w:r>
      <w:r>
        <w:rPr>
          <w:rFonts w:ascii="Calibri" w:hAnsi="Calibri" w:cs="Calibri" w:eastAsia="Calibri" w:hint="default"/>
        </w:rPr>
        <w:t>134 </w:t>
      </w:r>
      <w:r>
        <w:rPr>
          <w:rFonts w:ascii="Calibri" w:hAnsi="Calibri" w:cs="Calibri" w:eastAsia="Calibri" w:hint="default"/>
          <w:spacing w:val="16"/>
        </w:rPr>
        <w:t> </w:t>
      </w:r>
      <w:r>
        <w:rPr/>
        <w:t>名激励对象</w:t>
      </w:r>
      <w:r>
        <w:rPr>
          <w:spacing w:val="5"/>
        </w:rPr>
        <w:t> </w:t>
      </w:r>
      <w:r>
        <w:rPr>
          <w:rFonts w:ascii="Calibri" w:hAnsi="Calibri" w:cs="Calibri" w:eastAsia="Calibri" w:hint="default"/>
        </w:rPr>
        <w:t>167.70</w:t>
      </w:r>
      <w:r>
        <w:rPr>
          <w:rFonts w:ascii="Calibri" w:hAnsi="Calibri" w:cs="Calibri" w:eastAsia="Calibri" w:hint="default"/>
          <w:spacing w:val="9"/>
        </w:rPr>
        <w:t> </w:t>
      </w:r>
      <w:r>
        <w:rPr>
          <w:spacing w:val="-3"/>
        </w:rPr>
        <w:t>万股限制性股票，股票面值</w:t>
      </w:r>
      <w:r>
        <w:rPr>
          <w:spacing w:val="-52"/>
        </w:rPr>
        <w:t> </w:t>
      </w:r>
      <w:r>
        <w:rPr>
          <w:rFonts w:ascii="Calibri" w:hAnsi="Calibri" w:cs="Calibri" w:eastAsia="Calibri" w:hint="default"/>
        </w:rPr>
        <w:t>1</w:t>
      </w:r>
      <w:r>
        <w:rPr>
          <w:rFonts w:ascii="Calibri" w:hAnsi="Calibri" w:cs="Calibri" w:eastAsia="Calibri" w:hint="default"/>
          <w:spacing w:val="9"/>
        </w:rPr>
        <w:t> </w:t>
      </w:r>
      <w:r>
        <w:rPr>
          <w:spacing w:val="-4"/>
        </w:rPr>
        <w:t>元，授予价格为</w:t>
      </w:r>
      <w:r>
        <w:rPr>
          <w:spacing w:val="-49"/>
        </w:rPr>
        <w:t> </w:t>
      </w:r>
      <w:r>
        <w:rPr>
          <w:rFonts w:ascii="Calibri" w:hAnsi="Calibri" w:cs="Calibri" w:eastAsia="Calibri" w:hint="default"/>
        </w:rPr>
        <w:t>22.96</w:t>
      </w:r>
      <w:r>
        <w:rPr>
          <w:rFonts w:ascii="Calibri" w:hAnsi="Calibri" w:cs="Calibri" w:eastAsia="Calibri" w:hint="default"/>
          <w:spacing w:val="7"/>
        </w:rPr>
        <w:t> </w:t>
      </w:r>
      <w:r>
        <w:rPr>
          <w:spacing w:val="-4"/>
        </w:rPr>
        <w:t>元</w:t>
      </w:r>
      <w:r>
        <w:rPr>
          <w:rFonts w:ascii="Calibri" w:hAnsi="Calibri" w:cs="Calibri" w:eastAsia="Calibri" w:hint="default"/>
          <w:spacing w:val="-4"/>
        </w:rPr>
        <w:t>/</w:t>
      </w:r>
      <w:r>
        <w:rPr>
          <w:spacing w:val="-4"/>
        </w:rPr>
        <w:t>股。上</w:t>
      </w:r>
    </w:p>
    <w:p>
      <w:pPr>
        <w:pStyle w:val="BodyText"/>
        <w:spacing w:line="272" w:lineRule="exact" w:before="13"/>
        <w:ind w:left="138" w:right="208"/>
        <w:jc w:val="left"/>
      </w:pPr>
      <w:r>
        <w:rPr>
          <w:w w:val="100"/>
        </w:rPr>
        <w:t>述增</w:t>
      </w:r>
      <w:r>
        <w:rPr>
          <w:spacing w:val="-3"/>
          <w:w w:val="100"/>
        </w:rPr>
        <w:t>资</w:t>
      </w:r>
      <w:r>
        <w:rPr>
          <w:w w:val="100"/>
        </w:rPr>
        <w:t>已</w:t>
      </w:r>
      <w:r>
        <w:rPr>
          <w:spacing w:val="-3"/>
          <w:w w:val="100"/>
        </w:rPr>
        <w:t>经</w:t>
      </w:r>
      <w:r>
        <w:rPr>
          <w:w w:val="100"/>
        </w:rPr>
        <w:t>致</w:t>
      </w:r>
      <w:r>
        <w:rPr>
          <w:spacing w:val="-3"/>
          <w:w w:val="100"/>
        </w:rPr>
        <w:t>同</w:t>
      </w:r>
      <w:r>
        <w:rPr>
          <w:w w:val="100"/>
        </w:rPr>
        <w:t>会</w:t>
      </w:r>
      <w:r>
        <w:rPr>
          <w:spacing w:val="-3"/>
          <w:w w:val="100"/>
        </w:rPr>
        <w:t>计</w:t>
      </w:r>
      <w:r>
        <w:rPr>
          <w:w w:val="100"/>
        </w:rPr>
        <w:t>师</w:t>
      </w:r>
      <w:r>
        <w:rPr>
          <w:spacing w:val="-3"/>
          <w:w w:val="100"/>
        </w:rPr>
        <w:t>事</w:t>
      </w:r>
      <w:r>
        <w:rPr>
          <w:w w:val="100"/>
        </w:rPr>
        <w:t>务</w:t>
      </w:r>
      <w:r>
        <w:rPr>
          <w:spacing w:val="-106"/>
          <w:w w:val="100"/>
        </w:rPr>
        <w:t>所</w:t>
      </w:r>
      <w:r>
        <w:rPr>
          <w:spacing w:val="-3"/>
          <w:w w:val="100"/>
        </w:rPr>
        <w:t>（</w:t>
      </w:r>
      <w:r>
        <w:rPr>
          <w:w w:val="100"/>
        </w:rPr>
        <w:t>特</w:t>
      </w:r>
      <w:r>
        <w:rPr>
          <w:spacing w:val="-3"/>
          <w:w w:val="100"/>
        </w:rPr>
        <w:t>殊</w:t>
      </w:r>
      <w:r>
        <w:rPr>
          <w:w w:val="100"/>
        </w:rPr>
        <w:t>普</w:t>
      </w:r>
      <w:r>
        <w:rPr>
          <w:spacing w:val="-3"/>
          <w:w w:val="100"/>
        </w:rPr>
        <w:t>通</w:t>
      </w:r>
      <w:r>
        <w:rPr>
          <w:w w:val="100"/>
        </w:rPr>
        <w:t>合伙</w:t>
      </w:r>
      <w:r>
        <w:rPr>
          <w:spacing w:val="-108"/>
          <w:w w:val="100"/>
        </w:rPr>
        <w:t>）</w:t>
      </w:r>
      <w:r>
        <w:rPr>
          <w:w w:val="100"/>
        </w:rPr>
        <w:t>审</w:t>
      </w:r>
      <w:r>
        <w:rPr>
          <w:spacing w:val="-3"/>
          <w:w w:val="100"/>
        </w:rPr>
        <w:t>验</w:t>
      </w:r>
      <w:r>
        <w:rPr>
          <w:spacing w:val="-108"/>
          <w:w w:val="100"/>
        </w:rPr>
        <w:t>，</w:t>
      </w:r>
      <w:r>
        <w:rPr>
          <w:w w:val="100"/>
        </w:rPr>
        <w:t>并于</w:t>
      </w:r>
      <w:r>
        <w:rPr>
          <w:spacing w:val="-69"/>
        </w:rPr>
        <w:t> </w:t>
      </w:r>
      <w:r>
        <w:rPr>
          <w:rFonts w:ascii="Calibri" w:hAnsi="Calibri" w:cs="Calibri" w:eastAsia="Calibri" w:hint="default"/>
          <w:spacing w:val="-2"/>
          <w:w w:val="100"/>
        </w:rPr>
        <w:t>2</w:t>
      </w:r>
      <w:r>
        <w:rPr>
          <w:rFonts w:ascii="Calibri" w:hAnsi="Calibri" w:cs="Calibri" w:eastAsia="Calibri" w:hint="default"/>
          <w:w w:val="100"/>
        </w:rPr>
        <w:t>0</w:t>
      </w:r>
      <w:r>
        <w:rPr>
          <w:rFonts w:ascii="Calibri" w:hAnsi="Calibri" w:cs="Calibri" w:eastAsia="Calibri" w:hint="default"/>
          <w:spacing w:val="-2"/>
          <w:w w:val="100"/>
        </w:rPr>
        <w:t>1</w:t>
      </w:r>
      <w:r>
        <w:rPr>
          <w:rFonts w:ascii="Calibri" w:hAnsi="Calibri" w:cs="Calibri" w:eastAsia="Calibri" w:hint="default"/>
          <w:w w:val="100"/>
        </w:rPr>
        <w:t>7</w:t>
      </w:r>
      <w:r>
        <w:rPr>
          <w:rFonts w:ascii="Calibri" w:hAnsi="Calibri" w:cs="Calibri" w:eastAsia="Calibri" w:hint="default"/>
          <w:spacing w:val="-11"/>
        </w:rPr>
        <w:t> </w:t>
      </w:r>
      <w:r>
        <w:rPr>
          <w:w w:val="100"/>
        </w:rPr>
        <w:t>年</w:t>
      </w:r>
      <w:r>
        <w:rPr>
          <w:spacing w:val="-69"/>
        </w:rPr>
        <w:t> </w:t>
      </w:r>
      <w:r>
        <w:rPr>
          <w:rFonts w:ascii="Calibri" w:hAnsi="Calibri" w:cs="Calibri" w:eastAsia="Calibri" w:hint="default"/>
          <w:w w:val="100"/>
        </w:rPr>
        <w:t>8</w:t>
      </w:r>
      <w:r>
        <w:rPr>
          <w:rFonts w:ascii="Calibri" w:hAnsi="Calibri" w:cs="Calibri" w:eastAsia="Calibri" w:hint="default"/>
          <w:spacing w:val="-11"/>
        </w:rPr>
        <w:t> </w:t>
      </w:r>
      <w:r>
        <w:rPr>
          <w:w w:val="100"/>
        </w:rPr>
        <w:t>月</w:t>
      </w:r>
      <w:r>
        <w:rPr>
          <w:spacing w:val="-69"/>
        </w:rPr>
        <w:t> </w:t>
      </w:r>
      <w:r>
        <w:rPr>
          <w:rFonts w:ascii="Calibri" w:hAnsi="Calibri" w:cs="Calibri" w:eastAsia="Calibri" w:hint="default"/>
          <w:spacing w:val="-2"/>
          <w:w w:val="100"/>
        </w:rPr>
        <w:t>1</w:t>
      </w:r>
      <w:r>
        <w:rPr>
          <w:rFonts w:ascii="Calibri" w:hAnsi="Calibri" w:cs="Calibri" w:eastAsia="Calibri" w:hint="default"/>
          <w:w w:val="100"/>
        </w:rPr>
        <w:t>8</w:t>
      </w:r>
      <w:r>
        <w:rPr>
          <w:rFonts w:ascii="Calibri" w:hAnsi="Calibri" w:cs="Calibri" w:eastAsia="Calibri" w:hint="default"/>
          <w:spacing w:val="-11"/>
        </w:rPr>
        <w:t> </w:t>
      </w:r>
      <w:r>
        <w:rPr>
          <w:w w:val="100"/>
        </w:rPr>
        <w:t>日</w:t>
      </w:r>
      <w:r>
        <w:rPr>
          <w:spacing w:val="-3"/>
          <w:w w:val="100"/>
        </w:rPr>
        <w:t>出</w:t>
      </w:r>
      <w:r>
        <w:rPr>
          <w:spacing w:val="-2"/>
          <w:w w:val="100"/>
        </w:rPr>
        <w:t>具</w:t>
      </w:r>
      <w:r>
        <w:rPr>
          <w:rFonts w:ascii="Calibri" w:hAnsi="Calibri" w:cs="Calibri" w:eastAsia="Calibri" w:hint="default"/>
          <w:w w:val="100"/>
        </w:rPr>
        <w:t>“</w:t>
      </w:r>
      <w:r>
        <w:rPr>
          <w:w w:val="100"/>
        </w:rPr>
        <w:t>致</w:t>
      </w:r>
      <w:r>
        <w:rPr>
          <w:spacing w:val="-3"/>
          <w:w w:val="100"/>
        </w:rPr>
        <w:t>同</w:t>
      </w:r>
      <w:r>
        <w:rPr>
          <w:w w:val="100"/>
        </w:rPr>
        <w:t>验</w:t>
      </w:r>
      <w:r>
        <w:rPr>
          <w:spacing w:val="-108"/>
          <w:w w:val="100"/>
        </w:rPr>
        <w:t>字</w:t>
      </w:r>
      <w:r>
        <w:rPr>
          <w:spacing w:val="-1"/>
          <w:w w:val="100"/>
        </w:rPr>
        <w:t>（</w:t>
      </w:r>
      <w:r>
        <w:rPr>
          <w:rFonts w:ascii="Calibri" w:hAnsi="Calibri" w:cs="Calibri" w:eastAsia="Calibri" w:hint="default"/>
          <w:spacing w:val="-2"/>
          <w:w w:val="100"/>
        </w:rPr>
        <w:t>20</w:t>
      </w:r>
      <w:r>
        <w:rPr>
          <w:rFonts w:ascii="Calibri" w:hAnsi="Calibri" w:cs="Calibri" w:eastAsia="Calibri" w:hint="default"/>
          <w:w w:val="100"/>
        </w:rPr>
        <w:t>1</w:t>
      </w:r>
      <w:r>
        <w:rPr>
          <w:rFonts w:ascii="Calibri" w:hAnsi="Calibri" w:cs="Calibri" w:eastAsia="Calibri" w:hint="default"/>
          <w:spacing w:val="-2"/>
          <w:w w:val="100"/>
        </w:rPr>
        <w:t>7</w:t>
      </w:r>
      <w:r>
        <w:rPr>
          <w:w w:val="100"/>
        </w:rPr>
        <w:t>） 第</w:t>
      </w:r>
      <w:r>
        <w:rPr>
          <w:spacing w:val="-53"/>
        </w:rPr>
        <w:t> </w:t>
      </w:r>
      <w:r>
        <w:rPr>
          <w:rFonts w:ascii="Calibri" w:hAnsi="Calibri" w:cs="Calibri" w:eastAsia="Calibri" w:hint="default"/>
          <w:spacing w:val="-2"/>
          <w:w w:val="100"/>
        </w:rPr>
        <w:t>35</w:t>
      </w:r>
      <w:r>
        <w:rPr>
          <w:rFonts w:ascii="Calibri" w:hAnsi="Calibri" w:cs="Calibri" w:eastAsia="Calibri" w:hint="default"/>
          <w:w w:val="100"/>
        </w:rPr>
        <w:t>1</w:t>
      </w:r>
      <w:r>
        <w:rPr>
          <w:rFonts w:ascii="Calibri" w:hAnsi="Calibri" w:cs="Calibri" w:eastAsia="Calibri" w:hint="default"/>
          <w:spacing w:val="-1"/>
          <w:w w:val="100"/>
        </w:rPr>
        <w:t>Z</w:t>
      </w:r>
      <w:r>
        <w:rPr>
          <w:rFonts w:ascii="Calibri" w:hAnsi="Calibri" w:cs="Calibri" w:eastAsia="Calibri" w:hint="default"/>
          <w:spacing w:val="-3"/>
          <w:w w:val="100"/>
        </w:rPr>
        <w:t>A</w:t>
      </w:r>
      <w:r>
        <w:rPr>
          <w:rFonts w:ascii="Calibri" w:hAnsi="Calibri" w:cs="Calibri" w:eastAsia="Calibri" w:hint="default"/>
          <w:spacing w:val="-2"/>
          <w:w w:val="100"/>
        </w:rPr>
        <w:t>0</w:t>
      </w:r>
      <w:r>
        <w:rPr>
          <w:rFonts w:ascii="Calibri" w:hAnsi="Calibri" w:cs="Calibri" w:eastAsia="Calibri" w:hint="default"/>
          <w:w w:val="100"/>
        </w:rPr>
        <w:t>0</w:t>
      </w:r>
      <w:r>
        <w:rPr>
          <w:rFonts w:ascii="Calibri" w:hAnsi="Calibri" w:cs="Calibri" w:eastAsia="Calibri" w:hint="default"/>
          <w:spacing w:val="-2"/>
          <w:w w:val="100"/>
        </w:rPr>
        <w:t>2</w:t>
      </w:r>
      <w:r>
        <w:rPr>
          <w:rFonts w:ascii="Calibri" w:hAnsi="Calibri" w:cs="Calibri" w:eastAsia="Calibri" w:hint="default"/>
          <w:w w:val="100"/>
        </w:rPr>
        <w:t>1</w:t>
      </w:r>
      <w:r>
        <w:rPr>
          <w:rFonts w:ascii="Calibri" w:hAnsi="Calibri" w:cs="Calibri" w:eastAsia="Calibri" w:hint="default"/>
          <w:spacing w:val="4"/>
        </w:rPr>
        <w:t> </w:t>
      </w:r>
      <w:r>
        <w:rPr>
          <w:w w:val="100"/>
        </w:rPr>
        <w:t>号</w:t>
      </w:r>
      <w:r>
        <w:rPr>
          <w:rFonts w:ascii="Calibri" w:hAnsi="Calibri" w:cs="Calibri" w:eastAsia="Calibri" w:hint="default"/>
          <w:spacing w:val="-2"/>
          <w:w w:val="100"/>
        </w:rPr>
        <w:t>”</w:t>
      </w:r>
      <w:r>
        <w:rPr>
          <w:w w:val="100"/>
        </w:rPr>
        <w:t>《验</w:t>
      </w:r>
      <w:r>
        <w:rPr>
          <w:spacing w:val="-3"/>
          <w:w w:val="100"/>
        </w:rPr>
        <w:t>资报</w:t>
      </w:r>
      <w:r>
        <w:rPr>
          <w:w w:val="100"/>
        </w:rPr>
        <w:t>告</w:t>
      </w:r>
      <w:r>
        <w:rPr>
          <w:spacing w:val="-106"/>
          <w:w w:val="100"/>
        </w:rPr>
        <w:t>》</w:t>
      </w:r>
      <w:r>
        <w:rPr>
          <w:w w:val="100"/>
        </w:rPr>
        <w:t>；</w:t>
      </w:r>
    </w:p>
    <w:p>
      <w:pPr>
        <w:spacing w:line="240" w:lineRule="auto" w:before="4"/>
        <w:rPr>
          <w:rFonts w:ascii="宋体" w:hAnsi="宋体" w:cs="宋体" w:eastAsia="宋体" w:hint="default"/>
          <w:sz w:val="23"/>
          <w:szCs w:val="23"/>
        </w:rPr>
      </w:pPr>
    </w:p>
    <w:p>
      <w:pPr>
        <w:pStyle w:val="Heading3"/>
        <w:spacing w:line="240" w:lineRule="auto"/>
        <w:ind w:left="138" w:right="0"/>
        <w:jc w:val="left"/>
        <w:rPr>
          <w:b w:val="0"/>
          <w:bCs w:val="0"/>
        </w:rPr>
      </w:pPr>
      <w:r>
        <w:rPr>
          <w:rFonts w:ascii="宋体" w:hAnsi="宋体" w:cs="宋体" w:eastAsia="宋体" w:hint="default"/>
        </w:rPr>
        <w:t>54</w:t>
      </w:r>
      <w:r>
        <w:rPr/>
        <w:t>、</w:t>
      </w:r>
      <w:r>
        <w:rPr>
          <w:spacing w:val="-24"/>
        </w:rPr>
        <w:t> </w:t>
      </w:r>
      <w:r>
        <w:rPr/>
        <w:t>其他权益工具</w:t>
      </w:r>
      <w:r>
        <w:rPr>
          <w:b w:val="0"/>
          <w:bCs w:val="0"/>
        </w:rPr>
      </w:r>
    </w:p>
    <w:p>
      <w:pPr>
        <w:pStyle w:val="Heading3"/>
        <w:spacing w:line="240" w:lineRule="auto" w:before="58"/>
        <w:ind w:left="138" w:right="0"/>
        <w:jc w:val="left"/>
        <w:rPr>
          <w:b w:val="0"/>
          <w:bCs w:val="0"/>
        </w:rPr>
      </w:pPr>
      <w:r>
        <w:rPr>
          <w:rFonts w:ascii="宋体" w:hAnsi="宋体" w:cs="宋体" w:eastAsia="宋体" w:hint="default"/>
        </w:rPr>
        <w:t>(1)</w:t>
      </w:r>
      <w:r>
        <w:rPr>
          <w:rFonts w:ascii="宋体" w:hAnsi="宋体" w:cs="宋体" w:eastAsia="宋体" w:hint="default"/>
          <w:spacing w:val="-2"/>
        </w:rPr>
        <w:t> </w:t>
      </w:r>
      <w:r>
        <w:rPr/>
        <w:t>期末发行在外的优先股、永续债等其他金融工具基本情况</w:t>
      </w:r>
      <w:r>
        <w:rPr>
          <w:b w:val="0"/>
          <w:bCs w:val="0"/>
        </w:rPr>
      </w:r>
    </w:p>
    <w:p>
      <w:pPr>
        <w:pStyle w:val="BodyText"/>
        <w:spacing w:line="240" w:lineRule="auto" w:before="56"/>
        <w:ind w:left="13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3"/>
        <w:spacing w:line="240" w:lineRule="auto"/>
        <w:ind w:left="138" w:right="0"/>
        <w:jc w:val="left"/>
        <w:rPr>
          <w:b w:val="0"/>
          <w:bCs w:val="0"/>
        </w:rPr>
      </w:pPr>
      <w:r>
        <w:rPr>
          <w:rFonts w:ascii="宋体" w:hAnsi="宋体" w:cs="宋体" w:eastAsia="宋体" w:hint="default"/>
        </w:rPr>
        <w:t>(2)</w:t>
      </w:r>
      <w:r>
        <w:rPr>
          <w:rFonts w:ascii="宋体" w:hAnsi="宋体" w:cs="宋体" w:eastAsia="宋体" w:hint="default"/>
          <w:spacing w:val="-2"/>
        </w:rPr>
        <w:t> </w:t>
      </w:r>
      <w:r>
        <w:rPr/>
        <w:t>期末发行在外的优先股、永续债等金融工具变动情况表</w:t>
      </w:r>
      <w:r>
        <w:rPr>
          <w:b w:val="0"/>
          <w:bCs w:val="0"/>
        </w:rPr>
      </w:r>
    </w:p>
    <w:p>
      <w:pPr>
        <w:pStyle w:val="BodyText"/>
        <w:spacing w:line="272" w:lineRule="exact" w:before="87"/>
        <w:ind w:left="138" w:right="1138"/>
        <w:jc w:val="left"/>
      </w:pPr>
      <w:r>
        <w:rPr/>
        <w:t>□适用</w:t>
      </w:r>
      <w:r>
        <w:rPr>
          <w:spacing w:val="-2"/>
        </w:rPr>
        <w:t> </w:t>
      </w:r>
      <w:r>
        <w:rPr/>
        <w:t>√不适用</w:t>
      </w:r>
      <w:r>
        <w:rPr>
          <w:w w:val="100"/>
        </w:rPr>
        <w:t> </w:t>
      </w:r>
      <w:r>
        <w:rPr>
          <w:spacing w:val="-2"/>
        </w:rPr>
        <w:t>其他权益工具本期增减变动情况、变动原因说明，以及相关会计处理的依据：</w:t>
      </w:r>
    </w:p>
    <w:p>
      <w:pPr>
        <w:pStyle w:val="BodyText"/>
        <w:spacing w:line="249" w:lineRule="exact"/>
        <w:ind w:left="138" w:right="0"/>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3" w:lineRule="exact"/>
        <w:ind w:left="138" w:right="0"/>
        <w:jc w:val="left"/>
        <w:rPr>
          <w:rFonts w:ascii="宋体" w:hAnsi="宋体" w:cs="宋体" w:eastAsia="宋体" w:hint="default"/>
        </w:rPr>
      </w:pPr>
      <w:r>
        <w:rPr/>
        <w:t>其他说明</w:t>
      </w:r>
      <w:r>
        <w:rPr>
          <w:rFonts w:ascii="宋体" w:hAnsi="宋体" w:cs="宋体" w:eastAsia="宋体" w:hint="default"/>
        </w:rPr>
        <w:t>:</w:t>
      </w:r>
    </w:p>
    <w:p>
      <w:pPr>
        <w:pStyle w:val="BodyText"/>
        <w:spacing w:line="273" w:lineRule="exact"/>
        <w:ind w:left="138" w:right="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1195" w:top="1320" w:bottom="1380" w:left="1660" w:right="1060"/>
        </w:sectPr>
      </w:pPr>
    </w:p>
    <w:p>
      <w:pPr>
        <w:pStyle w:val="Heading3"/>
        <w:spacing w:line="240" w:lineRule="auto" w:before="36"/>
        <w:ind w:left="138" w:right="-18"/>
        <w:jc w:val="left"/>
        <w:rPr>
          <w:b w:val="0"/>
          <w:bCs w:val="0"/>
        </w:rPr>
      </w:pPr>
      <w:r>
        <w:rPr>
          <w:rFonts w:ascii="宋体" w:hAnsi="宋体" w:cs="宋体" w:eastAsia="宋体" w:hint="default"/>
        </w:rPr>
        <w:t>55</w:t>
      </w:r>
      <w:r>
        <w:rPr/>
        <w:t>、</w:t>
      </w:r>
      <w:r>
        <w:rPr>
          <w:spacing w:val="-25"/>
        </w:rPr>
        <w:t> </w:t>
      </w:r>
      <w:r>
        <w:rPr/>
        <w:t>资本公积</w:t>
      </w:r>
      <w:r>
        <w:rPr>
          <w:b w:val="0"/>
          <w:bCs w:val="0"/>
        </w:rPr>
      </w:r>
    </w:p>
    <w:p>
      <w:pPr>
        <w:pStyle w:val="BodyText"/>
        <w:spacing w:line="240" w:lineRule="auto" w:before="56"/>
        <w:ind w:left="13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89" w:val="left" w:leader="none"/>
        </w:tabs>
        <w:spacing w:line="240" w:lineRule="auto"/>
        <w:ind w:left="138" w:right="0"/>
        <w:jc w:val="left"/>
      </w:pPr>
      <w:r>
        <w:rPr>
          <w:spacing w:val="-1"/>
        </w:rPr>
        <w:t>单位：元</w:t>
        <w:tab/>
      </w:r>
      <w:r>
        <w:rPr>
          <w:spacing w:val="-2"/>
        </w:rPr>
        <w:t>币种：人民币</w:t>
      </w:r>
    </w:p>
    <w:p>
      <w:pPr>
        <w:spacing w:after="0" w:line="240" w:lineRule="auto"/>
        <w:jc w:val="left"/>
        <w:sectPr>
          <w:type w:val="continuous"/>
          <w:pgSz w:w="11910" w:h="16840"/>
          <w:pgMar w:top="1000" w:bottom="280" w:left="1660" w:right="1060"/>
          <w:cols w:num="2" w:equalWidth="0">
            <w:col w:w="1715" w:space="4806"/>
            <w:col w:w="2669"/>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678"/>
        <w:gridCol w:w="1786"/>
        <w:gridCol w:w="1822"/>
        <w:gridCol w:w="1805"/>
        <w:gridCol w:w="1805"/>
      </w:tblGrid>
      <w:tr>
        <w:trPr>
          <w:trHeight w:val="283" w:hRule="exact"/>
        </w:trPr>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68"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87"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75"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78"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5" w:hRule="exact"/>
        </w:trPr>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10"/>
                <w:sz w:val="21"/>
                <w:szCs w:val="21"/>
              </w:rPr>
              <w:t>资本溢价（股本溢</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价）</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86,897,254.00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377,777,320.94</w:t>
            </w:r>
          </w:p>
        </w:tc>
        <w:tc>
          <w:tcPr>
            <w:tcW w:w="1805"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464,674,574.94</w:t>
            </w:r>
          </w:p>
        </w:tc>
      </w:tr>
      <w:tr>
        <w:trPr>
          <w:trHeight w:val="283" w:hRule="exact"/>
        </w:trPr>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117,490.17</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1,890,468.13</w:t>
            </w:r>
          </w:p>
        </w:tc>
        <w:tc>
          <w:tcPr>
            <w:tcW w:w="1805"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2,007,958.30</w:t>
            </w:r>
          </w:p>
        </w:tc>
      </w:tr>
      <w:tr>
        <w:trPr>
          <w:trHeight w:val="283" w:hRule="exact"/>
        </w:trPr>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87,014,744.17</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379,667,789.07</w:t>
            </w:r>
          </w:p>
        </w:tc>
        <w:tc>
          <w:tcPr>
            <w:tcW w:w="1805"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466,682,533.24</w:t>
            </w:r>
          </w:p>
        </w:tc>
      </w:tr>
    </w:tbl>
    <w:p>
      <w:pPr>
        <w:pStyle w:val="BodyText"/>
        <w:spacing w:line="239" w:lineRule="exact"/>
        <w:ind w:left="138" w:right="0"/>
        <w:jc w:val="left"/>
      </w:pPr>
      <w:r>
        <w:rPr/>
        <w:t>其他说明，包括本期增减变动情况、变动原因说明：</w:t>
      </w:r>
    </w:p>
    <w:p>
      <w:pPr>
        <w:pStyle w:val="BodyText"/>
        <w:spacing w:line="272" w:lineRule="exact"/>
        <w:ind w:left="558" w:right="0"/>
        <w:jc w:val="left"/>
      </w:pPr>
      <w:r>
        <w:rPr/>
        <w:t>（</w:t>
      </w:r>
      <w:r>
        <w:rPr>
          <w:rFonts w:ascii="宋体" w:hAnsi="宋体" w:cs="宋体" w:eastAsia="宋体" w:hint="default"/>
        </w:rPr>
        <w:t>1</w:t>
      </w:r>
      <w:r>
        <w:rPr/>
        <w:t>）</w:t>
      </w:r>
      <w:r>
        <w:rPr>
          <w:rFonts w:ascii="宋体" w:hAnsi="宋体" w:cs="宋体" w:eastAsia="宋体" w:hint="default"/>
        </w:rPr>
        <w:t>IPO</w:t>
      </w:r>
      <w:r>
        <w:rPr>
          <w:rFonts w:ascii="宋体" w:hAnsi="宋体" w:cs="宋体" w:eastAsia="宋体" w:hint="default"/>
          <w:spacing w:val="-56"/>
        </w:rPr>
        <w:t> </w:t>
      </w:r>
      <w:r>
        <w:rPr/>
        <w:t>募集资金总额为</w:t>
      </w:r>
      <w:r>
        <w:rPr>
          <w:spacing w:val="-56"/>
        </w:rPr>
        <w:t> </w:t>
      </w:r>
      <w:r>
        <w:rPr>
          <w:rFonts w:ascii="宋体" w:hAnsi="宋体" w:cs="宋体" w:eastAsia="宋体" w:hint="default"/>
        </w:rPr>
        <w:t>40,100.25</w:t>
      </w:r>
      <w:r>
        <w:rPr>
          <w:rFonts w:ascii="宋体" w:hAnsi="宋体" w:cs="宋体" w:eastAsia="宋体" w:hint="default"/>
          <w:spacing w:val="-56"/>
        </w:rPr>
        <w:t> </w:t>
      </w:r>
      <w:r>
        <w:rPr/>
        <w:t>万元，扣除发行费用</w:t>
      </w:r>
      <w:r>
        <w:rPr>
          <w:spacing w:val="-54"/>
        </w:rPr>
        <w:t> </w:t>
      </w:r>
      <w:r>
        <w:rPr>
          <w:rFonts w:ascii="宋体" w:hAnsi="宋体" w:cs="宋体" w:eastAsia="宋体" w:hint="default"/>
        </w:rPr>
        <w:t>3,856.81</w:t>
      </w:r>
      <w:r>
        <w:rPr>
          <w:rFonts w:ascii="宋体" w:hAnsi="宋体" w:cs="宋体" w:eastAsia="宋体" w:hint="default"/>
          <w:spacing w:val="-54"/>
        </w:rPr>
        <w:t> </w:t>
      </w:r>
      <w:r>
        <w:rPr/>
        <w:t>万元后，实际募集资金</w:t>
      </w:r>
    </w:p>
    <w:p>
      <w:pPr>
        <w:pStyle w:val="BodyText"/>
        <w:spacing w:line="272" w:lineRule="exact"/>
        <w:ind w:left="138" w:right="0"/>
        <w:jc w:val="left"/>
      </w:pPr>
      <w:r>
        <w:rPr>
          <w:w w:val="100"/>
        </w:rPr>
        <w:t>净</w:t>
      </w:r>
      <w:r>
        <w:rPr>
          <w:spacing w:val="-3"/>
          <w:w w:val="100"/>
        </w:rPr>
        <w:t>额</w:t>
      </w:r>
      <w:r>
        <w:rPr>
          <w:w w:val="100"/>
        </w:rPr>
        <w:t>为</w:t>
      </w:r>
      <w:r>
        <w:rPr>
          <w:spacing w:val="-53"/>
        </w:rPr>
        <w:t> </w:t>
      </w:r>
      <w:r>
        <w:rPr>
          <w:rFonts w:ascii="宋体" w:hAnsi="宋体" w:cs="宋体" w:eastAsia="宋体" w:hint="default"/>
          <w:w w:val="100"/>
        </w:rPr>
        <w:t>36</w:t>
      </w:r>
      <w:r>
        <w:rPr>
          <w:rFonts w:ascii="宋体" w:hAnsi="宋体" w:cs="宋体" w:eastAsia="宋体" w:hint="default"/>
          <w:spacing w:val="-3"/>
          <w:w w:val="100"/>
        </w:rPr>
        <w:t>,</w:t>
      </w:r>
      <w:r>
        <w:rPr>
          <w:rFonts w:ascii="宋体" w:hAnsi="宋体" w:cs="宋体" w:eastAsia="宋体" w:hint="default"/>
          <w:w w:val="100"/>
        </w:rPr>
        <w:t>243</w:t>
      </w:r>
      <w:r>
        <w:rPr>
          <w:rFonts w:ascii="宋体" w:hAnsi="宋体" w:cs="宋体" w:eastAsia="宋体" w:hint="default"/>
          <w:spacing w:val="-3"/>
          <w:w w:val="100"/>
        </w:rPr>
        <w:t>.</w:t>
      </w:r>
      <w:r>
        <w:rPr>
          <w:rFonts w:ascii="宋体" w:hAnsi="宋体" w:cs="宋体" w:eastAsia="宋体" w:hint="default"/>
          <w:w w:val="100"/>
        </w:rPr>
        <w:t>44</w:t>
      </w:r>
      <w:r>
        <w:rPr>
          <w:rFonts w:ascii="宋体" w:hAnsi="宋体" w:cs="宋体" w:eastAsia="宋体" w:hint="default"/>
          <w:spacing w:val="-53"/>
        </w:rPr>
        <w:t> </w:t>
      </w:r>
      <w:r>
        <w:rPr>
          <w:spacing w:val="-3"/>
          <w:w w:val="100"/>
        </w:rPr>
        <w:t>万</w:t>
      </w:r>
      <w:r>
        <w:rPr>
          <w:spacing w:val="-94"/>
          <w:w w:val="100"/>
        </w:rPr>
        <w:t>元</w:t>
      </w:r>
      <w:r>
        <w:rPr>
          <w:w w:val="100"/>
        </w:rPr>
        <w:t>（</w:t>
      </w:r>
      <w:r>
        <w:rPr>
          <w:spacing w:val="-3"/>
          <w:w w:val="100"/>
        </w:rPr>
        <w:t>其</w:t>
      </w:r>
      <w:r>
        <w:rPr>
          <w:w w:val="100"/>
        </w:rPr>
        <w:t>中本</w:t>
      </w:r>
      <w:r>
        <w:rPr>
          <w:spacing w:val="-3"/>
          <w:w w:val="100"/>
        </w:rPr>
        <w:t>次</w:t>
      </w:r>
      <w:r>
        <w:rPr>
          <w:w w:val="100"/>
        </w:rPr>
        <w:t>发</w:t>
      </w:r>
      <w:r>
        <w:rPr>
          <w:spacing w:val="-3"/>
          <w:w w:val="100"/>
        </w:rPr>
        <w:t>行</w:t>
      </w:r>
      <w:r>
        <w:rPr>
          <w:w w:val="100"/>
        </w:rPr>
        <w:t>费</w:t>
      </w:r>
      <w:r>
        <w:rPr>
          <w:spacing w:val="-3"/>
          <w:w w:val="100"/>
        </w:rPr>
        <w:t>用</w:t>
      </w:r>
      <w:r>
        <w:rPr>
          <w:w w:val="100"/>
        </w:rPr>
        <w:t>的</w:t>
      </w:r>
      <w:r>
        <w:rPr>
          <w:spacing w:val="-3"/>
          <w:w w:val="100"/>
        </w:rPr>
        <w:t>可</w:t>
      </w:r>
      <w:r>
        <w:rPr>
          <w:w w:val="100"/>
        </w:rPr>
        <w:t>抵</w:t>
      </w:r>
      <w:r>
        <w:rPr>
          <w:spacing w:val="-3"/>
          <w:w w:val="100"/>
        </w:rPr>
        <w:t>扣</w:t>
      </w:r>
      <w:r>
        <w:rPr>
          <w:w w:val="100"/>
        </w:rPr>
        <w:t>增值</w:t>
      </w:r>
      <w:r>
        <w:rPr>
          <w:spacing w:val="-3"/>
          <w:w w:val="100"/>
        </w:rPr>
        <w:t>税</w:t>
      </w:r>
      <w:r>
        <w:rPr>
          <w:w w:val="100"/>
        </w:rPr>
        <w:t>进</w:t>
      </w:r>
      <w:r>
        <w:rPr>
          <w:spacing w:val="-3"/>
          <w:w w:val="100"/>
        </w:rPr>
        <w:t>项税</w:t>
      </w:r>
      <w:r>
        <w:rPr>
          <w:w w:val="100"/>
        </w:rPr>
        <w:t>额</w:t>
      </w:r>
      <w:r>
        <w:rPr>
          <w:spacing w:val="-52"/>
        </w:rPr>
        <w:t> </w:t>
      </w:r>
      <w:r>
        <w:rPr>
          <w:rFonts w:ascii="宋体" w:hAnsi="宋体" w:cs="宋体" w:eastAsia="宋体" w:hint="default"/>
          <w:w w:val="100"/>
        </w:rPr>
        <w:t>2,</w:t>
      </w:r>
      <w:r>
        <w:rPr>
          <w:rFonts w:ascii="宋体" w:hAnsi="宋体" w:cs="宋体" w:eastAsia="宋体" w:hint="default"/>
          <w:spacing w:val="-3"/>
          <w:w w:val="100"/>
        </w:rPr>
        <w:t>2</w:t>
      </w:r>
      <w:r>
        <w:rPr>
          <w:rFonts w:ascii="宋体" w:hAnsi="宋体" w:cs="宋体" w:eastAsia="宋体" w:hint="default"/>
          <w:w w:val="100"/>
        </w:rPr>
        <w:t>36,</w:t>
      </w:r>
      <w:r>
        <w:rPr>
          <w:rFonts w:ascii="宋体" w:hAnsi="宋体" w:cs="宋体" w:eastAsia="宋体" w:hint="default"/>
          <w:spacing w:val="-3"/>
          <w:w w:val="100"/>
        </w:rPr>
        <w:t>08</w:t>
      </w:r>
      <w:r>
        <w:rPr>
          <w:rFonts w:ascii="宋体" w:hAnsi="宋体" w:cs="宋体" w:eastAsia="宋体" w:hint="default"/>
          <w:w w:val="100"/>
        </w:rPr>
        <w:t>8.20</w:t>
      </w:r>
      <w:r>
        <w:rPr>
          <w:rFonts w:ascii="宋体" w:hAnsi="宋体" w:cs="宋体" w:eastAsia="宋体" w:hint="default"/>
          <w:spacing w:val="-55"/>
        </w:rPr>
        <w:t> </w:t>
      </w:r>
      <w:r>
        <w:rPr>
          <w:w w:val="100"/>
        </w:rPr>
        <w:t>元</w:t>
      </w:r>
      <w:r>
        <w:rPr>
          <w:spacing w:val="-3"/>
          <w:w w:val="100"/>
        </w:rPr>
        <w:t>转</w:t>
      </w:r>
      <w:r>
        <w:rPr>
          <w:w w:val="100"/>
        </w:rPr>
        <w:t>入</w:t>
      </w:r>
      <w:r>
        <w:rPr>
          <w:spacing w:val="-3"/>
          <w:w w:val="100"/>
        </w:rPr>
        <w:t>募</w:t>
      </w:r>
      <w:r>
        <w:rPr>
          <w:w w:val="100"/>
        </w:rPr>
        <w:t>集资</w:t>
      </w:r>
    </w:p>
    <w:p>
      <w:pPr>
        <w:pStyle w:val="BodyText"/>
        <w:spacing w:line="272" w:lineRule="exact"/>
        <w:ind w:left="138" w:right="0"/>
        <w:jc w:val="left"/>
      </w:pPr>
      <w:r>
        <w:rPr/>
        <w:t>金账户）。新增股本人民币</w:t>
      </w:r>
      <w:r>
        <w:rPr>
          <w:spacing w:val="-56"/>
        </w:rPr>
        <w:t> </w:t>
      </w:r>
      <w:r>
        <w:rPr>
          <w:rFonts w:ascii="宋体" w:hAnsi="宋体" w:cs="宋体" w:eastAsia="宋体" w:hint="default"/>
        </w:rPr>
        <w:t>2,105</w:t>
      </w:r>
      <w:r>
        <w:rPr>
          <w:rFonts w:ascii="宋体" w:hAnsi="宋体" w:cs="宋体" w:eastAsia="宋体" w:hint="default"/>
          <w:spacing w:val="-56"/>
        </w:rPr>
        <w:t> </w:t>
      </w:r>
      <w:r>
        <w:rPr/>
        <w:t>万元，余额</w:t>
      </w:r>
      <w:r>
        <w:rPr>
          <w:spacing w:val="-56"/>
        </w:rPr>
        <w:t> </w:t>
      </w:r>
      <w:r>
        <w:rPr>
          <w:rFonts w:ascii="宋体" w:hAnsi="宋体" w:cs="宋体" w:eastAsia="宋体" w:hint="default"/>
        </w:rPr>
        <w:t>341,384,363.20</w:t>
      </w:r>
      <w:r>
        <w:rPr>
          <w:rFonts w:ascii="宋体" w:hAnsi="宋体" w:cs="宋体" w:eastAsia="宋体" w:hint="default"/>
          <w:spacing w:val="-56"/>
        </w:rPr>
        <w:t> </w:t>
      </w:r>
      <w:r>
        <w:rPr/>
        <w:t>元转入资本公积</w:t>
      </w:r>
      <w:r>
        <w:rPr>
          <w:rFonts w:ascii="宋体" w:hAnsi="宋体" w:cs="宋体" w:eastAsia="宋体" w:hint="default"/>
        </w:rPr>
        <w:t>-</w:t>
      </w:r>
      <w:r>
        <w:rPr/>
        <w:t>股本溢价；</w:t>
      </w:r>
    </w:p>
    <w:p>
      <w:pPr>
        <w:pStyle w:val="BodyText"/>
        <w:spacing w:line="272" w:lineRule="exact"/>
        <w:ind w:left="558" w:right="0"/>
        <w:jc w:val="left"/>
      </w:pPr>
      <w:r>
        <w:rPr>
          <w:spacing w:val="-3"/>
        </w:rPr>
        <w:t>（</w:t>
      </w:r>
      <w:r>
        <w:rPr>
          <w:rFonts w:ascii="宋体" w:hAnsi="宋体" w:cs="宋体" w:eastAsia="宋体" w:hint="default"/>
          <w:spacing w:val="-3"/>
        </w:rPr>
        <w:t>2</w:t>
      </w:r>
      <w:r>
        <w:rPr>
          <w:spacing w:val="-3"/>
        </w:rPr>
        <w:t>）限制性股票激励计划募集资金总额为</w:t>
      </w:r>
      <w:r>
        <w:rPr>
          <w:spacing w:val="-45"/>
        </w:rPr>
        <w:t> </w:t>
      </w:r>
      <w:r>
        <w:rPr>
          <w:rFonts w:ascii="宋体" w:hAnsi="宋体" w:cs="宋体" w:eastAsia="宋体" w:hint="default"/>
        </w:rPr>
        <w:t>38,503,920.00</w:t>
      </w:r>
      <w:r>
        <w:rPr>
          <w:rFonts w:ascii="宋体" w:hAnsi="宋体" w:cs="宋体" w:eastAsia="宋体" w:hint="default"/>
          <w:spacing w:val="-47"/>
        </w:rPr>
        <w:t> </w:t>
      </w:r>
      <w:r>
        <w:rPr>
          <w:spacing w:val="-4"/>
        </w:rPr>
        <w:t>元，扣除发行费用</w:t>
      </w:r>
      <w:r>
        <w:rPr>
          <w:spacing w:val="-44"/>
        </w:rPr>
        <w:t> </w:t>
      </w:r>
      <w:r>
        <w:rPr>
          <w:rFonts w:ascii="宋体" w:hAnsi="宋体" w:cs="宋体" w:eastAsia="宋体" w:hint="default"/>
        </w:rPr>
        <w:t>433,962.26</w:t>
      </w:r>
      <w:r>
        <w:rPr>
          <w:rFonts w:ascii="宋体" w:hAnsi="宋体" w:cs="宋体" w:eastAsia="宋体" w:hint="default"/>
          <w:spacing w:val="15"/>
        </w:rPr>
        <w:t> </w:t>
      </w:r>
      <w:r>
        <w:rPr/>
        <w:t>元</w:t>
      </w:r>
    </w:p>
    <w:p>
      <w:pPr>
        <w:pStyle w:val="BodyText"/>
        <w:spacing w:line="272" w:lineRule="exact"/>
        <w:ind w:left="138" w:right="0"/>
        <w:jc w:val="left"/>
      </w:pPr>
      <w:r>
        <w:rPr>
          <w:w w:val="100"/>
        </w:rPr>
        <w:t>（可</w:t>
      </w:r>
      <w:r>
        <w:rPr>
          <w:spacing w:val="-3"/>
          <w:w w:val="100"/>
        </w:rPr>
        <w:t>抵</w:t>
      </w:r>
      <w:r>
        <w:rPr>
          <w:w w:val="100"/>
        </w:rPr>
        <w:t>扣</w:t>
      </w:r>
      <w:r>
        <w:rPr>
          <w:spacing w:val="-3"/>
          <w:w w:val="100"/>
        </w:rPr>
        <w:t>增</w:t>
      </w:r>
      <w:r>
        <w:rPr>
          <w:w w:val="100"/>
        </w:rPr>
        <w:t>值</w:t>
      </w:r>
      <w:r>
        <w:rPr>
          <w:spacing w:val="-3"/>
          <w:w w:val="100"/>
        </w:rPr>
        <w:t>税</w:t>
      </w:r>
      <w:r>
        <w:rPr>
          <w:w w:val="100"/>
        </w:rPr>
        <w:t>进</w:t>
      </w:r>
      <w:r>
        <w:rPr>
          <w:spacing w:val="-3"/>
          <w:w w:val="100"/>
        </w:rPr>
        <w:t>项税</w:t>
      </w:r>
      <w:r>
        <w:rPr>
          <w:w w:val="100"/>
        </w:rPr>
        <w:t>额</w:t>
      </w:r>
      <w:r>
        <w:rPr>
          <w:spacing w:val="-55"/>
        </w:rPr>
        <w:t> </w:t>
      </w:r>
      <w:r>
        <w:rPr>
          <w:rFonts w:ascii="宋体" w:hAnsi="宋体" w:cs="宋体" w:eastAsia="宋体" w:hint="default"/>
          <w:w w:val="100"/>
        </w:rPr>
        <w:t>26,03</w:t>
      </w:r>
      <w:r>
        <w:rPr>
          <w:rFonts w:ascii="宋体" w:hAnsi="宋体" w:cs="宋体" w:eastAsia="宋体" w:hint="default"/>
          <w:spacing w:val="-3"/>
          <w:w w:val="100"/>
        </w:rPr>
        <w:t>7</w:t>
      </w:r>
      <w:r>
        <w:rPr>
          <w:rFonts w:ascii="宋体" w:hAnsi="宋体" w:cs="宋体" w:eastAsia="宋体" w:hint="default"/>
          <w:w w:val="100"/>
        </w:rPr>
        <w:t>.74</w:t>
      </w:r>
      <w:r>
        <w:rPr>
          <w:rFonts w:ascii="宋体" w:hAnsi="宋体" w:cs="宋体" w:eastAsia="宋体" w:hint="default"/>
          <w:spacing w:val="-55"/>
        </w:rPr>
        <w:t> </w:t>
      </w:r>
      <w:r>
        <w:rPr>
          <w:w w:val="100"/>
        </w:rPr>
        <w:t>元</w:t>
      </w:r>
      <w:r>
        <w:rPr>
          <w:spacing w:val="-3"/>
          <w:w w:val="100"/>
        </w:rPr>
        <w:t>抵</w:t>
      </w:r>
      <w:r>
        <w:rPr>
          <w:w w:val="100"/>
        </w:rPr>
        <w:t>减</w:t>
      </w:r>
      <w:r>
        <w:rPr>
          <w:spacing w:val="-3"/>
          <w:w w:val="100"/>
        </w:rPr>
        <w:t>发</w:t>
      </w:r>
      <w:r>
        <w:rPr>
          <w:w w:val="100"/>
        </w:rPr>
        <w:t>行</w:t>
      </w:r>
      <w:r>
        <w:rPr>
          <w:spacing w:val="-3"/>
          <w:w w:val="100"/>
        </w:rPr>
        <w:t>费</w:t>
      </w:r>
      <w:r>
        <w:rPr>
          <w:w w:val="100"/>
        </w:rPr>
        <w:t>用</w:t>
      </w:r>
      <w:r>
        <w:rPr>
          <w:spacing w:val="-101"/>
          <w:w w:val="100"/>
        </w:rPr>
        <w:t>）</w:t>
      </w:r>
      <w:r>
        <w:rPr>
          <w:w w:val="100"/>
        </w:rPr>
        <w:t>后</w:t>
      </w:r>
      <w:r>
        <w:rPr>
          <w:spacing w:val="-101"/>
          <w:w w:val="100"/>
        </w:rPr>
        <w:t>，</w:t>
      </w:r>
      <w:r>
        <w:rPr>
          <w:w w:val="100"/>
        </w:rPr>
        <w:t>实</w:t>
      </w:r>
      <w:r>
        <w:rPr>
          <w:spacing w:val="-3"/>
          <w:w w:val="100"/>
        </w:rPr>
        <w:t>际</w:t>
      </w:r>
      <w:r>
        <w:rPr>
          <w:w w:val="100"/>
        </w:rPr>
        <w:t>募</w:t>
      </w:r>
      <w:r>
        <w:rPr>
          <w:spacing w:val="-3"/>
          <w:w w:val="100"/>
        </w:rPr>
        <w:t>集</w:t>
      </w:r>
      <w:r>
        <w:rPr>
          <w:w w:val="100"/>
        </w:rPr>
        <w:t>资</w:t>
      </w:r>
      <w:r>
        <w:rPr>
          <w:spacing w:val="-3"/>
          <w:w w:val="100"/>
        </w:rPr>
        <w:t>金</w:t>
      </w:r>
      <w:r>
        <w:rPr>
          <w:w w:val="100"/>
        </w:rPr>
        <w:t>净额</w:t>
      </w:r>
      <w:r>
        <w:rPr>
          <w:spacing w:val="-55"/>
        </w:rPr>
        <w:t> </w:t>
      </w:r>
      <w:r>
        <w:rPr>
          <w:rFonts w:ascii="宋体" w:hAnsi="宋体" w:cs="宋体" w:eastAsia="宋体" w:hint="default"/>
          <w:w w:val="100"/>
        </w:rPr>
        <w:t>38,06</w:t>
      </w:r>
      <w:r>
        <w:rPr>
          <w:rFonts w:ascii="宋体" w:hAnsi="宋体" w:cs="宋体" w:eastAsia="宋体" w:hint="default"/>
          <w:spacing w:val="-3"/>
          <w:w w:val="100"/>
        </w:rPr>
        <w:t>9</w:t>
      </w:r>
      <w:r>
        <w:rPr>
          <w:rFonts w:ascii="宋体" w:hAnsi="宋体" w:cs="宋体" w:eastAsia="宋体" w:hint="default"/>
          <w:w w:val="100"/>
        </w:rPr>
        <w:t>,95</w:t>
      </w:r>
      <w:r>
        <w:rPr>
          <w:rFonts w:ascii="宋体" w:hAnsi="宋体" w:cs="宋体" w:eastAsia="宋体" w:hint="default"/>
          <w:spacing w:val="-3"/>
          <w:w w:val="100"/>
        </w:rPr>
        <w:t>7</w:t>
      </w:r>
      <w:r>
        <w:rPr>
          <w:rFonts w:ascii="宋体" w:hAnsi="宋体" w:cs="宋体" w:eastAsia="宋体" w:hint="default"/>
          <w:w w:val="100"/>
        </w:rPr>
        <w:t>.74</w:t>
      </w:r>
      <w:r>
        <w:rPr>
          <w:rFonts w:ascii="宋体" w:hAnsi="宋体" w:cs="宋体" w:eastAsia="宋体" w:hint="default"/>
          <w:spacing w:val="-55"/>
        </w:rPr>
        <w:t> </w:t>
      </w:r>
      <w:r>
        <w:rPr>
          <w:w w:val="100"/>
        </w:rPr>
        <w:t>元，</w:t>
      </w:r>
    </w:p>
    <w:p>
      <w:pPr>
        <w:pStyle w:val="BodyText"/>
        <w:spacing w:line="272" w:lineRule="exact"/>
        <w:ind w:left="138" w:right="0"/>
        <w:jc w:val="left"/>
      </w:pPr>
      <w:r>
        <w:rPr>
          <w:spacing w:val="-1"/>
          <w:w w:val="100"/>
        </w:rPr>
        <w:t>其</w:t>
      </w:r>
      <w:r>
        <w:rPr>
          <w:w w:val="100"/>
        </w:rPr>
        <w:t>中</w:t>
      </w:r>
      <w:r>
        <w:rPr>
          <w:spacing w:val="-3"/>
          <w:w w:val="100"/>
        </w:rPr>
        <w:t>新</w:t>
      </w:r>
      <w:r>
        <w:rPr>
          <w:w w:val="100"/>
        </w:rPr>
        <w:t>增</w:t>
      </w:r>
      <w:r>
        <w:rPr>
          <w:spacing w:val="-3"/>
          <w:w w:val="100"/>
        </w:rPr>
        <w:t>股</w:t>
      </w:r>
      <w:r>
        <w:rPr>
          <w:w w:val="100"/>
        </w:rPr>
        <w:t>本</w:t>
      </w:r>
      <w:r>
        <w:rPr>
          <w:spacing w:val="-3"/>
          <w:w w:val="100"/>
        </w:rPr>
        <w:t>人</w:t>
      </w:r>
      <w:r>
        <w:rPr>
          <w:w w:val="100"/>
        </w:rPr>
        <w:t>民币</w:t>
      </w:r>
      <w:r>
        <w:rPr>
          <w:spacing w:val="-77"/>
        </w:rPr>
        <w:t> </w:t>
      </w:r>
      <w:r>
        <w:rPr>
          <w:rFonts w:ascii="宋体" w:hAnsi="宋体" w:cs="宋体" w:eastAsia="宋体" w:hint="default"/>
          <w:spacing w:val="-3"/>
          <w:w w:val="100"/>
        </w:rPr>
        <w:t>1</w:t>
      </w:r>
      <w:r>
        <w:rPr>
          <w:rFonts w:ascii="宋体" w:hAnsi="宋体" w:cs="宋体" w:eastAsia="宋体" w:hint="default"/>
          <w:w w:val="100"/>
        </w:rPr>
        <w:t>,67</w:t>
      </w:r>
      <w:r>
        <w:rPr>
          <w:rFonts w:ascii="宋体" w:hAnsi="宋体" w:cs="宋体" w:eastAsia="宋体" w:hint="default"/>
          <w:spacing w:val="-3"/>
          <w:w w:val="100"/>
        </w:rPr>
        <w:t>7</w:t>
      </w:r>
      <w:r>
        <w:rPr>
          <w:rFonts w:ascii="宋体" w:hAnsi="宋体" w:cs="宋体" w:eastAsia="宋体" w:hint="default"/>
          <w:w w:val="100"/>
        </w:rPr>
        <w:t>,000.00</w:t>
      </w:r>
      <w:r>
        <w:rPr>
          <w:rFonts w:ascii="宋体" w:hAnsi="宋体" w:cs="宋体" w:eastAsia="宋体" w:hint="default"/>
          <w:spacing w:val="-79"/>
        </w:rPr>
        <w:t> </w:t>
      </w:r>
      <w:r>
        <w:rPr>
          <w:w w:val="100"/>
        </w:rPr>
        <w:t>元</w:t>
      </w:r>
      <w:r>
        <w:rPr>
          <w:spacing w:val="-108"/>
          <w:w w:val="100"/>
        </w:rPr>
        <w:t>，</w:t>
      </w:r>
      <w:r>
        <w:rPr>
          <w:w w:val="100"/>
        </w:rPr>
        <w:t>余</w:t>
      </w:r>
      <w:r>
        <w:rPr>
          <w:spacing w:val="-3"/>
          <w:w w:val="100"/>
        </w:rPr>
        <w:t>额</w:t>
      </w:r>
      <w:r>
        <w:rPr>
          <w:w w:val="100"/>
        </w:rPr>
        <w:t>计</w:t>
      </w:r>
      <w:r>
        <w:rPr>
          <w:spacing w:val="-3"/>
          <w:w w:val="100"/>
        </w:rPr>
        <w:t>人</w:t>
      </w:r>
      <w:r>
        <w:rPr>
          <w:w w:val="100"/>
        </w:rPr>
        <w:t>民币</w:t>
      </w:r>
      <w:r>
        <w:rPr>
          <w:spacing w:val="-79"/>
        </w:rPr>
        <w:t> </w:t>
      </w:r>
      <w:r>
        <w:rPr>
          <w:rFonts w:ascii="宋体" w:hAnsi="宋体" w:cs="宋体" w:eastAsia="宋体" w:hint="default"/>
          <w:w w:val="100"/>
        </w:rPr>
        <w:t>36,39</w:t>
      </w:r>
      <w:r>
        <w:rPr>
          <w:rFonts w:ascii="宋体" w:hAnsi="宋体" w:cs="宋体" w:eastAsia="宋体" w:hint="default"/>
          <w:spacing w:val="-3"/>
          <w:w w:val="100"/>
        </w:rPr>
        <w:t>2</w:t>
      </w:r>
      <w:r>
        <w:rPr>
          <w:rFonts w:ascii="宋体" w:hAnsi="宋体" w:cs="宋体" w:eastAsia="宋体" w:hint="default"/>
          <w:w w:val="100"/>
        </w:rPr>
        <w:t>,95</w:t>
      </w:r>
      <w:r>
        <w:rPr>
          <w:rFonts w:ascii="宋体" w:hAnsi="宋体" w:cs="宋体" w:eastAsia="宋体" w:hint="default"/>
          <w:spacing w:val="-3"/>
          <w:w w:val="100"/>
        </w:rPr>
        <w:t>7</w:t>
      </w:r>
      <w:r>
        <w:rPr>
          <w:rFonts w:ascii="宋体" w:hAnsi="宋体" w:cs="宋体" w:eastAsia="宋体" w:hint="default"/>
          <w:w w:val="100"/>
        </w:rPr>
        <w:t>.74</w:t>
      </w:r>
      <w:r>
        <w:rPr>
          <w:rFonts w:ascii="宋体" w:hAnsi="宋体" w:cs="宋体" w:eastAsia="宋体" w:hint="default"/>
          <w:spacing w:val="-77"/>
        </w:rPr>
        <w:t> </w:t>
      </w:r>
      <w:r>
        <w:rPr>
          <w:spacing w:val="-3"/>
          <w:w w:val="100"/>
        </w:rPr>
        <w:t>元</w:t>
      </w:r>
      <w:r>
        <w:rPr>
          <w:w w:val="100"/>
        </w:rPr>
        <w:t>转</w:t>
      </w:r>
      <w:r>
        <w:rPr>
          <w:spacing w:val="-3"/>
          <w:w w:val="100"/>
        </w:rPr>
        <w:t>入</w:t>
      </w:r>
      <w:r>
        <w:rPr>
          <w:w w:val="100"/>
        </w:rPr>
        <w:t>资</w:t>
      </w:r>
      <w:r>
        <w:rPr>
          <w:spacing w:val="-3"/>
          <w:w w:val="100"/>
        </w:rPr>
        <w:t>本</w:t>
      </w:r>
      <w:r>
        <w:rPr>
          <w:w w:val="100"/>
        </w:rPr>
        <w:t>公积</w:t>
      </w:r>
      <w:r>
        <w:rPr>
          <w:rFonts w:ascii="宋体" w:hAnsi="宋体" w:cs="宋体" w:eastAsia="宋体" w:hint="default"/>
          <w:spacing w:val="-3"/>
          <w:w w:val="100"/>
        </w:rPr>
        <w:t>-</w:t>
      </w:r>
      <w:r>
        <w:rPr>
          <w:w w:val="100"/>
        </w:rPr>
        <w:t>股</w:t>
      </w:r>
      <w:r>
        <w:rPr>
          <w:spacing w:val="-3"/>
          <w:w w:val="100"/>
        </w:rPr>
        <w:t>本溢价</w:t>
      </w:r>
      <w:r>
        <w:rPr>
          <w:w w:val="100"/>
        </w:rPr>
        <w:t>；</w:t>
      </w:r>
    </w:p>
    <w:p>
      <w:pPr>
        <w:pStyle w:val="BodyText"/>
        <w:spacing w:line="273" w:lineRule="exact"/>
        <w:ind w:left="558" w:right="0"/>
        <w:jc w:val="left"/>
      </w:pPr>
      <w:r>
        <w:rPr/>
        <w:t>（</w:t>
      </w:r>
      <w:r>
        <w:rPr>
          <w:rFonts w:ascii="宋体" w:hAnsi="宋体" w:cs="宋体" w:eastAsia="宋体" w:hint="default"/>
        </w:rPr>
        <w:t>3</w:t>
      </w:r>
      <w:r>
        <w:rPr/>
        <w:t>）其他资本公积系限制性股票激励计划本期摊销额。</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000" w:bottom="280" w:left="1660" w:right="1060"/>
        </w:sectPr>
      </w:pPr>
    </w:p>
    <w:p>
      <w:pPr>
        <w:pStyle w:val="Heading3"/>
        <w:spacing w:line="240" w:lineRule="auto" w:before="36"/>
        <w:ind w:left="138" w:right="-18"/>
        <w:jc w:val="left"/>
        <w:rPr>
          <w:b w:val="0"/>
          <w:bCs w:val="0"/>
        </w:rPr>
      </w:pPr>
      <w:r>
        <w:rPr>
          <w:rFonts w:ascii="宋体" w:hAnsi="宋体" w:cs="宋体" w:eastAsia="宋体" w:hint="default"/>
        </w:rPr>
        <w:t>56</w:t>
      </w:r>
      <w:r>
        <w:rPr/>
        <w:t>、</w:t>
      </w:r>
      <w:r>
        <w:rPr>
          <w:spacing w:val="-25"/>
        </w:rPr>
        <w:t> </w:t>
      </w:r>
      <w:r>
        <w:rPr/>
        <w:t>库存股</w:t>
      </w:r>
      <w:r>
        <w:rPr>
          <w:b w:val="0"/>
          <w:bCs w:val="0"/>
        </w:rPr>
      </w:r>
    </w:p>
    <w:p>
      <w:pPr>
        <w:pStyle w:val="BodyText"/>
        <w:spacing w:line="240" w:lineRule="auto" w:before="56"/>
        <w:ind w:left="13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89" w:val="left" w:leader="none"/>
        </w:tabs>
        <w:spacing w:line="240" w:lineRule="auto"/>
        <w:ind w:left="138" w:right="0"/>
        <w:jc w:val="left"/>
      </w:pPr>
      <w:r>
        <w:rPr>
          <w:spacing w:val="-1"/>
        </w:rPr>
        <w:t>单位：元</w:t>
        <w:tab/>
      </w:r>
      <w:r>
        <w:rPr>
          <w:spacing w:val="-2"/>
        </w:rPr>
        <w:t>币种：人民币</w:t>
      </w:r>
    </w:p>
    <w:p>
      <w:pPr>
        <w:spacing w:after="0" w:line="240" w:lineRule="auto"/>
        <w:jc w:val="left"/>
        <w:sectPr>
          <w:type w:val="continuous"/>
          <w:pgSz w:w="11910" w:h="16840"/>
          <w:pgMar w:top="1000" w:bottom="280" w:left="1660" w:right="1060"/>
          <w:cols w:num="2" w:equalWidth="0">
            <w:col w:w="1715" w:space="4806"/>
            <w:col w:w="2669"/>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682"/>
        <w:gridCol w:w="1774"/>
        <w:gridCol w:w="1805"/>
        <w:gridCol w:w="1814"/>
        <w:gridCol w:w="1820"/>
      </w:tblGrid>
      <w:tr>
        <w:trPr>
          <w:trHeight w:val="283" w:hRule="exact"/>
        </w:trPr>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61"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7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8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85"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股权激励库存股</w:t>
            </w:r>
          </w:p>
        </w:tc>
        <w:tc>
          <w:tcPr>
            <w:tcW w:w="177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38,503,920.00</w:t>
            </w:r>
          </w:p>
        </w:tc>
        <w:tc>
          <w:tcPr>
            <w:tcW w:w="1814"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38,503,920.00</w:t>
            </w:r>
          </w:p>
        </w:tc>
      </w:tr>
      <w:tr>
        <w:trPr>
          <w:trHeight w:val="281" w:hRule="exact"/>
        </w:trPr>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7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38,503,920.00</w:t>
            </w:r>
          </w:p>
        </w:tc>
        <w:tc>
          <w:tcPr>
            <w:tcW w:w="1814"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38,503,920.00</w:t>
            </w:r>
          </w:p>
        </w:tc>
      </w:tr>
    </w:tbl>
    <w:p>
      <w:pPr>
        <w:pStyle w:val="BodyText"/>
        <w:spacing w:line="240" w:lineRule="exact"/>
        <w:ind w:left="138" w:right="0"/>
        <w:jc w:val="left"/>
      </w:pPr>
      <w:r>
        <w:rPr/>
        <w:t>其他说明，包括本期增减变动情况、变动原因说明：</w:t>
      </w:r>
    </w:p>
    <w:p>
      <w:pPr>
        <w:pStyle w:val="BodyText"/>
        <w:spacing w:line="286" w:lineRule="exact"/>
        <w:ind w:left="138" w:right="0"/>
        <w:jc w:val="left"/>
      </w:pPr>
      <w:r>
        <w:rPr/>
        <w:t>（</w:t>
      </w:r>
      <w:r>
        <w:rPr>
          <w:rFonts w:ascii="Calibri" w:hAnsi="Calibri" w:cs="Calibri" w:eastAsia="Calibri" w:hint="default"/>
        </w:rPr>
        <w:t>1</w:t>
      </w:r>
      <w:r>
        <w:rPr/>
        <w:t>）</w:t>
      </w:r>
      <w:r>
        <w:rPr>
          <w:spacing w:val="87"/>
        </w:rPr>
        <w:t> </w:t>
      </w:r>
      <w:r>
        <w:rPr/>
        <w:t>本期新增库存股系限制性股票激励计划发行限制性股票。</w:t>
      </w:r>
    </w:p>
    <w:p>
      <w:pPr>
        <w:spacing w:line="286" w:lineRule="exact" w:before="0"/>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Calibri" w:hAnsi="Calibri" w:cs="Calibri" w:eastAsia="Calibri"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84"/>
          <w:sz w:val="21"/>
          <w:szCs w:val="21"/>
        </w:rPr>
        <w:t> </w:t>
      </w:r>
      <w:r>
        <w:rPr>
          <w:rFonts w:ascii="宋体" w:hAnsi="宋体" w:cs="宋体" w:eastAsia="宋体" w:hint="default"/>
          <w:sz w:val="21"/>
          <w:szCs w:val="21"/>
        </w:rPr>
        <w:t>本期公司未回购股份限制性股票。</w:t>
      </w:r>
    </w:p>
    <w:p>
      <w:pPr>
        <w:spacing w:line="240" w:lineRule="auto" w:before="3"/>
        <w:rPr>
          <w:rFonts w:ascii="宋体" w:hAnsi="宋体" w:cs="宋体" w:eastAsia="宋体" w:hint="default"/>
          <w:sz w:val="23"/>
          <w:szCs w:val="23"/>
        </w:rPr>
      </w:pPr>
    </w:p>
    <w:p>
      <w:pPr>
        <w:pStyle w:val="Heading3"/>
        <w:spacing w:line="240" w:lineRule="auto"/>
        <w:ind w:left="138" w:right="0"/>
        <w:jc w:val="left"/>
        <w:rPr>
          <w:b w:val="0"/>
          <w:bCs w:val="0"/>
        </w:rPr>
      </w:pPr>
      <w:r>
        <w:rPr>
          <w:rFonts w:ascii="宋体" w:hAnsi="宋体" w:cs="宋体" w:eastAsia="宋体" w:hint="default"/>
        </w:rPr>
        <w:t>57</w:t>
      </w:r>
      <w:r>
        <w:rPr/>
        <w:t>、</w:t>
      </w:r>
      <w:r>
        <w:rPr>
          <w:spacing w:val="-24"/>
        </w:rPr>
        <w:t> </w:t>
      </w:r>
      <w:r>
        <w:rPr/>
        <w:t>其他综合收益</w:t>
      </w:r>
      <w:r>
        <w:rPr>
          <w:b w:val="0"/>
          <w:bCs w:val="0"/>
        </w:rPr>
      </w:r>
    </w:p>
    <w:p>
      <w:pPr>
        <w:pStyle w:val="BodyText"/>
        <w:spacing w:line="240" w:lineRule="auto" w:before="58"/>
        <w:ind w:left="138" w:right="0"/>
        <w:jc w:val="left"/>
      </w:pPr>
      <w:r>
        <w:rPr/>
        <w:t>□适用</w:t>
      </w:r>
      <w:r>
        <w:rPr>
          <w:spacing w:val="-1"/>
        </w:rPr>
        <w:t> </w:t>
      </w:r>
      <w:r>
        <w:rPr/>
        <w:t>√不适用</w:t>
      </w:r>
    </w:p>
    <w:p>
      <w:pPr>
        <w:spacing w:after="0" w:line="240" w:lineRule="auto"/>
        <w:jc w:val="left"/>
        <w:sectPr>
          <w:type w:val="continuous"/>
          <w:pgSz w:w="11910" w:h="16840"/>
          <w:pgMar w:top="1000" w:bottom="280" w:left="1660" w:right="106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Heading3"/>
        <w:spacing w:line="240" w:lineRule="auto" w:before="36"/>
        <w:ind w:left="138" w:right="0"/>
        <w:jc w:val="left"/>
        <w:rPr>
          <w:b w:val="0"/>
          <w:bCs w:val="0"/>
        </w:rPr>
      </w:pPr>
      <w:r>
        <w:rPr>
          <w:rFonts w:ascii="宋体" w:hAnsi="宋体" w:cs="宋体" w:eastAsia="宋体" w:hint="default"/>
        </w:rPr>
        <w:t>58</w:t>
      </w:r>
      <w:r>
        <w:rPr/>
        <w:t>、</w:t>
      </w:r>
      <w:r>
        <w:rPr>
          <w:spacing w:val="-25"/>
        </w:rPr>
        <w:t> </w:t>
      </w:r>
      <w:r>
        <w:rPr/>
        <w:t>专项储备</w:t>
      </w:r>
      <w:r>
        <w:rPr>
          <w:b w:val="0"/>
          <w:bCs w:val="0"/>
        </w:rPr>
      </w:r>
    </w:p>
    <w:p>
      <w:pPr>
        <w:pStyle w:val="BodyText"/>
        <w:spacing w:line="240" w:lineRule="auto" w:before="56"/>
        <w:ind w:left="138"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0" w:footer="1195" w:top="1320" w:bottom="1380" w:left="1660" w:right="1040"/>
        </w:sectPr>
      </w:pPr>
    </w:p>
    <w:p>
      <w:pPr>
        <w:pStyle w:val="Heading3"/>
        <w:spacing w:line="240" w:lineRule="auto" w:before="36"/>
        <w:ind w:left="138" w:right="-18"/>
        <w:jc w:val="left"/>
        <w:rPr>
          <w:b w:val="0"/>
          <w:bCs w:val="0"/>
        </w:rPr>
      </w:pPr>
      <w:r>
        <w:rPr>
          <w:rFonts w:ascii="宋体" w:hAnsi="宋体" w:cs="宋体" w:eastAsia="宋体" w:hint="default"/>
        </w:rPr>
        <w:t>59</w:t>
      </w:r>
      <w:r>
        <w:rPr/>
        <w:t>、</w:t>
      </w:r>
      <w:r>
        <w:rPr>
          <w:spacing w:val="-25"/>
        </w:rPr>
        <w:t> </w:t>
      </w:r>
      <w:r>
        <w:rPr/>
        <w:t>盈余公积</w:t>
      </w:r>
      <w:r>
        <w:rPr>
          <w:b w:val="0"/>
          <w:bCs w:val="0"/>
        </w:rPr>
      </w:r>
    </w:p>
    <w:p>
      <w:pPr>
        <w:pStyle w:val="BodyText"/>
        <w:spacing w:line="240" w:lineRule="auto" w:before="56"/>
        <w:ind w:left="13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89" w:val="left" w:leader="none"/>
        </w:tabs>
        <w:spacing w:line="240" w:lineRule="auto"/>
        <w:ind w:left="138" w:right="0"/>
        <w:jc w:val="left"/>
      </w:pPr>
      <w:r>
        <w:rPr>
          <w:spacing w:val="-1"/>
        </w:rPr>
        <w:t>单位：元</w:t>
        <w:tab/>
      </w:r>
      <w:r>
        <w:rPr>
          <w:spacing w:val="-2"/>
        </w:rPr>
        <w:t>币种：人民币</w:t>
      </w:r>
    </w:p>
    <w:p>
      <w:pPr>
        <w:spacing w:after="0" w:line="240" w:lineRule="auto"/>
        <w:jc w:val="left"/>
        <w:sectPr>
          <w:type w:val="continuous"/>
          <w:pgSz w:w="11910" w:h="16840"/>
          <w:pgMar w:top="1000" w:bottom="280" w:left="1660" w:right="1040"/>
          <w:cols w:num="2" w:equalWidth="0">
            <w:col w:w="1715" w:space="4806"/>
            <w:col w:w="2689"/>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673"/>
        <w:gridCol w:w="1798"/>
        <w:gridCol w:w="1805"/>
        <w:gridCol w:w="1814"/>
        <w:gridCol w:w="1805"/>
      </w:tblGrid>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 w:right="0"/>
              <w:jc w:val="center"/>
              <w:rPr>
                <w:rFonts w:ascii="宋体" w:hAnsi="宋体" w:cs="宋体" w:eastAsia="宋体" w:hint="default"/>
                <w:sz w:val="21"/>
                <w:szCs w:val="21"/>
              </w:rPr>
            </w:pPr>
            <w:r>
              <w:rPr>
                <w:rFonts w:ascii="宋体"/>
                <w:sz w:val="21"/>
              </w:rPr>
              <w:t>29,117,862.13</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 w:right="0"/>
              <w:jc w:val="center"/>
              <w:rPr>
                <w:rFonts w:ascii="宋体" w:hAnsi="宋体" w:cs="宋体" w:eastAsia="宋体" w:hint="default"/>
                <w:sz w:val="21"/>
                <w:szCs w:val="21"/>
              </w:rPr>
            </w:pPr>
            <w:r>
              <w:rPr>
                <w:rFonts w:ascii="宋体"/>
                <w:sz w:val="21"/>
              </w:rPr>
              <w:t>13,815,637.87</w:t>
            </w: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center"/>
              <w:rPr>
                <w:rFonts w:ascii="宋体" w:hAnsi="宋体" w:cs="宋体" w:eastAsia="宋体" w:hint="default"/>
                <w:sz w:val="21"/>
                <w:szCs w:val="21"/>
              </w:rPr>
            </w:pPr>
            <w:r>
              <w:rPr>
                <w:rFonts w:ascii="宋体"/>
                <w:sz w:val="21"/>
              </w:rPr>
              <w:t>42,933,500.00</w:t>
            </w:r>
          </w:p>
        </w:tc>
      </w:tr>
      <w:tr>
        <w:trPr>
          <w:trHeight w:val="281"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任意盈余公积</w:t>
            </w:r>
          </w:p>
        </w:tc>
        <w:tc>
          <w:tcPr>
            <w:tcW w:w="1798"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储备基金</w:t>
            </w:r>
          </w:p>
        </w:tc>
        <w:tc>
          <w:tcPr>
            <w:tcW w:w="1798"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企业发展基金</w:t>
            </w:r>
          </w:p>
        </w:tc>
        <w:tc>
          <w:tcPr>
            <w:tcW w:w="1798"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98"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 w:right="0"/>
              <w:jc w:val="center"/>
              <w:rPr>
                <w:rFonts w:ascii="宋体" w:hAnsi="宋体" w:cs="宋体" w:eastAsia="宋体" w:hint="default"/>
                <w:sz w:val="21"/>
                <w:szCs w:val="21"/>
              </w:rPr>
            </w:pPr>
            <w:r>
              <w:rPr>
                <w:rFonts w:ascii="宋体"/>
                <w:sz w:val="21"/>
              </w:rPr>
              <w:t>29,117,862.13</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 w:right="0"/>
              <w:jc w:val="center"/>
              <w:rPr>
                <w:rFonts w:ascii="宋体" w:hAnsi="宋体" w:cs="宋体" w:eastAsia="宋体" w:hint="default"/>
                <w:sz w:val="21"/>
                <w:szCs w:val="21"/>
              </w:rPr>
            </w:pPr>
            <w:r>
              <w:rPr>
                <w:rFonts w:ascii="宋体"/>
                <w:sz w:val="21"/>
              </w:rPr>
              <w:t>13,815,637.87</w:t>
            </w: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center"/>
              <w:rPr>
                <w:rFonts w:ascii="宋体" w:hAnsi="宋体" w:cs="宋体" w:eastAsia="宋体" w:hint="default"/>
                <w:sz w:val="21"/>
                <w:szCs w:val="21"/>
              </w:rPr>
            </w:pPr>
            <w:r>
              <w:rPr>
                <w:rFonts w:ascii="宋体"/>
                <w:sz w:val="21"/>
              </w:rPr>
              <w:t>42,933,500.00</w:t>
            </w:r>
          </w:p>
        </w:tc>
      </w:tr>
    </w:tbl>
    <w:p>
      <w:pPr>
        <w:pStyle w:val="BodyText"/>
        <w:spacing w:line="240" w:lineRule="auto" w:before="26"/>
        <w:ind w:left="138" w:right="0"/>
        <w:jc w:val="left"/>
      </w:pPr>
      <w:r>
        <w:rPr/>
        <w:t>盈余公积说明，包括本期增减变动情况、变动原因说明：</w:t>
      </w:r>
    </w:p>
    <w:p>
      <w:pPr>
        <w:pStyle w:val="BodyText"/>
        <w:spacing w:line="240" w:lineRule="auto" w:before="56"/>
        <w:ind w:left="138" w:right="0"/>
        <w:jc w:val="left"/>
      </w:pPr>
      <w:r>
        <w:rPr>
          <w:spacing w:val="-2"/>
        </w:rPr>
        <w:t>本期新增盈余公积均为计提法定盈余公积，根据相关规定，法定盈余公积累计额已达到注册资本</w:t>
      </w:r>
      <w:r>
        <w:rPr>
          <w:spacing w:val="-25"/>
        </w:rPr>
        <w:t> </w:t>
      </w:r>
      <w:r>
        <w:rPr>
          <w:spacing w:val="-25"/>
        </w:rPr>
      </w:r>
      <w:r>
        <w:rPr/>
        <w:t>的</w:t>
      </w:r>
      <w:r>
        <w:rPr>
          <w:rFonts w:ascii="宋体" w:hAnsi="宋体" w:cs="宋体" w:eastAsia="宋体" w:hint="default"/>
        </w:rPr>
        <w:t>50%</w:t>
      </w:r>
      <w:r>
        <w:rPr/>
        <w:t>时可以不再提取。</w:t>
      </w:r>
    </w:p>
    <w:p>
      <w:pPr>
        <w:pStyle w:val="Heading3"/>
        <w:spacing w:line="240" w:lineRule="auto" w:before="56"/>
        <w:ind w:left="138" w:right="0"/>
        <w:jc w:val="left"/>
        <w:rPr>
          <w:b w:val="0"/>
          <w:bCs w:val="0"/>
        </w:rPr>
      </w:pPr>
      <w:r>
        <w:rPr>
          <w:rFonts w:ascii="宋体" w:hAnsi="宋体" w:cs="宋体" w:eastAsia="宋体" w:hint="default"/>
        </w:rPr>
        <w:t>60</w:t>
      </w:r>
      <w:r>
        <w:rPr/>
        <w:t>、</w:t>
      </w:r>
      <w:r>
        <w:rPr>
          <w:spacing w:val="-25"/>
        </w:rPr>
        <w:t> </w:t>
      </w:r>
      <w:r>
        <w:rPr/>
        <w:t>未分配利润</w:t>
      </w:r>
      <w:r>
        <w:rPr>
          <w:b w:val="0"/>
          <w:bCs w:val="0"/>
        </w:rPr>
      </w:r>
    </w:p>
    <w:p>
      <w:pPr>
        <w:pStyle w:val="BodyText"/>
        <w:spacing w:line="240" w:lineRule="auto" w:before="58"/>
        <w:ind w:left="138" w:right="0"/>
        <w:jc w:val="left"/>
      </w:pPr>
      <w:r>
        <w:rPr/>
        <w:t>√适用</w:t>
      </w:r>
      <w:r>
        <w:rPr>
          <w:spacing w:val="-1"/>
        </w:rPr>
        <w:t> </w:t>
      </w:r>
      <w:r>
        <w:rPr/>
        <w:t>□不适用</w:t>
      </w:r>
    </w:p>
    <w:p>
      <w:pPr>
        <w:pStyle w:val="BodyText"/>
        <w:tabs>
          <w:tab w:pos="1051" w:val="left" w:leader="none"/>
        </w:tabs>
        <w:spacing w:line="271" w:lineRule="exact"/>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430"/>
        <w:gridCol w:w="2777"/>
        <w:gridCol w:w="2689"/>
      </w:tblGrid>
      <w:tr>
        <w:trPr>
          <w:trHeight w:val="281"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w:t>
            </w:r>
          </w:p>
        </w:tc>
      </w:tr>
      <w:tr>
        <w:trPr>
          <w:trHeight w:val="284"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9"/>
              <w:jc w:val="right"/>
              <w:rPr>
                <w:rFonts w:ascii="宋体" w:hAnsi="宋体" w:cs="宋体" w:eastAsia="宋体" w:hint="default"/>
                <w:sz w:val="21"/>
                <w:szCs w:val="21"/>
              </w:rPr>
            </w:pPr>
            <w:r>
              <w:rPr>
                <w:rFonts w:ascii="宋体"/>
                <w:spacing w:val="-1"/>
                <w:sz w:val="21"/>
              </w:rPr>
              <w:t>292,659,472.43</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1"/>
              <w:jc w:val="right"/>
              <w:rPr>
                <w:rFonts w:ascii="宋体" w:hAnsi="宋体" w:cs="宋体" w:eastAsia="宋体" w:hint="default"/>
                <w:sz w:val="21"/>
                <w:szCs w:val="21"/>
              </w:rPr>
            </w:pPr>
            <w:r>
              <w:rPr>
                <w:rFonts w:ascii="宋体"/>
                <w:spacing w:val="-1"/>
                <w:sz w:val="21"/>
              </w:rPr>
              <w:t>228,294,931.96</w:t>
            </w:r>
          </w:p>
        </w:tc>
      </w:tr>
      <w:tr>
        <w:trPr>
          <w:trHeight w:val="554"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调整期初未分配利润合计数（调增</w:t>
            </w:r>
            <w:r>
              <w:rPr>
                <w:rFonts w:ascii="宋体" w:hAnsi="宋体" w:cs="宋体" w:eastAsia="宋体" w:hint="default"/>
                <w:sz w:val="21"/>
                <w:szCs w:val="21"/>
              </w:rPr>
              <w:t>+</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调减－）</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7"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268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spacing w:val="-1"/>
                <w:sz w:val="21"/>
              </w:rPr>
              <w:t>292,659,472.43</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spacing w:val="-1"/>
                <w:sz w:val="21"/>
              </w:rPr>
              <w:t>228,294,931.96</w:t>
            </w:r>
          </w:p>
        </w:tc>
      </w:tr>
      <w:tr>
        <w:trPr>
          <w:trHeight w:val="554"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加：本期归属于母公司所有者的净利</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润</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spacing w:val="-1"/>
                <w:sz w:val="21"/>
              </w:rPr>
              <w:t>101,908,339.29</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spacing w:val="-1"/>
                <w:sz w:val="21"/>
              </w:rPr>
              <w:t>70,481,586.16</w:t>
            </w:r>
          </w:p>
        </w:tc>
      </w:tr>
      <w:tr>
        <w:trPr>
          <w:trHeight w:val="283"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13,815,637.87</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spacing w:val="-1"/>
                <w:sz w:val="21"/>
              </w:rPr>
              <w:t>6,117,045.69</w:t>
            </w:r>
          </w:p>
        </w:tc>
      </w:tr>
      <w:tr>
        <w:trPr>
          <w:trHeight w:val="281"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提取任意盈余公积</w:t>
            </w:r>
          </w:p>
        </w:tc>
        <w:tc>
          <w:tcPr>
            <w:tcW w:w="2777" w:type="dxa"/>
            <w:tcBorders>
              <w:top w:val="single" w:sz="4" w:space="0" w:color="000000"/>
              <w:left w:val="single" w:sz="4" w:space="0" w:color="000000"/>
              <w:bottom w:val="single" w:sz="4" w:space="0" w:color="000000"/>
              <w:right w:val="single" w:sz="4" w:space="0" w:color="000000"/>
            </w:tcBorders>
          </w:tcPr>
          <w:p>
            <w:pPr/>
          </w:p>
        </w:tc>
        <w:tc>
          <w:tcPr>
            <w:tcW w:w="268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提取一般风险准备</w:t>
            </w:r>
          </w:p>
        </w:tc>
        <w:tc>
          <w:tcPr>
            <w:tcW w:w="2777" w:type="dxa"/>
            <w:tcBorders>
              <w:top w:val="single" w:sz="4" w:space="0" w:color="000000"/>
              <w:left w:val="single" w:sz="4" w:space="0" w:color="000000"/>
              <w:bottom w:val="single" w:sz="4" w:space="0" w:color="000000"/>
              <w:right w:val="single" w:sz="4" w:space="0" w:color="000000"/>
            </w:tcBorders>
          </w:tcPr>
          <w:p>
            <w:pPr/>
          </w:p>
        </w:tc>
        <w:tc>
          <w:tcPr>
            <w:tcW w:w="268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777" w:type="dxa"/>
            <w:tcBorders>
              <w:top w:val="single" w:sz="4" w:space="0" w:color="000000"/>
              <w:left w:val="single" w:sz="4" w:space="0" w:color="000000"/>
              <w:bottom w:val="single" w:sz="4" w:space="0" w:color="000000"/>
              <w:right w:val="single" w:sz="4" w:space="0" w:color="000000"/>
            </w:tcBorders>
          </w:tcPr>
          <w:p>
            <w:pPr/>
          </w:p>
        </w:tc>
        <w:tc>
          <w:tcPr>
            <w:tcW w:w="268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p>
        </w:tc>
        <w:tc>
          <w:tcPr>
            <w:tcW w:w="2777" w:type="dxa"/>
            <w:tcBorders>
              <w:top w:val="single" w:sz="4" w:space="0" w:color="000000"/>
              <w:left w:val="single" w:sz="4" w:space="0" w:color="000000"/>
              <w:bottom w:val="single" w:sz="4" w:space="0" w:color="000000"/>
              <w:right w:val="single" w:sz="4" w:space="0" w:color="000000"/>
            </w:tcBorders>
          </w:tcPr>
          <w:p>
            <w:pPr/>
          </w:p>
        </w:tc>
        <w:tc>
          <w:tcPr>
            <w:tcW w:w="2689"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380,752,173.85</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spacing w:val="-1"/>
                <w:sz w:val="21"/>
              </w:rPr>
              <w:t>292,659,472.43</w:t>
            </w:r>
          </w:p>
        </w:tc>
      </w:tr>
    </w:tbl>
    <w:p>
      <w:pPr>
        <w:pStyle w:val="BodyText"/>
        <w:spacing w:line="290" w:lineRule="auto" w:before="26"/>
        <w:ind w:left="138" w:right="1126"/>
        <w:jc w:val="left"/>
      </w:pPr>
      <w:r>
        <w:rPr/>
        <w:t>调整期初未分配利润明细：</w:t>
      </w:r>
      <w:r>
        <w:rPr>
          <w:w w:val="100"/>
        </w:rPr>
        <w:t> </w:t>
      </w:r>
      <w:r>
        <w:rPr>
          <w:rFonts w:ascii="宋体" w:hAnsi="宋体" w:cs="宋体" w:eastAsia="宋体" w:hint="default"/>
        </w:rPr>
        <w:t>1</w:t>
      </w:r>
      <w:r>
        <w:rPr/>
        <w:t>、由于《企业会计准则》及其相关新规定进行追溯调整，影响期初未分配利润 </w:t>
      </w:r>
      <w:r>
        <w:rPr>
          <w:rFonts w:ascii="宋体" w:hAnsi="宋体" w:cs="宋体" w:eastAsia="宋体" w:hint="default"/>
        </w:rPr>
        <w:t>0</w:t>
      </w:r>
      <w:r>
        <w:rPr>
          <w:rFonts w:ascii="宋体" w:hAnsi="宋体" w:cs="宋体" w:eastAsia="宋体" w:hint="default"/>
          <w:spacing w:val="-58"/>
        </w:rPr>
        <w:t> </w:t>
      </w:r>
      <w:r>
        <w:rPr/>
        <w:t>元。</w:t>
      </w:r>
    </w:p>
    <w:p>
      <w:pPr>
        <w:pStyle w:val="BodyText"/>
        <w:spacing w:line="228" w:lineRule="exact"/>
        <w:ind w:left="138" w:right="0"/>
        <w:jc w:val="left"/>
      </w:pPr>
      <w:r>
        <w:rPr>
          <w:rFonts w:ascii="宋体" w:hAnsi="宋体" w:cs="宋体" w:eastAsia="宋体" w:hint="default"/>
        </w:rPr>
        <w:t>2</w:t>
      </w:r>
      <w:r>
        <w:rPr/>
        <w:t>、由于会计政策变更，影响期初未分配利润 </w:t>
      </w:r>
      <w:r>
        <w:rPr>
          <w:rFonts w:ascii="宋体" w:hAnsi="宋体" w:cs="宋体" w:eastAsia="宋体" w:hint="default"/>
        </w:rPr>
        <w:t>0</w:t>
      </w:r>
      <w:r>
        <w:rPr>
          <w:rFonts w:ascii="宋体" w:hAnsi="宋体" w:cs="宋体" w:eastAsia="宋体" w:hint="default"/>
          <w:spacing w:val="-56"/>
        </w:rPr>
        <w:t> </w:t>
      </w:r>
      <w:r>
        <w:rPr>
          <w:spacing w:val="-3"/>
        </w:rPr>
        <w:t>元。</w:t>
      </w:r>
      <w:r>
        <w:rPr/>
      </w:r>
    </w:p>
    <w:p>
      <w:pPr>
        <w:pStyle w:val="BodyText"/>
        <w:spacing w:line="272" w:lineRule="exact"/>
        <w:ind w:left="138" w:right="0"/>
        <w:jc w:val="left"/>
      </w:pPr>
      <w:r>
        <w:rPr>
          <w:rFonts w:ascii="宋体" w:hAnsi="宋体" w:cs="宋体" w:eastAsia="宋体" w:hint="default"/>
        </w:rPr>
        <w:t>3</w:t>
      </w:r>
      <w:r>
        <w:rPr/>
        <w:t>、由于重大会计差错更正，影响期初未分配利润 </w:t>
      </w:r>
      <w:r>
        <w:rPr>
          <w:rFonts w:ascii="宋体" w:hAnsi="宋体" w:cs="宋体" w:eastAsia="宋体" w:hint="default"/>
        </w:rPr>
        <w:t>0</w:t>
      </w:r>
      <w:r>
        <w:rPr>
          <w:rFonts w:ascii="宋体" w:hAnsi="宋体" w:cs="宋体" w:eastAsia="宋体" w:hint="default"/>
          <w:spacing w:val="-60"/>
        </w:rPr>
        <w:t> </w:t>
      </w:r>
      <w:r>
        <w:rPr/>
        <w:t>元。</w:t>
      </w:r>
    </w:p>
    <w:p>
      <w:pPr>
        <w:pStyle w:val="BodyText"/>
        <w:spacing w:line="272" w:lineRule="exact"/>
        <w:ind w:left="138" w:right="0"/>
        <w:jc w:val="left"/>
      </w:pPr>
      <w:r>
        <w:rPr>
          <w:rFonts w:ascii="宋体" w:hAnsi="宋体" w:cs="宋体" w:eastAsia="宋体" w:hint="default"/>
        </w:rPr>
        <w:t>4</w:t>
      </w:r>
      <w:r>
        <w:rPr/>
        <w:t>、由于同一控制导致的合并范围变更，影响期初未分配利润 </w:t>
      </w:r>
      <w:r>
        <w:rPr>
          <w:rFonts w:ascii="宋体" w:hAnsi="宋体" w:cs="宋体" w:eastAsia="宋体" w:hint="default"/>
        </w:rPr>
        <w:t>0</w:t>
      </w:r>
      <w:r>
        <w:rPr>
          <w:rFonts w:ascii="宋体" w:hAnsi="宋体" w:cs="宋体" w:eastAsia="宋体" w:hint="default"/>
          <w:spacing w:val="-57"/>
        </w:rPr>
        <w:t> </w:t>
      </w:r>
      <w:r>
        <w:rPr>
          <w:spacing w:val="-3"/>
        </w:rPr>
        <w:t>元。</w:t>
      </w:r>
      <w:r>
        <w:rPr/>
      </w:r>
    </w:p>
    <w:p>
      <w:pPr>
        <w:pStyle w:val="BodyText"/>
        <w:spacing w:line="273" w:lineRule="exact"/>
        <w:ind w:left="138" w:right="0"/>
        <w:jc w:val="left"/>
      </w:pPr>
      <w:r>
        <w:rPr>
          <w:rFonts w:ascii="宋体" w:hAnsi="宋体" w:cs="宋体" w:eastAsia="宋体" w:hint="default"/>
        </w:rPr>
        <w:t>5</w:t>
      </w:r>
      <w:r>
        <w:rPr/>
        <w:t>、其他调整合计影响期初未分配利润 </w:t>
      </w:r>
      <w:r>
        <w:rPr>
          <w:rFonts w:ascii="宋体" w:hAnsi="宋体" w:cs="宋体" w:eastAsia="宋体" w:hint="default"/>
        </w:rPr>
        <w:t>0</w:t>
      </w:r>
      <w:r>
        <w:rPr>
          <w:rFonts w:ascii="宋体" w:hAnsi="宋体" w:cs="宋体" w:eastAsia="宋体" w:hint="default"/>
          <w:spacing w:val="-57"/>
        </w:rPr>
        <w:t> </w:t>
      </w:r>
      <w:r>
        <w:rPr/>
        <w:t>元。</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000" w:bottom="280" w:left="1660" w:right="1040"/>
        </w:sectPr>
      </w:pPr>
    </w:p>
    <w:p>
      <w:pPr>
        <w:pStyle w:val="Heading3"/>
        <w:spacing w:line="240" w:lineRule="auto" w:before="36"/>
        <w:ind w:left="138" w:right="-18"/>
        <w:jc w:val="left"/>
        <w:rPr>
          <w:b w:val="0"/>
          <w:bCs w:val="0"/>
        </w:rPr>
      </w:pPr>
      <w:r>
        <w:rPr>
          <w:rFonts w:ascii="宋体" w:hAnsi="宋体" w:cs="宋体" w:eastAsia="宋体" w:hint="default"/>
        </w:rPr>
        <w:t>61</w:t>
      </w:r>
      <w:r>
        <w:rPr/>
        <w:t>、</w:t>
      </w:r>
      <w:r>
        <w:rPr>
          <w:spacing w:val="-23"/>
        </w:rPr>
        <w:t> </w:t>
      </w:r>
      <w:r>
        <w:rPr/>
        <w:t>营业收入和营业成本</w:t>
      </w:r>
      <w:r>
        <w:rPr>
          <w:b w:val="0"/>
          <w:bCs w:val="0"/>
        </w:rPr>
      </w:r>
    </w:p>
    <w:p>
      <w:pPr>
        <w:pStyle w:val="BodyText"/>
        <w:spacing w:line="240" w:lineRule="auto" w:before="58"/>
        <w:ind w:left="13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89" w:val="left" w:leader="none"/>
        </w:tabs>
        <w:spacing w:line="240" w:lineRule="auto"/>
        <w:ind w:left="138" w:right="0"/>
        <w:jc w:val="left"/>
      </w:pPr>
      <w:r>
        <w:rPr>
          <w:spacing w:val="-1"/>
        </w:rPr>
        <w:t>单位：元</w:t>
        <w:tab/>
      </w:r>
      <w:r>
        <w:rPr>
          <w:spacing w:val="-2"/>
        </w:rPr>
        <w:t>币种：人民币</w:t>
      </w:r>
    </w:p>
    <w:p>
      <w:pPr>
        <w:spacing w:after="0" w:line="240" w:lineRule="auto"/>
        <w:jc w:val="left"/>
        <w:sectPr>
          <w:type w:val="continuous"/>
          <w:pgSz w:w="11910" w:h="16840"/>
          <w:pgMar w:top="1000" w:bottom="280" w:left="1660" w:right="1040"/>
          <w:cols w:num="2" w:equalWidth="0">
            <w:col w:w="2543" w:space="3978"/>
            <w:col w:w="2689"/>
          </w:cols>
        </w:sectPr>
      </w:pPr>
    </w:p>
    <w:p>
      <w:pPr>
        <w:spacing w:line="240" w:lineRule="auto" w:before="7"/>
        <w:rPr>
          <w:rFonts w:ascii="宋体" w:hAnsi="宋体" w:cs="宋体" w:eastAsia="宋体" w:hint="default"/>
          <w:sz w:val="2"/>
          <w:szCs w:val="2"/>
        </w:rPr>
      </w:pPr>
    </w:p>
    <w:tbl>
      <w:tblPr>
        <w:tblW w:w="0" w:type="auto"/>
        <w:jc w:val="left"/>
        <w:tblInd w:w="147" w:type="dxa"/>
        <w:tblLayout w:type="fixed"/>
        <w:tblCellMar>
          <w:top w:w="0" w:type="dxa"/>
          <w:left w:w="0" w:type="dxa"/>
          <w:bottom w:w="0" w:type="dxa"/>
          <w:right w:w="0" w:type="dxa"/>
        </w:tblCellMar>
        <w:tblLook w:val="01E0"/>
      </w:tblPr>
      <w:tblGrid>
        <w:gridCol w:w="1438"/>
        <w:gridCol w:w="1863"/>
        <w:gridCol w:w="1877"/>
        <w:gridCol w:w="1877"/>
        <w:gridCol w:w="1875"/>
      </w:tblGrid>
      <w:tr>
        <w:trPr>
          <w:trHeight w:val="281" w:hRule="exact"/>
        </w:trPr>
        <w:tc>
          <w:tcPr>
            <w:tcW w:w="1438" w:type="dxa"/>
            <w:vMerge w:val="restart"/>
            <w:tcBorders>
              <w:top w:val="single" w:sz="4" w:space="0" w:color="000000"/>
              <w:left w:val="single" w:sz="4" w:space="0" w:color="000000"/>
              <w:right w:val="single" w:sz="4" w:space="0" w:color="000000"/>
            </w:tcBorders>
          </w:tcPr>
          <w:p>
            <w:pPr>
              <w:pStyle w:val="TableParagraph"/>
              <w:spacing w:line="240" w:lineRule="auto" w:before="108"/>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1438" w:type="dxa"/>
            <w:vMerge/>
            <w:tcBorders>
              <w:left w:val="single" w:sz="4" w:space="0" w:color="000000"/>
              <w:bottom w:val="single" w:sz="4" w:space="0" w:color="000000"/>
              <w:right w:val="single" w:sz="4" w:space="0" w:color="000000"/>
            </w:tcBorders>
          </w:tcPr>
          <w:p>
            <w:pP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3"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78" w:right="0"/>
              <w:jc w:val="left"/>
              <w:rPr>
                <w:rFonts w:ascii="宋体" w:hAnsi="宋体" w:cs="宋体" w:eastAsia="宋体" w:hint="default"/>
                <w:sz w:val="21"/>
                <w:szCs w:val="21"/>
              </w:rPr>
            </w:pPr>
            <w:r>
              <w:rPr>
                <w:rFonts w:ascii="宋体"/>
                <w:sz w:val="21"/>
              </w:rPr>
              <w:t>243,776,725.70</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8" w:right="0"/>
              <w:jc w:val="left"/>
              <w:rPr>
                <w:rFonts w:ascii="宋体" w:hAnsi="宋体" w:cs="宋体" w:eastAsia="宋体" w:hint="default"/>
                <w:sz w:val="21"/>
                <w:szCs w:val="21"/>
              </w:rPr>
            </w:pPr>
            <w:r>
              <w:rPr>
                <w:rFonts w:ascii="宋体"/>
                <w:sz w:val="21"/>
              </w:rPr>
              <w:t>51,728,254.04</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0" w:right="0"/>
              <w:jc w:val="left"/>
              <w:rPr>
                <w:rFonts w:ascii="宋体" w:hAnsi="宋体" w:cs="宋体" w:eastAsia="宋体" w:hint="default"/>
                <w:sz w:val="21"/>
                <w:szCs w:val="21"/>
              </w:rPr>
            </w:pPr>
            <w:r>
              <w:rPr>
                <w:rFonts w:ascii="宋体"/>
                <w:sz w:val="21"/>
              </w:rPr>
              <w:t>204,692,488.71</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4" w:right="0"/>
              <w:jc w:val="left"/>
              <w:rPr>
                <w:rFonts w:ascii="宋体" w:hAnsi="宋体" w:cs="宋体" w:eastAsia="宋体" w:hint="default"/>
                <w:sz w:val="21"/>
                <w:szCs w:val="21"/>
              </w:rPr>
            </w:pPr>
            <w:r>
              <w:rPr>
                <w:rFonts w:ascii="宋体"/>
                <w:sz w:val="21"/>
              </w:rPr>
              <w:t>42,022,488.48</w:t>
            </w:r>
          </w:p>
        </w:tc>
      </w:tr>
    </w:tbl>
    <w:p>
      <w:pPr>
        <w:spacing w:after="0" w:line="241" w:lineRule="exact"/>
        <w:jc w:val="left"/>
        <w:rPr>
          <w:rFonts w:ascii="宋体" w:hAnsi="宋体" w:cs="宋体" w:eastAsia="宋体" w:hint="default"/>
          <w:sz w:val="21"/>
          <w:szCs w:val="21"/>
        </w:rPr>
        <w:sectPr>
          <w:type w:val="continuous"/>
          <w:pgSz w:w="11910" w:h="16840"/>
          <w:pgMar w:top="1000" w:bottom="280" w:left="1660" w:right="1040"/>
        </w:sectPr>
      </w:pPr>
    </w:p>
    <w:p>
      <w:pPr>
        <w:spacing w:line="240" w:lineRule="auto" w:before="9"/>
        <w:rPr>
          <w:rFonts w:ascii="宋体" w:hAnsi="宋体" w:cs="宋体" w:eastAsia="宋体" w:hint="default"/>
          <w:sz w:val="14"/>
          <w:szCs w:val="14"/>
        </w:rPr>
      </w:pPr>
    </w:p>
    <w:tbl>
      <w:tblPr>
        <w:tblW w:w="0" w:type="auto"/>
        <w:jc w:val="left"/>
        <w:tblInd w:w="227" w:type="dxa"/>
        <w:tblLayout w:type="fixed"/>
        <w:tblCellMar>
          <w:top w:w="0" w:type="dxa"/>
          <w:left w:w="0" w:type="dxa"/>
          <w:bottom w:w="0" w:type="dxa"/>
          <w:right w:w="0" w:type="dxa"/>
        </w:tblCellMar>
        <w:tblLook w:val="01E0"/>
      </w:tblPr>
      <w:tblGrid>
        <w:gridCol w:w="1438"/>
        <w:gridCol w:w="1863"/>
        <w:gridCol w:w="1877"/>
        <w:gridCol w:w="1877"/>
        <w:gridCol w:w="1875"/>
      </w:tblGrid>
      <w:tr>
        <w:trPr>
          <w:trHeight w:val="284"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480"/>
              <w:jc w:val="right"/>
              <w:rPr>
                <w:rFonts w:ascii="宋体" w:hAnsi="宋体" w:cs="宋体" w:eastAsia="宋体" w:hint="default"/>
                <w:sz w:val="21"/>
                <w:szCs w:val="21"/>
              </w:rPr>
            </w:pPr>
            <w:r>
              <w:rPr>
                <w:rFonts w:ascii="宋体" w:hAnsi="宋体" w:cs="宋体" w:eastAsia="宋体" w:hint="default"/>
                <w:spacing w:val="-1"/>
                <w:sz w:val="21"/>
                <w:szCs w:val="21"/>
              </w:rPr>
              <w:t>其他业务</w:t>
            </w:r>
          </w:p>
        </w:tc>
        <w:tc>
          <w:tcPr>
            <w:tcW w:w="1863"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c>
          <w:tcPr>
            <w:tcW w:w="18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99"/>
              <w:jc w:val="right"/>
              <w:rPr>
                <w:rFonts w:ascii="宋体" w:hAnsi="宋体" w:cs="宋体" w:eastAsia="宋体" w:hint="default"/>
                <w:sz w:val="21"/>
                <w:szCs w:val="21"/>
              </w:rPr>
            </w:pPr>
            <w:r>
              <w:rPr>
                <w:rFonts w:ascii="宋体" w:hAnsi="宋体" w:cs="宋体" w:eastAsia="宋体" w:hint="default"/>
                <w:sz w:val="21"/>
                <w:szCs w:val="21"/>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78" w:right="0"/>
              <w:jc w:val="left"/>
              <w:rPr>
                <w:rFonts w:ascii="宋体" w:hAnsi="宋体" w:cs="宋体" w:eastAsia="宋体" w:hint="default"/>
                <w:sz w:val="21"/>
                <w:szCs w:val="21"/>
              </w:rPr>
            </w:pPr>
            <w:r>
              <w:rPr>
                <w:rFonts w:ascii="宋体"/>
                <w:sz w:val="21"/>
              </w:rPr>
              <w:t>243,776,725.70</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8" w:right="0"/>
              <w:jc w:val="left"/>
              <w:rPr>
                <w:rFonts w:ascii="宋体" w:hAnsi="宋体" w:cs="宋体" w:eastAsia="宋体" w:hint="default"/>
                <w:sz w:val="21"/>
                <w:szCs w:val="21"/>
              </w:rPr>
            </w:pPr>
            <w:r>
              <w:rPr>
                <w:rFonts w:ascii="宋体"/>
                <w:sz w:val="21"/>
              </w:rPr>
              <w:t>51,728,254.04</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0" w:right="0"/>
              <w:jc w:val="left"/>
              <w:rPr>
                <w:rFonts w:ascii="宋体" w:hAnsi="宋体" w:cs="宋体" w:eastAsia="宋体" w:hint="default"/>
                <w:sz w:val="21"/>
                <w:szCs w:val="21"/>
              </w:rPr>
            </w:pPr>
            <w:r>
              <w:rPr>
                <w:rFonts w:ascii="宋体"/>
                <w:sz w:val="21"/>
              </w:rPr>
              <w:t>204,692,488.71</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4" w:right="0"/>
              <w:jc w:val="left"/>
              <w:rPr>
                <w:rFonts w:ascii="宋体" w:hAnsi="宋体" w:cs="宋体" w:eastAsia="宋体" w:hint="default"/>
                <w:sz w:val="21"/>
                <w:szCs w:val="21"/>
              </w:rPr>
            </w:pPr>
            <w:r>
              <w:rPr>
                <w:rFonts w:ascii="宋体"/>
                <w:sz w:val="21"/>
              </w:rPr>
              <w:t>42,022,488.48</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footerReference w:type="default" r:id="rId40"/>
          <w:pgSz w:w="11910" w:h="16840"/>
          <w:pgMar w:footer="1195" w:header="0" w:top="1320" w:bottom="1380" w:left="1580" w:right="1040"/>
        </w:sectPr>
      </w:pPr>
    </w:p>
    <w:p>
      <w:pPr>
        <w:pStyle w:val="Heading3"/>
        <w:spacing w:line="240" w:lineRule="auto" w:before="36"/>
        <w:ind w:right="-1"/>
        <w:jc w:val="left"/>
        <w:rPr>
          <w:b w:val="0"/>
          <w:bCs w:val="0"/>
        </w:rPr>
      </w:pPr>
      <w:r>
        <w:rPr>
          <w:rFonts w:ascii="宋体" w:hAnsi="宋体" w:cs="宋体" w:eastAsia="宋体" w:hint="default"/>
        </w:rPr>
        <w:t>62</w:t>
      </w:r>
      <w:r>
        <w:rPr/>
        <w:t>、</w:t>
      </w:r>
      <w:r>
        <w:rPr>
          <w:spacing w:val="-25"/>
        </w:rPr>
        <w:t> </w:t>
      </w:r>
      <w:r>
        <w:rPr/>
        <w:t>税金及附加</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000" w:bottom="280" w:left="1580" w:right="1040"/>
          <w:cols w:num="2" w:equalWidth="0">
            <w:col w:w="1795" w:space="4726"/>
            <w:col w:w="2769"/>
          </w:cols>
        </w:sectPr>
      </w:pP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2859"/>
        <w:gridCol w:w="3017"/>
        <w:gridCol w:w="3020"/>
      </w:tblGrid>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08"/>
              <w:jc w:val="right"/>
              <w:rPr>
                <w:rFonts w:ascii="宋体" w:hAnsi="宋体" w:cs="宋体" w:eastAsia="宋体" w:hint="default"/>
                <w:sz w:val="21"/>
                <w:szCs w:val="21"/>
              </w:rPr>
            </w:pPr>
            <w:r>
              <w:rPr>
                <w:rFonts w:ascii="宋体" w:hAnsi="宋体" w:cs="宋体" w:eastAsia="宋体" w:hint="default"/>
                <w:sz w:val="21"/>
                <w:szCs w:val="21"/>
              </w:rPr>
              <w:t>项目</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7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7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6"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1,667,218.50</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1,464,341.09</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1,198,380.65</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1,055,073.75</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446,442.38</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394,414.86</w:t>
            </w:r>
          </w:p>
        </w:tc>
      </w:tr>
      <w:tr>
        <w:trPr>
          <w:trHeight w:val="286"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331,222.30</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56,878.35</w:t>
            </w:r>
          </w:p>
        </w:tc>
      </w:tr>
      <w:tr>
        <w:trPr>
          <w:trHeight w:val="289"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19"/>
              <w:jc w:val="right"/>
              <w:rPr>
                <w:rFonts w:ascii="宋体" w:hAnsi="宋体" w:cs="宋体" w:eastAsia="宋体" w:hint="default"/>
                <w:sz w:val="21"/>
                <w:szCs w:val="21"/>
              </w:rPr>
            </w:pPr>
            <w:r>
              <w:rPr>
                <w:rFonts w:ascii="宋体"/>
                <w:spacing w:val="-1"/>
                <w:sz w:val="21"/>
              </w:rPr>
              <w:t>22,423.88</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19"/>
              <w:jc w:val="right"/>
              <w:rPr>
                <w:rFonts w:ascii="宋体" w:hAnsi="宋体" w:cs="宋体" w:eastAsia="宋体" w:hint="default"/>
                <w:sz w:val="21"/>
                <w:szCs w:val="21"/>
              </w:rPr>
            </w:pPr>
            <w:r>
              <w:rPr>
                <w:rFonts w:ascii="宋体"/>
                <w:spacing w:val="-1"/>
                <w:sz w:val="21"/>
              </w:rPr>
              <w:t>18,970.48</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08"/>
              <w:jc w:val="right"/>
              <w:rPr>
                <w:rFonts w:ascii="宋体" w:hAnsi="宋体" w:cs="宋体" w:eastAsia="宋体" w:hint="default"/>
                <w:sz w:val="21"/>
                <w:szCs w:val="21"/>
              </w:rPr>
            </w:pPr>
            <w:r>
              <w:rPr>
                <w:rFonts w:ascii="宋体" w:hAnsi="宋体" w:cs="宋体" w:eastAsia="宋体" w:hint="default"/>
                <w:sz w:val="21"/>
                <w:szCs w:val="21"/>
              </w:rPr>
              <w:t>合计</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3,665,687.71</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2,989,678.53</w:t>
            </w:r>
          </w:p>
        </w:tc>
      </w:tr>
    </w:tbl>
    <w:p>
      <w:pPr>
        <w:pStyle w:val="BodyText"/>
        <w:spacing w:line="290" w:lineRule="auto" w:before="26"/>
        <w:ind w:right="5042"/>
        <w:jc w:val="left"/>
      </w:pPr>
      <w:r>
        <w:rPr/>
        <w:t>其他说明：</w:t>
      </w:r>
      <w:r>
        <w:rPr>
          <w:spacing w:val="-102"/>
        </w:rPr>
        <w:t> </w:t>
      </w:r>
      <w:r>
        <w:rPr>
          <w:spacing w:val="-102"/>
        </w:rPr>
      </w:r>
      <w:r>
        <w:rPr>
          <w:spacing w:val="-2"/>
        </w:rPr>
        <w:t>各项税金及附加的计缴标准详见附注税项</w:t>
      </w:r>
    </w:p>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000" w:bottom="280" w:left="1580" w:right="1040"/>
        </w:sectPr>
      </w:pPr>
    </w:p>
    <w:p>
      <w:pPr>
        <w:pStyle w:val="Heading3"/>
        <w:spacing w:line="240" w:lineRule="auto" w:before="36"/>
        <w:ind w:right="202"/>
        <w:jc w:val="left"/>
        <w:rPr>
          <w:b w:val="0"/>
          <w:bCs w:val="0"/>
        </w:rPr>
      </w:pPr>
      <w:r>
        <w:rPr>
          <w:rFonts w:ascii="宋体" w:hAnsi="宋体" w:cs="宋体" w:eastAsia="宋体" w:hint="default"/>
        </w:rPr>
        <w:t>63</w:t>
      </w:r>
      <w:r>
        <w:rPr/>
        <w:t>、</w:t>
      </w:r>
      <w:r>
        <w:rPr>
          <w:spacing w:val="-25"/>
        </w:rPr>
        <w:t> </w:t>
      </w:r>
      <w:r>
        <w:rPr/>
        <w:t>销售费用</w:t>
      </w:r>
      <w:r>
        <w:rPr>
          <w:b w:val="0"/>
          <w:bCs w:val="0"/>
        </w:rPr>
      </w:r>
    </w:p>
    <w:p>
      <w:pPr>
        <w:pStyle w:val="BodyText"/>
        <w:tabs>
          <w:tab w:pos="1060" w:val="left" w:leader="none"/>
        </w:tabs>
        <w:spacing w:line="240" w:lineRule="auto" w:before="56"/>
        <w:ind w:right="-12"/>
        <w:jc w:val="left"/>
      </w:pPr>
      <w:r>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000" w:bottom="280" w:left="1580" w:right="1040"/>
          <w:cols w:num="2" w:equalWidth="0">
            <w:col w:w="1901" w:space="4621"/>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32"/>
        <w:gridCol w:w="2861"/>
        <w:gridCol w:w="2857"/>
      </w:tblGrid>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48"/>
              <w:jc w:val="right"/>
              <w:rPr>
                <w:rFonts w:ascii="宋体" w:hAnsi="宋体" w:cs="宋体" w:eastAsia="宋体" w:hint="default"/>
                <w:sz w:val="21"/>
                <w:szCs w:val="21"/>
              </w:rPr>
            </w:pPr>
            <w:r>
              <w:rPr>
                <w:rFonts w:ascii="宋体" w:hAnsi="宋体" w:cs="宋体" w:eastAsia="宋体" w:hint="default"/>
                <w:sz w:val="21"/>
                <w:szCs w:val="21"/>
              </w:rPr>
              <w:t>项目</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人工费用</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13,363,772.02</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13,284,279.12</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5,135,197.06</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5,082,449.78</w:t>
            </w:r>
          </w:p>
        </w:tc>
      </w:tr>
      <w:tr>
        <w:trPr>
          <w:trHeight w:val="284"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4,568,194.62</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4,085,675.08</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2,201,117.00</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2,200,196.64</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1,840,468.00</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1,686,689.15</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广告宣传费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2,075,595.93</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978,969.94</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12,698.72</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7,144.88</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48"/>
              <w:jc w:val="right"/>
              <w:rPr>
                <w:rFonts w:ascii="宋体" w:hAnsi="宋体" w:cs="宋体" w:eastAsia="宋体" w:hint="default"/>
                <w:sz w:val="21"/>
                <w:szCs w:val="21"/>
              </w:rPr>
            </w:pPr>
            <w:r>
              <w:rPr>
                <w:rFonts w:ascii="宋体" w:hAnsi="宋体" w:cs="宋体" w:eastAsia="宋体" w:hint="default"/>
                <w:sz w:val="21"/>
                <w:szCs w:val="21"/>
              </w:rPr>
              <w:t>合计</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29,197,043.35</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27,325,404.59</w:t>
            </w:r>
          </w:p>
        </w:tc>
      </w:tr>
    </w:tbl>
    <w:p>
      <w:pPr>
        <w:pStyle w:val="BodyText"/>
        <w:spacing w:line="290" w:lineRule="auto" w:before="26"/>
        <w:ind w:right="7998"/>
        <w:jc w:val="left"/>
      </w:pPr>
      <w:r>
        <w:rPr/>
        <w:t>其他说明：</w:t>
      </w:r>
      <w:r>
        <w:rPr>
          <w:spacing w:val="-102"/>
        </w:rPr>
        <w:t> </w:t>
      </w:r>
      <w:r>
        <w:rPr>
          <w:spacing w:val="-102"/>
        </w:rPr>
      </w:r>
      <w:r>
        <w:rPr/>
        <w:t>无</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000" w:bottom="280" w:left="1580" w:right="1040"/>
        </w:sectPr>
      </w:pPr>
    </w:p>
    <w:p>
      <w:pPr>
        <w:pStyle w:val="Heading3"/>
        <w:spacing w:line="240" w:lineRule="auto" w:before="36"/>
        <w:ind w:right="202"/>
        <w:jc w:val="left"/>
        <w:rPr>
          <w:b w:val="0"/>
          <w:bCs w:val="0"/>
        </w:rPr>
      </w:pPr>
      <w:r>
        <w:rPr>
          <w:rFonts w:ascii="宋体" w:hAnsi="宋体" w:cs="宋体" w:eastAsia="宋体" w:hint="default"/>
        </w:rPr>
        <w:t>64</w:t>
      </w:r>
      <w:r>
        <w:rPr/>
        <w:t>、</w:t>
      </w:r>
      <w:r>
        <w:rPr>
          <w:spacing w:val="-25"/>
        </w:rPr>
        <w:t> </w:t>
      </w:r>
      <w:r>
        <w:rPr/>
        <w:t>管理费用</w:t>
      </w:r>
      <w:r>
        <w:rPr>
          <w:b w:val="0"/>
          <w:bCs w:val="0"/>
        </w:rPr>
      </w:r>
    </w:p>
    <w:p>
      <w:pPr>
        <w:pStyle w:val="BodyText"/>
        <w:tabs>
          <w:tab w:pos="1060" w:val="left" w:leader="none"/>
        </w:tabs>
        <w:spacing w:line="240" w:lineRule="auto" w:before="57"/>
        <w:ind w:right="-12"/>
        <w:jc w:val="left"/>
      </w:pPr>
      <w:r>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000" w:bottom="280" w:left="1580" w:right="1040"/>
          <w:cols w:num="2" w:equalWidth="0">
            <w:col w:w="1901" w:space="4621"/>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39"/>
      </w:tblGrid>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研究开发费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49,771,599.02</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41,206,088.97</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人工费用</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13,644,220.61</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11,603,778.98</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折旧摊销费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3,977,398.36</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4,068,987.08</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租赁物业费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5,866,889.38</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4,669,031.01</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3,664,742.02</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3,008,080.57</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2,030,142.11</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1,379,256.26</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审计等咨询顾问费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2,405,780.22</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1,491,403.87</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1,315,811.67</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1,276,327.37</w:t>
            </w:r>
          </w:p>
        </w:tc>
      </w:tr>
      <w:tr>
        <w:trPr>
          <w:trHeight w:val="284"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政府规费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500,720.34</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512,256.54</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股份支付计提费用</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1,890,468.13</w:t>
            </w:r>
          </w:p>
        </w:tc>
        <w:tc>
          <w:tcPr>
            <w:tcW w:w="243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47,225.88</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30,983.38</w:t>
            </w:r>
          </w:p>
        </w:tc>
      </w:tr>
    </w:tbl>
    <w:p>
      <w:pPr>
        <w:spacing w:after="0" w:line="243" w:lineRule="exact"/>
        <w:jc w:val="right"/>
        <w:rPr>
          <w:rFonts w:ascii="宋体" w:hAnsi="宋体" w:cs="宋体" w:eastAsia="宋体" w:hint="default"/>
          <w:sz w:val="21"/>
          <w:szCs w:val="21"/>
        </w:rPr>
        <w:sectPr>
          <w:type w:val="continuous"/>
          <w:pgSz w:w="11910" w:h="16840"/>
          <w:pgMar w:top="1000" w:bottom="280" w:left="1580" w:right="1040"/>
        </w:sectPr>
      </w:pPr>
    </w:p>
    <w:p>
      <w:pPr>
        <w:spacing w:line="240" w:lineRule="auto" w:before="9"/>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39"/>
      </w:tblGrid>
      <w:tr>
        <w:trPr>
          <w:trHeight w:val="284"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125" w:right="0"/>
              <w:jc w:val="left"/>
              <w:rPr>
                <w:rFonts w:ascii="宋体" w:hAnsi="宋体" w:cs="宋体" w:eastAsia="宋体" w:hint="default"/>
                <w:sz w:val="21"/>
                <w:szCs w:val="21"/>
              </w:rPr>
            </w:pPr>
            <w:r>
              <w:rPr>
                <w:rFonts w:ascii="宋体"/>
                <w:sz w:val="21"/>
              </w:rPr>
              <w:t>85,114,997.74</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962" w:right="0"/>
              <w:jc w:val="left"/>
              <w:rPr>
                <w:rFonts w:ascii="宋体" w:hAnsi="宋体" w:cs="宋体" w:eastAsia="宋体" w:hint="default"/>
                <w:sz w:val="21"/>
                <w:szCs w:val="21"/>
              </w:rPr>
            </w:pPr>
            <w:r>
              <w:rPr>
                <w:rFonts w:ascii="宋体"/>
                <w:sz w:val="21"/>
              </w:rPr>
              <w:t>69,246,194.03</w:t>
            </w:r>
          </w:p>
        </w:tc>
      </w:tr>
    </w:tbl>
    <w:p>
      <w:pPr>
        <w:spacing w:line="240" w:lineRule="auto" w:before="7"/>
        <w:rPr>
          <w:rFonts w:ascii="宋体" w:hAnsi="宋体" w:cs="宋体" w:eastAsia="宋体" w:hint="default"/>
          <w:sz w:val="15"/>
          <w:szCs w:val="15"/>
        </w:rPr>
      </w:pPr>
    </w:p>
    <w:p>
      <w:pPr>
        <w:pStyle w:val="BodyText"/>
        <w:spacing w:line="272" w:lineRule="exact" w:before="64"/>
        <w:ind w:right="7998"/>
        <w:jc w:val="left"/>
      </w:pPr>
      <w:r>
        <w:rPr/>
        <w:t>其他说明：</w:t>
      </w:r>
      <w:r>
        <w:rPr>
          <w:spacing w:val="-102"/>
        </w:rPr>
        <w:t> </w:t>
      </w:r>
      <w:r>
        <w:rPr>
          <w:spacing w:val="-102"/>
        </w:rPr>
      </w:r>
      <w:r>
        <w:rPr/>
        <w:t>无</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footerReference w:type="default" r:id="rId41"/>
          <w:pgSz w:w="11910" w:h="16840"/>
          <w:pgMar w:footer="1195" w:header="0" w:top="1320" w:bottom="1380" w:left="1580" w:right="1040"/>
          <w:pgNumType w:start="111"/>
        </w:sectPr>
      </w:pPr>
    </w:p>
    <w:p>
      <w:pPr>
        <w:pStyle w:val="Heading3"/>
        <w:spacing w:line="240" w:lineRule="auto" w:before="36"/>
        <w:ind w:right="-18"/>
        <w:jc w:val="left"/>
        <w:rPr>
          <w:b w:val="0"/>
          <w:bCs w:val="0"/>
        </w:rPr>
      </w:pPr>
      <w:r>
        <w:rPr>
          <w:rFonts w:ascii="宋体" w:hAnsi="宋体" w:cs="宋体" w:eastAsia="宋体" w:hint="default"/>
        </w:rPr>
        <w:t>65</w:t>
      </w:r>
      <w:r>
        <w:rPr/>
        <w:t>、</w:t>
      </w:r>
      <w:r>
        <w:rPr>
          <w:spacing w:val="-25"/>
        </w:rPr>
        <w:t> </w:t>
      </w:r>
      <w:r>
        <w:rPr/>
        <w:t>财务费用</w:t>
      </w:r>
      <w:r>
        <w:rPr>
          <w:b w:val="0"/>
          <w:bCs w:val="0"/>
        </w:rPr>
      </w:r>
    </w:p>
    <w:p>
      <w:pPr>
        <w:pStyle w:val="BodyText"/>
        <w:spacing w:line="240" w:lineRule="auto" w:before="56"/>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000" w:bottom="280" w:left="1580" w:right="1040"/>
          <w:cols w:num="2" w:equalWidth="0">
            <w:col w:w="1795" w:space="4726"/>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39"/>
      </w:tblGrid>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95"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-4,672,350.17</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6"/>
              <w:jc w:val="right"/>
              <w:rPr>
                <w:rFonts w:ascii="宋体" w:hAnsi="宋体" w:cs="宋体" w:eastAsia="宋体" w:hint="default"/>
                <w:sz w:val="21"/>
                <w:szCs w:val="21"/>
              </w:rPr>
            </w:pPr>
            <w:r>
              <w:rPr>
                <w:rFonts w:ascii="Arial Narrow"/>
                <w:sz w:val="24"/>
              </w:rPr>
              <w:t>- </w:t>
            </w:r>
            <w:r>
              <w:rPr>
                <w:rFonts w:ascii="宋体"/>
                <w:sz w:val="21"/>
              </w:rPr>
              <w:t>5,535,863.28</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手续费及其他</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64,670.59</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53,366.27</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-4,607,679.58</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-5,482,497.01</w:t>
            </w:r>
          </w:p>
        </w:tc>
      </w:tr>
    </w:tbl>
    <w:p>
      <w:pPr>
        <w:spacing w:line="240" w:lineRule="auto" w:before="7"/>
        <w:rPr>
          <w:rFonts w:ascii="宋体" w:hAnsi="宋体" w:cs="宋体" w:eastAsia="宋体" w:hint="default"/>
          <w:sz w:val="15"/>
          <w:szCs w:val="15"/>
        </w:rPr>
      </w:pPr>
    </w:p>
    <w:p>
      <w:pPr>
        <w:pStyle w:val="BodyText"/>
        <w:spacing w:line="272" w:lineRule="exact" w:before="64"/>
        <w:ind w:right="7998"/>
        <w:jc w:val="left"/>
      </w:pPr>
      <w:r>
        <w:rPr/>
        <w:t>其他说明：</w:t>
      </w:r>
      <w:r>
        <w:rPr>
          <w:spacing w:val="-102"/>
        </w:rPr>
        <w:t> </w:t>
      </w:r>
      <w:r>
        <w:rPr>
          <w:spacing w:val="-102"/>
        </w:rPr>
      </w:r>
      <w:r>
        <w:rPr/>
        <w:t>无</w:t>
      </w:r>
    </w:p>
    <w:p>
      <w:pPr>
        <w:spacing w:line="240" w:lineRule="auto" w:before="7"/>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000" w:bottom="280" w:left="1580" w:right="1040"/>
        </w:sectPr>
      </w:pPr>
    </w:p>
    <w:p>
      <w:pPr>
        <w:pStyle w:val="Heading3"/>
        <w:spacing w:line="240" w:lineRule="auto" w:before="36"/>
        <w:ind w:right="-18"/>
        <w:jc w:val="left"/>
        <w:rPr>
          <w:b w:val="0"/>
          <w:bCs w:val="0"/>
        </w:rPr>
      </w:pPr>
      <w:r>
        <w:rPr>
          <w:rFonts w:ascii="宋体" w:hAnsi="宋体" w:cs="宋体" w:eastAsia="宋体" w:hint="default"/>
        </w:rPr>
        <w:t>66</w:t>
      </w:r>
      <w:r>
        <w:rPr/>
        <w:t>、</w:t>
      </w:r>
      <w:r>
        <w:rPr>
          <w:spacing w:val="-24"/>
        </w:rPr>
        <w:t> </w:t>
      </w:r>
      <w:r>
        <w:rPr/>
        <w:t>资产减值损失</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000" w:bottom="280" w:left="1580" w:right="1040"/>
          <w:cols w:num="2" w:equalWidth="0">
            <w:col w:w="1990" w:space="4532"/>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9"/>
        <w:gridCol w:w="2573"/>
        <w:gridCol w:w="3077"/>
      </w:tblGrid>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492,812.83</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87,994.25</w:t>
            </w:r>
          </w:p>
        </w:tc>
      </w:tr>
      <w:tr>
        <w:trPr>
          <w:trHeight w:val="28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十三、商誉减值损失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492,812.83</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87,994.25</w:t>
            </w:r>
          </w:p>
        </w:tc>
      </w:tr>
    </w:tbl>
    <w:p>
      <w:pPr>
        <w:pStyle w:val="BodyText"/>
        <w:spacing w:line="290" w:lineRule="auto" w:before="26"/>
        <w:ind w:right="7998"/>
        <w:jc w:val="left"/>
      </w:pPr>
      <w:r>
        <w:rPr/>
        <w:t>其他说明：</w:t>
      </w:r>
      <w:r>
        <w:rPr>
          <w:spacing w:val="-102"/>
        </w:rPr>
        <w:t> </w:t>
      </w:r>
      <w:r>
        <w:rPr>
          <w:spacing w:val="-102"/>
        </w:rPr>
      </w:r>
      <w:r>
        <w:rPr/>
        <w:t>无</w:t>
      </w:r>
    </w:p>
    <w:p>
      <w:pPr>
        <w:spacing w:line="240" w:lineRule="auto" w:before="11"/>
        <w:rPr>
          <w:rFonts w:ascii="宋体" w:hAnsi="宋体" w:cs="宋体" w:eastAsia="宋体" w:hint="default"/>
          <w:sz w:val="21"/>
          <w:szCs w:val="21"/>
        </w:rPr>
      </w:pPr>
    </w:p>
    <w:p>
      <w:pPr>
        <w:pStyle w:val="Heading3"/>
        <w:spacing w:line="240" w:lineRule="auto"/>
        <w:ind w:right="2757"/>
        <w:jc w:val="left"/>
        <w:rPr>
          <w:b w:val="0"/>
          <w:bCs w:val="0"/>
        </w:rPr>
      </w:pPr>
      <w:r>
        <w:rPr>
          <w:rFonts w:ascii="宋体" w:hAnsi="宋体" w:cs="宋体" w:eastAsia="宋体" w:hint="default"/>
        </w:rPr>
        <w:t>67</w:t>
      </w:r>
      <w:r>
        <w:rPr/>
        <w:t>、</w:t>
      </w:r>
      <w:r>
        <w:rPr>
          <w:spacing w:val="-24"/>
        </w:rPr>
        <w:t> </w:t>
      </w:r>
      <w:r>
        <w:rPr/>
        <w:t>公允价值变动收益</w:t>
      </w:r>
      <w:r>
        <w:rPr>
          <w:b w:val="0"/>
          <w:bCs w:val="0"/>
        </w:rPr>
      </w:r>
    </w:p>
    <w:p>
      <w:pPr>
        <w:pStyle w:val="BodyText"/>
        <w:spacing w:line="240" w:lineRule="auto" w:before="56"/>
        <w:ind w:right="2757"/>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000" w:bottom="280" w:left="1580" w:right="1040"/>
        </w:sectPr>
      </w:pPr>
    </w:p>
    <w:p>
      <w:pPr>
        <w:pStyle w:val="Heading3"/>
        <w:spacing w:line="240" w:lineRule="auto" w:before="36"/>
        <w:ind w:right="-18"/>
        <w:jc w:val="left"/>
        <w:rPr>
          <w:b w:val="0"/>
          <w:bCs w:val="0"/>
        </w:rPr>
      </w:pPr>
      <w:r>
        <w:rPr>
          <w:rFonts w:ascii="宋体" w:hAnsi="宋体" w:cs="宋体" w:eastAsia="宋体" w:hint="default"/>
        </w:rPr>
        <w:t>68</w:t>
      </w:r>
      <w:r>
        <w:rPr/>
        <w:t>、</w:t>
      </w:r>
      <w:r>
        <w:rPr>
          <w:spacing w:val="-25"/>
        </w:rPr>
        <w:t> </w:t>
      </w:r>
      <w:r>
        <w:rPr/>
        <w:t>投资收益</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9"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000" w:bottom="280" w:left="1580" w:right="1040"/>
          <w:cols w:num="2" w:equalWidth="0">
            <w:col w:w="1795" w:space="4726"/>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9"/>
        <w:gridCol w:w="2573"/>
        <w:gridCol w:w="3077"/>
      </w:tblGrid>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bl>
    <w:p>
      <w:pPr>
        <w:spacing w:after="0" w:line="241" w:lineRule="exact"/>
        <w:jc w:val="left"/>
        <w:rPr>
          <w:rFonts w:ascii="宋体" w:hAnsi="宋体" w:cs="宋体" w:eastAsia="宋体" w:hint="default"/>
          <w:sz w:val="21"/>
          <w:szCs w:val="21"/>
        </w:rPr>
        <w:sectPr>
          <w:type w:val="continuous"/>
          <w:pgSz w:w="11910" w:h="16840"/>
          <w:pgMar w:top="1000" w:bottom="280" w:left="1580" w:right="1040"/>
        </w:sectPr>
      </w:pPr>
    </w:p>
    <w:p>
      <w:pPr>
        <w:spacing w:line="240" w:lineRule="auto" w:before="9"/>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3399"/>
        <w:gridCol w:w="2573"/>
        <w:gridCol w:w="3077"/>
      </w:tblGrid>
      <w:tr>
        <w:trPr>
          <w:trHeight w:val="28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40" w:lineRule="auto"/>
              <w:ind w:left="103" w:right="130"/>
              <w:jc w:val="left"/>
              <w:rPr>
                <w:rFonts w:ascii="宋体" w:hAnsi="宋体" w:cs="宋体" w:eastAsia="宋体" w:hint="default"/>
                <w:sz w:val="21"/>
                <w:szCs w:val="21"/>
              </w:rPr>
            </w:pPr>
            <w:r>
              <w:rPr>
                <w:rFonts w:ascii="宋体" w:hAnsi="宋体" w:cs="宋体" w:eastAsia="宋体" w:hint="default"/>
                <w:spacing w:val="-2"/>
                <w:sz w:val="21"/>
                <w:szCs w:val="21"/>
              </w:rPr>
              <w:t>损益的金融资产在持有期间的投资</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收益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w:t>
            </w:r>
          </w:p>
          <w:p>
            <w:pPr>
              <w:pStyle w:val="TableParagraph"/>
              <w:spacing w:line="272" w:lineRule="exact" w:before="27"/>
              <w:ind w:left="103" w:right="130"/>
              <w:jc w:val="left"/>
              <w:rPr>
                <w:rFonts w:ascii="宋体" w:hAnsi="宋体" w:cs="宋体" w:eastAsia="宋体" w:hint="default"/>
                <w:sz w:val="21"/>
                <w:szCs w:val="21"/>
              </w:rPr>
            </w:pPr>
            <w:r>
              <w:rPr>
                <w:rFonts w:ascii="宋体" w:hAnsi="宋体" w:cs="宋体" w:eastAsia="宋体" w:hint="default"/>
                <w:spacing w:val="-2"/>
                <w:sz w:val="21"/>
                <w:szCs w:val="21"/>
              </w:rPr>
              <w:t>当期损益的金融资产取得的投资收</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可供出售金融资产等取得的投资收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丧失控制权后，剩余股权按公允价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值重新计量产生的利得</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购买保本型理财产品取得的投资收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13,066,725.74</w:t>
            </w: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13,066,725.74</w:t>
            </w:r>
          </w:p>
        </w:tc>
        <w:tc>
          <w:tcPr>
            <w:tcW w:w="307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1195" w:top="1320" w:bottom="1380" w:left="1580" w:right="1040"/>
        </w:sectPr>
      </w:pPr>
    </w:p>
    <w:p>
      <w:pPr>
        <w:pStyle w:val="BodyText"/>
        <w:spacing w:line="300" w:lineRule="auto" w:before="36"/>
        <w:ind w:right="723"/>
        <w:jc w:val="left"/>
      </w:pPr>
      <w:r>
        <w:rPr>
          <w:spacing w:val="-1"/>
        </w:rPr>
        <w:t>其他说明：</w:t>
      </w:r>
      <w:r>
        <w:rPr>
          <w:spacing w:val="-97"/>
        </w:rPr>
        <w:t> </w:t>
      </w:r>
      <w:r>
        <w:rPr>
          <w:spacing w:val="-97"/>
        </w:rPr>
      </w:r>
      <w:r>
        <w:rPr/>
        <w:t>无</w:t>
      </w:r>
    </w:p>
    <w:p>
      <w:pPr>
        <w:spacing w:line="292" w:lineRule="auto" w:before="4"/>
        <w:ind w:left="218" w:right="210" w:firstLine="0"/>
        <w:jc w:val="left"/>
        <w:rPr>
          <w:rFonts w:ascii="宋体" w:hAnsi="宋体" w:cs="宋体" w:eastAsia="宋体" w:hint="default"/>
          <w:sz w:val="21"/>
          <w:szCs w:val="21"/>
        </w:rPr>
      </w:pPr>
      <w:r>
        <w:rPr>
          <w:rFonts w:ascii="宋体" w:hAnsi="宋体" w:cs="宋体" w:eastAsia="宋体" w:hint="default"/>
          <w:b/>
          <w:bCs/>
          <w:sz w:val="21"/>
          <w:szCs w:val="21"/>
        </w:rPr>
        <w:t>69</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营业外收入</w:t>
      </w:r>
      <w:r>
        <w:rPr>
          <w:rFonts w:ascii="宋体" w:hAnsi="宋体" w:cs="宋体" w:eastAsia="宋体" w:hint="default"/>
          <w:b/>
          <w:bCs/>
          <w:w w:val="100"/>
          <w:sz w:val="21"/>
          <w:szCs w:val="21"/>
        </w:rPr>
        <w:t> </w:t>
      </w:r>
      <w:r>
        <w:rPr>
          <w:rFonts w:ascii="宋体" w:hAnsi="宋体" w:cs="宋体" w:eastAsia="宋体" w:hint="default"/>
          <w:sz w:val="21"/>
          <w:szCs w:val="21"/>
        </w:rPr>
        <w:t>营业外收入情况</w:t>
      </w:r>
    </w:p>
    <w:p>
      <w:pPr>
        <w:pStyle w:val="BodyText"/>
        <w:tabs>
          <w:tab w:pos="1163" w:val="left" w:leader="none"/>
        </w:tabs>
        <w:spacing w:line="225" w:lineRule="exact"/>
        <w:ind w:right="-13"/>
        <w:jc w:val="left"/>
      </w:pPr>
      <w:r>
        <w:rPr/>
        <w:t>√适用</w:t>
        <w:tab/>
      </w:r>
      <w:r>
        <w:rPr>
          <w:spacing w:val="-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000" w:bottom="280" w:left="1580" w:right="1040"/>
          <w:cols w:num="2" w:equalWidth="0">
            <w:col w:w="2007" w:space="4515"/>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112"/>
        <w:gridCol w:w="2304"/>
        <w:gridCol w:w="2316"/>
        <w:gridCol w:w="2317"/>
      </w:tblGrid>
      <w:tr>
        <w:trPr>
          <w:trHeight w:val="55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1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26"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4" w:lineRule="exact"/>
              <w:ind w:left="3" w:right="0"/>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55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非流动资产处置利得</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04"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其中：固定资产处置</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利得</w:t>
            </w:r>
          </w:p>
        </w:tc>
        <w:tc>
          <w:tcPr>
            <w:tcW w:w="2304"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无形资产处置</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利得</w:t>
            </w:r>
          </w:p>
        </w:tc>
        <w:tc>
          <w:tcPr>
            <w:tcW w:w="2304"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债务重组利得</w:t>
            </w:r>
          </w:p>
        </w:tc>
        <w:tc>
          <w:tcPr>
            <w:tcW w:w="2304"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非货币性资产交换利</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得</w:t>
            </w:r>
          </w:p>
        </w:tc>
        <w:tc>
          <w:tcPr>
            <w:tcW w:w="2304"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接受捐赠</w:t>
            </w:r>
          </w:p>
        </w:tc>
        <w:tc>
          <w:tcPr>
            <w:tcW w:w="2304"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1,750,575.00</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13,145,012.16</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1,750,575.00</w:t>
            </w:r>
          </w:p>
        </w:tc>
      </w:tr>
      <w:tr>
        <w:trPr>
          <w:trHeight w:val="281"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90.00</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24,992.70</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90.00</w:t>
            </w:r>
          </w:p>
        </w:tc>
      </w:tr>
      <w:tr>
        <w:trPr>
          <w:trHeight w:val="283"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1,750,665.00</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13,170,004.86</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1,750,665.00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000" w:bottom="280" w:left="1580" w:right="1040"/>
        </w:sectPr>
      </w:pPr>
    </w:p>
    <w:p>
      <w:pPr>
        <w:pStyle w:val="BodyText"/>
        <w:spacing w:line="273" w:lineRule="exact" w:before="36"/>
        <w:ind w:right="0"/>
        <w:jc w:val="left"/>
      </w:pPr>
      <w:r>
        <w:rPr>
          <w:spacing w:val="-2"/>
        </w:rPr>
        <w:t>计入当期损益的政府补助</w:t>
      </w:r>
    </w:p>
    <w:p>
      <w:pPr>
        <w:pStyle w:val="BodyText"/>
        <w:spacing w:line="273" w:lineRule="exact"/>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6"/>
        <w:rPr>
          <w:rFonts w:ascii="宋体" w:hAnsi="宋体" w:cs="宋体" w:eastAsia="宋体" w:hint="default"/>
          <w:sz w:val="24"/>
          <w:szCs w:val="2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000" w:bottom="280" w:left="1580" w:right="1040"/>
          <w:cols w:num="2" w:equalWidth="0">
            <w:col w:w="2532" w:space="3992"/>
            <w:col w:w="2766"/>
          </w:cols>
        </w:sectPr>
      </w:pPr>
    </w:p>
    <w:p>
      <w:pPr>
        <w:spacing w:line="240" w:lineRule="auto" w:before="9"/>
        <w:rPr>
          <w:rFonts w:ascii="宋体" w:hAnsi="宋体" w:cs="宋体" w:eastAsia="宋体" w:hint="default"/>
          <w:sz w:val="14"/>
          <w:szCs w:val="14"/>
        </w:rPr>
      </w:pPr>
    </w:p>
    <w:tbl>
      <w:tblPr>
        <w:tblW w:w="0" w:type="auto"/>
        <w:jc w:val="left"/>
        <w:tblInd w:w="182" w:type="dxa"/>
        <w:tblLayout w:type="fixed"/>
        <w:tblCellMar>
          <w:top w:w="0" w:type="dxa"/>
          <w:left w:w="0" w:type="dxa"/>
          <w:bottom w:w="0" w:type="dxa"/>
          <w:right w:w="0" w:type="dxa"/>
        </w:tblCellMar>
        <w:tblLook w:val="01E0"/>
      </w:tblPr>
      <w:tblGrid>
        <w:gridCol w:w="2060"/>
        <w:gridCol w:w="2278"/>
        <w:gridCol w:w="2278"/>
        <w:gridCol w:w="2281"/>
      </w:tblGrid>
      <w:tr>
        <w:trPr>
          <w:trHeight w:val="567"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604" w:right="0"/>
              <w:jc w:val="left"/>
              <w:rPr>
                <w:rFonts w:ascii="宋体" w:hAnsi="宋体" w:cs="宋体" w:eastAsia="宋体" w:hint="default"/>
                <w:sz w:val="21"/>
                <w:szCs w:val="21"/>
              </w:rPr>
            </w:pPr>
            <w:r>
              <w:rPr>
                <w:rFonts w:ascii="宋体" w:hAnsi="宋体" w:cs="宋体" w:eastAsia="宋体" w:hint="default"/>
                <w:sz w:val="21"/>
                <w:szCs w:val="21"/>
              </w:rPr>
              <w:t>补助项目</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503" w:right="0"/>
              <w:jc w:val="left"/>
              <w:rPr>
                <w:rFonts w:ascii="宋体" w:hAnsi="宋体" w:cs="宋体" w:eastAsia="宋体" w:hint="default"/>
                <w:sz w:val="21"/>
                <w:szCs w:val="21"/>
              </w:rPr>
            </w:pPr>
            <w:r>
              <w:rPr>
                <w:rFonts w:ascii="宋体" w:hAnsi="宋体" w:cs="宋体" w:eastAsia="宋体" w:hint="default"/>
                <w:sz w:val="21"/>
                <w:szCs w:val="21"/>
              </w:rPr>
              <w:t>本期发生金额</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502" w:right="0"/>
              <w:jc w:val="left"/>
              <w:rPr>
                <w:rFonts w:ascii="宋体" w:hAnsi="宋体" w:cs="宋体" w:eastAsia="宋体" w:hint="default"/>
                <w:sz w:val="21"/>
                <w:szCs w:val="21"/>
              </w:rPr>
            </w:pPr>
            <w:r>
              <w:rPr>
                <w:rFonts w:ascii="宋体" w:hAnsi="宋体" w:cs="宋体" w:eastAsia="宋体" w:hint="default"/>
                <w:sz w:val="21"/>
                <w:szCs w:val="21"/>
              </w:rPr>
              <w:t>上期发生金额</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31" w:right="0"/>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w:t>
            </w:r>
            <w:r>
              <w:rPr>
                <w:rFonts w:ascii="宋体" w:hAnsi="宋体" w:cs="宋体" w:eastAsia="宋体" w:hint="default"/>
                <w:sz w:val="21"/>
                <w:szCs w:val="21"/>
              </w:rPr>
              <w:t>与收益相关</w:t>
            </w:r>
          </w:p>
        </w:tc>
      </w:tr>
      <w:tr>
        <w:trPr>
          <w:trHeight w:val="828"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年福州市台江区</w:t>
            </w:r>
          </w:p>
          <w:p>
            <w:pPr>
              <w:pStyle w:val="TableParagraph"/>
              <w:spacing w:line="272" w:lineRule="exact" w:before="27"/>
              <w:ind w:left="26" w:right="127"/>
              <w:jc w:val="left"/>
              <w:rPr>
                <w:rFonts w:ascii="宋体" w:hAnsi="宋体" w:cs="宋体" w:eastAsia="宋体" w:hint="default"/>
                <w:sz w:val="21"/>
                <w:szCs w:val="21"/>
              </w:rPr>
            </w:pPr>
            <w:r>
              <w:rPr>
                <w:rFonts w:ascii="宋体" w:hAnsi="宋体" w:cs="宋体" w:eastAsia="宋体" w:hint="default"/>
                <w:sz w:val="21"/>
                <w:szCs w:val="21"/>
              </w:rPr>
              <w:t>财政局市级软件产业</w:t>
            </w:r>
            <w:r>
              <w:rPr>
                <w:rFonts w:ascii="宋体" w:hAnsi="宋体" w:cs="宋体" w:eastAsia="宋体" w:hint="default"/>
                <w:w w:val="100"/>
                <w:sz w:val="21"/>
                <w:szCs w:val="21"/>
              </w:rPr>
              <w:t> </w:t>
            </w:r>
            <w:r>
              <w:rPr>
                <w:rFonts w:ascii="宋体" w:hAnsi="宋体" w:cs="宋体" w:eastAsia="宋体" w:hint="default"/>
                <w:sz w:val="21"/>
                <w:szCs w:val="21"/>
              </w:rPr>
              <w:t>补助金</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500,000.00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市级软件产业发</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展财政补贴</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400,000.00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年高新园区扶持</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企业发展资金</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150,000.00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年创新型企业创</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新成果补助金</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100,000.00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5"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年湖北省高新技</w:t>
            </w:r>
          </w:p>
          <w:p>
            <w:pPr>
              <w:pStyle w:val="TableParagraph"/>
              <w:spacing w:line="275" w:lineRule="exact"/>
              <w:ind w:left="26" w:right="0"/>
              <w:jc w:val="left"/>
              <w:rPr>
                <w:rFonts w:ascii="宋体" w:hAnsi="宋体" w:cs="宋体" w:eastAsia="宋体" w:hint="default"/>
                <w:sz w:val="21"/>
                <w:szCs w:val="21"/>
              </w:rPr>
            </w:pPr>
            <w:r>
              <w:rPr>
                <w:rFonts w:ascii="宋体" w:hAnsi="宋体" w:cs="宋体" w:eastAsia="宋体" w:hint="default"/>
                <w:sz w:val="21"/>
                <w:szCs w:val="21"/>
              </w:rPr>
              <w:t>术产业发展专项资金</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410,000.00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台江区财政局科</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技项目经费</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200,000.00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7"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年省级科技项目</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配套奖励经费</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300,000.00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年创新型企业创</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新成果补助金</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100,000.00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年高新园区扶持</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企业发展资金</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130,000.00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人力资源和社会保障</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局稳岗补贴</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14,775.00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193,365.00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4"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其他零星补贴</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175,800.00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20,000.00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1"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增值税返还</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12,201,647.16</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1,750,575.00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13,145,012.16</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w:t>
            </w:r>
          </w:p>
        </w:tc>
      </w:tr>
    </w:tbl>
    <w:p>
      <w:pPr>
        <w:spacing w:line="240" w:lineRule="auto" w:before="11"/>
        <w:rPr>
          <w:rFonts w:ascii="宋体" w:hAnsi="宋体" w:cs="宋体" w:eastAsia="宋体" w:hint="default"/>
          <w:sz w:val="25"/>
          <w:szCs w:val="25"/>
        </w:rPr>
      </w:pPr>
    </w:p>
    <w:p>
      <w:pPr>
        <w:pStyle w:val="BodyText"/>
        <w:spacing w:line="240" w:lineRule="auto" w:before="36"/>
        <w:ind w:right="2757"/>
        <w:jc w:val="left"/>
      </w:pPr>
      <w:r>
        <w:rPr/>
        <w:t>其他说明：</w:t>
      </w:r>
    </w:p>
    <w:p>
      <w:pPr>
        <w:pStyle w:val="BodyText"/>
        <w:spacing w:line="240" w:lineRule="auto" w:before="145"/>
        <w:ind w:right="2757"/>
        <w:jc w:val="left"/>
      </w:pPr>
      <w:r>
        <w:rPr/>
        <w:t>□适用</w:t>
      </w:r>
      <w:r>
        <w:rPr>
          <w:spacing w:val="-1"/>
        </w:rPr>
        <w:t> </w:t>
      </w:r>
      <w:r>
        <w:rPr/>
        <w:t>√不适用</w:t>
      </w:r>
    </w:p>
    <w:p>
      <w:pPr>
        <w:spacing w:line="240" w:lineRule="auto" w:before="12"/>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0" w:footer="1195" w:top="1320" w:bottom="1380" w:left="1580" w:right="1040"/>
        </w:sectPr>
      </w:pPr>
    </w:p>
    <w:p>
      <w:pPr>
        <w:pStyle w:val="Heading3"/>
        <w:spacing w:line="240" w:lineRule="auto" w:before="36"/>
        <w:ind w:right="-13"/>
        <w:jc w:val="left"/>
        <w:rPr>
          <w:b w:val="0"/>
          <w:bCs w:val="0"/>
        </w:rPr>
      </w:pPr>
      <w:r>
        <w:rPr>
          <w:rFonts w:ascii="宋体" w:hAnsi="宋体" w:cs="宋体" w:eastAsia="宋体" w:hint="default"/>
        </w:rPr>
        <w:t>70</w:t>
      </w:r>
      <w:r>
        <w:rPr/>
        <w:t>、</w:t>
      </w:r>
      <w:r>
        <w:rPr>
          <w:spacing w:val="-25"/>
        </w:rPr>
        <w:t> </w:t>
      </w:r>
      <w:r>
        <w:rPr/>
        <w:t>营业外支出</w:t>
      </w:r>
      <w:r>
        <w:rPr>
          <w:b w:val="0"/>
          <w:bCs w:val="0"/>
        </w:rPr>
      </w:r>
    </w:p>
    <w:p>
      <w:pPr>
        <w:pStyle w:val="BodyText"/>
        <w:tabs>
          <w:tab w:pos="1163" w:val="left" w:leader="none"/>
        </w:tabs>
        <w:spacing w:line="240" w:lineRule="auto" w:before="56"/>
        <w:ind w:right="-13"/>
        <w:jc w:val="left"/>
      </w:pPr>
      <w:r>
        <w:rPr/>
        <w:t>√适用</w:t>
        <w:tab/>
      </w:r>
      <w:r>
        <w:rPr>
          <w:spacing w:val="-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000" w:bottom="280" w:left="1580" w:right="1040"/>
          <w:cols w:num="2" w:equalWidth="0">
            <w:col w:w="2007" w:space="4515"/>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028"/>
        <w:gridCol w:w="2377"/>
        <w:gridCol w:w="2328"/>
        <w:gridCol w:w="2317"/>
      </w:tblGrid>
      <w:tr>
        <w:trPr>
          <w:trHeight w:val="557"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65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631"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3" w:lineRule="exact"/>
              <w:ind w:left="3" w:right="0"/>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55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失合计</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139,169.41</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3,393.04</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139,169.41</w:t>
            </w:r>
          </w:p>
        </w:tc>
      </w:tr>
      <w:tr>
        <w:trPr>
          <w:trHeight w:val="55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其中：固定资产处置</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损失</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139,169.41</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3,393.04</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139,169.41</w:t>
            </w:r>
          </w:p>
        </w:tc>
      </w:tr>
      <w:tr>
        <w:trPr>
          <w:trHeight w:val="55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无形资产处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置损失</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债务重组损失</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损失</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400,000.00</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150,000.00</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400,000.00</w:t>
            </w:r>
          </w:p>
        </w:tc>
      </w:tr>
      <w:tr>
        <w:trPr>
          <w:trHeight w:val="28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600.00</w:t>
            </w: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600.00</w:t>
            </w:r>
          </w:p>
        </w:tc>
      </w:tr>
      <w:tr>
        <w:trPr>
          <w:trHeight w:val="283"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合计</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539,769.41</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153,393.04</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539,769.41</w:t>
            </w:r>
          </w:p>
        </w:tc>
      </w:tr>
    </w:tbl>
    <w:p>
      <w:pPr>
        <w:pStyle w:val="BodyText"/>
        <w:spacing w:line="240" w:lineRule="auto" w:before="26"/>
        <w:ind w:right="2757"/>
        <w:jc w:val="left"/>
      </w:pPr>
      <w:r>
        <w:rPr/>
        <w:t>其他说明：</w:t>
      </w:r>
    </w:p>
    <w:p>
      <w:pPr>
        <w:spacing w:after="0" w:line="240" w:lineRule="auto"/>
        <w:jc w:val="left"/>
        <w:sectPr>
          <w:type w:val="continuous"/>
          <w:pgSz w:w="11910" w:h="16840"/>
          <w:pgMar w:top="1000" w:bottom="280" w:left="1580" w:right="1040"/>
        </w:sectPr>
      </w:pPr>
    </w:p>
    <w:p>
      <w:pPr>
        <w:spacing w:line="240" w:lineRule="auto" w:before="4"/>
        <w:rPr>
          <w:rFonts w:ascii="宋体" w:hAnsi="宋体" w:cs="宋体" w:eastAsia="宋体" w:hint="default"/>
          <w:sz w:val="9"/>
          <w:szCs w:val="9"/>
        </w:rPr>
      </w:pPr>
    </w:p>
    <w:p>
      <w:pPr>
        <w:pStyle w:val="BodyText"/>
        <w:spacing w:line="240" w:lineRule="auto" w:before="36"/>
        <w:ind w:left="158" w:right="0"/>
        <w:jc w:val="left"/>
      </w:pPr>
      <w:r>
        <w:rPr>
          <w:w w:val="100"/>
        </w:rPr>
        <w:t>无</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0" w:footer="1195" w:top="1320" w:bottom="1380" w:left="1640" w:right="1120"/>
        </w:sectPr>
      </w:pPr>
    </w:p>
    <w:p>
      <w:pPr>
        <w:pStyle w:val="Heading3"/>
        <w:spacing w:line="290" w:lineRule="auto" w:before="36"/>
        <w:ind w:left="158" w:right="-20"/>
        <w:jc w:val="left"/>
        <w:rPr>
          <w:b w:val="0"/>
          <w:bCs w:val="0"/>
        </w:rPr>
      </w:pPr>
      <w:r>
        <w:rPr>
          <w:rFonts w:ascii="宋体" w:hAnsi="宋体" w:cs="宋体" w:eastAsia="宋体" w:hint="default"/>
        </w:rPr>
        <w:t>71</w:t>
      </w:r>
      <w:r>
        <w:rPr/>
        <w:t>、</w:t>
      </w:r>
      <w:r>
        <w:rPr>
          <w:spacing w:val="-25"/>
        </w:rPr>
        <w:t> </w:t>
      </w:r>
      <w:r>
        <w:rPr/>
        <w:t>所得税费用</w:t>
      </w:r>
      <w:r>
        <w:rPr>
          <w:w w:val="100"/>
        </w:rPr>
        <w:t> </w:t>
      </w:r>
      <w:r>
        <w:rPr>
          <w:rFonts w:ascii="宋体" w:hAnsi="宋体" w:cs="宋体" w:eastAsia="宋体" w:hint="default"/>
        </w:rPr>
        <w:t>(1)</w:t>
      </w:r>
      <w:r>
        <w:rPr>
          <w:rFonts w:ascii="宋体" w:hAnsi="宋体" w:cs="宋体" w:eastAsia="宋体" w:hint="default"/>
          <w:spacing w:val="3"/>
        </w:rPr>
        <w:t> </w:t>
      </w:r>
      <w:r>
        <w:rPr/>
        <w:t>所得税费用表</w:t>
      </w:r>
      <w:r>
        <w:rPr>
          <w:b w:val="0"/>
          <w:bCs w:val="0"/>
        </w:rPr>
      </w:r>
    </w:p>
    <w:p>
      <w:pPr>
        <w:pStyle w:val="BodyText"/>
        <w:tabs>
          <w:tab w:pos="1000" w:val="left" w:leader="none"/>
        </w:tabs>
        <w:spacing w:line="240" w:lineRule="auto" w:before="14"/>
        <w:ind w:left="158" w:right="-10"/>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09" w:val="left" w:leader="none"/>
        </w:tabs>
        <w:spacing w:line="240" w:lineRule="auto"/>
        <w:ind w:left="158" w:right="0"/>
        <w:jc w:val="left"/>
      </w:pPr>
      <w:r>
        <w:rPr>
          <w:spacing w:val="-1"/>
        </w:rPr>
        <w:t>单位：元</w:t>
        <w:tab/>
      </w:r>
      <w:r>
        <w:rPr>
          <w:spacing w:val="-2"/>
        </w:rPr>
        <w:t>币种：人民币</w:t>
      </w:r>
    </w:p>
    <w:p>
      <w:pPr>
        <w:spacing w:after="0" w:line="240" w:lineRule="auto"/>
        <w:jc w:val="left"/>
        <w:sectPr>
          <w:type w:val="continuous"/>
          <w:pgSz w:w="11910" w:h="16840"/>
          <w:pgMar w:top="1000" w:bottom="280" w:left="1640" w:right="1120"/>
          <w:cols w:num="2" w:equalWidth="0">
            <w:col w:w="1851" w:space="4671"/>
            <w:col w:w="2628"/>
          </w:cols>
        </w:sectPr>
      </w:pPr>
    </w:p>
    <w:p>
      <w:pPr>
        <w:spacing w:line="240" w:lineRule="auto" w:before="7"/>
        <w:rPr>
          <w:rFonts w:ascii="宋体" w:hAnsi="宋体" w:cs="宋体" w:eastAsia="宋体" w:hint="default"/>
          <w:sz w:val="2"/>
          <w:szCs w:val="2"/>
        </w:rPr>
      </w:pPr>
    </w:p>
    <w:tbl>
      <w:tblPr>
        <w:tblW w:w="0" w:type="auto"/>
        <w:jc w:val="left"/>
        <w:tblInd w:w="122" w:type="dxa"/>
        <w:tblLayout w:type="fixed"/>
        <w:tblCellMar>
          <w:top w:w="0" w:type="dxa"/>
          <w:left w:w="0" w:type="dxa"/>
          <w:bottom w:w="0" w:type="dxa"/>
          <w:right w:w="0" w:type="dxa"/>
        </w:tblCellMar>
        <w:tblLook w:val="01E0"/>
      </w:tblPr>
      <w:tblGrid>
        <w:gridCol w:w="3159"/>
        <w:gridCol w:w="2876"/>
        <w:gridCol w:w="2861"/>
      </w:tblGrid>
      <w:tr>
        <w:trPr>
          <w:trHeight w:val="288" w:hRule="exact"/>
        </w:trPr>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64"/>
              <w:jc w:val="right"/>
              <w:rPr>
                <w:rFonts w:ascii="宋体" w:hAnsi="宋体" w:cs="宋体" w:eastAsia="宋体" w:hint="default"/>
                <w:sz w:val="21"/>
                <w:szCs w:val="21"/>
              </w:rPr>
            </w:pPr>
            <w:r>
              <w:rPr>
                <w:rFonts w:ascii="宋体" w:hAnsi="宋体" w:cs="宋体" w:eastAsia="宋体" w:hint="default"/>
                <w:sz w:val="21"/>
                <w:szCs w:val="21"/>
              </w:rPr>
              <w:t>项目</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0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9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当期所得税费用</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9,946,602.85</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9,114,959.99</w:t>
            </w:r>
          </w:p>
        </w:tc>
      </w:tr>
      <w:tr>
        <w:trPr>
          <w:trHeight w:val="281" w:hRule="exact"/>
        </w:trPr>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递延所得税费用</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-1,780,659.78</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2,683,857.97</w:t>
            </w:r>
          </w:p>
        </w:tc>
      </w:tr>
      <w:tr>
        <w:trPr>
          <w:trHeight w:val="283" w:hRule="exact"/>
        </w:trPr>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64"/>
              <w:jc w:val="right"/>
              <w:rPr>
                <w:rFonts w:ascii="宋体" w:hAnsi="宋体" w:cs="宋体" w:eastAsia="宋体" w:hint="default"/>
                <w:sz w:val="21"/>
                <w:szCs w:val="21"/>
              </w:rPr>
            </w:pPr>
            <w:r>
              <w:rPr>
                <w:rFonts w:ascii="宋体" w:hAnsi="宋体" w:cs="宋体" w:eastAsia="宋体" w:hint="default"/>
                <w:sz w:val="21"/>
                <w:szCs w:val="21"/>
              </w:rPr>
              <w:t>合计</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9"/>
              <w:jc w:val="right"/>
              <w:rPr>
                <w:rFonts w:ascii="宋体" w:hAnsi="宋体" w:cs="宋体" w:eastAsia="宋体" w:hint="default"/>
                <w:sz w:val="21"/>
                <w:szCs w:val="21"/>
              </w:rPr>
            </w:pPr>
            <w:r>
              <w:rPr>
                <w:rFonts w:ascii="宋体"/>
                <w:spacing w:val="-1"/>
                <w:sz w:val="21"/>
              </w:rPr>
              <w:t>8,165,943.07</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6"/>
              <w:jc w:val="right"/>
              <w:rPr>
                <w:rFonts w:ascii="宋体" w:hAnsi="宋体" w:cs="宋体" w:eastAsia="宋体" w:hint="default"/>
                <w:sz w:val="21"/>
                <w:szCs w:val="21"/>
              </w:rPr>
            </w:pPr>
            <w:r>
              <w:rPr>
                <w:rFonts w:ascii="宋体"/>
                <w:spacing w:val="-1"/>
                <w:sz w:val="21"/>
              </w:rPr>
              <w:t>11,798,817.96</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000" w:bottom="280" w:left="1640" w:right="1120"/>
        </w:sectPr>
      </w:pPr>
    </w:p>
    <w:p>
      <w:pPr>
        <w:pStyle w:val="Heading3"/>
        <w:spacing w:line="240" w:lineRule="auto" w:before="36"/>
        <w:ind w:left="158" w:right="-18"/>
        <w:jc w:val="left"/>
        <w:rPr>
          <w:b w:val="0"/>
          <w:bCs w:val="0"/>
        </w:rPr>
      </w:pPr>
      <w:r>
        <w:rPr>
          <w:rFonts w:ascii="宋体" w:hAnsi="宋体" w:cs="宋体" w:eastAsia="宋体" w:hint="default"/>
        </w:rPr>
        <w:t>(2)</w:t>
      </w:r>
      <w:r>
        <w:rPr>
          <w:rFonts w:ascii="宋体" w:hAnsi="宋体" w:cs="宋体" w:eastAsia="宋体" w:hint="default"/>
          <w:spacing w:val="1"/>
        </w:rPr>
        <w:t> </w:t>
      </w:r>
      <w:r>
        <w:rPr/>
        <w:t>会计利润与所得税费用调整过程：</w:t>
      </w:r>
      <w:r>
        <w:rPr>
          <w:b w:val="0"/>
          <w:bCs w:val="0"/>
        </w:rPr>
      </w:r>
    </w:p>
    <w:p>
      <w:pPr>
        <w:pStyle w:val="BodyText"/>
        <w:tabs>
          <w:tab w:pos="1000" w:val="left" w:leader="none"/>
        </w:tabs>
        <w:spacing w:line="240" w:lineRule="auto" w:before="56"/>
        <w:ind w:left="158" w:right="-18"/>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09" w:val="left" w:leader="none"/>
        </w:tabs>
        <w:spacing w:line="240" w:lineRule="auto"/>
        <w:ind w:left="158" w:right="0"/>
        <w:jc w:val="left"/>
      </w:pPr>
      <w:r>
        <w:rPr>
          <w:spacing w:val="-1"/>
        </w:rPr>
        <w:t>单位：元</w:t>
        <w:tab/>
      </w:r>
      <w:r>
        <w:rPr>
          <w:spacing w:val="-2"/>
        </w:rPr>
        <w:t>币种：人民币</w:t>
      </w:r>
    </w:p>
    <w:p>
      <w:pPr>
        <w:spacing w:after="0" w:line="240" w:lineRule="auto"/>
        <w:jc w:val="left"/>
        <w:sectPr>
          <w:type w:val="continuous"/>
          <w:pgSz w:w="11910" w:h="16840"/>
          <w:pgMar w:top="1000" w:bottom="280" w:left="1640" w:right="1120"/>
          <w:cols w:num="2" w:equalWidth="0">
            <w:col w:w="3747" w:space="2774"/>
            <w:col w:w="2629"/>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4301"/>
        <w:gridCol w:w="1636"/>
        <w:gridCol w:w="2956"/>
      </w:tblGrid>
      <w:tr>
        <w:trPr>
          <w:trHeight w:val="283"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592" w:type="dxa"/>
            <w:gridSpan w:val="2"/>
            <w:tcBorders>
              <w:top w:val="single" w:sz="4" w:space="0" w:color="000000"/>
              <w:left w:val="single" w:sz="4" w:space="0" w:color="000000"/>
              <w:bottom w:val="single" w:sz="4" w:space="0" w:color="000000"/>
              <w:right w:val="single" w:sz="5"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本期发生额</w:t>
            </w:r>
          </w:p>
        </w:tc>
      </w:tr>
      <w:tr>
        <w:trPr>
          <w:trHeight w:val="283"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4592" w:type="dxa"/>
            <w:gridSpan w:val="2"/>
            <w:tcBorders>
              <w:top w:val="single" w:sz="4" w:space="0" w:color="000000"/>
              <w:left w:val="single" w:sz="4"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108,264,210.76</w:t>
            </w:r>
          </w:p>
        </w:tc>
      </w:tr>
      <w:tr>
        <w:trPr>
          <w:trHeight w:val="288"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6" w:right="0"/>
              <w:jc w:val="left"/>
              <w:rPr>
                <w:rFonts w:ascii="宋体" w:hAnsi="宋体" w:cs="宋体" w:eastAsia="宋体" w:hint="default"/>
                <w:sz w:val="21"/>
                <w:szCs w:val="21"/>
              </w:rPr>
            </w:pPr>
            <w:r>
              <w:rPr>
                <w:rFonts w:ascii="宋体" w:hAnsi="宋体" w:cs="宋体" w:eastAsia="宋体" w:hint="default"/>
                <w:sz w:val="21"/>
                <w:szCs w:val="21"/>
              </w:rPr>
              <w:t>按法定</w:t>
            </w:r>
            <w:r>
              <w:rPr>
                <w:rFonts w:ascii="宋体" w:hAnsi="宋体" w:cs="宋体" w:eastAsia="宋体" w:hint="default"/>
                <w:sz w:val="21"/>
                <w:szCs w:val="21"/>
              </w:rPr>
              <w:t>/</w:t>
            </w:r>
            <w:r>
              <w:rPr>
                <w:rFonts w:ascii="宋体" w:hAnsi="宋体" w:cs="宋体" w:eastAsia="宋体" w:hint="default"/>
                <w:sz w:val="21"/>
                <w:szCs w:val="21"/>
              </w:rPr>
              <w:t>适用税率计算的所得税费用</w:t>
            </w:r>
          </w:p>
        </w:tc>
        <w:tc>
          <w:tcPr>
            <w:tcW w:w="4592" w:type="dxa"/>
            <w:gridSpan w:val="2"/>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10,826,421.08</w:t>
            </w:r>
          </w:p>
        </w:tc>
      </w:tr>
      <w:tr>
        <w:trPr>
          <w:trHeight w:val="288"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子公司适用不同税率的影响</w:t>
            </w:r>
          </w:p>
        </w:tc>
        <w:tc>
          <w:tcPr>
            <w:tcW w:w="4592" w:type="dxa"/>
            <w:gridSpan w:val="2"/>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945,049.91</w:t>
            </w:r>
          </w:p>
        </w:tc>
      </w:tr>
      <w:tr>
        <w:trPr>
          <w:trHeight w:val="288"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调整以前期间所得税的影响</w:t>
            </w:r>
          </w:p>
        </w:tc>
        <w:tc>
          <w:tcPr>
            <w:tcW w:w="4592" w:type="dxa"/>
            <w:gridSpan w:val="2"/>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149,141.00</w:t>
            </w:r>
          </w:p>
        </w:tc>
      </w:tr>
      <w:tr>
        <w:trPr>
          <w:trHeight w:val="286"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非应税收入的影响</w:t>
            </w:r>
          </w:p>
        </w:tc>
        <w:tc>
          <w:tcPr>
            <w:tcW w:w="4592" w:type="dxa"/>
            <w:gridSpan w:val="2"/>
            <w:tcBorders>
              <w:top w:val="single" w:sz="6" w:space="0" w:color="000000"/>
              <w:left w:val="single" w:sz="4" w:space="0" w:color="000000"/>
              <w:bottom w:val="single" w:sz="6" w:space="0" w:color="000000"/>
              <w:right w:val="single" w:sz="6" w:space="0" w:color="000000"/>
            </w:tcBorders>
          </w:tcPr>
          <w:p>
            <w:pPr/>
          </w:p>
        </w:tc>
      </w:tr>
      <w:tr>
        <w:trPr>
          <w:trHeight w:val="288"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6" w:right="0"/>
              <w:jc w:val="left"/>
              <w:rPr>
                <w:rFonts w:ascii="宋体" w:hAnsi="宋体" w:cs="宋体" w:eastAsia="宋体" w:hint="default"/>
                <w:sz w:val="21"/>
                <w:szCs w:val="21"/>
              </w:rPr>
            </w:pPr>
            <w:r>
              <w:rPr>
                <w:rFonts w:ascii="宋体" w:hAnsi="宋体" w:cs="宋体" w:eastAsia="宋体" w:hint="default"/>
                <w:sz w:val="21"/>
                <w:szCs w:val="21"/>
              </w:rPr>
              <w:t>不可抵扣的成本、费用和损失的影响</w:t>
            </w:r>
          </w:p>
        </w:tc>
        <w:tc>
          <w:tcPr>
            <w:tcW w:w="4592" w:type="dxa"/>
            <w:gridSpan w:val="2"/>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910,149.52</w:t>
            </w:r>
          </w:p>
        </w:tc>
      </w:tr>
      <w:tr>
        <w:trPr>
          <w:trHeight w:val="560"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使用前期未确认递延所得税资产的可抵扣亏损</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的影响</w:t>
            </w:r>
          </w:p>
        </w:tc>
        <w:tc>
          <w:tcPr>
            <w:tcW w:w="4592" w:type="dxa"/>
            <w:gridSpan w:val="2"/>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-2,066,644.68</w:t>
            </w:r>
          </w:p>
        </w:tc>
      </w:tr>
      <w:tr>
        <w:trPr>
          <w:trHeight w:val="559"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本期未确认递延所得税资产的可抵扣暂时性差</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异或可抵扣亏损的影响</w:t>
            </w:r>
          </w:p>
        </w:tc>
        <w:tc>
          <w:tcPr>
            <w:tcW w:w="4592" w:type="dxa"/>
            <w:gridSpan w:val="2"/>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946,872.55</w:t>
            </w:r>
          </w:p>
        </w:tc>
      </w:tr>
      <w:tr>
        <w:trPr>
          <w:trHeight w:val="288" w:hRule="exact"/>
        </w:trPr>
        <w:tc>
          <w:tcPr>
            <w:tcW w:w="4301" w:type="dxa"/>
            <w:tcBorders>
              <w:top w:val="single" w:sz="4" w:space="0" w:color="000000"/>
              <w:left w:val="single" w:sz="6" w:space="0" w:color="000000"/>
              <w:bottom w:val="single" w:sz="6" w:space="0" w:color="000000"/>
              <w:right w:val="single" w:sz="6" w:space="0" w:color="000000"/>
            </w:tcBorders>
          </w:tcPr>
          <w:p>
            <w:pPr>
              <w:pStyle w:val="TableParagraph"/>
              <w:spacing w:line="246" w:lineRule="exact"/>
              <w:ind w:left="24" w:right="0"/>
              <w:jc w:val="left"/>
              <w:rPr>
                <w:rFonts w:ascii="宋体" w:hAnsi="宋体" w:cs="宋体" w:eastAsia="宋体" w:hint="default"/>
                <w:sz w:val="21"/>
                <w:szCs w:val="21"/>
              </w:rPr>
            </w:pPr>
            <w:r>
              <w:rPr>
                <w:rFonts w:ascii="宋体" w:hAnsi="宋体" w:cs="宋体" w:eastAsia="宋体" w:hint="default"/>
                <w:spacing w:val="-10"/>
                <w:sz w:val="21"/>
                <w:szCs w:val="21"/>
              </w:rPr>
              <w:t>研究开发费加成扣除的纳税影响（以“</w:t>
            </w:r>
            <w:r>
              <w:rPr>
                <w:rFonts w:ascii="宋体" w:hAnsi="宋体" w:cs="宋体" w:eastAsia="宋体" w:hint="default"/>
                <w:spacing w:val="-10"/>
                <w:sz w:val="21"/>
                <w:szCs w:val="21"/>
              </w:rPr>
              <w:t>-</w:t>
            </w:r>
            <w:r>
              <w:rPr>
                <w:rFonts w:ascii="宋体" w:hAnsi="宋体" w:cs="宋体" w:eastAsia="宋体" w:hint="default"/>
                <w:spacing w:val="-10"/>
                <w:sz w:val="21"/>
                <w:szCs w:val="21"/>
              </w:rPr>
              <w:t>”填列</w:t>
            </w:r>
          </w:p>
        </w:tc>
        <w:tc>
          <w:tcPr>
            <w:tcW w:w="1636" w:type="dxa"/>
            <w:tcBorders>
              <w:top w:val="single" w:sz="6" w:space="0" w:color="000000"/>
              <w:left w:val="single" w:sz="6" w:space="0" w:color="000000"/>
              <w:bottom w:val="single" w:sz="6" w:space="0" w:color="000000"/>
              <w:right w:val="nil" w:sz="6" w:space="0" w:color="auto"/>
            </w:tcBorders>
          </w:tcPr>
          <w:p>
            <w:pPr>
              <w:pStyle w:val="TableParagraph"/>
              <w:spacing w:line="243" w:lineRule="exact"/>
              <w:ind w:left="-142"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2956" w:type="dxa"/>
            <w:tcBorders>
              <w:top w:val="single" w:sz="6" w:space="0" w:color="000000"/>
              <w:left w:val="nil" w:sz="6" w:space="0" w:color="auto"/>
              <w:bottom w:val="single" w:sz="6" w:space="0" w:color="000000"/>
              <w:right w:val="single" w:sz="6" w:space="0" w:color="000000"/>
            </w:tcBorders>
          </w:tcPr>
          <w:p>
            <w:pPr>
              <w:pStyle w:val="TableParagraph"/>
              <w:spacing w:line="243" w:lineRule="exact"/>
              <w:ind w:left="1559" w:right="0"/>
              <w:jc w:val="left"/>
              <w:rPr>
                <w:rFonts w:ascii="宋体" w:hAnsi="宋体" w:cs="宋体" w:eastAsia="宋体" w:hint="default"/>
                <w:sz w:val="21"/>
                <w:szCs w:val="21"/>
              </w:rPr>
            </w:pPr>
            <w:r>
              <w:rPr>
                <w:rFonts w:ascii="宋体"/>
                <w:sz w:val="21"/>
              </w:rPr>
              <w:t>-3,545,046.31</w:t>
            </w:r>
          </w:p>
        </w:tc>
      </w:tr>
      <w:tr>
        <w:trPr>
          <w:trHeight w:val="288" w:hRule="exact"/>
        </w:trPr>
        <w:tc>
          <w:tcPr>
            <w:tcW w:w="43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4592" w:type="dxa"/>
            <w:gridSpan w:val="2"/>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301"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4592" w:type="dxa"/>
            <w:gridSpan w:val="2"/>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8,165,943.07</w:t>
            </w:r>
          </w:p>
        </w:tc>
      </w:tr>
    </w:tbl>
    <w:p>
      <w:pPr>
        <w:spacing w:line="240" w:lineRule="auto" w:before="12"/>
        <w:rPr>
          <w:rFonts w:ascii="宋体" w:hAnsi="宋体" w:cs="宋体" w:eastAsia="宋体" w:hint="default"/>
          <w:sz w:val="19"/>
          <w:szCs w:val="19"/>
        </w:rPr>
      </w:pPr>
    </w:p>
    <w:p>
      <w:pPr>
        <w:pStyle w:val="BodyText"/>
        <w:spacing w:line="240" w:lineRule="auto" w:before="36"/>
        <w:ind w:left="158" w:right="0"/>
        <w:jc w:val="left"/>
      </w:pPr>
      <w:r>
        <w:rPr/>
        <w:t>其他说明：</w:t>
      </w:r>
    </w:p>
    <w:p>
      <w:pPr>
        <w:pStyle w:val="BodyText"/>
        <w:tabs>
          <w:tab w:pos="1000" w:val="left" w:leader="none"/>
        </w:tabs>
        <w:spacing w:line="240" w:lineRule="auto" w:before="58"/>
        <w:ind w:left="158" w:right="0"/>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Heading3"/>
        <w:spacing w:line="240" w:lineRule="auto"/>
        <w:ind w:left="158" w:right="0"/>
        <w:jc w:val="left"/>
        <w:rPr>
          <w:b w:val="0"/>
          <w:bCs w:val="0"/>
        </w:rPr>
      </w:pPr>
      <w:r>
        <w:rPr>
          <w:rFonts w:ascii="宋体" w:hAnsi="宋体" w:cs="宋体" w:eastAsia="宋体" w:hint="default"/>
        </w:rPr>
        <w:t>72</w:t>
      </w:r>
      <w:r>
        <w:rPr/>
        <w:t>、</w:t>
      </w:r>
      <w:r>
        <w:rPr>
          <w:spacing w:val="-24"/>
        </w:rPr>
        <w:t> </w:t>
      </w:r>
      <w:r>
        <w:rPr/>
        <w:t>其他综合收益</w:t>
      </w:r>
      <w:r>
        <w:rPr>
          <w:b w:val="0"/>
          <w:bCs w:val="0"/>
        </w:rPr>
      </w:r>
    </w:p>
    <w:p>
      <w:pPr>
        <w:pStyle w:val="BodyText"/>
        <w:spacing w:line="240" w:lineRule="auto" w:before="58"/>
        <w:ind w:left="158" w:right="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000" w:bottom="280" w:left="1640" w:right="1120"/>
        </w:sectPr>
      </w:pPr>
    </w:p>
    <w:p>
      <w:pPr>
        <w:pStyle w:val="Heading3"/>
        <w:spacing w:line="240" w:lineRule="auto" w:before="36"/>
        <w:ind w:left="158" w:right="-2"/>
        <w:jc w:val="left"/>
        <w:rPr>
          <w:b w:val="0"/>
          <w:bCs w:val="0"/>
        </w:rPr>
      </w:pPr>
      <w:r>
        <w:rPr>
          <w:rFonts w:ascii="宋体" w:hAnsi="宋体" w:cs="宋体" w:eastAsia="宋体" w:hint="default"/>
        </w:rPr>
        <w:t>73</w:t>
      </w:r>
      <w:r>
        <w:rPr/>
        <w:t>、</w:t>
      </w:r>
      <w:r>
        <w:rPr>
          <w:spacing w:val="-24"/>
        </w:rPr>
        <w:t> </w:t>
      </w:r>
      <w:r>
        <w:rPr/>
        <w:t>现金流量表项目</w:t>
      </w:r>
      <w:r>
        <w:rPr>
          <w:b w:val="0"/>
          <w:bCs w:val="0"/>
        </w:rPr>
      </w:r>
    </w:p>
    <w:p>
      <w:pPr>
        <w:pStyle w:val="Heading3"/>
        <w:tabs>
          <w:tab w:pos="858" w:val="left" w:leader="none"/>
        </w:tabs>
        <w:spacing w:line="240" w:lineRule="auto" w:before="56"/>
        <w:ind w:left="158" w:right="-2"/>
        <w:jc w:val="left"/>
        <w:rPr>
          <w:b w:val="0"/>
          <w:bCs w:val="0"/>
        </w:rPr>
      </w:pPr>
      <w:r>
        <w:rPr>
          <w:rFonts w:ascii="宋体" w:hAnsi="宋体" w:cs="宋体" w:eastAsia="宋体" w:hint="default"/>
          <w:w w:val="95"/>
        </w:rPr>
        <w:t>(1).</w:t>
        <w:tab/>
      </w:r>
      <w:r>
        <w:rPr>
          <w:spacing w:val="-1"/>
        </w:rPr>
        <w:t>收到的其他与经营活动有关的现金：</w:t>
      </w:r>
      <w:r>
        <w:rPr>
          <w:b w:val="0"/>
          <w:bCs w:val="0"/>
          <w:spacing w:val="-1"/>
        </w:rPr>
      </w:r>
    </w:p>
    <w:p>
      <w:pPr>
        <w:pStyle w:val="BodyText"/>
        <w:spacing w:line="240" w:lineRule="auto" w:before="58"/>
        <w:ind w:left="158" w:right="-2"/>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09" w:val="left" w:leader="none"/>
        </w:tabs>
        <w:spacing w:line="240" w:lineRule="auto"/>
        <w:ind w:left="158" w:right="0"/>
        <w:jc w:val="left"/>
      </w:pPr>
      <w:r>
        <w:rPr>
          <w:spacing w:val="-1"/>
        </w:rPr>
        <w:t>单位：元</w:t>
        <w:tab/>
      </w:r>
      <w:r>
        <w:rPr>
          <w:spacing w:val="-2"/>
        </w:rPr>
        <w:t>币种：人民币</w:t>
      </w:r>
    </w:p>
    <w:p>
      <w:pPr>
        <w:spacing w:after="0" w:line="240" w:lineRule="auto"/>
        <w:jc w:val="left"/>
        <w:sectPr>
          <w:type w:val="continuous"/>
          <w:pgSz w:w="11910" w:h="16840"/>
          <w:pgMar w:top="1000" w:bottom="280" w:left="1640" w:right="1120"/>
          <w:cols w:num="2" w:equalWidth="0">
            <w:col w:w="4234" w:space="2288"/>
            <w:col w:w="2628"/>
          </w:cols>
        </w:sectPr>
      </w:pPr>
    </w:p>
    <w:p>
      <w:pPr>
        <w:spacing w:line="240" w:lineRule="auto" w:before="7"/>
        <w:rPr>
          <w:rFonts w:ascii="宋体" w:hAnsi="宋体" w:cs="宋体" w:eastAsia="宋体" w:hint="default"/>
          <w:sz w:val="2"/>
          <w:szCs w:val="2"/>
        </w:rPr>
      </w:pPr>
    </w:p>
    <w:tbl>
      <w:tblPr>
        <w:tblW w:w="0" w:type="auto"/>
        <w:jc w:val="left"/>
        <w:tblInd w:w="122" w:type="dxa"/>
        <w:tblLayout w:type="fixed"/>
        <w:tblCellMar>
          <w:top w:w="0" w:type="dxa"/>
          <w:left w:w="0" w:type="dxa"/>
          <w:bottom w:w="0" w:type="dxa"/>
          <w:right w:w="0" w:type="dxa"/>
        </w:tblCellMar>
        <w:tblLook w:val="01E0"/>
      </w:tblPr>
      <w:tblGrid>
        <w:gridCol w:w="3349"/>
        <w:gridCol w:w="2780"/>
        <w:gridCol w:w="2768"/>
      </w:tblGrid>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收到的政府补助</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3,418,575.00</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943,365.00</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收到的利息收入</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5,514,442.11</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4,941,399.54</w:t>
            </w: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收到的保证金</w:t>
            </w:r>
          </w:p>
        </w:tc>
        <w:tc>
          <w:tcPr>
            <w:tcW w:w="2780" w:type="dxa"/>
            <w:tcBorders>
              <w:top w:val="single" w:sz="4" w:space="0" w:color="000000"/>
              <w:left w:val="single" w:sz="4" w:space="0" w:color="000000"/>
              <w:bottom w:val="single" w:sz="4" w:space="0" w:color="000000"/>
              <w:right w:val="single" w:sz="4" w:space="0" w:color="000000"/>
            </w:tcBorders>
          </w:tcPr>
          <w:p>
            <w:pP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905,000.00</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收到的其他往来款</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398,592.92</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361,913.29</w:t>
            </w:r>
          </w:p>
        </w:tc>
      </w:tr>
    </w:tbl>
    <w:p>
      <w:pPr>
        <w:spacing w:after="0" w:line="241" w:lineRule="exact"/>
        <w:jc w:val="right"/>
        <w:rPr>
          <w:rFonts w:ascii="宋体" w:hAnsi="宋体" w:cs="宋体" w:eastAsia="宋体" w:hint="default"/>
          <w:sz w:val="21"/>
          <w:szCs w:val="21"/>
        </w:rPr>
        <w:sectPr>
          <w:type w:val="continuous"/>
          <w:pgSz w:w="11910" w:h="16840"/>
          <w:pgMar w:top="1000" w:bottom="280" w:left="1640" w:right="1120"/>
        </w:sectPr>
      </w:pPr>
    </w:p>
    <w:p>
      <w:pPr>
        <w:spacing w:line="240" w:lineRule="auto" w:before="9"/>
        <w:rPr>
          <w:rFonts w:ascii="宋体" w:hAnsi="宋体" w:cs="宋体" w:eastAsia="宋体" w:hint="default"/>
          <w:sz w:val="14"/>
          <w:szCs w:val="14"/>
        </w:rPr>
      </w:pPr>
    </w:p>
    <w:tbl>
      <w:tblPr>
        <w:tblW w:w="0" w:type="auto"/>
        <w:jc w:val="left"/>
        <w:tblInd w:w="182" w:type="dxa"/>
        <w:tblLayout w:type="fixed"/>
        <w:tblCellMar>
          <w:top w:w="0" w:type="dxa"/>
          <w:left w:w="0" w:type="dxa"/>
          <w:bottom w:w="0" w:type="dxa"/>
          <w:right w:w="0" w:type="dxa"/>
        </w:tblCellMar>
        <w:tblLook w:val="01E0"/>
      </w:tblPr>
      <w:tblGrid>
        <w:gridCol w:w="3349"/>
        <w:gridCol w:w="2780"/>
        <w:gridCol w:w="2768"/>
      </w:tblGrid>
      <w:tr>
        <w:trPr>
          <w:trHeight w:val="284"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481" w:right="0"/>
              <w:jc w:val="left"/>
              <w:rPr>
                <w:rFonts w:ascii="宋体" w:hAnsi="宋体" w:cs="宋体" w:eastAsia="宋体" w:hint="default"/>
                <w:sz w:val="21"/>
                <w:szCs w:val="21"/>
              </w:rPr>
            </w:pPr>
            <w:r>
              <w:rPr>
                <w:rFonts w:ascii="宋体"/>
                <w:sz w:val="21"/>
              </w:rPr>
              <w:t>9,331,610.03</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471" w:right="0"/>
              <w:jc w:val="left"/>
              <w:rPr>
                <w:rFonts w:ascii="宋体" w:hAnsi="宋体" w:cs="宋体" w:eastAsia="宋体" w:hint="default"/>
                <w:sz w:val="21"/>
                <w:szCs w:val="21"/>
              </w:rPr>
            </w:pPr>
            <w:r>
              <w:rPr>
                <w:rFonts w:ascii="宋体"/>
                <w:sz w:val="21"/>
              </w:rPr>
              <w:t>7,151,677.83</w:t>
            </w:r>
          </w:p>
        </w:tc>
      </w:tr>
    </w:tbl>
    <w:p>
      <w:pPr>
        <w:spacing w:line="240" w:lineRule="auto" w:before="2"/>
        <w:rPr>
          <w:rFonts w:ascii="宋体" w:hAnsi="宋体" w:cs="宋体" w:eastAsia="宋体" w:hint="default"/>
          <w:sz w:val="20"/>
          <w:szCs w:val="20"/>
        </w:rPr>
      </w:pPr>
    </w:p>
    <w:p>
      <w:pPr>
        <w:pStyle w:val="BodyText"/>
        <w:spacing w:line="290" w:lineRule="auto" w:before="36"/>
        <w:ind w:right="5134"/>
        <w:jc w:val="left"/>
      </w:pPr>
      <w:r>
        <w:rPr>
          <w:spacing w:val="-2"/>
        </w:rPr>
        <w:t>收到的其他与经营活动有关的现金说明：</w:t>
      </w:r>
      <w:r>
        <w:rPr>
          <w:spacing w:val="-69"/>
        </w:rPr>
        <w:t> </w:t>
      </w:r>
      <w:r>
        <w:rPr>
          <w:spacing w:val="-69"/>
        </w:rPr>
      </w:r>
      <w:r>
        <w:rPr/>
        <w:t>无</w:t>
      </w:r>
    </w:p>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0" w:footer="1195" w:top="1320" w:bottom="1380" w:left="1580" w:right="1040"/>
        </w:sectPr>
      </w:pPr>
    </w:p>
    <w:p>
      <w:pPr>
        <w:pStyle w:val="Heading3"/>
        <w:tabs>
          <w:tab w:pos="918" w:val="left" w:leader="none"/>
        </w:tabs>
        <w:spacing w:line="240" w:lineRule="auto" w:before="36"/>
        <w:ind w:right="-2"/>
        <w:jc w:val="left"/>
        <w:rPr>
          <w:b w:val="0"/>
          <w:bCs w:val="0"/>
        </w:rPr>
      </w:pPr>
      <w:r>
        <w:rPr>
          <w:rFonts w:ascii="宋体" w:hAnsi="宋体" w:cs="宋体" w:eastAsia="宋体" w:hint="default"/>
          <w:w w:val="95"/>
        </w:rPr>
        <w:t>(2).</w:t>
        <w:tab/>
      </w:r>
      <w:r>
        <w:rPr>
          <w:spacing w:val="-1"/>
        </w:rPr>
        <w:t>支付的其他与经营活动有关的现金：</w:t>
      </w:r>
      <w:r>
        <w:rPr>
          <w:b w:val="0"/>
          <w:bCs w:val="0"/>
          <w:spacing w:val="-1"/>
        </w:rPr>
      </w:r>
    </w:p>
    <w:p>
      <w:pPr>
        <w:pStyle w:val="BodyText"/>
        <w:spacing w:line="240" w:lineRule="auto" w:before="58"/>
        <w:ind w:right="-2"/>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000" w:bottom="280" w:left="1580" w:right="1040"/>
          <w:cols w:num="2" w:equalWidth="0">
            <w:col w:w="4294" w:space="2228"/>
            <w:col w:w="2768"/>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3349"/>
        <w:gridCol w:w="2760"/>
        <w:gridCol w:w="2787"/>
      </w:tblGrid>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55"/>
              <w:jc w:val="right"/>
              <w:rPr>
                <w:rFonts w:ascii="宋体" w:hAnsi="宋体" w:cs="宋体" w:eastAsia="宋体" w:hint="default"/>
                <w:sz w:val="21"/>
                <w:szCs w:val="21"/>
              </w:rPr>
            </w:pPr>
            <w:r>
              <w:rPr>
                <w:rFonts w:ascii="宋体" w:hAnsi="宋体" w:cs="宋体" w:eastAsia="宋体" w:hint="default"/>
                <w:sz w:val="21"/>
                <w:szCs w:val="21"/>
              </w:rPr>
              <w:t>项目</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6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支付各项付现费用等</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48,101,566.08</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38,545,698.43</w:t>
            </w: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支付的保证金</w:t>
            </w:r>
          </w:p>
        </w:tc>
        <w:tc>
          <w:tcPr>
            <w:tcW w:w="2760" w:type="dxa"/>
            <w:tcBorders>
              <w:top w:val="single" w:sz="4" w:space="0" w:color="000000"/>
              <w:left w:val="single" w:sz="4" w:space="0" w:color="000000"/>
              <w:bottom w:val="single" w:sz="4" w:space="0" w:color="000000"/>
              <w:right w:val="single" w:sz="4" w:space="0" w:color="000000"/>
            </w:tcBorders>
          </w:tcPr>
          <w:p>
            <w:pP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405,000.00</w:t>
            </w:r>
          </w:p>
        </w:tc>
      </w:tr>
      <w:tr>
        <w:trPr>
          <w:trHeight w:val="284"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支付的其他往来款</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1"/>
              <w:jc w:val="right"/>
              <w:rPr>
                <w:rFonts w:ascii="宋体" w:hAnsi="宋体" w:cs="宋体" w:eastAsia="宋体" w:hint="default"/>
                <w:sz w:val="21"/>
                <w:szCs w:val="21"/>
              </w:rPr>
            </w:pPr>
            <w:r>
              <w:rPr>
                <w:rFonts w:ascii="宋体"/>
                <w:spacing w:val="-1"/>
                <w:sz w:val="21"/>
              </w:rPr>
              <w:t>233,446.41</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1"/>
              <w:jc w:val="right"/>
              <w:rPr>
                <w:rFonts w:ascii="宋体" w:hAnsi="宋体" w:cs="宋体" w:eastAsia="宋体" w:hint="default"/>
                <w:sz w:val="21"/>
                <w:szCs w:val="21"/>
              </w:rPr>
            </w:pPr>
            <w:r>
              <w:rPr>
                <w:rFonts w:ascii="宋体"/>
                <w:spacing w:val="-1"/>
                <w:sz w:val="21"/>
              </w:rPr>
              <w:t>1,775,488.79</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55"/>
              <w:jc w:val="right"/>
              <w:rPr>
                <w:rFonts w:ascii="宋体" w:hAnsi="宋体" w:cs="宋体" w:eastAsia="宋体" w:hint="default"/>
                <w:sz w:val="21"/>
                <w:szCs w:val="21"/>
              </w:rPr>
            </w:pPr>
            <w:r>
              <w:rPr>
                <w:rFonts w:ascii="宋体" w:hAnsi="宋体" w:cs="宋体" w:eastAsia="宋体" w:hint="default"/>
                <w:sz w:val="21"/>
                <w:szCs w:val="21"/>
              </w:rPr>
              <w:t>合计</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48,335,012.49</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40,726,187.22</w:t>
            </w:r>
          </w:p>
        </w:tc>
      </w:tr>
    </w:tbl>
    <w:p>
      <w:pPr>
        <w:spacing w:line="240" w:lineRule="auto" w:before="12"/>
        <w:rPr>
          <w:rFonts w:ascii="宋体" w:hAnsi="宋体" w:cs="宋体" w:eastAsia="宋体" w:hint="default"/>
          <w:sz w:val="19"/>
          <w:szCs w:val="19"/>
        </w:rPr>
      </w:pPr>
    </w:p>
    <w:p>
      <w:pPr>
        <w:pStyle w:val="BodyText"/>
        <w:spacing w:line="290" w:lineRule="auto" w:before="36"/>
        <w:ind w:right="5134"/>
        <w:jc w:val="left"/>
      </w:pPr>
      <w:r>
        <w:rPr>
          <w:spacing w:val="-2"/>
        </w:rPr>
        <w:t>支付的其他与经营活动有关的现金说明：</w:t>
      </w:r>
      <w:r>
        <w:rPr>
          <w:spacing w:val="-69"/>
        </w:rPr>
        <w:t> </w:t>
      </w:r>
      <w:r>
        <w:rPr>
          <w:spacing w:val="-69"/>
        </w:rPr>
      </w:r>
      <w:r>
        <w:rPr/>
        <w:t>无</w:t>
      </w:r>
    </w:p>
    <w:p>
      <w:pPr>
        <w:spacing w:line="240" w:lineRule="auto" w:before="6"/>
        <w:rPr>
          <w:rFonts w:ascii="宋体" w:hAnsi="宋体" w:cs="宋体" w:eastAsia="宋体" w:hint="default"/>
          <w:sz w:val="28"/>
          <w:szCs w:val="28"/>
        </w:rPr>
      </w:pPr>
    </w:p>
    <w:p>
      <w:pPr>
        <w:pStyle w:val="Heading3"/>
        <w:tabs>
          <w:tab w:pos="945" w:val="left" w:leader="none"/>
        </w:tabs>
        <w:spacing w:line="240" w:lineRule="auto"/>
        <w:ind w:right="2757"/>
        <w:jc w:val="left"/>
        <w:rPr>
          <w:b w:val="0"/>
          <w:bCs w:val="0"/>
        </w:rPr>
      </w:pPr>
      <w:r>
        <w:rPr>
          <w:rFonts w:ascii="宋体" w:hAnsi="宋体" w:cs="宋体" w:eastAsia="宋体" w:hint="default"/>
          <w:w w:val="95"/>
        </w:rPr>
        <w:t>(3).</w:t>
        <w:tab/>
      </w:r>
      <w:r>
        <w:rPr/>
        <w:t>收到的其他与投资活动有关的现金</w:t>
      </w:r>
      <w:r>
        <w:rPr>
          <w:b w:val="0"/>
          <w:bCs w:val="0"/>
        </w:rPr>
      </w:r>
    </w:p>
    <w:p>
      <w:pPr>
        <w:pStyle w:val="BodyText"/>
        <w:spacing w:line="240" w:lineRule="auto" w:before="58"/>
        <w:ind w:right="2757"/>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3"/>
        <w:tabs>
          <w:tab w:pos="945" w:val="left" w:leader="none"/>
        </w:tabs>
        <w:spacing w:line="240" w:lineRule="auto"/>
        <w:ind w:right="2757"/>
        <w:jc w:val="left"/>
        <w:rPr>
          <w:b w:val="0"/>
          <w:bCs w:val="0"/>
        </w:rPr>
      </w:pPr>
      <w:r>
        <w:rPr>
          <w:rFonts w:ascii="宋体" w:hAnsi="宋体" w:cs="宋体" w:eastAsia="宋体" w:hint="default"/>
          <w:w w:val="95"/>
        </w:rPr>
        <w:t>(4).</w:t>
        <w:tab/>
      </w:r>
      <w:r>
        <w:rPr/>
        <w:t>支付的其他与投资活动有关的现金</w:t>
      </w:r>
      <w:r>
        <w:rPr>
          <w:b w:val="0"/>
          <w:bCs w:val="0"/>
        </w:rPr>
      </w:r>
    </w:p>
    <w:p>
      <w:pPr>
        <w:pStyle w:val="BodyText"/>
        <w:spacing w:line="240" w:lineRule="auto" w:before="58"/>
        <w:ind w:right="2757"/>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3"/>
        <w:tabs>
          <w:tab w:pos="1057" w:val="left" w:leader="none"/>
        </w:tabs>
        <w:spacing w:line="240" w:lineRule="auto"/>
        <w:ind w:right="2757"/>
        <w:jc w:val="left"/>
        <w:rPr>
          <w:b w:val="0"/>
          <w:bCs w:val="0"/>
        </w:rPr>
      </w:pPr>
      <w:r>
        <w:rPr>
          <w:rFonts w:ascii="宋体" w:hAnsi="宋体" w:cs="宋体" w:eastAsia="宋体" w:hint="default"/>
          <w:w w:val="95"/>
        </w:rPr>
        <w:t>(5).</w:t>
        <w:tab/>
      </w:r>
      <w:r>
        <w:rPr/>
        <w:t>收到的其他与筹资活动有关的现金</w:t>
      </w:r>
      <w:r>
        <w:rPr>
          <w:b w:val="0"/>
          <w:bCs w:val="0"/>
        </w:rPr>
      </w:r>
    </w:p>
    <w:p>
      <w:pPr>
        <w:pStyle w:val="BodyText"/>
        <w:spacing w:line="240" w:lineRule="auto" w:before="58"/>
        <w:ind w:right="2757"/>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000" w:bottom="280" w:left="1580" w:right="1040"/>
        </w:sectPr>
      </w:pPr>
    </w:p>
    <w:p>
      <w:pPr>
        <w:pStyle w:val="Heading3"/>
        <w:tabs>
          <w:tab w:pos="1057" w:val="left" w:leader="none"/>
        </w:tabs>
        <w:spacing w:line="240" w:lineRule="auto" w:before="36"/>
        <w:ind w:right="-3"/>
        <w:jc w:val="left"/>
        <w:rPr>
          <w:b w:val="0"/>
          <w:bCs w:val="0"/>
        </w:rPr>
      </w:pPr>
      <w:r>
        <w:rPr>
          <w:rFonts w:ascii="宋体" w:hAnsi="宋体" w:cs="宋体" w:eastAsia="宋体" w:hint="default"/>
          <w:w w:val="95"/>
        </w:rPr>
        <w:t>(6).</w:t>
        <w:tab/>
      </w:r>
      <w:r>
        <w:rPr>
          <w:spacing w:val="-1"/>
        </w:rPr>
        <w:t>支付的其他与筹资活动有关的现金</w:t>
      </w:r>
      <w:r>
        <w:rPr>
          <w:b w:val="0"/>
          <w:bCs w:val="0"/>
          <w:spacing w:val="-1"/>
        </w:rPr>
      </w:r>
    </w:p>
    <w:p>
      <w:pPr>
        <w:pStyle w:val="BodyText"/>
        <w:spacing w:line="240" w:lineRule="auto" w:before="58"/>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000" w:bottom="280" w:left="1580" w:right="1040"/>
          <w:cols w:num="2" w:equalWidth="0">
            <w:col w:w="4222" w:space="2300"/>
            <w:col w:w="2768"/>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3349"/>
        <w:gridCol w:w="2864"/>
        <w:gridCol w:w="2684"/>
      </w:tblGrid>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0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1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支付给部分中介机构</w:t>
            </w:r>
            <w:r>
              <w:rPr>
                <w:rFonts w:ascii="宋体" w:hAnsi="宋体" w:cs="宋体" w:eastAsia="宋体" w:hint="default"/>
                <w:sz w:val="21"/>
                <w:szCs w:val="21"/>
              </w:rPr>
              <w:t>IPO</w:t>
            </w:r>
            <w:r>
              <w:rPr>
                <w:rFonts w:ascii="宋体" w:hAnsi="宋体" w:cs="宋体" w:eastAsia="宋体" w:hint="default"/>
                <w:sz w:val="21"/>
                <w:szCs w:val="21"/>
              </w:rPr>
              <w:t>服务费</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7,894,050.00</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700,000.00</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7,894,050.00</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700,000.00</w:t>
            </w:r>
          </w:p>
        </w:tc>
      </w:tr>
    </w:tbl>
    <w:p>
      <w:pPr>
        <w:spacing w:after="0" w:line="241" w:lineRule="exact"/>
        <w:jc w:val="right"/>
        <w:rPr>
          <w:rFonts w:ascii="宋体" w:hAnsi="宋体" w:cs="宋体" w:eastAsia="宋体" w:hint="default"/>
          <w:sz w:val="21"/>
          <w:szCs w:val="21"/>
        </w:rPr>
        <w:sectPr>
          <w:type w:val="continuous"/>
          <w:pgSz w:w="11910" w:h="16840"/>
          <w:pgMar w:top="1000" w:bottom="280" w:left="1580" w:right="1040"/>
        </w:sectPr>
      </w:pPr>
    </w:p>
    <w:p>
      <w:pPr>
        <w:pStyle w:val="BodyText"/>
        <w:spacing w:line="290" w:lineRule="auto" w:before="26"/>
        <w:ind w:right="0"/>
        <w:jc w:val="left"/>
      </w:pPr>
      <w:r>
        <w:rPr>
          <w:spacing w:val="-2"/>
        </w:rPr>
        <w:t>支付的其他与筹资活动有关的现金说明：</w:t>
      </w:r>
      <w:r>
        <w:rPr>
          <w:spacing w:val="-69"/>
        </w:rPr>
        <w:t> </w:t>
      </w:r>
      <w:r>
        <w:rPr>
          <w:spacing w:val="-69"/>
        </w:rPr>
      </w:r>
      <w:r>
        <w:rPr/>
        <w:t>无</w:t>
      </w:r>
    </w:p>
    <w:p>
      <w:pPr>
        <w:pStyle w:val="Heading3"/>
        <w:spacing w:line="290" w:lineRule="auto" w:before="14"/>
        <w:ind w:right="1362"/>
        <w:jc w:val="left"/>
        <w:rPr>
          <w:b w:val="0"/>
          <w:bCs w:val="0"/>
        </w:rPr>
      </w:pPr>
      <w:r>
        <w:rPr>
          <w:rFonts w:ascii="宋体" w:hAnsi="宋体" w:cs="宋体" w:eastAsia="宋体" w:hint="default"/>
        </w:rPr>
        <w:t>74</w:t>
      </w:r>
      <w:r>
        <w:rPr/>
        <w:t>、</w:t>
      </w:r>
      <w:r>
        <w:rPr>
          <w:spacing w:val="-23"/>
        </w:rPr>
        <w:t> </w:t>
      </w:r>
      <w:r>
        <w:rPr/>
        <w:t>现金流量表补充资料</w:t>
      </w:r>
      <w:r>
        <w:rPr>
          <w:w w:val="100"/>
        </w:rPr>
        <w:t> </w:t>
      </w:r>
      <w:r>
        <w:rPr>
          <w:rFonts w:ascii="宋体" w:hAnsi="宋体" w:cs="宋体" w:eastAsia="宋体" w:hint="default"/>
        </w:rPr>
        <w:t>(1)</w:t>
      </w:r>
      <w:r>
        <w:rPr>
          <w:rFonts w:ascii="宋体" w:hAnsi="宋体" w:cs="宋体" w:eastAsia="宋体" w:hint="default"/>
          <w:spacing w:val="4"/>
        </w:rPr>
        <w:t> </w:t>
      </w:r>
      <w:r>
        <w:rPr/>
        <w:t>现金流量表补充资料</w:t>
      </w:r>
      <w:r>
        <w:rPr>
          <w:b w:val="0"/>
          <w:bCs w:val="0"/>
        </w:rPr>
      </w:r>
    </w:p>
    <w:p>
      <w:pPr>
        <w:pStyle w:val="BodyText"/>
        <w:tabs>
          <w:tab w:pos="1060" w:val="left" w:leader="none"/>
        </w:tabs>
        <w:spacing w:line="240" w:lineRule="auto" w:before="14"/>
        <w:ind w:right="0"/>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000" w:bottom="280" w:left="1580" w:right="1040"/>
          <w:cols w:num="2" w:equalWidth="0">
            <w:col w:w="4004" w:space="2518"/>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83"/>
        <w:gridCol w:w="2801"/>
        <w:gridCol w:w="2765"/>
      </w:tblGrid>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801" w:type="dxa"/>
            <w:tcBorders>
              <w:top w:val="single" w:sz="4" w:space="0" w:color="000000"/>
              <w:left w:val="single" w:sz="4" w:space="0" w:color="000000"/>
              <w:bottom w:val="single" w:sz="4" w:space="0" w:color="000000"/>
              <w:right w:val="single" w:sz="5"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2765" w:type="dxa"/>
            <w:tcBorders>
              <w:top w:val="single" w:sz="4" w:space="0" w:color="000000"/>
              <w:left w:val="single" w:sz="5" w:space="0" w:color="000000"/>
              <w:bottom w:val="single" w:sz="4" w:space="0" w:color="000000"/>
              <w:right w:val="single" w:sz="5"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55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．将净利润调节为经营活动现金流</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量：</w:t>
            </w:r>
            <w:r>
              <w:rPr>
                <w:rFonts w:ascii="宋体" w:hAnsi="宋体" w:cs="宋体" w:eastAsia="宋体" w:hint="default"/>
                <w:sz w:val="21"/>
                <w:szCs w:val="21"/>
              </w:rPr>
            </w:r>
          </w:p>
        </w:tc>
        <w:tc>
          <w:tcPr>
            <w:tcW w:w="2801" w:type="dxa"/>
            <w:tcBorders>
              <w:top w:val="single" w:sz="4" w:space="0" w:color="000000"/>
              <w:left w:val="single" w:sz="4" w:space="0" w:color="000000"/>
              <w:bottom w:val="single" w:sz="6" w:space="0" w:color="000000"/>
              <w:right w:val="single" w:sz="6" w:space="0" w:color="000000"/>
            </w:tcBorders>
          </w:tcPr>
          <w:p>
            <w:pPr/>
          </w:p>
        </w:tc>
        <w:tc>
          <w:tcPr>
            <w:tcW w:w="2765" w:type="dxa"/>
            <w:tcBorders>
              <w:top w:val="single" w:sz="4"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217" w:right="0"/>
              <w:jc w:val="left"/>
              <w:rPr>
                <w:rFonts w:ascii="宋体" w:hAnsi="宋体" w:cs="宋体" w:eastAsia="宋体" w:hint="default"/>
                <w:sz w:val="21"/>
                <w:szCs w:val="21"/>
              </w:rPr>
            </w:pPr>
            <w:r>
              <w:rPr>
                <w:rFonts w:ascii="宋体"/>
                <w:sz w:val="21"/>
              </w:rPr>
              <w:t>100,098,267.69</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84" w:right="0"/>
              <w:jc w:val="left"/>
              <w:rPr>
                <w:rFonts w:ascii="宋体" w:hAnsi="宋体" w:cs="宋体" w:eastAsia="宋体" w:hint="default"/>
                <w:sz w:val="21"/>
                <w:szCs w:val="21"/>
              </w:rPr>
            </w:pPr>
            <w:r>
              <w:rPr>
                <w:rFonts w:ascii="宋体"/>
                <w:sz w:val="21"/>
              </w:rPr>
              <w:t>69,728,630.68</w:t>
            </w:r>
          </w:p>
        </w:tc>
      </w:tr>
    </w:tbl>
    <w:p>
      <w:pPr>
        <w:spacing w:after="0" w:line="241" w:lineRule="exact"/>
        <w:jc w:val="left"/>
        <w:rPr>
          <w:rFonts w:ascii="宋体" w:hAnsi="宋体" w:cs="宋体" w:eastAsia="宋体" w:hint="default"/>
          <w:sz w:val="21"/>
          <w:szCs w:val="21"/>
        </w:rPr>
        <w:sectPr>
          <w:type w:val="continuous"/>
          <w:pgSz w:w="11910" w:h="16840"/>
          <w:pgMar w:top="1000" w:bottom="280" w:left="1580" w:right="1040"/>
        </w:sectPr>
      </w:pPr>
    </w:p>
    <w:p>
      <w:pPr>
        <w:spacing w:line="240" w:lineRule="auto" w:before="9"/>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3483"/>
        <w:gridCol w:w="2801"/>
        <w:gridCol w:w="2765"/>
      </w:tblGrid>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492,812.83</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87,994.25</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固定资产折旧、油气资产折耗、生产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性生物资产折旧</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4,274,168.36</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4,280,364.62</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201,812.60</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186,610.00</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330,442.59</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436,754.46</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处置</w:t>
            </w:r>
            <w:r>
              <w:rPr>
                <w:rFonts w:ascii="宋体" w:hAnsi="宋体" w:cs="宋体" w:eastAsia="宋体" w:hint="default"/>
                <w:spacing w:val="-3"/>
                <w:w w:val="100"/>
                <w:sz w:val="21"/>
                <w:szCs w:val="21"/>
              </w:rPr>
              <w:t>固</w:t>
            </w:r>
            <w:r>
              <w:rPr>
                <w:rFonts w:ascii="宋体" w:hAnsi="宋体" w:cs="宋体" w:eastAsia="宋体" w:hint="default"/>
                <w:w w:val="100"/>
                <w:sz w:val="21"/>
                <w:szCs w:val="21"/>
              </w:rPr>
              <w:t>定</w:t>
            </w:r>
            <w:r>
              <w:rPr>
                <w:rFonts w:ascii="宋体" w:hAnsi="宋体" w:cs="宋体" w:eastAsia="宋体" w:hint="default"/>
                <w:spacing w:val="-3"/>
                <w:w w:val="100"/>
                <w:sz w:val="21"/>
                <w:szCs w:val="21"/>
              </w:rPr>
              <w:t>资产</w:t>
            </w:r>
            <w:r>
              <w:rPr>
                <w:rFonts w:ascii="宋体" w:hAnsi="宋体" w:cs="宋体" w:eastAsia="宋体" w:hint="default"/>
                <w:spacing w:val="-94"/>
                <w:w w:val="100"/>
                <w:sz w:val="21"/>
                <w:szCs w:val="21"/>
              </w:rPr>
              <w:t>、</w:t>
            </w:r>
            <w:r>
              <w:rPr>
                <w:rFonts w:ascii="宋体" w:hAnsi="宋体" w:cs="宋体" w:eastAsia="宋体" w:hint="default"/>
                <w:spacing w:val="-3"/>
                <w:w w:val="100"/>
                <w:sz w:val="21"/>
                <w:szCs w:val="21"/>
              </w:rPr>
              <w:t>无</w:t>
            </w:r>
            <w:r>
              <w:rPr>
                <w:rFonts w:ascii="宋体" w:hAnsi="宋体" w:cs="宋体" w:eastAsia="宋体" w:hint="default"/>
                <w:w w:val="100"/>
                <w:sz w:val="21"/>
                <w:szCs w:val="21"/>
              </w:rPr>
              <w:t>形</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3"/>
                <w:w w:val="100"/>
                <w:sz w:val="21"/>
                <w:szCs w:val="21"/>
              </w:rPr>
              <w:t>和</w:t>
            </w:r>
            <w:r>
              <w:rPr>
                <w:rFonts w:ascii="宋体" w:hAnsi="宋体" w:cs="宋体" w:eastAsia="宋体" w:hint="default"/>
                <w:w w:val="100"/>
                <w:sz w:val="21"/>
                <w:szCs w:val="21"/>
              </w:rPr>
              <w:t>其他</w:t>
            </w:r>
            <w:r>
              <w:rPr>
                <w:rFonts w:ascii="宋体" w:hAnsi="宋体" w:cs="宋体" w:eastAsia="宋体" w:hint="default"/>
                <w:spacing w:val="-3"/>
                <w:w w:val="100"/>
                <w:sz w:val="21"/>
                <w:szCs w:val="21"/>
              </w:rPr>
              <w:t>长</w:t>
            </w:r>
            <w:r>
              <w:rPr>
                <w:rFonts w:ascii="宋体" w:hAnsi="宋体" w:cs="宋体" w:eastAsia="宋体" w:hint="default"/>
                <w:w w:val="100"/>
                <w:sz w:val="21"/>
                <w:szCs w:val="21"/>
              </w:rPr>
              <w:t>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资产的损失（收益以“－”号填列）</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-4,217.94</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固定</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3"/>
                <w:w w:val="100"/>
                <w:sz w:val="21"/>
                <w:szCs w:val="21"/>
              </w:rPr>
              <w:t>报</w:t>
            </w:r>
            <w:r>
              <w:rPr>
                <w:rFonts w:ascii="宋体" w:hAnsi="宋体" w:cs="宋体" w:eastAsia="宋体" w:hint="default"/>
                <w:w w:val="100"/>
                <w:sz w:val="21"/>
                <w:szCs w:val="21"/>
              </w:rPr>
              <w:t>废</w:t>
            </w:r>
            <w:r>
              <w:rPr>
                <w:rFonts w:ascii="宋体" w:hAnsi="宋体" w:cs="宋体" w:eastAsia="宋体" w:hint="default"/>
                <w:spacing w:val="-3"/>
                <w:w w:val="100"/>
                <w:sz w:val="21"/>
                <w:szCs w:val="21"/>
              </w:rPr>
              <w:t>损</w:t>
            </w:r>
            <w:r>
              <w:rPr>
                <w:rFonts w:ascii="宋体" w:hAnsi="宋体" w:cs="宋体" w:eastAsia="宋体" w:hint="default"/>
                <w:spacing w:val="-97"/>
                <w:w w:val="100"/>
                <w:sz w:val="21"/>
                <w:szCs w:val="21"/>
              </w:rPr>
              <w:t>失</w:t>
            </w:r>
            <w:r>
              <w:rPr>
                <w:rFonts w:ascii="宋体" w:hAnsi="宋体" w:cs="宋体" w:eastAsia="宋体" w:hint="default"/>
                <w:w w:val="100"/>
                <w:sz w:val="21"/>
                <w:szCs w:val="21"/>
              </w:rPr>
              <w:t>（</w:t>
            </w:r>
            <w:r>
              <w:rPr>
                <w:rFonts w:ascii="宋体" w:hAnsi="宋体" w:cs="宋体" w:eastAsia="宋体" w:hint="default"/>
                <w:spacing w:val="-3"/>
                <w:w w:val="100"/>
                <w:sz w:val="21"/>
                <w:szCs w:val="21"/>
              </w:rPr>
              <w:t>收</w:t>
            </w:r>
            <w:r>
              <w:rPr>
                <w:rFonts w:ascii="宋体" w:hAnsi="宋体" w:cs="宋体" w:eastAsia="宋体" w:hint="default"/>
                <w:w w:val="100"/>
                <w:sz w:val="21"/>
                <w:szCs w:val="21"/>
              </w:rPr>
              <w:t>益</w:t>
            </w:r>
            <w:r>
              <w:rPr>
                <w:rFonts w:ascii="宋体" w:hAnsi="宋体" w:cs="宋体" w:eastAsia="宋体" w:hint="default"/>
                <w:spacing w:val="-3"/>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139,169.41</w:t>
            </w: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公允</w:t>
            </w:r>
            <w:r>
              <w:rPr>
                <w:rFonts w:ascii="宋体" w:hAnsi="宋体" w:cs="宋体" w:eastAsia="宋体" w:hint="default"/>
                <w:spacing w:val="-3"/>
                <w:w w:val="100"/>
                <w:sz w:val="21"/>
                <w:szCs w:val="21"/>
              </w:rPr>
              <w:t>价</w:t>
            </w:r>
            <w:r>
              <w:rPr>
                <w:rFonts w:ascii="宋体" w:hAnsi="宋体" w:cs="宋体" w:eastAsia="宋体" w:hint="default"/>
                <w:w w:val="100"/>
                <w:sz w:val="21"/>
                <w:szCs w:val="21"/>
              </w:rPr>
              <w:t>值</w:t>
            </w:r>
            <w:r>
              <w:rPr>
                <w:rFonts w:ascii="宋体" w:hAnsi="宋体" w:cs="宋体" w:eastAsia="宋体" w:hint="default"/>
                <w:spacing w:val="-3"/>
                <w:w w:val="100"/>
                <w:sz w:val="21"/>
                <w:szCs w:val="21"/>
              </w:rPr>
              <w:t>变</w:t>
            </w:r>
            <w:r>
              <w:rPr>
                <w:rFonts w:ascii="宋体" w:hAnsi="宋体" w:cs="宋体" w:eastAsia="宋体" w:hint="default"/>
                <w:w w:val="100"/>
                <w:sz w:val="21"/>
                <w:szCs w:val="21"/>
              </w:rPr>
              <w:t>动</w:t>
            </w:r>
            <w:r>
              <w:rPr>
                <w:rFonts w:ascii="宋体" w:hAnsi="宋体" w:cs="宋体" w:eastAsia="宋体" w:hint="default"/>
                <w:spacing w:val="-3"/>
                <w:w w:val="100"/>
                <w:sz w:val="21"/>
                <w:szCs w:val="21"/>
              </w:rPr>
              <w:t>损</w:t>
            </w:r>
            <w:r>
              <w:rPr>
                <w:rFonts w:ascii="宋体" w:hAnsi="宋体" w:cs="宋体" w:eastAsia="宋体" w:hint="default"/>
                <w:spacing w:val="-97"/>
                <w:w w:val="100"/>
                <w:sz w:val="21"/>
                <w:szCs w:val="21"/>
              </w:rPr>
              <w:t>失</w:t>
            </w:r>
            <w:r>
              <w:rPr>
                <w:rFonts w:ascii="宋体" w:hAnsi="宋体" w:cs="宋体" w:eastAsia="宋体" w:hint="default"/>
                <w:w w:val="100"/>
                <w:sz w:val="21"/>
                <w:szCs w:val="21"/>
              </w:rPr>
              <w:t>（</w:t>
            </w:r>
            <w:r>
              <w:rPr>
                <w:rFonts w:ascii="宋体" w:hAnsi="宋体" w:cs="宋体" w:eastAsia="宋体" w:hint="default"/>
                <w:spacing w:val="-3"/>
                <w:w w:val="100"/>
                <w:sz w:val="21"/>
                <w:szCs w:val="21"/>
              </w:rPr>
              <w:t>收</w:t>
            </w:r>
            <w:r>
              <w:rPr>
                <w:rFonts w:ascii="宋体" w:hAnsi="宋体" w:cs="宋体" w:eastAsia="宋体" w:hint="default"/>
                <w:w w:val="100"/>
                <w:sz w:val="21"/>
                <w:szCs w:val="21"/>
              </w:rPr>
              <w:t>益</w:t>
            </w:r>
            <w:r>
              <w:rPr>
                <w:rFonts w:ascii="宋体" w:hAnsi="宋体" w:cs="宋体" w:eastAsia="宋体" w:hint="default"/>
                <w:spacing w:val="-3"/>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-13,066,725.74</w:t>
            </w: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递延</w:t>
            </w:r>
            <w:r>
              <w:rPr>
                <w:rFonts w:ascii="宋体" w:hAnsi="宋体" w:cs="宋体" w:eastAsia="宋体" w:hint="default"/>
                <w:spacing w:val="-3"/>
                <w:w w:val="100"/>
                <w:sz w:val="21"/>
                <w:szCs w:val="21"/>
              </w:rPr>
              <w:t>所</w:t>
            </w:r>
            <w:r>
              <w:rPr>
                <w:rFonts w:ascii="宋体" w:hAnsi="宋体" w:cs="宋体" w:eastAsia="宋体" w:hint="default"/>
                <w:w w:val="100"/>
                <w:sz w:val="21"/>
                <w:szCs w:val="21"/>
              </w:rPr>
              <w:t>得</w:t>
            </w:r>
            <w:r>
              <w:rPr>
                <w:rFonts w:ascii="宋体" w:hAnsi="宋体" w:cs="宋体" w:eastAsia="宋体" w:hint="default"/>
                <w:spacing w:val="-3"/>
                <w:w w:val="100"/>
                <w:sz w:val="21"/>
                <w:szCs w:val="21"/>
              </w:rPr>
              <w:t>税</w:t>
            </w:r>
            <w:r>
              <w:rPr>
                <w:rFonts w:ascii="宋体" w:hAnsi="宋体" w:cs="宋体" w:eastAsia="宋体" w:hint="default"/>
                <w:w w:val="100"/>
                <w:sz w:val="21"/>
                <w:szCs w:val="21"/>
              </w:rPr>
              <w:t>资</w:t>
            </w:r>
            <w:r>
              <w:rPr>
                <w:rFonts w:ascii="宋体" w:hAnsi="宋体" w:cs="宋体" w:eastAsia="宋体" w:hint="default"/>
                <w:spacing w:val="-3"/>
                <w:w w:val="100"/>
                <w:sz w:val="21"/>
                <w:szCs w:val="21"/>
              </w:rPr>
              <w:t>产</w:t>
            </w:r>
            <w:r>
              <w:rPr>
                <w:rFonts w:ascii="宋体" w:hAnsi="宋体" w:cs="宋体" w:eastAsia="宋体" w:hint="default"/>
                <w:w w:val="100"/>
                <w:sz w:val="21"/>
                <w:szCs w:val="21"/>
              </w:rPr>
              <w:t>减</w:t>
            </w:r>
            <w:r>
              <w:rPr>
                <w:rFonts w:ascii="宋体" w:hAnsi="宋体" w:cs="宋体" w:eastAsia="宋体" w:hint="default"/>
                <w:spacing w:val="-97"/>
                <w:w w:val="100"/>
                <w:sz w:val="21"/>
                <w:szCs w:val="21"/>
              </w:rPr>
              <w:t>少</w:t>
            </w:r>
            <w:r>
              <w:rPr>
                <w:rFonts w:ascii="宋体" w:hAnsi="宋体" w:cs="宋体" w:eastAsia="宋体" w:hint="default"/>
                <w:spacing w:val="-3"/>
                <w:w w:val="100"/>
                <w:sz w:val="21"/>
                <w:szCs w:val="21"/>
              </w:rPr>
              <w:t>（</w:t>
            </w:r>
            <w:r>
              <w:rPr>
                <w:rFonts w:ascii="宋体" w:hAnsi="宋体" w:cs="宋体" w:eastAsia="宋体" w:hint="default"/>
                <w:w w:val="100"/>
                <w:sz w:val="21"/>
                <w:szCs w:val="21"/>
              </w:rPr>
              <w:t>增</w:t>
            </w:r>
            <w:r>
              <w:rPr>
                <w:rFonts w:ascii="宋体" w:hAnsi="宋体" w:cs="宋体" w:eastAsia="宋体" w:hint="default"/>
                <w:spacing w:val="-3"/>
                <w:w w:val="100"/>
                <w:sz w:val="21"/>
                <w:szCs w:val="21"/>
              </w:rPr>
              <w:t>加</w:t>
            </w:r>
            <w:r>
              <w:rPr>
                <w:rFonts w:ascii="宋体" w:hAnsi="宋体" w:cs="宋体" w:eastAsia="宋体" w:hint="default"/>
                <w:w w:val="100"/>
                <w:sz w:val="21"/>
                <w:szCs w:val="21"/>
              </w:rPr>
              <w:t>以“</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-1,780,659.78</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2,683,857.97</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递延</w:t>
            </w:r>
            <w:r>
              <w:rPr>
                <w:rFonts w:ascii="宋体" w:hAnsi="宋体" w:cs="宋体" w:eastAsia="宋体" w:hint="default"/>
                <w:spacing w:val="-3"/>
                <w:w w:val="100"/>
                <w:sz w:val="21"/>
                <w:szCs w:val="21"/>
              </w:rPr>
              <w:t>所</w:t>
            </w:r>
            <w:r>
              <w:rPr>
                <w:rFonts w:ascii="宋体" w:hAnsi="宋体" w:cs="宋体" w:eastAsia="宋体" w:hint="default"/>
                <w:w w:val="100"/>
                <w:sz w:val="21"/>
                <w:szCs w:val="21"/>
              </w:rPr>
              <w:t>得</w:t>
            </w:r>
            <w:r>
              <w:rPr>
                <w:rFonts w:ascii="宋体" w:hAnsi="宋体" w:cs="宋体" w:eastAsia="宋体" w:hint="default"/>
                <w:spacing w:val="-3"/>
                <w:w w:val="100"/>
                <w:sz w:val="21"/>
                <w:szCs w:val="21"/>
              </w:rPr>
              <w:t>税</w:t>
            </w:r>
            <w:r>
              <w:rPr>
                <w:rFonts w:ascii="宋体" w:hAnsi="宋体" w:cs="宋体" w:eastAsia="宋体" w:hint="default"/>
                <w:w w:val="100"/>
                <w:sz w:val="21"/>
                <w:szCs w:val="21"/>
              </w:rPr>
              <w:t>负</w:t>
            </w:r>
            <w:r>
              <w:rPr>
                <w:rFonts w:ascii="宋体" w:hAnsi="宋体" w:cs="宋体" w:eastAsia="宋体" w:hint="default"/>
                <w:spacing w:val="-3"/>
                <w:w w:val="100"/>
                <w:sz w:val="21"/>
                <w:szCs w:val="21"/>
              </w:rPr>
              <w:t>债</w:t>
            </w:r>
            <w:r>
              <w:rPr>
                <w:rFonts w:ascii="宋体" w:hAnsi="宋体" w:cs="宋体" w:eastAsia="宋体" w:hint="default"/>
                <w:w w:val="100"/>
                <w:sz w:val="21"/>
                <w:szCs w:val="21"/>
              </w:rPr>
              <w:t>增</w:t>
            </w:r>
            <w:r>
              <w:rPr>
                <w:rFonts w:ascii="宋体" w:hAnsi="宋体" w:cs="宋体" w:eastAsia="宋体" w:hint="default"/>
                <w:spacing w:val="-97"/>
                <w:w w:val="100"/>
                <w:sz w:val="21"/>
                <w:szCs w:val="21"/>
              </w:rPr>
              <w:t>加</w:t>
            </w:r>
            <w:r>
              <w:rPr>
                <w:rFonts w:ascii="宋体" w:hAnsi="宋体" w:cs="宋体" w:eastAsia="宋体" w:hint="default"/>
                <w:spacing w:val="-3"/>
                <w:w w:val="100"/>
                <w:sz w:val="21"/>
                <w:szCs w:val="21"/>
              </w:rPr>
              <w:t>（</w:t>
            </w:r>
            <w:r>
              <w:rPr>
                <w:rFonts w:ascii="宋体" w:hAnsi="宋体" w:cs="宋体" w:eastAsia="宋体" w:hint="default"/>
                <w:w w:val="100"/>
                <w:sz w:val="21"/>
                <w:szCs w:val="21"/>
              </w:rPr>
              <w:t>减</w:t>
            </w:r>
            <w:r>
              <w:rPr>
                <w:rFonts w:ascii="宋体" w:hAnsi="宋体" w:cs="宋体" w:eastAsia="宋体" w:hint="default"/>
                <w:spacing w:val="-3"/>
                <w:w w:val="100"/>
                <w:sz w:val="21"/>
                <w:szCs w:val="21"/>
              </w:rPr>
              <w:t>少</w:t>
            </w:r>
            <w:r>
              <w:rPr>
                <w:rFonts w:ascii="宋体" w:hAnsi="宋体" w:cs="宋体" w:eastAsia="宋体" w:hint="default"/>
                <w:w w:val="100"/>
                <w:sz w:val="21"/>
                <w:szCs w:val="21"/>
              </w:rPr>
              <w:t>以“</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存货的减少（增加以“－”号填列）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-16,033,258.62</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-9,323,857.46</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1,770,306.76</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-650,374.58</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25,348,731.96</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27,767,766.98</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1,890,468.13</w:t>
            </w: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103,665,536.19</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95,193,528.98</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．不涉及现金收支的重大投资和筹</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资活动：</w:t>
            </w:r>
            <w:r>
              <w:rPr>
                <w:rFonts w:ascii="宋体" w:hAnsi="宋体" w:cs="宋体" w:eastAsia="宋体" w:hint="default"/>
                <w:sz w:val="21"/>
                <w:szCs w:val="21"/>
              </w:rPr>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sz w:val="21"/>
                <w:szCs w:val="21"/>
              </w:rPr>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366,571,590.26</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512,834,515.41</w:t>
            </w:r>
          </w:p>
        </w:tc>
      </w:tr>
      <w:tr>
        <w:trPr>
          <w:trHeight w:val="28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512,834,515.41</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421,784,006.98</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-146,262,925.15</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91,050,508.43</w:t>
            </w:r>
          </w:p>
        </w:tc>
      </w:tr>
    </w:tbl>
    <w:p>
      <w:pPr>
        <w:spacing w:line="240" w:lineRule="auto" w:before="12"/>
        <w:rPr>
          <w:rFonts w:ascii="宋体" w:hAnsi="宋体" w:cs="宋体" w:eastAsia="宋体" w:hint="default"/>
          <w:sz w:val="19"/>
          <w:szCs w:val="19"/>
        </w:rPr>
      </w:pPr>
    </w:p>
    <w:p>
      <w:pPr>
        <w:pStyle w:val="Heading3"/>
        <w:spacing w:line="240" w:lineRule="auto" w:before="36"/>
        <w:ind w:right="2757"/>
        <w:jc w:val="left"/>
        <w:rPr>
          <w:b w:val="0"/>
          <w:bCs w:val="0"/>
        </w:rPr>
      </w:pPr>
      <w:r>
        <w:rPr>
          <w:rFonts w:ascii="宋体" w:hAnsi="宋体" w:cs="宋体" w:eastAsia="宋体" w:hint="default"/>
        </w:rPr>
        <w:t>(2)</w:t>
      </w:r>
      <w:r>
        <w:rPr>
          <w:rFonts w:ascii="宋体" w:hAnsi="宋体" w:cs="宋体" w:eastAsia="宋体" w:hint="default"/>
          <w:spacing w:val="1"/>
        </w:rPr>
        <w:t> </w:t>
      </w:r>
      <w:r>
        <w:rPr/>
        <w:t>本期支付的取得子公司的现金净额</w:t>
      </w:r>
      <w:r>
        <w:rPr>
          <w:b w:val="0"/>
          <w:bCs w:val="0"/>
        </w:rPr>
      </w:r>
    </w:p>
    <w:p>
      <w:pPr>
        <w:pStyle w:val="BodyText"/>
        <w:spacing w:line="240" w:lineRule="auto" w:before="58"/>
        <w:ind w:right="2757"/>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3"/>
        <w:spacing w:line="240" w:lineRule="auto"/>
        <w:ind w:right="2757"/>
        <w:jc w:val="left"/>
        <w:rPr>
          <w:b w:val="0"/>
          <w:bCs w:val="0"/>
        </w:rPr>
      </w:pPr>
      <w:r>
        <w:rPr>
          <w:rFonts w:ascii="宋体" w:hAnsi="宋体" w:cs="宋体" w:eastAsia="宋体" w:hint="default"/>
        </w:rPr>
        <w:t>(3)</w:t>
      </w:r>
      <w:r>
        <w:rPr>
          <w:rFonts w:ascii="宋体" w:hAnsi="宋体" w:cs="宋体" w:eastAsia="宋体" w:hint="default"/>
          <w:spacing w:val="1"/>
        </w:rPr>
        <w:t> </w:t>
      </w:r>
      <w:r>
        <w:rPr/>
        <w:t>本期收到的处置子公司的现金净额</w:t>
      </w:r>
      <w:r>
        <w:rPr>
          <w:b w:val="0"/>
          <w:bCs w:val="0"/>
        </w:rPr>
      </w:r>
    </w:p>
    <w:p>
      <w:pPr>
        <w:pStyle w:val="BodyText"/>
        <w:spacing w:line="240" w:lineRule="auto" w:before="58"/>
        <w:ind w:right="2757"/>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1195" w:top="1320" w:bottom="1380" w:left="1580" w:right="1040"/>
        </w:sectPr>
      </w:pPr>
    </w:p>
    <w:p>
      <w:pPr>
        <w:pStyle w:val="Heading3"/>
        <w:spacing w:line="240" w:lineRule="auto" w:before="36"/>
        <w:ind w:right="-19"/>
        <w:jc w:val="left"/>
        <w:rPr>
          <w:b w:val="0"/>
          <w:bCs w:val="0"/>
        </w:rPr>
      </w:pPr>
      <w:r>
        <w:rPr>
          <w:rFonts w:ascii="宋体" w:hAnsi="宋体" w:cs="宋体" w:eastAsia="宋体" w:hint="default"/>
        </w:rPr>
        <w:t>(4)</w:t>
      </w:r>
      <w:r>
        <w:rPr>
          <w:rFonts w:ascii="宋体" w:hAnsi="宋体" w:cs="宋体" w:eastAsia="宋体" w:hint="default"/>
          <w:spacing w:val="2"/>
        </w:rPr>
        <w:t> </w:t>
      </w:r>
      <w:r>
        <w:rPr/>
        <w:t>现金和现金等价物的构成</w:t>
      </w:r>
      <w:r>
        <w:rPr>
          <w:b w:val="0"/>
          <w:bCs w:val="0"/>
        </w:rPr>
      </w:r>
    </w:p>
    <w:p>
      <w:pPr>
        <w:pStyle w:val="BodyText"/>
        <w:spacing w:line="240" w:lineRule="auto" w:before="56"/>
        <w:ind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000" w:bottom="280" w:left="1580" w:right="1040"/>
          <w:cols w:num="2" w:equalWidth="0">
            <w:col w:w="2965" w:space="3557"/>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4"/>
        <w:gridCol w:w="2921"/>
        <w:gridCol w:w="2734"/>
      </w:tblGrid>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4"/>
              <w:jc w:val="center"/>
              <w:rPr>
                <w:rFonts w:ascii="宋体" w:hAnsi="宋体" w:cs="宋体" w:eastAsia="宋体" w:hint="default"/>
                <w:sz w:val="21"/>
                <w:szCs w:val="21"/>
              </w:rPr>
            </w:pPr>
            <w:r>
              <w:rPr>
                <w:rFonts w:ascii="宋体" w:hAnsi="宋体" w:cs="宋体" w:eastAsia="宋体" w:hint="default"/>
                <w:sz w:val="21"/>
                <w:szCs w:val="21"/>
              </w:rPr>
              <w:t>项目</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期初余额</w:t>
            </w:r>
          </w:p>
        </w:tc>
      </w:tr>
    </w:tbl>
    <w:p>
      <w:pPr>
        <w:spacing w:after="0" w:line="241" w:lineRule="exact"/>
        <w:jc w:val="center"/>
        <w:rPr>
          <w:rFonts w:ascii="宋体" w:hAnsi="宋体" w:cs="宋体" w:eastAsia="宋体" w:hint="default"/>
          <w:sz w:val="21"/>
          <w:szCs w:val="21"/>
        </w:rPr>
        <w:sectPr>
          <w:type w:val="continuous"/>
          <w:pgSz w:w="11910" w:h="16840"/>
          <w:pgMar w:top="1000" w:bottom="280" w:left="1580" w:right="1040"/>
        </w:sectPr>
      </w:pPr>
    </w:p>
    <w:p>
      <w:pPr>
        <w:spacing w:line="240" w:lineRule="auto" w:before="9"/>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3394"/>
        <w:gridCol w:w="2921"/>
        <w:gridCol w:w="2734"/>
      </w:tblGrid>
      <w:tr>
        <w:trPr>
          <w:trHeight w:val="296"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366,571,590.26</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512,834,515.41</w:t>
            </w: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128,415.81</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101,050.79</w:t>
            </w: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5"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366,439,699.90</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512,733,464.62</w:t>
            </w:r>
          </w:p>
        </w:tc>
      </w:tr>
      <w:tr>
        <w:trPr>
          <w:trHeight w:val="554"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5" w:right="0"/>
              <w:jc w:val="left"/>
              <w:rPr>
                <w:rFonts w:ascii="宋体" w:hAnsi="宋体" w:cs="宋体" w:eastAsia="宋体" w:hint="default"/>
                <w:sz w:val="21"/>
                <w:szCs w:val="21"/>
              </w:rPr>
            </w:pPr>
            <w:r>
              <w:rPr>
                <w:rFonts w:ascii="宋体" w:hAnsi="宋体" w:cs="宋体" w:eastAsia="宋体" w:hint="default"/>
                <w:sz w:val="21"/>
                <w:szCs w:val="21"/>
              </w:rPr>
              <w:t>可随时用于支付的其他货币资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3,474.55</w:t>
            </w: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5" w:right="0"/>
              <w:jc w:val="left"/>
              <w:rPr>
                <w:rFonts w:ascii="宋体" w:hAnsi="宋体" w:cs="宋体" w:eastAsia="宋体" w:hint="default"/>
                <w:sz w:val="21"/>
                <w:szCs w:val="21"/>
              </w:rPr>
            </w:pPr>
            <w:r>
              <w:rPr>
                <w:rFonts w:ascii="宋体" w:hAnsi="宋体" w:cs="宋体" w:eastAsia="宋体" w:hint="default"/>
                <w:sz w:val="21"/>
                <w:szCs w:val="21"/>
              </w:rPr>
              <w:t>可用于支付的存放中央银行款</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项</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5" w:right="0"/>
              <w:jc w:val="left"/>
              <w:rPr>
                <w:rFonts w:ascii="宋体" w:hAnsi="宋体" w:cs="宋体" w:eastAsia="宋体" w:hint="default"/>
                <w:sz w:val="21"/>
                <w:szCs w:val="21"/>
              </w:rPr>
            </w:pPr>
            <w:r>
              <w:rPr>
                <w:rFonts w:ascii="宋体" w:hAnsi="宋体" w:cs="宋体" w:eastAsia="宋体" w:hint="default"/>
                <w:sz w:val="21"/>
                <w:szCs w:val="21"/>
              </w:rPr>
              <w:t>存放同业款项</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5" w:right="0"/>
              <w:jc w:val="left"/>
              <w:rPr>
                <w:rFonts w:ascii="宋体" w:hAnsi="宋体" w:cs="宋体" w:eastAsia="宋体" w:hint="default"/>
                <w:sz w:val="21"/>
                <w:szCs w:val="21"/>
              </w:rPr>
            </w:pPr>
            <w:r>
              <w:rPr>
                <w:rFonts w:ascii="宋体" w:hAnsi="宋体" w:cs="宋体" w:eastAsia="宋体" w:hint="default"/>
                <w:sz w:val="21"/>
                <w:szCs w:val="21"/>
              </w:rPr>
              <w:t>拆放同业款项</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3394"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366,571,590.26</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512,834,515.41</w:t>
            </w:r>
          </w:p>
        </w:tc>
      </w:tr>
      <w:tr>
        <w:trPr>
          <w:trHeight w:val="554"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其中：母公司或集团内子公司使用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受限制的现金和现金等价物</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24"/>
          <w:szCs w:val="24"/>
        </w:rPr>
      </w:pPr>
    </w:p>
    <w:p>
      <w:pPr>
        <w:pStyle w:val="BodyText"/>
        <w:spacing w:line="240" w:lineRule="auto" w:before="36"/>
        <w:ind w:right="2757"/>
        <w:jc w:val="left"/>
      </w:pPr>
      <w:r>
        <w:rPr/>
        <w:t>其他说明：</w:t>
      </w:r>
    </w:p>
    <w:p>
      <w:pPr>
        <w:pStyle w:val="BodyText"/>
        <w:spacing w:line="240" w:lineRule="auto" w:before="56"/>
        <w:ind w:right="2757"/>
        <w:jc w:val="left"/>
      </w:pPr>
      <w:r>
        <w:rPr/>
        <w:t>□适用</w:t>
      </w:r>
      <w:r>
        <w:rPr>
          <w:spacing w:val="-1"/>
        </w:rPr>
        <w:t> </w:t>
      </w:r>
      <w:r>
        <w:rPr/>
        <w:t>√不适用</w:t>
      </w:r>
    </w:p>
    <w:p>
      <w:pPr>
        <w:spacing w:line="240" w:lineRule="auto" w:before="11"/>
        <w:rPr>
          <w:rFonts w:ascii="宋体" w:hAnsi="宋体" w:cs="宋体" w:eastAsia="宋体" w:hint="default"/>
          <w:sz w:val="29"/>
          <w:szCs w:val="29"/>
        </w:rPr>
      </w:pPr>
    </w:p>
    <w:p>
      <w:pPr>
        <w:spacing w:line="290" w:lineRule="auto" w:before="0"/>
        <w:ind w:left="218" w:right="0" w:firstLine="0"/>
        <w:jc w:val="left"/>
        <w:rPr>
          <w:rFonts w:ascii="宋体" w:hAnsi="宋体" w:cs="宋体" w:eastAsia="宋体" w:hint="default"/>
          <w:sz w:val="21"/>
          <w:szCs w:val="21"/>
        </w:rPr>
      </w:pPr>
      <w:r>
        <w:rPr>
          <w:rFonts w:ascii="宋体" w:hAnsi="宋体" w:cs="宋体" w:eastAsia="宋体" w:hint="default"/>
          <w:b/>
          <w:bCs/>
          <w:sz w:val="21"/>
          <w:szCs w:val="21"/>
        </w:rPr>
        <w:t>75</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所有者权益变动表项目注释</w:t>
      </w:r>
      <w:r>
        <w:rPr>
          <w:rFonts w:ascii="宋体" w:hAnsi="宋体" w:cs="宋体" w:eastAsia="宋体" w:hint="default"/>
          <w:b/>
          <w:bCs/>
          <w:w w:val="100"/>
          <w:sz w:val="21"/>
          <w:szCs w:val="21"/>
        </w:rPr>
        <w:t> </w:t>
      </w:r>
      <w:r>
        <w:rPr>
          <w:rFonts w:ascii="宋体" w:hAnsi="宋体" w:cs="宋体" w:eastAsia="宋体" w:hint="default"/>
          <w:spacing w:val="-2"/>
          <w:sz w:val="21"/>
          <w:szCs w:val="21"/>
        </w:rPr>
        <w:t>说明对上年期末余额进行调整的“其他”项目名称及调整金额等事项：</w:t>
      </w:r>
    </w:p>
    <w:p>
      <w:pPr>
        <w:pStyle w:val="BodyText"/>
        <w:spacing w:line="230" w:lineRule="exact"/>
        <w:ind w:right="2757"/>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1195" w:top="1320" w:bottom="1380" w:left="1580" w:right="1040"/>
        </w:sectPr>
      </w:pPr>
    </w:p>
    <w:p>
      <w:pPr>
        <w:pStyle w:val="Heading3"/>
        <w:spacing w:line="240" w:lineRule="auto" w:before="36"/>
        <w:ind w:right="-17"/>
        <w:jc w:val="left"/>
        <w:rPr>
          <w:b w:val="0"/>
          <w:bCs w:val="0"/>
        </w:rPr>
      </w:pPr>
      <w:r>
        <w:rPr>
          <w:rFonts w:ascii="宋体" w:hAnsi="宋体" w:cs="宋体" w:eastAsia="宋体" w:hint="default"/>
        </w:rPr>
        <w:t>76</w:t>
      </w:r>
      <w:r>
        <w:rPr/>
        <w:t>、</w:t>
      </w:r>
      <w:r>
        <w:rPr>
          <w:spacing w:val="-27"/>
        </w:rPr>
        <w:t> </w:t>
      </w:r>
      <w:r>
        <w:rPr/>
        <w:t>所有权或使用权受到限制的资产</w:t>
      </w:r>
      <w:r>
        <w:rPr>
          <w:b w:val="0"/>
          <w:bCs w:val="0"/>
        </w:rPr>
      </w:r>
    </w:p>
    <w:p>
      <w:pPr>
        <w:pStyle w:val="BodyText"/>
        <w:spacing w:line="240" w:lineRule="auto" w:before="56"/>
        <w:ind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000" w:bottom="280" w:left="1580" w:right="1040"/>
          <w:cols w:num="2" w:equalWidth="0">
            <w:col w:w="3675" w:space="2847"/>
            <w:col w:w="2768"/>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3157"/>
        <w:gridCol w:w="3046"/>
        <w:gridCol w:w="2693"/>
      </w:tblGrid>
      <w:tr>
        <w:trPr>
          <w:trHeight w:val="283"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59"/>
              <w:jc w:val="right"/>
              <w:rPr>
                <w:rFonts w:ascii="宋体" w:hAnsi="宋体" w:cs="宋体" w:eastAsia="宋体" w:hint="default"/>
                <w:sz w:val="21"/>
                <w:szCs w:val="21"/>
              </w:rPr>
            </w:pPr>
            <w:r>
              <w:rPr>
                <w:rFonts w:ascii="宋体" w:hAnsi="宋体" w:cs="宋体" w:eastAsia="宋体" w:hint="default"/>
                <w:sz w:val="21"/>
                <w:szCs w:val="21"/>
              </w:rPr>
              <w:t>项目</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85"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sz w:val="21"/>
                <w:szCs w:val="21"/>
              </w:rPr>
              <w:t>受限原因</w:t>
            </w:r>
          </w:p>
        </w:tc>
      </w:tr>
      <w:tr>
        <w:trPr>
          <w:trHeight w:val="286"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046" w:type="dxa"/>
            <w:tcBorders>
              <w:top w:val="single" w:sz="4" w:space="0" w:color="000000"/>
              <w:left w:val="single" w:sz="4" w:space="0" w:color="000000"/>
              <w:bottom w:val="single" w:sz="6"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25,000.00</w:t>
            </w:r>
          </w:p>
        </w:tc>
        <w:tc>
          <w:tcPr>
            <w:tcW w:w="2693" w:type="dxa"/>
            <w:tcBorders>
              <w:top w:val="single" w:sz="4" w:space="0" w:color="000000"/>
              <w:left w:val="single" w:sz="4" w:space="0" w:color="000000"/>
              <w:bottom w:val="single" w:sz="6"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履约保函保证金</w:t>
            </w:r>
          </w:p>
        </w:tc>
      </w:tr>
      <w:tr>
        <w:trPr>
          <w:trHeight w:val="288"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59"/>
              <w:jc w:val="right"/>
              <w:rPr>
                <w:rFonts w:ascii="宋体" w:hAnsi="宋体" w:cs="宋体" w:eastAsia="宋体" w:hint="default"/>
                <w:sz w:val="21"/>
                <w:szCs w:val="21"/>
              </w:rPr>
            </w:pPr>
            <w:r>
              <w:rPr>
                <w:rFonts w:ascii="宋体" w:hAnsi="宋体" w:cs="宋体" w:eastAsia="宋体" w:hint="default"/>
                <w:sz w:val="21"/>
                <w:szCs w:val="21"/>
              </w:rPr>
              <w:t>合计</w:t>
            </w:r>
          </w:p>
        </w:tc>
        <w:tc>
          <w:tcPr>
            <w:tcW w:w="3046"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25,000.00</w:t>
            </w:r>
          </w:p>
        </w:tc>
        <w:tc>
          <w:tcPr>
            <w:tcW w:w="2693"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w:t>
            </w:r>
          </w:p>
        </w:tc>
      </w:tr>
    </w:tbl>
    <w:p>
      <w:pPr>
        <w:spacing w:line="240" w:lineRule="auto" w:before="12"/>
        <w:rPr>
          <w:rFonts w:ascii="宋体" w:hAnsi="宋体" w:cs="宋体" w:eastAsia="宋体" w:hint="default"/>
          <w:sz w:val="19"/>
          <w:szCs w:val="19"/>
        </w:rPr>
      </w:pPr>
    </w:p>
    <w:p>
      <w:pPr>
        <w:pStyle w:val="BodyText"/>
        <w:spacing w:line="290" w:lineRule="auto" w:before="36"/>
        <w:ind w:right="7998"/>
        <w:jc w:val="left"/>
      </w:pPr>
      <w:r>
        <w:rPr/>
        <w:t>其他说明：</w:t>
      </w:r>
      <w:r>
        <w:rPr>
          <w:spacing w:val="-102"/>
        </w:rPr>
        <w:t> </w:t>
      </w:r>
      <w:r>
        <w:rPr>
          <w:spacing w:val="-102"/>
        </w:rPr>
      </w:r>
      <w:r>
        <w:rPr/>
        <w:t>无</w:t>
      </w:r>
    </w:p>
    <w:p>
      <w:pPr>
        <w:spacing w:line="240" w:lineRule="auto" w:before="12"/>
        <w:rPr>
          <w:rFonts w:ascii="宋体" w:hAnsi="宋体" w:cs="宋体" w:eastAsia="宋体" w:hint="default"/>
          <w:sz w:val="21"/>
          <w:szCs w:val="21"/>
        </w:rPr>
      </w:pPr>
    </w:p>
    <w:p>
      <w:pPr>
        <w:pStyle w:val="Heading3"/>
        <w:tabs>
          <w:tab w:pos="918" w:val="left" w:leader="none"/>
        </w:tabs>
        <w:spacing w:line="290" w:lineRule="auto"/>
        <w:ind w:right="6675"/>
        <w:jc w:val="left"/>
        <w:rPr>
          <w:rFonts w:ascii="宋体" w:hAnsi="宋体" w:cs="宋体" w:eastAsia="宋体" w:hint="default"/>
          <w:b w:val="0"/>
          <w:bCs w:val="0"/>
        </w:rPr>
      </w:pPr>
      <w:r>
        <w:rPr>
          <w:rFonts w:ascii="宋体" w:hAnsi="宋体" w:cs="宋体" w:eastAsia="宋体" w:hint="default"/>
        </w:rPr>
        <w:t>77</w:t>
      </w:r>
      <w:r>
        <w:rPr/>
        <w:t>、</w:t>
      </w:r>
      <w:r>
        <w:rPr>
          <w:spacing w:val="-10"/>
        </w:rPr>
        <w:t> </w:t>
      </w:r>
      <w:r>
        <w:rPr/>
        <w:t>外币货币性项目</w:t>
      </w:r>
      <w:r>
        <w:rPr>
          <w:w w:val="100"/>
        </w:rPr>
        <w:t> </w:t>
      </w:r>
      <w:r>
        <w:rPr>
          <w:rFonts w:ascii="宋体" w:hAnsi="宋体" w:cs="宋体" w:eastAsia="宋体" w:hint="default"/>
          <w:w w:val="95"/>
        </w:rPr>
        <w:t>(1).</w:t>
        <w:tab/>
      </w:r>
      <w:r>
        <w:rPr/>
        <w:t>外币货币性项目</w:t>
      </w:r>
      <w:r>
        <w:rPr>
          <w:rFonts w:ascii="宋体" w:hAnsi="宋体" w:cs="宋体" w:eastAsia="宋体" w:hint="default"/>
          <w:b w:val="0"/>
          <w:bCs w:val="0"/>
        </w:rPr>
        <w:t>：</w:t>
      </w:r>
    </w:p>
    <w:p>
      <w:pPr>
        <w:pStyle w:val="BodyText"/>
        <w:spacing w:line="240" w:lineRule="auto" w:before="12"/>
        <w:ind w:right="2757"/>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pStyle w:val="Heading3"/>
        <w:tabs>
          <w:tab w:pos="918" w:val="left" w:leader="none"/>
        </w:tabs>
        <w:spacing w:line="272" w:lineRule="exact"/>
        <w:ind w:left="638" w:right="228" w:hanging="420"/>
        <w:jc w:val="left"/>
        <w:rPr>
          <w:b w:val="0"/>
          <w:bCs w:val="0"/>
        </w:rPr>
      </w:pPr>
      <w:r>
        <w:rPr>
          <w:rFonts w:ascii="宋体" w:hAnsi="宋体" w:cs="宋体" w:eastAsia="宋体" w:hint="default"/>
          <w:w w:val="95"/>
        </w:rPr>
        <w:t>(2).</w:t>
        <w:tab/>
      </w:r>
      <w:r>
        <w:rPr>
          <w:spacing w:val="-3"/>
        </w:rPr>
        <w:t>境外经营实体说明，包括对于重要的境外经营实体，应披露其境外主要经营地、记账本位</w:t>
      </w:r>
      <w:r>
        <w:rPr>
          <w:spacing w:val="-79"/>
        </w:rPr>
        <w:t> </w:t>
      </w:r>
      <w:r>
        <w:rPr>
          <w:spacing w:val="-79"/>
        </w:rPr>
      </w:r>
      <w:r>
        <w:rPr/>
        <w:t>币及选择依据，记账本位币发生变化的还应披露原因。</w:t>
      </w:r>
      <w:r>
        <w:rPr>
          <w:b w:val="0"/>
          <w:bCs w:val="0"/>
        </w:rPr>
      </w:r>
    </w:p>
    <w:p>
      <w:pPr>
        <w:pStyle w:val="BodyText"/>
        <w:spacing w:line="240" w:lineRule="auto" w:before="34"/>
        <w:ind w:right="2757"/>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3"/>
        <w:spacing w:line="240" w:lineRule="auto"/>
        <w:ind w:right="2757"/>
        <w:jc w:val="left"/>
        <w:rPr>
          <w:b w:val="0"/>
          <w:bCs w:val="0"/>
        </w:rPr>
      </w:pPr>
      <w:r>
        <w:rPr>
          <w:rFonts w:ascii="宋体" w:hAnsi="宋体" w:cs="宋体" w:eastAsia="宋体" w:hint="default"/>
        </w:rPr>
        <w:t>78</w:t>
      </w:r>
      <w:r>
        <w:rPr/>
        <w:t>、</w:t>
      </w:r>
      <w:r>
        <w:rPr>
          <w:spacing w:val="-26"/>
        </w:rPr>
        <w:t> </w:t>
      </w:r>
      <w:r>
        <w:rPr/>
        <w:t>套期</w:t>
      </w:r>
      <w:r>
        <w:rPr>
          <w:b w:val="0"/>
          <w:bCs w:val="0"/>
        </w:rPr>
      </w:r>
    </w:p>
    <w:p>
      <w:pPr>
        <w:pStyle w:val="BodyText"/>
        <w:spacing w:line="240" w:lineRule="auto" w:before="56"/>
        <w:ind w:right="2757"/>
        <w:jc w:val="left"/>
      </w:pPr>
      <w:r>
        <w:rPr/>
        <w:t>□适用</w:t>
      </w:r>
      <w:r>
        <w:rPr>
          <w:spacing w:val="-1"/>
        </w:rPr>
        <w:t> </w:t>
      </w:r>
      <w:r>
        <w:rPr/>
        <w:t>√不适用</w:t>
      </w:r>
    </w:p>
    <w:p>
      <w:pPr>
        <w:spacing w:after="0" w:line="240" w:lineRule="auto"/>
        <w:jc w:val="left"/>
        <w:sectPr>
          <w:type w:val="continuous"/>
          <w:pgSz w:w="11910" w:h="16840"/>
          <w:pgMar w:top="1000" w:bottom="280" w:left="1580" w:right="104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10" w:h="16840"/>
          <w:pgMar w:header="0" w:footer="1195" w:top="1320" w:bottom="1380" w:left="1580" w:right="1040"/>
        </w:sectPr>
      </w:pPr>
    </w:p>
    <w:p>
      <w:pPr>
        <w:pStyle w:val="Heading3"/>
        <w:spacing w:line="240" w:lineRule="auto" w:before="36"/>
        <w:ind w:right="-16"/>
        <w:jc w:val="left"/>
        <w:rPr>
          <w:b w:val="0"/>
          <w:bCs w:val="0"/>
        </w:rPr>
      </w:pPr>
      <w:r>
        <w:rPr>
          <w:rFonts w:ascii="宋体" w:hAnsi="宋体" w:cs="宋体" w:eastAsia="宋体" w:hint="default"/>
        </w:rPr>
        <w:t>79</w:t>
      </w:r>
      <w:r>
        <w:rPr/>
        <w:t>、</w:t>
      </w:r>
      <w:r>
        <w:rPr>
          <w:spacing w:val="-25"/>
        </w:rPr>
        <w:t> </w:t>
      </w:r>
      <w:r>
        <w:rPr/>
        <w:t>政府补助</w:t>
      </w:r>
      <w:r>
        <w:rPr>
          <w:b w:val="0"/>
          <w:bCs w:val="0"/>
        </w:rPr>
      </w:r>
    </w:p>
    <w:p>
      <w:pPr>
        <w:pStyle w:val="Heading3"/>
        <w:tabs>
          <w:tab w:pos="642" w:val="left" w:leader="none"/>
        </w:tabs>
        <w:spacing w:line="240" w:lineRule="auto" w:before="56"/>
        <w:ind w:right="-17"/>
        <w:jc w:val="left"/>
        <w:rPr>
          <w:b w:val="0"/>
          <w:bCs w:val="0"/>
        </w:rPr>
      </w:pPr>
      <w:r>
        <w:rPr>
          <w:rFonts w:ascii="宋体" w:hAnsi="宋体" w:cs="宋体" w:eastAsia="宋体" w:hint="default"/>
          <w:w w:val="95"/>
        </w:rPr>
        <w:t>1.</w:t>
        <w:tab/>
      </w:r>
      <w:r>
        <w:rPr/>
        <w:t>政府补助基本情况</w:t>
      </w:r>
      <w:r>
        <w:rPr>
          <w:b w:val="0"/>
          <w:bCs w:val="0"/>
        </w:rPr>
      </w:r>
    </w:p>
    <w:p>
      <w:pPr>
        <w:pStyle w:val="BodyText"/>
        <w:tabs>
          <w:tab w:pos="1060" w:val="left" w:leader="none"/>
        </w:tabs>
        <w:spacing w:line="240" w:lineRule="auto" w:before="58"/>
        <w:ind w:right="-16"/>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000" w:bottom="280" w:left="1580" w:right="1040"/>
          <w:cols w:num="2" w:equalWidth="0">
            <w:col w:w="2333" w:space="4189"/>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264"/>
        <w:gridCol w:w="2261"/>
        <w:gridCol w:w="2264"/>
        <w:gridCol w:w="2261"/>
      </w:tblGrid>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5" w:right="0"/>
              <w:jc w:val="left"/>
              <w:rPr>
                <w:rFonts w:ascii="宋体" w:hAnsi="宋体" w:cs="宋体" w:eastAsia="宋体" w:hint="default"/>
                <w:sz w:val="21"/>
                <w:szCs w:val="21"/>
              </w:rPr>
            </w:pPr>
            <w:r>
              <w:rPr>
                <w:rFonts w:ascii="宋体" w:hAnsi="宋体" w:cs="宋体" w:eastAsia="宋体" w:hint="default"/>
                <w:sz w:val="21"/>
                <w:szCs w:val="21"/>
              </w:rPr>
              <w:t>列报项目</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9" w:right="0"/>
              <w:jc w:val="left"/>
              <w:rPr>
                <w:rFonts w:ascii="宋体" w:hAnsi="宋体" w:cs="宋体" w:eastAsia="宋体" w:hint="default"/>
                <w:sz w:val="21"/>
                <w:szCs w:val="21"/>
              </w:rPr>
            </w:pPr>
            <w:r>
              <w:rPr>
                <w:rFonts w:ascii="宋体" w:hAnsi="宋体" w:cs="宋体" w:eastAsia="宋体" w:hint="default"/>
                <w:sz w:val="21"/>
                <w:szCs w:val="21"/>
              </w:rPr>
              <w:t>计入当期损益的金额</w:t>
            </w:r>
          </w:p>
        </w:tc>
      </w:tr>
      <w:tr>
        <w:trPr>
          <w:trHeight w:val="557"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采用总额法计入当期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损益的政府补助情况</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15,800,979.82</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15,800,979.82</w:t>
            </w:r>
          </w:p>
        </w:tc>
      </w:tr>
      <w:tr>
        <w:trPr>
          <w:trHeight w:val="55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采用总额法计入当期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损益的政府补助情况</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1,750,575.00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1,750,575.00</w:t>
            </w:r>
          </w:p>
        </w:tc>
      </w:tr>
    </w:tbl>
    <w:p>
      <w:pPr>
        <w:spacing w:line="240" w:lineRule="auto" w:before="13"/>
        <w:rPr>
          <w:rFonts w:ascii="宋体" w:hAnsi="宋体" w:cs="宋体" w:eastAsia="宋体" w:hint="default"/>
          <w:sz w:val="19"/>
          <w:szCs w:val="19"/>
        </w:rPr>
      </w:pPr>
    </w:p>
    <w:p>
      <w:pPr>
        <w:pStyle w:val="Heading3"/>
        <w:tabs>
          <w:tab w:pos="642" w:val="left" w:leader="none"/>
        </w:tabs>
        <w:spacing w:line="240" w:lineRule="auto" w:before="36"/>
        <w:ind w:right="2757"/>
        <w:jc w:val="left"/>
        <w:rPr>
          <w:b w:val="0"/>
          <w:bCs w:val="0"/>
        </w:rPr>
      </w:pPr>
      <w:r>
        <w:rPr>
          <w:rFonts w:ascii="宋体" w:hAnsi="宋体" w:cs="宋体" w:eastAsia="宋体" w:hint="default"/>
          <w:w w:val="95"/>
        </w:rPr>
        <w:t>2.</w:t>
        <w:tab/>
      </w:r>
      <w:r>
        <w:rPr/>
        <w:t>政府补助退回情况</w:t>
      </w:r>
      <w:r>
        <w:rPr>
          <w:b w:val="0"/>
          <w:bCs w:val="0"/>
        </w:rPr>
      </w:r>
    </w:p>
    <w:p>
      <w:pPr>
        <w:pStyle w:val="BodyText"/>
        <w:spacing w:line="272" w:lineRule="exact" w:before="86"/>
        <w:ind w:right="7474"/>
        <w:jc w:val="left"/>
      </w:pPr>
      <w:r>
        <w:rPr/>
        <w:t>□适用</w:t>
      </w:r>
      <w:r>
        <w:rPr>
          <w:spacing w:val="-1"/>
        </w:rPr>
        <w:t> </w:t>
      </w:r>
      <w:r>
        <w:rPr/>
        <w:t>√不适用</w:t>
      </w:r>
      <w:r>
        <w:rPr>
          <w:w w:val="100"/>
        </w:rPr>
        <w:t> </w:t>
      </w:r>
      <w:r>
        <w:rPr/>
        <w:t>其他说明</w:t>
      </w:r>
    </w:p>
    <w:p>
      <w:pPr>
        <w:pStyle w:val="BodyText"/>
        <w:spacing w:line="249" w:lineRule="exact"/>
        <w:ind w:right="2757"/>
        <w:jc w:val="left"/>
      </w:pPr>
      <w:r>
        <w:rPr>
          <w:w w:val="100"/>
        </w:rPr>
        <w:t>无</w:t>
      </w:r>
    </w:p>
    <w:p>
      <w:pPr>
        <w:spacing w:line="240" w:lineRule="auto" w:before="3"/>
        <w:rPr>
          <w:rFonts w:ascii="宋体" w:hAnsi="宋体" w:cs="宋体" w:eastAsia="宋体" w:hint="default"/>
          <w:sz w:val="25"/>
          <w:szCs w:val="25"/>
        </w:rPr>
      </w:pPr>
    </w:p>
    <w:p>
      <w:pPr>
        <w:pStyle w:val="Heading3"/>
        <w:spacing w:line="240" w:lineRule="auto"/>
        <w:ind w:right="2757"/>
        <w:jc w:val="left"/>
        <w:rPr>
          <w:b w:val="0"/>
          <w:bCs w:val="0"/>
        </w:rPr>
      </w:pPr>
      <w:r>
        <w:rPr>
          <w:rFonts w:ascii="宋体" w:hAnsi="宋体" w:cs="宋体" w:eastAsia="宋体" w:hint="default"/>
        </w:rPr>
        <w:t>80</w:t>
      </w:r>
      <w:r>
        <w:rPr/>
        <w:t>、</w:t>
      </w:r>
      <w:r>
        <w:rPr>
          <w:spacing w:val="-26"/>
        </w:rPr>
        <w:t> </w:t>
      </w:r>
      <w:r>
        <w:rPr/>
        <w:t>其他</w:t>
      </w:r>
      <w:r>
        <w:rPr>
          <w:b w:val="0"/>
          <w:bCs w:val="0"/>
        </w:rPr>
      </w:r>
    </w:p>
    <w:p>
      <w:pPr>
        <w:pStyle w:val="BodyText"/>
        <w:spacing w:line="240" w:lineRule="auto" w:before="56"/>
        <w:ind w:right="2757"/>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3"/>
        <w:spacing w:line="240" w:lineRule="auto"/>
        <w:ind w:right="2757"/>
        <w:jc w:val="left"/>
        <w:rPr>
          <w:b w:val="0"/>
          <w:bCs w:val="0"/>
        </w:rPr>
      </w:pPr>
      <w:r>
        <w:rPr/>
        <w:t>八、合并范围的变更</w:t>
      </w:r>
      <w:r>
        <w:rPr>
          <w:b w:val="0"/>
          <w:bCs w:val="0"/>
        </w:rPr>
      </w:r>
    </w:p>
    <w:p>
      <w:pPr>
        <w:pStyle w:val="Heading3"/>
        <w:spacing w:line="240" w:lineRule="auto" w:before="58"/>
        <w:ind w:right="2757"/>
        <w:jc w:val="left"/>
        <w:rPr>
          <w:b w:val="0"/>
          <w:bCs w:val="0"/>
        </w:rPr>
      </w:pPr>
      <w:r>
        <w:rPr>
          <w:rFonts w:ascii="宋体" w:hAnsi="宋体" w:cs="宋体" w:eastAsia="宋体" w:hint="default"/>
        </w:rPr>
        <w:t>1</w:t>
      </w:r>
      <w:r>
        <w:rPr/>
        <w:t>、</w:t>
      </w:r>
      <w:r>
        <w:rPr>
          <w:spacing w:val="-3"/>
        </w:rPr>
        <w:t> </w:t>
      </w:r>
      <w:r>
        <w:rPr/>
        <w:t>非同一控制下企业合并</w:t>
      </w:r>
      <w:r>
        <w:rPr>
          <w:b w:val="0"/>
          <w:bCs w:val="0"/>
        </w:rPr>
      </w:r>
    </w:p>
    <w:p>
      <w:pPr>
        <w:pStyle w:val="BodyText"/>
        <w:spacing w:line="240" w:lineRule="auto" w:before="56"/>
        <w:ind w:right="2757"/>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3"/>
        <w:spacing w:line="240" w:lineRule="auto"/>
        <w:ind w:right="2757"/>
        <w:jc w:val="left"/>
        <w:rPr>
          <w:b w:val="0"/>
          <w:bCs w:val="0"/>
        </w:rPr>
      </w:pPr>
      <w:r>
        <w:rPr>
          <w:rFonts w:ascii="宋体" w:hAnsi="宋体" w:cs="宋体" w:eastAsia="宋体" w:hint="default"/>
        </w:rPr>
        <w:t>2</w:t>
      </w:r>
      <w:r>
        <w:rPr/>
        <w:t>、 同一控制下企业合并</w:t>
      </w:r>
      <w:r>
        <w:rPr>
          <w:b w:val="0"/>
          <w:bCs w:val="0"/>
        </w:rPr>
      </w:r>
    </w:p>
    <w:p>
      <w:pPr>
        <w:pStyle w:val="BodyText"/>
        <w:spacing w:line="240" w:lineRule="auto" w:before="58"/>
        <w:ind w:right="2757"/>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3"/>
        <w:spacing w:line="240" w:lineRule="auto"/>
        <w:ind w:right="2757"/>
        <w:jc w:val="left"/>
        <w:rPr>
          <w:b w:val="0"/>
          <w:bCs w:val="0"/>
        </w:rPr>
      </w:pPr>
      <w:r>
        <w:rPr>
          <w:rFonts w:ascii="宋体" w:hAnsi="宋体" w:cs="宋体" w:eastAsia="宋体" w:hint="default"/>
        </w:rPr>
        <w:t>3</w:t>
      </w:r>
      <w:r>
        <w:rPr/>
        <w:t>、</w:t>
      </w:r>
      <w:r>
        <w:rPr>
          <w:spacing w:val="-2"/>
        </w:rPr>
        <w:t> </w:t>
      </w:r>
      <w:r>
        <w:rPr/>
        <w:t>反向购买</w:t>
      </w:r>
      <w:r>
        <w:rPr>
          <w:b w:val="0"/>
          <w:bCs w:val="0"/>
        </w:rPr>
      </w:r>
    </w:p>
    <w:p>
      <w:pPr>
        <w:pStyle w:val="BodyText"/>
        <w:spacing w:line="240" w:lineRule="auto" w:before="56"/>
        <w:ind w:right="2757"/>
        <w:jc w:val="left"/>
      </w:pPr>
      <w:r>
        <w:rPr/>
        <w:t>□适用</w:t>
      </w:r>
      <w:r>
        <w:rPr>
          <w:spacing w:val="-1"/>
        </w:rPr>
        <w:t> </w:t>
      </w:r>
      <w:r>
        <w:rPr/>
        <w:t>√不适用</w:t>
      </w:r>
    </w:p>
    <w:p>
      <w:pPr>
        <w:spacing w:after="0" w:line="240" w:lineRule="auto"/>
        <w:jc w:val="left"/>
        <w:sectPr>
          <w:type w:val="continuous"/>
          <w:pgSz w:w="11910" w:h="16840"/>
          <w:pgMar w:top="1000" w:bottom="280" w:left="1580" w:right="1040"/>
        </w:sectPr>
      </w:pPr>
    </w:p>
    <w:p>
      <w:pPr>
        <w:spacing w:line="240" w:lineRule="auto" w:before="8"/>
        <w:rPr>
          <w:rFonts w:ascii="宋体" w:hAnsi="宋体" w:cs="宋体" w:eastAsia="宋体" w:hint="default"/>
          <w:sz w:val="15"/>
          <w:szCs w:val="15"/>
        </w:rPr>
      </w:pPr>
    </w:p>
    <w:p>
      <w:pPr>
        <w:spacing w:before="44"/>
        <w:ind w:left="5335" w:right="5254" w:firstLine="0"/>
        <w:jc w:val="center"/>
        <w:rPr>
          <w:rFonts w:ascii="宋体" w:hAnsi="宋体" w:cs="宋体" w:eastAsia="宋体" w:hint="default"/>
          <w:sz w:val="18"/>
          <w:szCs w:val="18"/>
        </w:rPr>
      </w:pPr>
      <w:r>
        <w:rPr/>
        <w:pict>
          <v:shape style="position:absolute;margin-left:76.25pt;margin-top:-6.728303pt;width:71.25pt;height:19.46pt;mso-position-horizontal-relative:page;mso-position-vertical-relative:paragraph;z-index:1432" type="#_x0000_t75" stroked="false">
            <v:imagedata r:id="rId33" o:title=""/>
          </v:shape>
        </w:pict>
      </w:r>
      <w:r>
        <w:rPr>
          <w:rFonts w:ascii="宋体" w:hAnsi="宋体" w:cs="宋体" w:eastAsia="宋体" w:hint="default"/>
          <w:sz w:val="18"/>
          <w:szCs w:val="18"/>
        </w:rPr>
        <w:t>福建顶点软件股份有限公司</w:t>
      </w:r>
      <w:r>
        <w:rPr>
          <w:rFonts w:ascii="宋体" w:hAnsi="宋体" w:cs="宋体" w:eastAsia="宋体" w:hint="default"/>
          <w:spacing w:val="-48"/>
          <w:sz w:val="18"/>
          <w:szCs w:val="18"/>
        </w:rPr>
        <w:t> </w:t>
      </w: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08"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sz w:val="19"/>
          <w:szCs w:val="19"/>
        </w:rPr>
      </w:pPr>
    </w:p>
    <w:p>
      <w:pPr>
        <w:spacing w:line="290" w:lineRule="auto" w:before="36"/>
        <w:ind w:left="144" w:right="7756"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处置子公司</w:t>
      </w:r>
      <w:r>
        <w:rPr>
          <w:rFonts w:ascii="宋体" w:hAnsi="宋体" w:cs="宋体" w:eastAsia="宋体" w:hint="default"/>
          <w:b/>
          <w:bCs/>
          <w:w w:val="100"/>
          <w:sz w:val="21"/>
          <w:szCs w:val="21"/>
        </w:rPr>
        <w:t> </w:t>
      </w:r>
      <w:r>
        <w:rPr>
          <w:rFonts w:ascii="宋体" w:hAnsi="宋体" w:cs="宋体" w:eastAsia="宋体" w:hint="default"/>
          <w:spacing w:val="-2"/>
          <w:sz w:val="21"/>
          <w:szCs w:val="21"/>
        </w:rPr>
        <w:t>是否存在单次处置对子公司投资即丧失控制权的情形</w:t>
      </w:r>
    </w:p>
    <w:p>
      <w:pPr>
        <w:pStyle w:val="BodyText"/>
        <w:spacing w:line="228" w:lineRule="exact"/>
        <w:ind w:left="144" w:right="7756"/>
        <w:jc w:val="left"/>
      </w:pPr>
      <w:r>
        <w:rPr/>
        <w:t>□适用 √不适用</w:t>
      </w:r>
    </w:p>
    <w:p>
      <w:pPr>
        <w:pStyle w:val="BodyText"/>
        <w:spacing w:line="272" w:lineRule="exact"/>
        <w:ind w:left="144" w:right="7756"/>
        <w:jc w:val="left"/>
      </w:pPr>
      <w:r>
        <w:rPr/>
        <w:t>其他说明：</w:t>
      </w:r>
    </w:p>
    <w:p>
      <w:pPr>
        <w:pStyle w:val="BodyText"/>
        <w:spacing w:line="274" w:lineRule="exact"/>
        <w:ind w:left="144" w:right="7756"/>
        <w:jc w:val="left"/>
      </w:pPr>
      <w:r>
        <w:rPr/>
        <w:t>□适用 √不适用</w:t>
      </w:r>
    </w:p>
    <w:p>
      <w:pPr>
        <w:spacing w:line="240" w:lineRule="auto" w:before="8"/>
        <w:rPr>
          <w:rFonts w:ascii="宋体" w:hAnsi="宋体" w:cs="宋体" w:eastAsia="宋体" w:hint="default"/>
          <w:sz w:val="20"/>
          <w:szCs w:val="20"/>
        </w:rPr>
      </w:pPr>
    </w:p>
    <w:p>
      <w:pPr>
        <w:pStyle w:val="BodyText"/>
        <w:spacing w:line="273" w:lineRule="exact"/>
        <w:ind w:left="144" w:right="3371"/>
        <w:jc w:val="left"/>
      </w:pPr>
      <w:r>
        <w:rPr/>
        <w:t>是否存在通过多次交易分步处置对子公司投资且在本期丧失控制权的情形</w:t>
      </w:r>
    </w:p>
    <w:p>
      <w:pPr>
        <w:pStyle w:val="BodyText"/>
        <w:spacing w:line="273" w:lineRule="exact"/>
        <w:ind w:left="144" w:right="7756"/>
        <w:jc w:val="left"/>
      </w:pPr>
      <w:r>
        <w:rPr/>
        <w:t>□适用 √不适用</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spacing w:line="290" w:lineRule="auto" w:before="0"/>
        <w:ind w:left="144" w:right="3371"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其他原因的合并范围变动</w:t>
      </w:r>
      <w:r>
        <w:rPr>
          <w:rFonts w:ascii="宋体" w:hAnsi="宋体" w:cs="宋体" w:eastAsia="宋体" w:hint="default"/>
          <w:b/>
          <w:bCs/>
          <w:w w:val="100"/>
          <w:sz w:val="21"/>
          <w:szCs w:val="21"/>
        </w:rPr>
        <w:t> </w:t>
      </w:r>
      <w:r>
        <w:rPr>
          <w:rFonts w:ascii="宋体" w:hAnsi="宋体" w:cs="宋体" w:eastAsia="宋体" w:hint="default"/>
          <w:spacing w:val="-2"/>
          <w:sz w:val="21"/>
          <w:szCs w:val="21"/>
        </w:rPr>
        <w:t>说明其他原因导致的合并范围变动（如，新设子公司、清算子公司等）及其相关情况：</w:t>
      </w:r>
    </w:p>
    <w:p>
      <w:pPr>
        <w:pStyle w:val="BodyText"/>
        <w:spacing w:line="227" w:lineRule="exact"/>
        <w:ind w:left="144" w:right="7756"/>
        <w:jc w:val="left"/>
      </w:pPr>
      <w:r>
        <w:rPr/>
        <w:t>□适用 √不适用</w:t>
      </w:r>
    </w:p>
    <w:p>
      <w:pPr>
        <w:spacing w:line="240" w:lineRule="auto" w:before="2"/>
        <w:rPr>
          <w:rFonts w:ascii="宋体" w:hAnsi="宋体" w:cs="宋体" w:eastAsia="宋体" w:hint="default"/>
          <w:sz w:val="24"/>
          <w:szCs w:val="24"/>
        </w:rPr>
      </w:pPr>
    </w:p>
    <w:p>
      <w:pPr>
        <w:pStyle w:val="Heading3"/>
        <w:spacing w:line="240" w:lineRule="auto"/>
        <w:ind w:left="144" w:right="7756"/>
        <w:jc w:val="left"/>
        <w:rPr>
          <w:b w:val="0"/>
          <w:bCs w:val="0"/>
        </w:rPr>
      </w:pPr>
      <w:r>
        <w:rPr>
          <w:rFonts w:ascii="宋体" w:hAnsi="宋体" w:cs="宋体" w:eastAsia="宋体" w:hint="default"/>
        </w:rPr>
        <w:t>6</w:t>
      </w:r>
      <w:r>
        <w:rPr/>
        <w:t>、</w:t>
      </w:r>
      <w:r>
        <w:rPr>
          <w:spacing w:val="-3"/>
        </w:rPr>
        <w:t> </w:t>
      </w:r>
      <w:r>
        <w:rPr/>
        <w:t>其他</w:t>
      </w:r>
      <w:r>
        <w:rPr>
          <w:b w:val="0"/>
          <w:bCs w:val="0"/>
        </w:rPr>
      </w:r>
    </w:p>
    <w:p>
      <w:pPr>
        <w:pStyle w:val="BodyText"/>
        <w:tabs>
          <w:tab w:pos="986" w:val="left" w:leader="none"/>
        </w:tabs>
        <w:spacing w:line="240" w:lineRule="auto" w:before="56"/>
        <w:ind w:left="144" w:right="7756"/>
        <w:jc w:val="left"/>
      </w:pPr>
      <w:r>
        <w:rPr/>
        <w:t>□适用</w:t>
        <w:tab/>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spacing w:before="63"/>
        <w:ind w:left="5278" w:right="5254" w:firstLine="0"/>
        <w:jc w:val="center"/>
        <w:rPr>
          <w:rFonts w:ascii="Calibri" w:hAnsi="Calibri" w:cs="Calibri" w:eastAsia="Calibri" w:hint="default"/>
          <w:sz w:val="18"/>
          <w:szCs w:val="18"/>
        </w:rPr>
      </w:pPr>
      <w:r>
        <w:rPr>
          <w:rFonts w:ascii="Calibri"/>
          <w:sz w:val="18"/>
        </w:rPr>
        <w:t>119</w:t>
      </w:r>
    </w:p>
    <w:p>
      <w:pPr>
        <w:spacing w:after="0"/>
        <w:jc w:val="center"/>
        <w:rPr>
          <w:rFonts w:ascii="Calibri" w:hAnsi="Calibri" w:cs="Calibri" w:eastAsia="Calibri" w:hint="default"/>
          <w:sz w:val="18"/>
          <w:szCs w:val="18"/>
        </w:rPr>
        <w:sectPr>
          <w:headerReference w:type="default" r:id="rId42"/>
          <w:footerReference w:type="default" r:id="rId43"/>
          <w:pgSz w:w="16840" w:h="11910" w:orient="landscape"/>
          <w:pgMar w:header="0" w:footer="0" w:top="780" w:bottom="280" w:left="1380" w:right="1320"/>
        </w:sectPr>
      </w:pPr>
    </w:p>
    <w:p>
      <w:pPr>
        <w:spacing w:line="240" w:lineRule="auto" w:before="0"/>
        <w:rPr>
          <w:rFonts w:ascii="Calibri" w:hAnsi="Calibri" w:cs="Calibri" w:eastAsia="Calibri" w:hint="default"/>
          <w:sz w:val="20"/>
          <w:szCs w:val="20"/>
        </w:rPr>
      </w:pPr>
    </w:p>
    <w:p>
      <w:pPr>
        <w:spacing w:line="240" w:lineRule="auto" w:before="4"/>
        <w:rPr>
          <w:rFonts w:ascii="Calibri" w:hAnsi="Calibri" w:cs="Calibri" w:eastAsia="Calibri" w:hint="default"/>
          <w:sz w:val="17"/>
          <w:szCs w:val="17"/>
        </w:rPr>
      </w:pPr>
    </w:p>
    <w:p>
      <w:pPr>
        <w:pStyle w:val="Heading3"/>
        <w:tabs>
          <w:tab w:pos="861" w:val="left" w:leader="none"/>
        </w:tabs>
        <w:spacing w:line="290" w:lineRule="auto" w:before="36"/>
        <w:ind w:right="6740"/>
        <w:jc w:val="left"/>
        <w:rPr>
          <w:b w:val="0"/>
          <w:bCs w:val="0"/>
        </w:rPr>
      </w:pPr>
      <w:r>
        <w:rPr/>
        <w:t>九、在其他主体中的权益</w:t>
      </w:r>
      <w:r>
        <w:rPr>
          <w:spacing w:val="-100"/>
        </w:rPr>
        <w:t> </w:t>
      </w:r>
      <w:r>
        <w:rPr>
          <w:spacing w:val="-100"/>
        </w:rPr>
      </w:r>
      <w:r>
        <w:rPr>
          <w:rFonts w:ascii="宋体" w:hAnsi="宋体" w:cs="宋体" w:eastAsia="宋体" w:hint="default"/>
        </w:rPr>
        <w:t>1</w:t>
      </w:r>
      <w:r>
        <w:rPr/>
        <w:t>、</w:t>
      </w:r>
      <w:r>
        <w:rPr>
          <w:spacing w:val="-2"/>
        </w:rPr>
        <w:t> </w:t>
      </w:r>
      <w:r>
        <w:rPr/>
        <w:t>在子公司中的权益</w:t>
      </w:r>
      <w:r>
        <w:rPr>
          <w:spacing w:val="-104"/>
        </w:rPr>
        <w:t> </w:t>
      </w:r>
      <w:r>
        <w:rPr>
          <w:spacing w:val="-104"/>
        </w:rPr>
      </w:r>
      <w:r>
        <w:rPr>
          <w:rFonts w:ascii="宋体" w:hAnsi="宋体" w:cs="宋体" w:eastAsia="宋体" w:hint="default"/>
          <w:w w:val="95"/>
        </w:rPr>
        <w:t>(1).</w:t>
        <w:tab/>
      </w:r>
      <w:r>
        <w:rPr/>
        <w:t>企业集团的构成</w:t>
      </w:r>
      <w:r>
        <w:rPr>
          <w:b w:val="0"/>
          <w:bCs w:val="0"/>
        </w:rPr>
      </w:r>
    </w:p>
    <w:p>
      <w:pPr>
        <w:pStyle w:val="BodyText"/>
        <w:spacing w:line="240" w:lineRule="auto" w:before="12"/>
        <w:ind w:right="2757"/>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200"/>
        <w:gridCol w:w="1287"/>
        <w:gridCol w:w="1272"/>
        <w:gridCol w:w="1301"/>
        <w:gridCol w:w="1286"/>
        <w:gridCol w:w="1287"/>
        <w:gridCol w:w="1416"/>
      </w:tblGrid>
      <w:tr>
        <w:trPr>
          <w:trHeight w:val="281" w:hRule="exact"/>
        </w:trPr>
        <w:tc>
          <w:tcPr>
            <w:tcW w:w="1200" w:type="dxa"/>
            <w:vMerge w:val="restart"/>
            <w:tcBorders>
              <w:top w:val="single" w:sz="4" w:space="0" w:color="000000"/>
              <w:left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子公司</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1287" w:type="dxa"/>
            <w:vMerge w:val="restart"/>
            <w:tcBorders>
              <w:top w:val="single" w:sz="4" w:space="0" w:color="000000"/>
              <w:left w:val="single" w:sz="4" w:space="0" w:color="000000"/>
              <w:right w:val="single" w:sz="4" w:space="0" w:color="000000"/>
            </w:tcBorders>
          </w:tcPr>
          <w:p>
            <w:pPr>
              <w:pStyle w:val="TableParagraph"/>
              <w:spacing w:line="240" w:lineRule="auto" w:before="110"/>
              <w:ind w:left="110" w:right="0"/>
              <w:jc w:val="left"/>
              <w:rPr>
                <w:rFonts w:ascii="宋体" w:hAnsi="宋体" w:cs="宋体" w:eastAsia="宋体" w:hint="default"/>
                <w:sz w:val="21"/>
                <w:szCs w:val="21"/>
              </w:rPr>
            </w:pPr>
            <w:r>
              <w:rPr>
                <w:rFonts w:ascii="宋体" w:hAnsi="宋体" w:cs="宋体" w:eastAsia="宋体" w:hint="default"/>
                <w:sz w:val="21"/>
                <w:szCs w:val="21"/>
              </w:rPr>
              <w:t>主要经营地</w:t>
            </w:r>
          </w:p>
        </w:tc>
        <w:tc>
          <w:tcPr>
            <w:tcW w:w="1272" w:type="dxa"/>
            <w:vMerge w:val="restart"/>
            <w:tcBorders>
              <w:top w:val="single" w:sz="4" w:space="0" w:color="000000"/>
              <w:left w:val="single" w:sz="4" w:space="0" w:color="000000"/>
              <w:right w:val="single" w:sz="4" w:space="0" w:color="000000"/>
            </w:tcBorders>
          </w:tcPr>
          <w:p>
            <w:pPr>
              <w:pStyle w:val="TableParagraph"/>
              <w:spacing w:line="240" w:lineRule="auto" w:before="110"/>
              <w:ind w:left="314"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301" w:type="dxa"/>
            <w:vMerge w:val="restart"/>
            <w:tcBorders>
              <w:top w:val="single" w:sz="4" w:space="0" w:color="000000"/>
              <w:left w:val="single" w:sz="4" w:space="0" w:color="000000"/>
              <w:right w:val="single" w:sz="4" w:space="0" w:color="000000"/>
            </w:tcBorders>
          </w:tcPr>
          <w:p>
            <w:pPr>
              <w:pStyle w:val="TableParagraph"/>
              <w:spacing w:line="240" w:lineRule="auto" w:before="110"/>
              <w:ind w:left="225"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25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0"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w:t>
            </w:r>
          </w:p>
        </w:tc>
        <w:tc>
          <w:tcPr>
            <w:tcW w:w="1416" w:type="dxa"/>
            <w:vMerge w:val="restart"/>
            <w:tcBorders>
              <w:top w:val="single" w:sz="4" w:space="0" w:color="000000"/>
              <w:left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取得</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方式</w:t>
            </w:r>
          </w:p>
        </w:tc>
      </w:tr>
      <w:tr>
        <w:trPr>
          <w:trHeight w:val="288" w:hRule="exact"/>
        </w:trPr>
        <w:tc>
          <w:tcPr>
            <w:tcW w:w="1200" w:type="dxa"/>
            <w:vMerge/>
            <w:tcBorders>
              <w:left w:val="single" w:sz="4" w:space="0" w:color="000000"/>
              <w:bottom w:val="single" w:sz="4" w:space="0" w:color="000000"/>
              <w:right w:val="single" w:sz="4" w:space="0" w:color="000000"/>
            </w:tcBorders>
          </w:tcPr>
          <w:p>
            <w:pPr/>
          </w:p>
        </w:tc>
        <w:tc>
          <w:tcPr>
            <w:tcW w:w="1287" w:type="dxa"/>
            <w:vMerge/>
            <w:tcBorders>
              <w:left w:val="single" w:sz="4" w:space="0" w:color="000000"/>
              <w:bottom w:val="single" w:sz="4" w:space="0" w:color="000000"/>
              <w:right w:val="single" w:sz="4" w:space="0" w:color="000000"/>
            </w:tcBorders>
          </w:tcPr>
          <w:p>
            <w:pPr/>
          </w:p>
        </w:tc>
        <w:tc>
          <w:tcPr>
            <w:tcW w:w="1272" w:type="dxa"/>
            <w:vMerge/>
            <w:tcBorders>
              <w:left w:val="single" w:sz="4" w:space="0" w:color="000000"/>
              <w:bottom w:val="single" w:sz="4" w:space="0" w:color="000000"/>
              <w:right w:val="single" w:sz="4" w:space="0" w:color="000000"/>
            </w:tcBorders>
          </w:tcPr>
          <w:p>
            <w:pPr/>
          </w:p>
        </w:tc>
        <w:tc>
          <w:tcPr>
            <w:tcW w:w="1301" w:type="dxa"/>
            <w:vMerge/>
            <w:tcBorders>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424" w:right="0"/>
              <w:jc w:val="left"/>
              <w:rPr>
                <w:rFonts w:ascii="宋体" w:hAnsi="宋体" w:cs="宋体" w:eastAsia="宋体" w:hint="default"/>
                <w:sz w:val="21"/>
                <w:szCs w:val="21"/>
              </w:rPr>
            </w:pPr>
            <w:r>
              <w:rPr>
                <w:rFonts w:ascii="宋体" w:hAnsi="宋体" w:cs="宋体" w:eastAsia="宋体" w:hint="default"/>
                <w:sz w:val="21"/>
                <w:szCs w:val="21"/>
              </w:rPr>
              <w:t>直接</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间接</w:t>
            </w:r>
          </w:p>
        </w:tc>
        <w:tc>
          <w:tcPr>
            <w:tcW w:w="1416" w:type="dxa"/>
            <w:vMerge/>
            <w:tcBorders>
              <w:left w:val="single" w:sz="4" w:space="0" w:color="000000"/>
              <w:bottom w:val="single" w:sz="4" w:space="0" w:color="000000"/>
              <w:right w:val="single" w:sz="4" w:space="0" w:color="000000"/>
            </w:tcBorders>
          </w:tcPr>
          <w:p>
            <w:pPr/>
          </w:p>
        </w:tc>
      </w:tr>
      <w:tr>
        <w:trPr>
          <w:trHeight w:val="828"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顶点数码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福州</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福州</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电子计算机</w:t>
            </w:r>
          </w:p>
          <w:p>
            <w:pPr>
              <w:pStyle w:val="TableParagraph"/>
              <w:spacing w:line="240" w:lineRule="auto"/>
              <w:ind w:left="103" w:right="132"/>
              <w:jc w:val="left"/>
              <w:rPr>
                <w:rFonts w:ascii="宋体" w:hAnsi="宋体" w:cs="宋体" w:eastAsia="宋体" w:hint="default"/>
                <w:sz w:val="21"/>
                <w:szCs w:val="21"/>
              </w:rPr>
            </w:pPr>
            <w:r>
              <w:rPr>
                <w:rFonts w:ascii="宋体" w:hAnsi="宋体" w:cs="宋体" w:eastAsia="宋体" w:hint="default"/>
                <w:sz w:val="21"/>
                <w:szCs w:val="21"/>
              </w:rPr>
              <w:t>软件开发、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销售</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100.00</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82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北京顶点</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电子计算机</w:t>
            </w:r>
          </w:p>
          <w:p>
            <w:pPr>
              <w:pStyle w:val="TableParagraph"/>
              <w:spacing w:line="272" w:lineRule="exact" w:before="27"/>
              <w:ind w:left="103" w:right="132"/>
              <w:jc w:val="left"/>
              <w:rPr>
                <w:rFonts w:ascii="宋体" w:hAnsi="宋体" w:cs="宋体" w:eastAsia="宋体" w:hint="default"/>
                <w:sz w:val="21"/>
                <w:szCs w:val="21"/>
              </w:rPr>
            </w:pPr>
            <w:r>
              <w:rPr>
                <w:rFonts w:ascii="宋体" w:hAnsi="宋体" w:cs="宋体" w:eastAsia="宋体" w:hint="default"/>
                <w:sz w:val="21"/>
                <w:szCs w:val="21"/>
              </w:rPr>
              <w:t>软件开发、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销售</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95.00</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82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上海顶点</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电子计算机</w:t>
            </w:r>
          </w:p>
          <w:p>
            <w:pPr>
              <w:pStyle w:val="TableParagraph"/>
              <w:spacing w:line="240" w:lineRule="auto"/>
              <w:ind w:left="103" w:right="132"/>
              <w:jc w:val="left"/>
              <w:rPr>
                <w:rFonts w:ascii="宋体" w:hAnsi="宋体" w:cs="宋体" w:eastAsia="宋体" w:hint="default"/>
                <w:sz w:val="21"/>
                <w:szCs w:val="21"/>
              </w:rPr>
            </w:pPr>
            <w:r>
              <w:rPr>
                <w:rFonts w:ascii="宋体" w:hAnsi="宋体" w:cs="宋体" w:eastAsia="宋体" w:hint="default"/>
                <w:sz w:val="21"/>
                <w:szCs w:val="21"/>
              </w:rPr>
              <w:t>软件开发、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销售</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90.00</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828"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顶点信息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福州</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福州</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电子计算机</w:t>
            </w:r>
          </w:p>
          <w:p>
            <w:pPr>
              <w:pStyle w:val="TableParagraph"/>
              <w:spacing w:line="272" w:lineRule="exact" w:before="27"/>
              <w:ind w:left="103" w:right="132"/>
              <w:jc w:val="left"/>
              <w:rPr>
                <w:rFonts w:ascii="宋体" w:hAnsi="宋体" w:cs="宋体" w:eastAsia="宋体" w:hint="default"/>
                <w:sz w:val="21"/>
                <w:szCs w:val="21"/>
              </w:rPr>
            </w:pPr>
            <w:r>
              <w:rPr>
                <w:rFonts w:ascii="宋体" w:hAnsi="宋体" w:cs="宋体" w:eastAsia="宋体" w:hint="default"/>
                <w:sz w:val="21"/>
                <w:szCs w:val="21"/>
              </w:rPr>
              <w:t>软件开发、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销售</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75.00</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82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武汉顶点</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武汉</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武汉</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电子计算机</w:t>
            </w:r>
          </w:p>
          <w:p>
            <w:pPr>
              <w:pStyle w:val="TableParagraph"/>
              <w:spacing w:line="240" w:lineRule="auto"/>
              <w:ind w:left="103" w:right="132"/>
              <w:jc w:val="left"/>
              <w:rPr>
                <w:rFonts w:ascii="宋体" w:hAnsi="宋体" w:cs="宋体" w:eastAsia="宋体" w:hint="default"/>
                <w:sz w:val="21"/>
                <w:szCs w:val="21"/>
              </w:rPr>
            </w:pPr>
            <w:r>
              <w:rPr>
                <w:rFonts w:ascii="宋体" w:hAnsi="宋体" w:cs="宋体" w:eastAsia="宋体" w:hint="default"/>
                <w:sz w:val="21"/>
                <w:szCs w:val="21"/>
              </w:rPr>
              <w:t>软件开发、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销售</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100.00</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828"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亿维航公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电子计算机</w:t>
            </w:r>
          </w:p>
          <w:p>
            <w:pPr>
              <w:pStyle w:val="TableParagraph"/>
              <w:spacing w:line="240" w:lineRule="auto"/>
              <w:ind w:left="103" w:right="132"/>
              <w:jc w:val="left"/>
              <w:rPr>
                <w:rFonts w:ascii="宋体" w:hAnsi="宋体" w:cs="宋体" w:eastAsia="宋体" w:hint="default"/>
                <w:sz w:val="21"/>
                <w:szCs w:val="21"/>
              </w:rPr>
            </w:pPr>
            <w:r>
              <w:rPr>
                <w:rFonts w:ascii="宋体" w:hAnsi="宋体" w:cs="宋体" w:eastAsia="宋体" w:hint="default"/>
                <w:sz w:val="21"/>
                <w:szCs w:val="21"/>
              </w:rPr>
              <w:t>软件开发、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销售</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51.00</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投资设立</w:t>
            </w:r>
          </w:p>
        </w:tc>
      </w:tr>
    </w:tbl>
    <w:p>
      <w:pPr>
        <w:spacing w:line="240" w:lineRule="auto" w:before="7"/>
        <w:rPr>
          <w:rFonts w:ascii="宋体" w:hAnsi="宋体" w:cs="宋体" w:eastAsia="宋体" w:hint="default"/>
          <w:sz w:val="15"/>
          <w:szCs w:val="15"/>
        </w:rPr>
      </w:pPr>
    </w:p>
    <w:p>
      <w:pPr>
        <w:pStyle w:val="BodyText"/>
        <w:spacing w:line="272" w:lineRule="exact" w:before="64"/>
        <w:ind w:right="4634"/>
        <w:jc w:val="left"/>
      </w:pPr>
      <w:r>
        <w:rPr>
          <w:spacing w:val="-2"/>
        </w:rPr>
        <w:t>在子公司的持股比例不同于表决权比例的说明：</w:t>
      </w:r>
      <w:r>
        <w:rPr>
          <w:spacing w:val="-65"/>
        </w:rPr>
        <w:t> </w:t>
      </w:r>
      <w:r>
        <w:rPr>
          <w:spacing w:val="-65"/>
        </w:rPr>
      </w:r>
      <w:r>
        <w:rPr/>
        <w:t>无</w:t>
      </w:r>
    </w:p>
    <w:p>
      <w:pPr>
        <w:spacing w:line="240" w:lineRule="auto" w:before="10"/>
        <w:rPr>
          <w:rFonts w:ascii="宋体" w:hAnsi="宋体" w:cs="宋体" w:eastAsia="宋体" w:hint="default"/>
          <w:sz w:val="18"/>
          <w:szCs w:val="18"/>
        </w:rPr>
      </w:pPr>
    </w:p>
    <w:p>
      <w:pPr>
        <w:pStyle w:val="BodyText"/>
        <w:spacing w:line="240" w:lineRule="auto"/>
        <w:ind w:right="0"/>
        <w:jc w:val="left"/>
      </w:pPr>
      <w:r>
        <w:rPr>
          <w:spacing w:val="-2"/>
        </w:rPr>
        <w:t>持有半数或以下表决权但仍控制被投资单位、以及持有半数以上表决权但不控制被投资单位的依</w:t>
      </w:r>
      <w:r>
        <w:rPr>
          <w:spacing w:val="-25"/>
        </w:rPr>
        <w:t> </w:t>
      </w:r>
      <w:r>
        <w:rPr>
          <w:spacing w:val="-25"/>
        </w:rPr>
      </w:r>
      <w:r>
        <w:rPr/>
        <w:t>据：</w:t>
      </w:r>
    </w:p>
    <w:p>
      <w:pPr>
        <w:pStyle w:val="BodyText"/>
        <w:spacing w:line="271" w:lineRule="exact"/>
        <w:ind w:right="2757"/>
        <w:jc w:val="left"/>
      </w:pPr>
      <w:r>
        <w:rPr>
          <w:w w:val="100"/>
        </w:rPr>
        <w:t>无</w:t>
      </w:r>
    </w:p>
    <w:p>
      <w:pPr>
        <w:spacing w:line="240" w:lineRule="auto" w:before="10"/>
        <w:rPr>
          <w:rFonts w:ascii="宋体" w:hAnsi="宋体" w:cs="宋体" w:eastAsia="宋体" w:hint="default"/>
          <w:sz w:val="22"/>
          <w:szCs w:val="22"/>
        </w:rPr>
      </w:pPr>
    </w:p>
    <w:p>
      <w:pPr>
        <w:pStyle w:val="BodyText"/>
        <w:spacing w:line="272" w:lineRule="exact"/>
        <w:ind w:right="3886"/>
        <w:jc w:val="left"/>
      </w:pPr>
      <w:r>
        <w:rPr>
          <w:spacing w:val="-2"/>
        </w:rPr>
        <w:t>对于纳入合并范围的重要的结构化主体，控制的依据：</w:t>
      </w:r>
      <w:r>
        <w:rPr>
          <w:spacing w:val="-59"/>
        </w:rPr>
        <w:t> </w:t>
      </w:r>
      <w:r>
        <w:rPr>
          <w:spacing w:val="-59"/>
        </w:rPr>
      </w:r>
      <w:r>
        <w:rPr/>
        <w:t>无</w:t>
      </w:r>
    </w:p>
    <w:p>
      <w:pPr>
        <w:spacing w:line="240" w:lineRule="auto" w:before="10"/>
        <w:rPr>
          <w:rFonts w:ascii="宋体" w:hAnsi="宋体" w:cs="宋体" w:eastAsia="宋体" w:hint="default"/>
          <w:sz w:val="18"/>
          <w:szCs w:val="18"/>
        </w:rPr>
      </w:pPr>
    </w:p>
    <w:p>
      <w:pPr>
        <w:pStyle w:val="BodyText"/>
        <w:spacing w:line="240" w:lineRule="auto"/>
        <w:ind w:right="5342"/>
        <w:jc w:val="left"/>
      </w:pPr>
      <w:r>
        <w:rPr>
          <w:spacing w:val="-2"/>
        </w:rPr>
        <w:t>确定公司是代理人还是委托人的依据：</w:t>
      </w:r>
      <w:r>
        <w:rPr>
          <w:spacing w:val="-72"/>
        </w:rPr>
        <w:t> </w:t>
      </w:r>
      <w:r>
        <w:rPr>
          <w:spacing w:val="-72"/>
        </w:rPr>
      </w:r>
      <w:r>
        <w:rPr/>
        <w:t>无</w:t>
      </w:r>
    </w:p>
    <w:p>
      <w:pPr>
        <w:spacing w:line="240" w:lineRule="auto" w:before="10"/>
        <w:rPr>
          <w:rFonts w:ascii="宋体" w:hAnsi="宋体" w:cs="宋体" w:eastAsia="宋体" w:hint="default"/>
          <w:sz w:val="22"/>
          <w:szCs w:val="22"/>
        </w:rPr>
      </w:pPr>
    </w:p>
    <w:p>
      <w:pPr>
        <w:pStyle w:val="BodyText"/>
        <w:spacing w:line="272" w:lineRule="exact"/>
        <w:ind w:right="7998"/>
        <w:jc w:val="left"/>
      </w:pPr>
      <w:r>
        <w:rPr/>
        <w:t>其他说明：</w:t>
      </w:r>
      <w:r>
        <w:rPr>
          <w:spacing w:val="-102"/>
        </w:rPr>
        <w:t> </w:t>
      </w:r>
      <w:r>
        <w:rPr>
          <w:spacing w:val="-102"/>
        </w:rPr>
      </w:r>
      <w:r>
        <w:rPr/>
        <w:t>无</w:t>
      </w:r>
    </w:p>
    <w:p>
      <w:pPr>
        <w:spacing w:line="240" w:lineRule="auto" w:before="4"/>
        <w:rPr>
          <w:rFonts w:ascii="宋体" w:hAnsi="宋体" w:cs="宋体" w:eastAsia="宋体" w:hint="default"/>
          <w:sz w:val="23"/>
          <w:szCs w:val="23"/>
        </w:rPr>
      </w:pPr>
    </w:p>
    <w:p>
      <w:pPr>
        <w:pStyle w:val="Heading3"/>
        <w:tabs>
          <w:tab w:pos="861" w:val="left" w:leader="none"/>
        </w:tabs>
        <w:spacing w:line="240" w:lineRule="auto"/>
        <w:ind w:right="2757"/>
        <w:jc w:val="left"/>
        <w:rPr>
          <w:b w:val="0"/>
          <w:bCs w:val="0"/>
        </w:rPr>
      </w:pPr>
      <w:r>
        <w:rPr>
          <w:rFonts w:ascii="宋体" w:hAnsi="宋体" w:cs="宋体" w:eastAsia="宋体" w:hint="default"/>
          <w:w w:val="95"/>
        </w:rPr>
        <w:t>(2).</w:t>
        <w:tab/>
      </w:r>
      <w:r>
        <w:rPr/>
        <w:t>重要的非全资子公司</w:t>
      </w:r>
      <w:r>
        <w:rPr>
          <w:b w:val="0"/>
          <w:bCs w:val="0"/>
        </w:rPr>
      </w:r>
    </w:p>
    <w:p>
      <w:pPr>
        <w:pStyle w:val="BodyText"/>
        <w:spacing w:line="240" w:lineRule="auto" w:before="58"/>
        <w:ind w:right="2757"/>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3"/>
        <w:tabs>
          <w:tab w:pos="861" w:val="left" w:leader="none"/>
        </w:tabs>
        <w:spacing w:line="240" w:lineRule="auto"/>
        <w:ind w:right="2757"/>
        <w:jc w:val="left"/>
        <w:rPr>
          <w:b w:val="0"/>
          <w:bCs w:val="0"/>
        </w:rPr>
      </w:pPr>
      <w:r>
        <w:rPr>
          <w:rFonts w:ascii="宋体" w:hAnsi="宋体" w:cs="宋体" w:eastAsia="宋体" w:hint="default"/>
          <w:w w:val="95"/>
        </w:rPr>
        <w:t>(3).</w:t>
        <w:tab/>
      </w:r>
      <w:r>
        <w:rPr/>
        <w:t>重要非全资子公司的主要财务信息</w:t>
      </w:r>
      <w:r>
        <w:rPr>
          <w:b w:val="0"/>
          <w:bCs w:val="0"/>
        </w:rPr>
      </w:r>
    </w:p>
    <w:p>
      <w:pPr>
        <w:pStyle w:val="BodyText"/>
        <w:spacing w:line="240" w:lineRule="auto" w:before="58"/>
        <w:ind w:right="2757"/>
        <w:jc w:val="left"/>
      </w:pPr>
      <w:r>
        <w:rPr/>
        <w:t>□适用</w:t>
      </w:r>
      <w:r>
        <w:rPr>
          <w:spacing w:val="-1"/>
        </w:rPr>
        <w:t> </w:t>
      </w:r>
      <w:r>
        <w:rPr/>
        <w:t>√不适用</w:t>
      </w:r>
    </w:p>
    <w:p>
      <w:pPr>
        <w:spacing w:after="0" w:line="240" w:lineRule="auto"/>
        <w:jc w:val="left"/>
        <w:sectPr>
          <w:footerReference w:type="default" r:id="rId44"/>
          <w:pgSz w:w="11910" w:h="16840"/>
          <w:pgMar w:footer="1195" w:header="0" w:top="1320" w:bottom="1380" w:left="1580" w:right="1040"/>
          <w:pgNumType w:start="1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pStyle w:val="Heading3"/>
        <w:tabs>
          <w:tab w:pos="781" w:val="left" w:leader="none"/>
        </w:tabs>
        <w:spacing w:line="240" w:lineRule="auto" w:before="36"/>
        <w:ind w:left="138" w:right="0"/>
        <w:jc w:val="left"/>
        <w:rPr>
          <w:b w:val="0"/>
          <w:bCs w:val="0"/>
        </w:rPr>
      </w:pPr>
      <w:r>
        <w:rPr>
          <w:rFonts w:ascii="宋体" w:hAnsi="宋体" w:cs="宋体" w:eastAsia="宋体" w:hint="default"/>
          <w:w w:val="95"/>
        </w:rPr>
        <w:t>(4).</w:t>
        <w:tab/>
      </w:r>
      <w:r>
        <w:rPr/>
        <w:t>使用企业集团资产和清偿企业集团债务的重大限制：</w:t>
      </w:r>
      <w:r>
        <w:rPr>
          <w:b w:val="0"/>
          <w:bCs w:val="0"/>
        </w:rPr>
      </w:r>
    </w:p>
    <w:p>
      <w:pPr>
        <w:pStyle w:val="BodyText"/>
        <w:spacing w:line="240" w:lineRule="auto" w:before="58"/>
        <w:ind w:left="13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3"/>
        <w:tabs>
          <w:tab w:pos="781" w:val="left" w:leader="none"/>
        </w:tabs>
        <w:spacing w:line="240" w:lineRule="auto"/>
        <w:ind w:left="138" w:right="0"/>
        <w:jc w:val="left"/>
        <w:rPr>
          <w:b w:val="0"/>
          <w:bCs w:val="0"/>
        </w:rPr>
      </w:pPr>
      <w:r>
        <w:rPr>
          <w:rFonts w:ascii="宋体" w:hAnsi="宋体" w:cs="宋体" w:eastAsia="宋体" w:hint="default"/>
          <w:w w:val="95"/>
        </w:rPr>
        <w:t>(5).</w:t>
        <w:tab/>
      </w:r>
      <w:r>
        <w:rPr/>
        <w:t>向纳入合并财务报表范围的结构化主体提供的财务支持或其他支持：</w:t>
      </w:r>
      <w:r>
        <w:rPr>
          <w:b w:val="0"/>
          <w:bCs w:val="0"/>
        </w:rPr>
      </w:r>
    </w:p>
    <w:p>
      <w:pPr>
        <w:pStyle w:val="BodyText"/>
        <w:tabs>
          <w:tab w:pos="980" w:val="left" w:leader="none"/>
        </w:tabs>
        <w:spacing w:line="240" w:lineRule="auto" w:before="56"/>
        <w:ind w:left="138" w:right="0"/>
        <w:jc w:val="left"/>
      </w:pPr>
      <w:r>
        <w:rPr>
          <w:spacing w:val="-1"/>
        </w:rPr>
        <w:t>□适用</w:t>
        <w:tab/>
      </w:r>
      <w:r>
        <w:rPr>
          <w:spacing w:val="-2"/>
        </w:rPr>
        <w:t>√不适用</w:t>
      </w:r>
    </w:p>
    <w:p>
      <w:pPr>
        <w:spacing w:line="240" w:lineRule="auto" w:before="8"/>
        <w:rPr>
          <w:rFonts w:ascii="宋体" w:hAnsi="宋体" w:cs="宋体" w:eastAsia="宋体" w:hint="default"/>
          <w:sz w:val="20"/>
          <w:szCs w:val="20"/>
        </w:rPr>
      </w:pPr>
    </w:p>
    <w:p>
      <w:pPr>
        <w:pStyle w:val="BodyText"/>
        <w:spacing w:line="274" w:lineRule="exact"/>
        <w:ind w:left="138" w:right="0"/>
        <w:jc w:val="left"/>
      </w:pPr>
      <w:r>
        <w:rPr/>
        <w:t>其他说明：</w:t>
      </w:r>
    </w:p>
    <w:p>
      <w:pPr>
        <w:pStyle w:val="BodyText"/>
        <w:spacing w:line="274" w:lineRule="exact"/>
        <w:ind w:left="13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3"/>
        <w:spacing w:line="240" w:lineRule="auto"/>
        <w:ind w:left="138" w:right="0"/>
        <w:jc w:val="left"/>
        <w:rPr>
          <w:b w:val="0"/>
          <w:bCs w:val="0"/>
        </w:rPr>
      </w:pPr>
      <w:r>
        <w:rPr>
          <w:rFonts w:ascii="宋体" w:hAnsi="宋体" w:cs="宋体" w:eastAsia="宋体" w:hint="default"/>
        </w:rPr>
        <w:t>2</w:t>
      </w:r>
      <w:r>
        <w:rPr/>
        <w:t>、</w:t>
      </w:r>
      <w:r>
        <w:rPr>
          <w:spacing w:val="-5"/>
        </w:rPr>
        <w:t> </w:t>
      </w:r>
      <w:r>
        <w:rPr/>
        <w:t>在子公司的所有者权益份额发生变化且仍控制子公司的交易</w:t>
      </w:r>
      <w:r>
        <w:rPr>
          <w:b w:val="0"/>
          <w:bCs w:val="0"/>
        </w:rPr>
      </w:r>
    </w:p>
    <w:p>
      <w:pPr>
        <w:pStyle w:val="BodyText"/>
        <w:spacing w:line="240" w:lineRule="auto" w:before="56"/>
        <w:ind w:left="13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3"/>
        <w:spacing w:line="240" w:lineRule="auto"/>
        <w:ind w:left="138" w:right="0"/>
        <w:jc w:val="left"/>
        <w:rPr>
          <w:b w:val="0"/>
          <w:bCs w:val="0"/>
        </w:rPr>
      </w:pPr>
      <w:r>
        <w:rPr>
          <w:rFonts w:ascii="宋体" w:hAnsi="宋体" w:cs="宋体" w:eastAsia="宋体" w:hint="default"/>
        </w:rPr>
        <w:t>3</w:t>
      </w:r>
      <w:r>
        <w:rPr/>
        <w:t>、</w:t>
      </w:r>
      <w:r>
        <w:rPr>
          <w:spacing w:val="-4"/>
        </w:rPr>
        <w:t> </w:t>
      </w:r>
      <w:r>
        <w:rPr/>
        <w:t>在合营企业或联营企业中的权益</w:t>
      </w:r>
      <w:r>
        <w:rPr>
          <w:b w:val="0"/>
          <w:bCs w:val="0"/>
        </w:rPr>
      </w:r>
    </w:p>
    <w:p>
      <w:pPr>
        <w:pStyle w:val="BodyText"/>
        <w:spacing w:line="240" w:lineRule="auto" w:before="58"/>
        <w:ind w:left="138"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3"/>
        <w:spacing w:line="240" w:lineRule="auto"/>
        <w:ind w:left="138" w:right="0"/>
        <w:jc w:val="left"/>
        <w:rPr>
          <w:b w:val="0"/>
          <w:bCs w:val="0"/>
        </w:rPr>
      </w:pPr>
      <w:r>
        <w:rPr>
          <w:rFonts w:ascii="宋体" w:hAnsi="宋体" w:cs="宋体" w:eastAsia="宋体" w:hint="default"/>
        </w:rPr>
        <w:t>4</w:t>
      </w:r>
      <w:r>
        <w:rPr/>
        <w:t>、</w:t>
      </w:r>
      <w:r>
        <w:rPr>
          <w:spacing w:val="-1"/>
        </w:rPr>
        <w:t> </w:t>
      </w:r>
      <w:r>
        <w:rPr/>
        <w:t>重要的共同经营</w:t>
      </w:r>
      <w:r>
        <w:rPr>
          <w:b w:val="0"/>
          <w:bCs w:val="0"/>
        </w:rPr>
      </w:r>
    </w:p>
    <w:p>
      <w:pPr>
        <w:pStyle w:val="BodyText"/>
        <w:spacing w:line="240" w:lineRule="auto" w:before="56"/>
        <w:ind w:left="138"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spacing w:line="290" w:lineRule="auto" w:before="0"/>
        <w:ind w:left="138" w:right="3891"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在未纳入合并财务报表范围的结构化主体中的权益</w:t>
      </w:r>
      <w:r>
        <w:rPr>
          <w:rFonts w:ascii="宋体" w:hAnsi="宋体" w:cs="宋体" w:eastAsia="宋体" w:hint="default"/>
          <w:b/>
          <w:bCs/>
          <w:w w:val="100"/>
          <w:sz w:val="21"/>
          <w:szCs w:val="21"/>
        </w:rPr>
        <w:t> </w:t>
      </w:r>
      <w:r>
        <w:rPr>
          <w:rFonts w:ascii="宋体" w:hAnsi="宋体" w:cs="宋体" w:eastAsia="宋体" w:hint="default"/>
          <w:sz w:val="21"/>
          <w:szCs w:val="21"/>
        </w:rPr>
        <w:t>未纳入合并财务报表范围的结构化主体的相关说明：</w:t>
      </w:r>
    </w:p>
    <w:p>
      <w:pPr>
        <w:pStyle w:val="BodyText"/>
        <w:spacing w:line="230" w:lineRule="exact"/>
        <w:ind w:left="13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3"/>
        <w:spacing w:line="240" w:lineRule="auto"/>
        <w:ind w:left="138" w:right="0"/>
        <w:jc w:val="left"/>
        <w:rPr>
          <w:b w:val="0"/>
          <w:bCs w:val="0"/>
        </w:rPr>
      </w:pPr>
      <w:r>
        <w:rPr>
          <w:rFonts w:ascii="宋体" w:hAnsi="宋体" w:cs="宋体" w:eastAsia="宋体" w:hint="default"/>
        </w:rPr>
        <w:t>6</w:t>
      </w:r>
      <w:r>
        <w:rPr/>
        <w:t>、</w:t>
      </w:r>
      <w:r>
        <w:rPr>
          <w:spacing w:val="-3"/>
        </w:rPr>
        <w:t> </w:t>
      </w:r>
      <w:r>
        <w:rPr/>
        <w:t>其他</w:t>
      </w:r>
      <w:r>
        <w:rPr>
          <w:b w:val="0"/>
          <w:bCs w:val="0"/>
        </w:rPr>
      </w:r>
    </w:p>
    <w:p>
      <w:pPr>
        <w:pStyle w:val="BodyText"/>
        <w:tabs>
          <w:tab w:pos="980" w:val="left" w:leader="none"/>
        </w:tabs>
        <w:spacing w:line="240" w:lineRule="auto" w:before="56"/>
        <w:ind w:left="138"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3"/>
        <w:spacing w:line="240" w:lineRule="auto"/>
        <w:ind w:left="138" w:right="0"/>
        <w:jc w:val="left"/>
        <w:rPr>
          <w:b w:val="0"/>
          <w:bCs w:val="0"/>
        </w:rPr>
      </w:pPr>
      <w:r>
        <w:rPr/>
        <w:t>十、与金融工具相关的风险</w:t>
      </w:r>
      <w:r>
        <w:rPr>
          <w:b w:val="0"/>
          <w:bCs w:val="0"/>
        </w:rPr>
      </w:r>
    </w:p>
    <w:p>
      <w:pPr>
        <w:pStyle w:val="BodyText"/>
        <w:spacing w:line="272" w:lineRule="exact" w:before="86"/>
        <w:ind w:left="558" w:right="0" w:hanging="420"/>
        <w:jc w:val="left"/>
      </w:pPr>
      <w:r>
        <w:rPr/>
        <w:t>√适用</w:t>
      </w:r>
      <w:r>
        <w:rPr>
          <w:spacing w:val="-2"/>
        </w:rPr>
        <w:t> </w:t>
      </w:r>
      <w:r>
        <w:rPr/>
        <w:t>□不适用</w:t>
      </w:r>
      <w:r>
        <w:rPr>
          <w:w w:val="100"/>
        </w:rPr>
        <w:t> </w:t>
      </w:r>
      <w:r>
        <w:rPr>
          <w:spacing w:val="-2"/>
        </w:rPr>
        <w:t>本公司的主要金融工具包括货币资金、应收账款、应收利息、其他应收款、其他流动资产、</w:t>
      </w:r>
    </w:p>
    <w:p>
      <w:pPr>
        <w:pStyle w:val="BodyText"/>
        <w:spacing w:line="272" w:lineRule="exact" w:before="2"/>
        <w:ind w:left="138" w:right="0"/>
        <w:jc w:val="left"/>
      </w:pPr>
      <w:r>
        <w:rPr>
          <w:spacing w:val="-2"/>
        </w:rPr>
        <w:t>应付账款、其他应付款。各项金融工具的详细情况已于相关附注内披露。与这些金融工具有关的</w:t>
      </w:r>
      <w:r>
        <w:rPr>
          <w:spacing w:val="-25"/>
        </w:rPr>
        <w:t> </w:t>
      </w:r>
      <w:r>
        <w:rPr>
          <w:spacing w:val="-25"/>
        </w:rPr>
      </w:r>
      <w:r>
        <w:rPr>
          <w:spacing w:val="-2"/>
        </w:rPr>
        <w:t>风险，以及本公司为降低这些风险所采取的风险管理政策如下所述。本公司管理层对这些风险敞</w:t>
      </w:r>
    </w:p>
    <w:p>
      <w:pPr>
        <w:pStyle w:val="BodyText"/>
        <w:spacing w:line="272" w:lineRule="exact" w:before="1"/>
        <w:ind w:left="558" w:right="1400" w:hanging="420"/>
        <w:jc w:val="left"/>
      </w:pPr>
      <w:r>
        <w:rPr>
          <w:spacing w:val="-2"/>
        </w:rPr>
        <w:t>口进行管理和监控以确保将上述风险控制在限定的范围之内。</w:t>
      </w:r>
      <w:r>
        <w:rPr>
          <w:spacing w:val="-52"/>
        </w:rPr>
        <w:t> </w:t>
      </w:r>
      <w:r>
        <w:rPr>
          <w:spacing w:val="-52"/>
        </w:rPr>
      </w:r>
      <w:r>
        <w:rPr>
          <w:rFonts w:ascii="宋体" w:hAnsi="宋体" w:cs="宋体" w:eastAsia="宋体" w:hint="default"/>
        </w:rPr>
        <w:t>1</w:t>
      </w:r>
      <w:r>
        <w:rPr/>
        <w:t>、风险管理目标和政策</w:t>
      </w:r>
    </w:p>
    <w:p>
      <w:pPr>
        <w:pStyle w:val="BodyText"/>
        <w:spacing w:line="272" w:lineRule="exact" w:before="1"/>
        <w:ind w:left="138" w:right="0" w:firstLine="419"/>
        <w:jc w:val="left"/>
      </w:pPr>
      <w:r>
        <w:rPr>
          <w:spacing w:val="-2"/>
        </w:rPr>
        <w:t>本本公司从事风险管理的目标是在风险和收益之间取得适当的平衡，力求降低金融风险对本</w:t>
      </w:r>
      <w:r>
        <w:rPr>
          <w:w w:val="100"/>
        </w:rPr>
        <w:t> </w:t>
      </w:r>
      <w:r>
        <w:rPr>
          <w:spacing w:val="-2"/>
        </w:rPr>
        <w:t>公司财务业绩的不利影响。基于该风险管理目标，本公司已制定风险管理政策以辨别和分析本公</w:t>
      </w:r>
    </w:p>
    <w:p>
      <w:pPr>
        <w:pStyle w:val="BodyText"/>
        <w:spacing w:line="272" w:lineRule="exact" w:before="1"/>
        <w:ind w:left="138" w:right="137"/>
        <w:jc w:val="both"/>
      </w:pPr>
      <w:r>
        <w:rPr>
          <w:spacing w:val="-2"/>
        </w:rPr>
        <w:t>司所面临的风险，设定适当的风险可接受水平并设计相应的内部控制程序，以监控本公司的风险</w:t>
      </w:r>
      <w:r>
        <w:rPr>
          <w:spacing w:val="-25"/>
        </w:rPr>
        <w:t> </w:t>
      </w:r>
      <w:r>
        <w:rPr>
          <w:spacing w:val="-25"/>
        </w:rPr>
      </w:r>
      <w:r>
        <w:rPr>
          <w:spacing w:val="-2"/>
        </w:rPr>
        <w:t>水平。本公司会定期审阅这些风险管理政策及有关内部控制系统，以适应市场情况或本公司经营</w:t>
      </w:r>
      <w:r>
        <w:rPr>
          <w:spacing w:val="-25"/>
        </w:rPr>
        <w:t> </w:t>
      </w:r>
      <w:r>
        <w:rPr>
          <w:spacing w:val="-25"/>
        </w:rPr>
      </w:r>
      <w:r>
        <w:rPr>
          <w:spacing w:val="-2"/>
        </w:rPr>
        <w:t>活动的改变。本公司的内部审计部门也定期或随机检查内部控制系统的执行是否符合风险管理政</w:t>
      </w:r>
    </w:p>
    <w:p>
      <w:pPr>
        <w:pStyle w:val="BodyText"/>
        <w:spacing w:line="247" w:lineRule="exact"/>
        <w:ind w:left="138" w:right="0"/>
        <w:jc w:val="left"/>
      </w:pPr>
      <w:r>
        <w:rPr/>
        <w:t>策。</w:t>
      </w:r>
    </w:p>
    <w:p>
      <w:pPr>
        <w:pStyle w:val="BodyText"/>
        <w:spacing w:line="240" w:lineRule="auto"/>
        <w:ind w:left="138" w:right="0" w:firstLine="419"/>
        <w:jc w:val="left"/>
      </w:pPr>
      <w:r>
        <w:rPr>
          <w:spacing w:val="-2"/>
        </w:rPr>
        <w:t>本公司的金融工具导致的主要风险是信用风险、流动性风险、市场风险（包括利率风险和商</w:t>
      </w:r>
      <w:r>
        <w:rPr>
          <w:w w:val="100"/>
        </w:rPr>
        <w:t> </w:t>
      </w:r>
      <w:r>
        <w:rPr/>
        <w:t>品价格风险）。</w:t>
      </w:r>
    </w:p>
    <w:p>
      <w:pPr>
        <w:pStyle w:val="BodyText"/>
        <w:spacing w:line="237" w:lineRule="auto"/>
        <w:ind w:left="558" w:right="0"/>
        <w:jc w:val="left"/>
      </w:pPr>
      <w:r>
        <w:rPr/>
        <w:t>（</w:t>
      </w:r>
      <w:r>
        <w:rPr>
          <w:rFonts w:ascii="宋体" w:hAnsi="宋体" w:cs="宋体" w:eastAsia="宋体" w:hint="default"/>
        </w:rPr>
        <w:t>1</w:t>
      </w:r>
      <w:r>
        <w:rPr/>
        <w:t>）信用风险</w:t>
      </w:r>
      <w:r>
        <w:rPr>
          <w:w w:val="100"/>
        </w:rPr>
        <w:t> </w:t>
      </w:r>
      <w:r>
        <w:rPr/>
        <w:t>信用风险，是指交易对手方未能履行合同义务而导致本公司产生财务损失的风险。</w:t>
      </w:r>
      <w:r>
        <w:rPr>
          <w:w w:val="100"/>
        </w:rPr>
        <w:t> </w:t>
      </w:r>
      <w:r>
        <w:rPr>
          <w:spacing w:val="-2"/>
        </w:rPr>
        <w:t>本公司对信用风险按组合分类进行管理。信用风险主要产生于银行存款和应收款项等。</w:t>
      </w:r>
    </w:p>
    <w:p>
      <w:pPr>
        <w:spacing w:after="0" w:line="237" w:lineRule="auto"/>
        <w:jc w:val="left"/>
        <w:sectPr>
          <w:pgSz w:w="11910" w:h="16840"/>
          <w:pgMar w:header="0" w:footer="1195" w:top="1320" w:bottom="1380" w:left="1660" w:right="1140"/>
        </w:sectPr>
      </w:pPr>
    </w:p>
    <w:p>
      <w:pPr>
        <w:spacing w:line="240" w:lineRule="auto" w:before="4"/>
        <w:rPr>
          <w:rFonts w:ascii="宋体" w:hAnsi="宋体" w:cs="宋体" w:eastAsia="宋体" w:hint="default"/>
          <w:sz w:val="9"/>
          <w:szCs w:val="9"/>
        </w:rPr>
      </w:pPr>
    </w:p>
    <w:p>
      <w:pPr>
        <w:pStyle w:val="BodyText"/>
        <w:spacing w:line="240" w:lineRule="auto" w:before="36"/>
        <w:ind w:right="317" w:firstLine="419"/>
        <w:jc w:val="both"/>
      </w:pPr>
      <w:r>
        <w:rPr>
          <w:spacing w:val="-2"/>
        </w:rPr>
        <w:t>本公司银行存款主要存放于声誉良好并拥有较高信用评级的金融机构，本公司预期银行存款</w:t>
      </w:r>
      <w:r>
        <w:rPr>
          <w:w w:val="100"/>
        </w:rPr>
        <w:t> </w:t>
      </w:r>
      <w:r>
        <w:rPr/>
        <w:t>不存在重大的信用风险。</w:t>
      </w:r>
    </w:p>
    <w:p>
      <w:pPr>
        <w:pStyle w:val="BodyText"/>
        <w:spacing w:line="237" w:lineRule="auto"/>
        <w:ind w:right="308" w:firstLine="419"/>
        <w:jc w:val="both"/>
      </w:pPr>
      <w:r>
        <w:rPr>
          <w:spacing w:val="-7"/>
          <w:w w:val="100"/>
        </w:rPr>
        <w:t>对于应收款项，本公司设定相关政策以控制信用风险敞口。本公司基于对债务人的财务状况、</w:t>
      </w:r>
      <w:r>
        <w:rPr>
          <w:w w:val="100"/>
        </w:rPr>
        <w:t> </w:t>
      </w:r>
      <w:r>
        <w:rPr>
          <w:spacing w:val="-2"/>
        </w:rPr>
        <w:t>外部评级、从第三方获取担保的可能性、信用记录及其它因素诸如目前市场状况等评估债务人的</w:t>
      </w:r>
      <w:r>
        <w:rPr>
          <w:spacing w:val="-25"/>
        </w:rPr>
        <w:t> </w:t>
      </w:r>
      <w:r>
        <w:rPr>
          <w:spacing w:val="-25"/>
        </w:rPr>
      </w:r>
      <w:r>
        <w:rPr>
          <w:spacing w:val="-2"/>
        </w:rPr>
        <w:t>信用资质并设置相应欠款额度与信用期限。本公司会定期对债务人信用记录进行监控，对于信用</w:t>
      </w:r>
      <w:r>
        <w:rPr>
          <w:spacing w:val="-25"/>
        </w:rPr>
        <w:t> </w:t>
      </w:r>
      <w:r>
        <w:rPr>
          <w:spacing w:val="-25"/>
        </w:rPr>
      </w:r>
      <w:r>
        <w:rPr>
          <w:spacing w:val="-2"/>
        </w:rPr>
        <w:t>记录不良的债务人，本公司会采用书面催款、缩短信用期或取消信用期等方式，以确保本公司的</w:t>
      </w:r>
      <w:r>
        <w:rPr>
          <w:spacing w:val="-25"/>
        </w:rPr>
        <w:t> </w:t>
      </w:r>
      <w:r>
        <w:rPr>
          <w:spacing w:val="-25"/>
        </w:rPr>
      </w:r>
      <w:r>
        <w:rPr/>
        <w:t>整体信用风险在可控的范围内。</w:t>
      </w:r>
    </w:p>
    <w:p>
      <w:pPr>
        <w:pStyle w:val="BodyText"/>
        <w:spacing w:line="272" w:lineRule="exact" w:before="26"/>
        <w:ind w:right="317" w:firstLine="419"/>
        <w:jc w:val="both"/>
      </w:pPr>
      <w:r>
        <w:rPr>
          <w:spacing w:val="-2"/>
        </w:rPr>
        <w:t>本公司所承受的最大信用风险敞口为资产负债表中每项金融资产的账面金额。本公司没有提</w:t>
      </w:r>
      <w:r>
        <w:rPr>
          <w:w w:val="100"/>
        </w:rPr>
        <w:t> </w:t>
      </w:r>
      <w:r>
        <w:rPr/>
        <w:t>供任何其他可能令本公司承受信用风险的担保。</w:t>
      </w:r>
    </w:p>
    <w:p>
      <w:pPr>
        <w:pStyle w:val="BodyText"/>
        <w:spacing w:line="272" w:lineRule="exact" w:before="1"/>
        <w:ind w:right="307" w:firstLine="419"/>
        <w:jc w:val="both"/>
      </w:pPr>
      <w:r>
        <w:rPr>
          <w:spacing w:val="-2"/>
        </w:rPr>
        <w:t>本公司应收账款中，欠款金额前五大客户的应收账款占本公司应收账款总额的</w:t>
      </w:r>
      <w:r>
        <w:rPr>
          <w:spacing w:val="-14"/>
        </w:rPr>
        <w:t> </w:t>
      </w:r>
      <w:r>
        <w:rPr>
          <w:rFonts w:ascii="宋体" w:hAnsi="宋体" w:cs="宋体" w:eastAsia="宋体" w:hint="default"/>
          <w:spacing w:val="-3"/>
        </w:rPr>
        <w:t>24.27%</w:t>
      </w:r>
      <w:r>
        <w:rPr>
          <w:spacing w:val="-3"/>
        </w:rPr>
        <w:t>（</w:t>
      </w:r>
      <w:r>
        <w:rPr>
          <w:rFonts w:ascii="宋体" w:hAnsi="宋体" w:cs="宋体" w:eastAsia="宋体" w:hint="default"/>
          <w:spacing w:val="-3"/>
        </w:rPr>
        <w:t>2016</w:t>
      </w:r>
      <w:r>
        <w:rPr>
          <w:rFonts w:ascii="宋体" w:hAnsi="宋体" w:cs="宋体" w:eastAsia="宋体" w:hint="default"/>
          <w:w w:val="100"/>
        </w:rPr>
        <w:t> </w:t>
      </w:r>
      <w:r>
        <w:rPr>
          <w:spacing w:val="-2"/>
        </w:rPr>
        <w:t>年：</w:t>
      </w:r>
      <w:r>
        <w:rPr>
          <w:rFonts w:ascii="宋体" w:hAnsi="宋体" w:cs="宋体" w:eastAsia="宋体" w:hint="default"/>
          <w:spacing w:val="-2"/>
        </w:rPr>
        <w:t>24.88%</w:t>
      </w:r>
      <w:r>
        <w:rPr>
          <w:spacing w:val="-2"/>
        </w:rPr>
        <w:t>）；本公司其他应收款中，欠款金额前五大公司的其他应收款占本公司其他应收款总</w:t>
      </w:r>
    </w:p>
    <w:p>
      <w:pPr>
        <w:pStyle w:val="BodyText"/>
        <w:spacing w:line="247" w:lineRule="exact"/>
        <w:ind w:right="0"/>
        <w:jc w:val="left"/>
      </w:pPr>
      <w:r>
        <w:rPr/>
        <w:t>额的</w:t>
      </w:r>
      <w:r>
        <w:rPr>
          <w:spacing w:val="-56"/>
        </w:rPr>
        <w:t> </w:t>
      </w:r>
      <w:r>
        <w:rPr>
          <w:rFonts w:ascii="宋体" w:hAnsi="宋体" w:cs="宋体" w:eastAsia="宋体" w:hint="default"/>
        </w:rPr>
        <w:t>30.89%</w:t>
      </w:r>
      <w:r>
        <w:rPr/>
        <w:t>（</w:t>
      </w:r>
      <w:r>
        <w:rPr>
          <w:rFonts w:ascii="宋体" w:hAnsi="宋体" w:cs="宋体" w:eastAsia="宋体" w:hint="default"/>
        </w:rPr>
        <w:t>2016</w:t>
      </w:r>
      <w:r>
        <w:rPr>
          <w:rFonts w:ascii="宋体" w:hAnsi="宋体" w:cs="宋体" w:eastAsia="宋体" w:hint="default"/>
          <w:spacing w:val="-58"/>
        </w:rPr>
        <w:t> </w:t>
      </w:r>
      <w:r>
        <w:rPr/>
        <w:t>年：</w:t>
      </w:r>
      <w:r>
        <w:rPr>
          <w:rFonts w:ascii="宋体" w:hAnsi="宋体" w:cs="宋体" w:eastAsia="宋体" w:hint="default"/>
        </w:rPr>
        <w:t>59.48%</w:t>
      </w:r>
      <w:r>
        <w:rPr/>
        <w:t>）。</w:t>
      </w:r>
    </w:p>
    <w:p>
      <w:pPr>
        <w:pStyle w:val="BodyText"/>
        <w:spacing w:line="240" w:lineRule="auto"/>
        <w:ind w:left="638" w:right="0"/>
        <w:jc w:val="left"/>
      </w:pPr>
      <w:r>
        <w:rPr/>
        <w:t>（</w:t>
      </w:r>
      <w:r>
        <w:rPr>
          <w:rFonts w:ascii="宋体" w:hAnsi="宋体" w:cs="宋体" w:eastAsia="宋体" w:hint="default"/>
        </w:rPr>
        <w:t>2</w:t>
      </w:r>
      <w:r>
        <w:rPr/>
        <w:t>）流动性风险</w:t>
      </w:r>
      <w:r>
        <w:rPr>
          <w:w w:val="100"/>
        </w:rPr>
        <w:t> </w:t>
      </w:r>
      <w:r>
        <w:rPr>
          <w:spacing w:val="-2"/>
        </w:rPr>
        <w:t>流动性风险，是指本公司在履行以交付现金或其他金融资产的方式结算的义务时发生资金短</w:t>
      </w:r>
    </w:p>
    <w:p>
      <w:pPr>
        <w:pStyle w:val="BodyText"/>
        <w:spacing w:line="271" w:lineRule="exact"/>
        <w:ind w:right="0"/>
        <w:jc w:val="left"/>
      </w:pPr>
      <w:r>
        <w:rPr/>
        <w:t>缺的风险。</w:t>
      </w:r>
    </w:p>
    <w:p>
      <w:pPr>
        <w:pStyle w:val="BodyText"/>
        <w:spacing w:line="237" w:lineRule="auto" w:before="2"/>
        <w:ind w:right="317" w:firstLine="419"/>
        <w:jc w:val="both"/>
      </w:pPr>
      <w:r>
        <w:rPr>
          <w:spacing w:val="-2"/>
        </w:rPr>
        <w:t>管理流动风险时，本公司保持管理层认为充分的现金及现金等价物，并对其进行监控，以满</w:t>
      </w:r>
      <w:r>
        <w:rPr>
          <w:w w:val="100"/>
        </w:rPr>
        <w:t> </w:t>
      </w:r>
      <w:r>
        <w:rPr>
          <w:spacing w:val="-2"/>
        </w:rPr>
        <w:t>足本公司经营需要，并降低现金流量波动的影响。本公司主要通过经营业务产生的资金来筹措营</w:t>
      </w:r>
      <w:r>
        <w:rPr>
          <w:spacing w:val="-25"/>
        </w:rPr>
        <w:t> </w:t>
      </w:r>
      <w:r>
        <w:rPr>
          <w:spacing w:val="-25"/>
        </w:rPr>
      </w:r>
      <w:r>
        <w:rPr/>
        <w:t>运资金，无银行融资行为。</w:t>
      </w:r>
    </w:p>
    <w:p>
      <w:pPr>
        <w:pStyle w:val="BodyText"/>
        <w:spacing w:line="272" w:lineRule="exact" w:before="24"/>
        <w:ind w:left="638" w:right="0"/>
        <w:jc w:val="left"/>
      </w:pPr>
      <w:r>
        <w:rPr/>
        <w:t>本公司通过经营业务产生的资金筹措营运资金，未通过银行及其他借款来源筹资。</w:t>
      </w:r>
      <w:r>
        <w:rPr>
          <w:w w:val="100"/>
        </w:rPr>
        <w:t> </w:t>
      </w:r>
      <w:r>
        <w:rPr>
          <w:spacing w:val="-2"/>
        </w:rPr>
        <w:t>期末本公司持有的金融资产、金融负债和表外担保项目按未折现剩余合同现金流量的到期期</w:t>
      </w:r>
    </w:p>
    <w:p>
      <w:pPr>
        <w:pStyle w:val="BodyText"/>
        <w:spacing w:line="272" w:lineRule="exact" w:before="1"/>
        <w:ind w:left="638" w:right="0" w:hanging="420"/>
        <w:jc w:val="left"/>
      </w:pPr>
      <w:r>
        <w:rPr/>
        <w:t>限分析如下（单位：人民币元）：</w:t>
      </w:r>
      <w:r>
        <w:rPr>
          <w:w w:val="100"/>
        </w:rPr>
        <w:t> </w:t>
      </w:r>
      <w:r>
        <w:rPr>
          <w:spacing w:val="-2"/>
        </w:rPr>
        <w:t>期末本公司持有的金融负债和表外担保项目按未折现剩余合同现金流量的到期期限分析如下：</w:t>
      </w:r>
    </w:p>
    <w:tbl>
      <w:tblPr>
        <w:tblW w:w="0" w:type="auto"/>
        <w:jc w:val="left"/>
        <w:tblInd w:w="105" w:type="dxa"/>
        <w:tblLayout w:type="fixed"/>
        <w:tblCellMar>
          <w:top w:w="0" w:type="dxa"/>
          <w:left w:w="0" w:type="dxa"/>
          <w:bottom w:w="0" w:type="dxa"/>
          <w:right w:w="0" w:type="dxa"/>
        </w:tblCellMar>
        <w:tblLook w:val="01E0"/>
      </w:tblPr>
      <w:tblGrid>
        <w:gridCol w:w="1810"/>
        <w:gridCol w:w="1810"/>
        <w:gridCol w:w="1810"/>
        <w:gridCol w:w="1810"/>
        <w:gridCol w:w="1810"/>
      </w:tblGrid>
      <w:tr>
        <w:trPr>
          <w:trHeight w:val="283" w:hRule="exact"/>
        </w:trPr>
        <w:tc>
          <w:tcPr>
            <w:tcW w:w="1810" w:type="dxa"/>
            <w:vMerge w:val="restart"/>
            <w:tcBorders>
              <w:top w:val="single" w:sz="4" w:space="0" w:color="000000"/>
              <w:left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72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b/>
                <w:sz w:val="21"/>
              </w:rPr>
              <w:t>2017.12.31</w:t>
            </w:r>
            <w:r>
              <w:rPr>
                <w:rFonts w:ascii="宋体"/>
                <w:sz w:val="21"/>
              </w:rPr>
            </w:r>
          </w:p>
        </w:tc>
      </w:tr>
      <w:tr>
        <w:trPr>
          <w:trHeight w:val="281" w:hRule="exact"/>
        </w:trPr>
        <w:tc>
          <w:tcPr>
            <w:tcW w:w="1810" w:type="dxa"/>
            <w:vMerge/>
            <w:tcBorders>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8" w:right="0"/>
              <w:jc w:val="left"/>
              <w:rPr>
                <w:rFonts w:ascii="宋体" w:hAnsi="宋体" w:cs="宋体" w:eastAsia="宋体" w:hint="default"/>
                <w:sz w:val="21"/>
                <w:szCs w:val="21"/>
              </w:rPr>
            </w:pPr>
            <w:r>
              <w:rPr>
                <w:rFonts w:ascii="宋体" w:hAnsi="宋体" w:cs="宋体" w:eastAsia="宋体" w:hint="default"/>
                <w:b/>
                <w:bCs/>
                <w:sz w:val="21"/>
                <w:szCs w:val="21"/>
              </w:rPr>
              <w:t>6</w:t>
            </w:r>
            <w:r>
              <w:rPr>
                <w:rFonts w:ascii="宋体" w:hAnsi="宋体" w:cs="宋体" w:eastAsia="宋体" w:hint="default"/>
                <w:b/>
                <w:bCs/>
                <w:spacing w:val="-53"/>
                <w:sz w:val="21"/>
                <w:szCs w:val="21"/>
              </w:rPr>
              <w:t> </w:t>
            </w:r>
            <w:r>
              <w:rPr>
                <w:rFonts w:ascii="宋体" w:hAnsi="宋体" w:cs="宋体" w:eastAsia="宋体" w:hint="default"/>
                <w:b/>
                <w:bCs/>
                <w:sz w:val="21"/>
                <w:szCs w:val="21"/>
              </w:rPr>
              <w:t>个月以内</w:t>
            </w:r>
            <w:r>
              <w:rPr>
                <w:rFonts w:ascii="宋体" w:hAnsi="宋体" w:cs="宋体" w:eastAsia="宋体" w:hint="default"/>
                <w:sz w:val="21"/>
                <w:szCs w:val="21"/>
              </w:rPr>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4" w:right="0"/>
              <w:jc w:val="left"/>
              <w:rPr>
                <w:rFonts w:ascii="宋体" w:hAnsi="宋体" w:cs="宋体" w:eastAsia="宋体" w:hint="default"/>
                <w:sz w:val="21"/>
                <w:szCs w:val="21"/>
              </w:rPr>
            </w:pPr>
            <w:r>
              <w:rPr>
                <w:rFonts w:ascii="宋体" w:hAnsi="宋体" w:cs="宋体" w:eastAsia="宋体" w:hint="default"/>
                <w:b/>
                <w:bCs/>
                <w:sz w:val="21"/>
                <w:szCs w:val="21"/>
              </w:rPr>
              <w:t>6</w:t>
            </w:r>
            <w:r>
              <w:rPr>
                <w:rFonts w:ascii="宋体" w:hAnsi="宋体" w:cs="宋体" w:eastAsia="宋体" w:hint="default"/>
                <w:b/>
                <w:bCs/>
                <w:spacing w:val="-54"/>
                <w:sz w:val="21"/>
                <w:szCs w:val="21"/>
              </w:rPr>
              <w:t> </w:t>
            </w:r>
            <w:r>
              <w:rPr>
                <w:rFonts w:ascii="宋体" w:hAnsi="宋体" w:cs="宋体" w:eastAsia="宋体" w:hint="default"/>
                <w:b/>
                <w:bCs/>
                <w:sz w:val="21"/>
                <w:szCs w:val="21"/>
              </w:rPr>
              <w:t>至</w:t>
            </w:r>
            <w:r>
              <w:rPr>
                <w:rFonts w:ascii="宋体" w:hAnsi="宋体" w:cs="宋体" w:eastAsia="宋体" w:hint="default"/>
                <w:b/>
                <w:bCs/>
                <w:spacing w:val="-54"/>
                <w:sz w:val="21"/>
                <w:szCs w:val="21"/>
              </w:rPr>
              <w:t> </w:t>
            </w:r>
            <w:r>
              <w:rPr>
                <w:rFonts w:ascii="宋体" w:hAnsi="宋体" w:cs="宋体" w:eastAsia="宋体" w:hint="default"/>
                <w:b/>
                <w:bCs/>
                <w:sz w:val="21"/>
                <w:szCs w:val="21"/>
              </w:rPr>
              <w:t>12</w:t>
            </w:r>
            <w:r>
              <w:rPr>
                <w:rFonts w:ascii="宋体" w:hAnsi="宋体" w:cs="宋体" w:eastAsia="宋体" w:hint="default"/>
                <w:b/>
                <w:bCs/>
                <w:spacing w:val="-54"/>
                <w:sz w:val="21"/>
                <w:szCs w:val="21"/>
              </w:rPr>
              <w:t> </w:t>
            </w:r>
            <w:r>
              <w:rPr>
                <w:rFonts w:ascii="宋体" w:hAnsi="宋体" w:cs="宋体" w:eastAsia="宋体" w:hint="default"/>
                <w:b/>
                <w:bCs/>
                <w:sz w:val="21"/>
                <w:szCs w:val="21"/>
              </w:rPr>
              <w:t>个月以内</w:t>
            </w:r>
            <w:r>
              <w:rPr>
                <w:rFonts w:ascii="宋体" w:hAnsi="宋体" w:cs="宋体" w:eastAsia="宋体" w:hint="default"/>
                <w:sz w:val="21"/>
                <w:szCs w:val="21"/>
              </w:rPr>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2" w:right="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54"/>
                <w:sz w:val="21"/>
                <w:szCs w:val="21"/>
              </w:rPr>
              <w:t> </w:t>
            </w:r>
            <w:r>
              <w:rPr>
                <w:rFonts w:ascii="宋体" w:hAnsi="宋体" w:cs="宋体" w:eastAsia="宋体" w:hint="default"/>
                <w:b/>
                <w:bCs/>
                <w:sz w:val="21"/>
                <w:szCs w:val="21"/>
              </w:rPr>
              <w:t>至</w:t>
            </w:r>
            <w:r>
              <w:rPr>
                <w:rFonts w:ascii="宋体" w:hAnsi="宋体" w:cs="宋体" w:eastAsia="宋体" w:hint="default"/>
                <w:b/>
                <w:bCs/>
                <w:spacing w:val="-54"/>
                <w:sz w:val="21"/>
                <w:szCs w:val="21"/>
              </w:rPr>
              <w:t> </w:t>
            </w:r>
            <w:r>
              <w:rPr>
                <w:rFonts w:ascii="宋体" w:hAnsi="宋体" w:cs="宋体" w:eastAsia="宋体" w:hint="default"/>
                <w:b/>
                <w:bCs/>
                <w:sz w:val="21"/>
                <w:szCs w:val="21"/>
              </w:rPr>
              <w:t>5</w:t>
            </w:r>
            <w:r>
              <w:rPr>
                <w:rFonts w:ascii="宋体" w:hAnsi="宋体" w:cs="宋体" w:eastAsia="宋体" w:hint="default"/>
                <w:b/>
                <w:bCs/>
                <w:spacing w:val="-54"/>
                <w:sz w:val="21"/>
                <w:szCs w:val="21"/>
              </w:rPr>
              <w:t> </w:t>
            </w:r>
            <w:r>
              <w:rPr>
                <w:rFonts w:ascii="宋体" w:hAnsi="宋体" w:cs="宋体" w:eastAsia="宋体" w:hint="default"/>
                <w:b/>
                <w:bCs/>
                <w:sz w:val="21"/>
                <w:szCs w:val="21"/>
              </w:rPr>
              <w:t>年以内</w:t>
            </w:r>
            <w:r>
              <w:rPr>
                <w:rFonts w:ascii="宋体" w:hAnsi="宋体" w:cs="宋体" w:eastAsia="宋体" w:hint="default"/>
                <w:sz w:val="21"/>
                <w:szCs w:val="21"/>
              </w:rPr>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r>
      <w:tr>
        <w:trPr>
          <w:trHeight w:val="284" w:hRule="exact"/>
        </w:trPr>
        <w:tc>
          <w:tcPr>
            <w:tcW w:w="905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金融负债：</w:t>
            </w: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1,103,508.23</w:t>
            </w:r>
          </w:p>
        </w:tc>
        <w:tc>
          <w:tcPr>
            <w:tcW w:w="1810"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1,103,508.23</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38,572,334.17</w:t>
            </w:r>
          </w:p>
        </w:tc>
        <w:tc>
          <w:tcPr>
            <w:tcW w:w="1810"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38,572,334.17</w:t>
            </w:r>
          </w:p>
        </w:tc>
      </w:tr>
      <w:tr>
        <w:trPr>
          <w:trHeight w:val="55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pacing w:val="15"/>
                <w:sz w:val="21"/>
                <w:szCs w:val="21"/>
              </w:rPr>
              <w:t>金融负债和或有</w:t>
            </w:r>
            <w:r>
              <w:rPr>
                <w:rFonts w:ascii="宋体" w:hAnsi="宋体" w:cs="宋体" w:eastAsia="宋体" w:hint="default"/>
                <w:b/>
                <w:bCs/>
                <w:spacing w:val="-87"/>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负债合计</w:t>
            </w:r>
            <w:r>
              <w:rPr>
                <w:rFonts w:ascii="宋体" w:hAnsi="宋体" w:cs="宋体" w:eastAsia="宋体" w:hint="default"/>
                <w:sz w:val="21"/>
                <w:szCs w:val="21"/>
              </w:rPr>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b/>
                <w:w w:val="95"/>
                <w:sz w:val="21"/>
              </w:rPr>
              <w:t>39,675,842.40</w:t>
            </w:r>
            <w:r>
              <w:rPr>
                <w:rFonts w:ascii="宋体"/>
                <w:sz w:val="21"/>
              </w:rPr>
            </w:r>
          </w:p>
        </w:tc>
        <w:tc>
          <w:tcPr>
            <w:tcW w:w="1810"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b/>
                <w:w w:val="95"/>
                <w:sz w:val="21"/>
              </w:rPr>
              <w:t>39,675,842.40</w:t>
            </w:r>
            <w:r>
              <w:rPr>
                <w:rFonts w:ascii="宋体"/>
                <w:sz w:val="21"/>
              </w:rPr>
            </w:r>
          </w:p>
        </w:tc>
      </w:tr>
    </w:tbl>
    <w:p>
      <w:pPr>
        <w:pStyle w:val="BodyText"/>
        <w:spacing w:line="249" w:lineRule="exact"/>
        <w:ind w:left="638" w:right="0"/>
        <w:jc w:val="left"/>
      </w:pPr>
      <w:r>
        <w:rPr/>
        <w:t>期初本公司持有的金融负债和表外担保项目按未折现剩余合同现金流量的到期期限分析如下：</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810"/>
        <w:gridCol w:w="1810"/>
        <w:gridCol w:w="1810"/>
        <w:gridCol w:w="1810"/>
        <w:gridCol w:w="1810"/>
      </w:tblGrid>
      <w:tr>
        <w:trPr>
          <w:trHeight w:val="283" w:hRule="exact"/>
        </w:trPr>
        <w:tc>
          <w:tcPr>
            <w:tcW w:w="1810" w:type="dxa"/>
            <w:vMerge w:val="restart"/>
            <w:tcBorders>
              <w:top w:val="single" w:sz="4" w:space="0" w:color="000000"/>
              <w:left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72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b/>
                <w:sz w:val="21"/>
              </w:rPr>
              <w:t>2016.12.31</w:t>
            </w:r>
            <w:r>
              <w:rPr>
                <w:rFonts w:ascii="宋体"/>
                <w:sz w:val="21"/>
              </w:rPr>
            </w:r>
          </w:p>
        </w:tc>
      </w:tr>
      <w:tr>
        <w:trPr>
          <w:trHeight w:val="281" w:hRule="exact"/>
        </w:trPr>
        <w:tc>
          <w:tcPr>
            <w:tcW w:w="1810" w:type="dxa"/>
            <w:vMerge/>
            <w:tcBorders>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8" w:right="0"/>
              <w:jc w:val="left"/>
              <w:rPr>
                <w:rFonts w:ascii="宋体" w:hAnsi="宋体" w:cs="宋体" w:eastAsia="宋体" w:hint="default"/>
                <w:sz w:val="21"/>
                <w:szCs w:val="21"/>
              </w:rPr>
            </w:pPr>
            <w:r>
              <w:rPr>
                <w:rFonts w:ascii="宋体" w:hAnsi="宋体" w:cs="宋体" w:eastAsia="宋体" w:hint="default"/>
                <w:b/>
                <w:bCs/>
                <w:sz w:val="21"/>
                <w:szCs w:val="21"/>
              </w:rPr>
              <w:t>6</w:t>
            </w:r>
            <w:r>
              <w:rPr>
                <w:rFonts w:ascii="宋体" w:hAnsi="宋体" w:cs="宋体" w:eastAsia="宋体" w:hint="default"/>
                <w:b/>
                <w:bCs/>
                <w:spacing w:val="-53"/>
                <w:sz w:val="21"/>
                <w:szCs w:val="21"/>
              </w:rPr>
              <w:t> </w:t>
            </w:r>
            <w:r>
              <w:rPr>
                <w:rFonts w:ascii="宋体" w:hAnsi="宋体" w:cs="宋体" w:eastAsia="宋体" w:hint="default"/>
                <w:b/>
                <w:bCs/>
                <w:sz w:val="21"/>
                <w:szCs w:val="21"/>
              </w:rPr>
              <w:t>个月以内</w:t>
            </w:r>
            <w:r>
              <w:rPr>
                <w:rFonts w:ascii="宋体" w:hAnsi="宋体" w:cs="宋体" w:eastAsia="宋体" w:hint="default"/>
                <w:sz w:val="21"/>
                <w:szCs w:val="21"/>
              </w:rPr>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4" w:right="0"/>
              <w:jc w:val="left"/>
              <w:rPr>
                <w:rFonts w:ascii="宋体" w:hAnsi="宋体" w:cs="宋体" w:eastAsia="宋体" w:hint="default"/>
                <w:sz w:val="21"/>
                <w:szCs w:val="21"/>
              </w:rPr>
            </w:pPr>
            <w:r>
              <w:rPr>
                <w:rFonts w:ascii="宋体" w:hAnsi="宋体" w:cs="宋体" w:eastAsia="宋体" w:hint="default"/>
                <w:b/>
                <w:bCs/>
                <w:sz w:val="21"/>
                <w:szCs w:val="21"/>
              </w:rPr>
              <w:t>6</w:t>
            </w:r>
            <w:r>
              <w:rPr>
                <w:rFonts w:ascii="宋体" w:hAnsi="宋体" w:cs="宋体" w:eastAsia="宋体" w:hint="default"/>
                <w:b/>
                <w:bCs/>
                <w:spacing w:val="-54"/>
                <w:sz w:val="21"/>
                <w:szCs w:val="21"/>
              </w:rPr>
              <w:t> </w:t>
            </w:r>
            <w:r>
              <w:rPr>
                <w:rFonts w:ascii="宋体" w:hAnsi="宋体" w:cs="宋体" w:eastAsia="宋体" w:hint="default"/>
                <w:b/>
                <w:bCs/>
                <w:sz w:val="21"/>
                <w:szCs w:val="21"/>
              </w:rPr>
              <w:t>至</w:t>
            </w:r>
            <w:r>
              <w:rPr>
                <w:rFonts w:ascii="宋体" w:hAnsi="宋体" w:cs="宋体" w:eastAsia="宋体" w:hint="default"/>
                <w:b/>
                <w:bCs/>
                <w:spacing w:val="-54"/>
                <w:sz w:val="21"/>
                <w:szCs w:val="21"/>
              </w:rPr>
              <w:t> </w:t>
            </w:r>
            <w:r>
              <w:rPr>
                <w:rFonts w:ascii="宋体" w:hAnsi="宋体" w:cs="宋体" w:eastAsia="宋体" w:hint="default"/>
                <w:b/>
                <w:bCs/>
                <w:sz w:val="21"/>
                <w:szCs w:val="21"/>
              </w:rPr>
              <w:t>12</w:t>
            </w:r>
            <w:r>
              <w:rPr>
                <w:rFonts w:ascii="宋体" w:hAnsi="宋体" w:cs="宋体" w:eastAsia="宋体" w:hint="default"/>
                <w:b/>
                <w:bCs/>
                <w:spacing w:val="-54"/>
                <w:sz w:val="21"/>
                <w:szCs w:val="21"/>
              </w:rPr>
              <w:t> </w:t>
            </w:r>
            <w:r>
              <w:rPr>
                <w:rFonts w:ascii="宋体" w:hAnsi="宋体" w:cs="宋体" w:eastAsia="宋体" w:hint="default"/>
                <w:b/>
                <w:bCs/>
                <w:sz w:val="21"/>
                <w:szCs w:val="21"/>
              </w:rPr>
              <w:t>个月以内</w:t>
            </w:r>
            <w:r>
              <w:rPr>
                <w:rFonts w:ascii="宋体" w:hAnsi="宋体" w:cs="宋体" w:eastAsia="宋体" w:hint="default"/>
                <w:sz w:val="21"/>
                <w:szCs w:val="21"/>
              </w:rPr>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2" w:right="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54"/>
                <w:sz w:val="21"/>
                <w:szCs w:val="21"/>
              </w:rPr>
              <w:t> </w:t>
            </w:r>
            <w:r>
              <w:rPr>
                <w:rFonts w:ascii="宋体" w:hAnsi="宋体" w:cs="宋体" w:eastAsia="宋体" w:hint="default"/>
                <w:b/>
                <w:bCs/>
                <w:sz w:val="21"/>
                <w:szCs w:val="21"/>
              </w:rPr>
              <w:t>至</w:t>
            </w:r>
            <w:r>
              <w:rPr>
                <w:rFonts w:ascii="宋体" w:hAnsi="宋体" w:cs="宋体" w:eastAsia="宋体" w:hint="default"/>
                <w:b/>
                <w:bCs/>
                <w:spacing w:val="-54"/>
                <w:sz w:val="21"/>
                <w:szCs w:val="21"/>
              </w:rPr>
              <w:t> </w:t>
            </w:r>
            <w:r>
              <w:rPr>
                <w:rFonts w:ascii="宋体" w:hAnsi="宋体" w:cs="宋体" w:eastAsia="宋体" w:hint="default"/>
                <w:b/>
                <w:bCs/>
                <w:sz w:val="21"/>
                <w:szCs w:val="21"/>
              </w:rPr>
              <w:t>5</w:t>
            </w:r>
            <w:r>
              <w:rPr>
                <w:rFonts w:ascii="宋体" w:hAnsi="宋体" w:cs="宋体" w:eastAsia="宋体" w:hint="default"/>
                <w:b/>
                <w:bCs/>
                <w:spacing w:val="-54"/>
                <w:sz w:val="21"/>
                <w:szCs w:val="21"/>
              </w:rPr>
              <w:t> </w:t>
            </w:r>
            <w:r>
              <w:rPr>
                <w:rFonts w:ascii="宋体" w:hAnsi="宋体" w:cs="宋体" w:eastAsia="宋体" w:hint="default"/>
                <w:b/>
                <w:bCs/>
                <w:sz w:val="21"/>
                <w:szCs w:val="21"/>
              </w:rPr>
              <w:t>年以内</w:t>
            </w:r>
            <w:r>
              <w:rPr>
                <w:rFonts w:ascii="宋体" w:hAnsi="宋体" w:cs="宋体" w:eastAsia="宋体" w:hint="default"/>
                <w:sz w:val="21"/>
                <w:szCs w:val="21"/>
              </w:rPr>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8"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r>
      <w:tr>
        <w:trPr>
          <w:trHeight w:val="283" w:hRule="exact"/>
        </w:trPr>
        <w:tc>
          <w:tcPr>
            <w:tcW w:w="905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金融负债：</w:t>
            </w: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583,866.82</w:t>
            </w:r>
          </w:p>
        </w:tc>
        <w:tc>
          <w:tcPr>
            <w:tcW w:w="1810"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5" w:right="0"/>
              <w:jc w:val="left"/>
              <w:rPr>
                <w:rFonts w:ascii="宋体" w:hAnsi="宋体" w:cs="宋体" w:eastAsia="宋体" w:hint="default"/>
                <w:sz w:val="21"/>
                <w:szCs w:val="21"/>
              </w:rPr>
            </w:pPr>
            <w:r>
              <w:rPr>
                <w:rFonts w:ascii="宋体"/>
                <w:sz w:val="21"/>
              </w:rPr>
              <w:t>583,866.82</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110,972.30</w:t>
            </w:r>
          </w:p>
        </w:tc>
        <w:tc>
          <w:tcPr>
            <w:tcW w:w="1810"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45" w:right="0"/>
              <w:jc w:val="left"/>
              <w:rPr>
                <w:rFonts w:ascii="宋体" w:hAnsi="宋体" w:cs="宋体" w:eastAsia="宋体" w:hint="default"/>
                <w:sz w:val="21"/>
                <w:szCs w:val="21"/>
              </w:rPr>
            </w:pPr>
            <w:r>
              <w:rPr>
                <w:rFonts w:ascii="宋体"/>
                <w:sz w:val="21"/>
              </w:rPr>
              <w:t>110,972.30</w:t>
            </w:r>
          </w:p>
        </w:tc>
      </w:tr>
      <w:tr>
        <w:trPr>
          <w:trHeight w:val="555"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pacing w:val="15"/>
                <w:sz w:val="21"/>
                <w:szCs w:val="21"/>
              </w:rPr>
              <w:t>金融负债和或有</w:t>
            </w:r>
            <w:r>
              <w:rPr>
                <w:rFonts w:ascii="宋体" w:hAnsi="宋体" w:cs="宋体" w:eastAsia="宋体" w:hint="default"/>
                <w:b/>
                <w:bCs/>
                <w:spacing w:val="-87"/>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负债合计</w:t>
            </w:r>
            <w:r>
              <w:rPr>
                <w:rFonts w:ascii="宋体" w:hAnsi="宋体" w:cs="宋体" w:eastAsia="宋体" w:hint="default"/>
                <w:sz w:val="21"/>
                <w:szCs w:val="21"/>
              </w:rPr>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b/>
                <w:w w:val="95"/>
                <w:sz w:val="21"/>
              </w:rPr>
              <w:t>694,839.12</w:t>
            </w:r>
            <w:r>
              <w:rPr>
                <w:rFonts w:ascii="宋体"/>
                <w:sz w:val="21"/>
              </w:rPr>
            </w:r>
          </w:p>
        </w:tc>
        <w:tc>
          <w:tcPr>
            <w:tcW w:w="1810"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8" w:right="0"/>
              <w:jc w:val="left"/>
              <w:rPr>
                <w:rFonts w:ascii="宋体" w:hAnsi="宋体" w:cs="宋体" w:eastAsia="宋体" w:hint="default"/>
                <w:sz w:val="21"/>
                <w:szCs w:val="21"/>
              </w:rPr>
            </w:pPr>
            <w:r>
              <w:rPr>
                <w:rFonts w:ascii="宋体"/>
                <w:b/>
                <w:sz w:val="21"/>
              </w:rPr>
              <w:t>694,839.12</w:t>
            </w:r>
            <w:r>
              <w:rPr>
                <w:rFonts w:ascii="宋体"/>
                <w:sz w:val="21"/>
              </w:rPr>
            </w:r>
          </w:p>
        </w:tc>
      </w:tr>
    </w:tbl>
    <w:p>
      <w:pPr>
        <w:pStyle w:val="BodyText"/>
        <w:spacing w:line="240" w:lineRule="exact"/>
        <w:ind w:left="638" w:right="0"/>
        <w:jc w:val="left"/>
      </w:pPr>
      <w:r>
        <w:rPr/>
        <w:t>上表中披露的金融负债金额为未经折现的合同现金流量，因而可能与资产负债表中的账面金</w:t>
      </w:r>
    </w:p>
    <w:p>
      <w:pPr>
        <w:pStyle w:val="BodyText"/>
        <w:spacing w:line="272" w:lineRule="exact"/>
        <w:ind w:right="0"/>
        <w:jc w:val="left"/>
      </w:pPr>
      <w:r>
        <w:rPr/>
        <w:t>额有所不同。</w:t>
      </w:r>
    </w:p>
    <w:p>
      <w:pPr>
        <w:pStyle w:val="BodyText"/>
        <w:spacing w:line="240" w:lineRule="auto"/>
        <w:ind w:left="638" w:right="0"/>
        <w:jc w:val="left"/>
      </w:pPr>
      <w:r>
        <w:rPr/>
        <w:t>（</w:t>
      </w:r>
      <w:r>
        <w:rPr>
          <w:rFonts w:ascii="宋体" w:hAnsi="宋体" w:cs="宋体" w:eastAsia="宋体" w:hint="default"/>
        </w:rPr>
        <w:t>3</w:t>
      </w:r>
      <w:r>
        <w:rPr/>
        <w:t>）市场风险</w:t>
      </w:r>
      <w:r>
        <w:rPr>
          <w:w w:val="100"/>
        </w:rPr>
        <w:t> </w:t>
      </w:r>
      <w:r>
        <w:rPr>
          <w:spacing w:val="-2"/>
        </w:rPr>
        <w:t>金融工具的市场风险，是指金融工具的公允价值或未来现金流量因市场价格变动而发生波动</w:t>
      </w:r>
    </w:p>
    <w:p>
      <w:pPr>
        <w:pStyle w:val="BodyText"/>
        <w:spacing w:line="274" w:lineRule="exact" w:before="22"/>
        <w:ind w:left="638" w:right="4269" w:hanging="420"/>
        <w:jc w:val="left"/>
      </w:pPr>
      <w:r>
        <w:rPr>
          <w:spacing w:val="-2"/>
        </w:rPr>
        <w:t>的风险，包括利率风险和其他价格风险。</w:t>
      </w:r>
      <w:r>
        <w:rPr>
          <w:spacing w:val="-69"/>
        </w:rPr>
        <w:t> </w:t>
      </w:r>
      <w:r>
        <w:rPr>
          <w:spacing w:val="-69"/>
        </w:rPr>
      </w:r>
      <w:r>
        <w:rPr>
          <w:rFonts w:ascii="宋体" w:hAnsi="宋体" w:cs="宋体" w:eastAsia="宋体" w:hint="default"/>
        </w:rPr>
        <w:t>2</w:t>
      </w:r>
      <w:r>
        <w:rPr/>
        <w:t>、资本管理</w:t>
      </w:r>
    </w:p>
    <w:p>
      <w:pPr>
        <w:pStyle w:val="BodyText"/>
        <w:spacing w:line="245" w:lineRule="exact"/>
        <w:ind w:left="638" w:right="0"/>
        <w:jc w:val="left"/>
      </w:pPr>
      <w:r>
        <w:rPr/>
        <w:t>本公司资本管理政策的目标是为了保障本公司能够持续经营，从而为股东提供回报，并使其</w:t>
      </w:r>
    </w:p>
    <w:p>
      <w:pPr>
        <w:pStyle w:val="BodyText"/>
        <w:spacing w:line="272" w:lineRule="exact" w:before="27"/>
        <w:ind w:left="638" w:right="0" w:hanging="420"/>
        <w:jc w:val="left"/>
      </w:pPr>
      <w:r>
        <w:rPr/>
        <w:t>他利益相关者获益，同时维持最佳的资本结构以降低资本成本。</w:t>
      </w:r>
      <w:r>
        <w:rPr>
          <w:w w:val="100"/>
        </w:rPr>
        <w:t> </w:t>
      </w:r>
      <w:r>
        <w:rPr>
          <w:spacing w:val="-2"/>
        </w:rPr>
        <w:t>为了维持或调整资本结构，本公司可能会调整支付给股东的股利金额、向股东返还资本、发</w:t>
      </w:r>
    </w:p>
    <w:p>
      <w:pPr>
        <w:pStyle w:val="BodyText"/>
        <w:spacing w:line="272" w:lineRule="exact" w:before="1"/>
        <w:ind w:left="638" w:right="315" w:hanging="420"/>
        <w:jc w:val="left"/>
      </w:pPr>
      <w:r>
        <w:rPr/>
        <w:t>行新股或出售资产以减低债务。</w:t>
      </w:r>
      <w:r>
        <w:rPr>
          <w:w w:val="100"/>
        </w:rPr>
        <w:t> </w:t>
      </w:r>
      <w:r>
        <w:rPr/>
        <w:t>本公司以资产负债率（即总负债除以总资产）为基础对资本结构进行监控。于</w:t>
      </w:r>
      <w:r>
        <w:rPr>
          <w:spacing w:val="-53"/>
        </w:rPr>
        <w:t> </w:t>
      </w:r>
      <w:r>
        <w:rPr>
          <w:rFonts w:ascii="宋体" w:hAnsi="宋体" w:cs="宋体" w:eastAsia="宋体" w:hint="default"/>
        </w:rPr>
        <w:t>2017</w:t>
      </w:r>
      <w:r>
        <w:rPr>
          <w:rFonts w:ascii="宋体" w:hAnsi="宋体" w:cs="宋体" w:eastAsia="宋体" w:hint="default"/>
          <w:spacing w:val="-54"/>
        </w:rPr>
        <w:t> </w:t>
      </w:r>
      <w:r>
        <w:rPr/>
        <w:t>年</w:t>
      </w:r>
      <w:r>
        <w:rPr>
          <w:spacing w:val="-56"/>
        </w:rPr>
        <w:t> </w:t>
      </w:r>
      <w:r>
        <w:rPr>
          <w:rFonts w:ascii="宋体" w:hAnsi="宋体" w:cs="宋体" w:eastAsia="宋体" w:hint="default"/>
        </w:rPr>
        <w:t>12</w:t>
      </w:r>
      <w:r>
        <w:rPr>
          <w:rFonts w:ascii="宋体" w:hAnsi="宋体" w:cs="宋体" w:eastAsia="宋体" w:hint="default"/>
          <w:spacing w:val="-54"/>
        </w:rPr>
        <w:t> </w:t>
      </w:r>
      <w:r>
        <w:rPr/>
        <w:t>月</w:t>
      </w:r>
    </w:p>
    <w:p>
      <w:pPr>
        <w:pStyle w:val="BodyText"/>
        <w:spacing w:line="249" w:lineRule="exact"/>
        <w:ind w:right="0"/>
        <w:jc w:val="left"/>
      </w:pPr>
      <w:r>
        <w:rPr>
          <w:rFonts w:ascii="宋体" w:hAnsi="宋体" w:cs="宋体" w:eastAsia="宋体" w:hint="default"/>
        </w:rPr>
        <w:t>31</w:t>
      </w:r>
      <w:r>
        <w:rPr>
          <w:rFonts w:ascii="宋体" w:hAnsi="宋体" w:cs="宋体" w:eastAsia="宋体" w:hint="default"/>
          <w:spacing w:val="-54"/>
        </w:rPr>
        <w:t> </w:t>
      </w:r>
      <w:r>
        <w:rPr/>
        <w:t>日，本公司的资产负债率为</w:t>
      </w:r>
      <w:r>
        <w:rPr>
          <w:spacing w:val="-54"/>
        </w:rPr>
        <w:t> </w:t>
      </w:r>
      <w:r>
        <w:rPr>
          <w:rFonts w:ascii="宋体" w:hAnsi="宋体" w:cs="宋体" w:eastAsia="宋体" w:hint="default"/>
        </w:rPr>
        <w:t>18.80%</w:t>
      </w:r>
      <w:r>
        <w:rPr/>
        <w:t>（</w:t>
      </w:r>
      <w:r>
        <w:rPr>
          <w:rFonts w:ascii="宋体" w:hAnsi="宋体" w:cs="宋体" w:eastAsia="宋体" w:hint="default"/>
        </w:rPr>
        <w:t>2016</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6"/>
        </w:rPr>
        <w:t> </w:t>
      </w:r>
      <w:r>
        <w:rPr/>
        <w:t>日：</w:t>
      </w:r>
      <w:r>
        <w:rPr>
          <w:rFonts w:ascii="宋体" w:hAnsi="宋体" w:cs="宋体" w:eastAsia="宋体" w:hint="default"/>
        </w:rPr>
        <w:t>24.54%</w:t>
      </w:r>
      <w:r>
        <w:rPr/>
        <w:t>）。</w:t>
      </w:r>
    </w:p>
    <w:p>
      <w:pPr>
        <w:spacing w:after="0" w:line="249" w:lineRule="exact"/>
        <w:jc w:val="left"/>
        <w:sectPr>
          <w:pgSz w:w="11910" w:h="16840"/>
          <w:pgMar w:header="0" w:footer="1195" w:top="1320" w:bottom="1380" w:left="1580" w:right="960"/>
        </w:sectPr>
      </w:pPr>
    </w:p>
    <w:p>
      <w:pPr>
        <w:spacing w:line="240" w:lineRule="auto" w:before="4"/>
        <w:rPr>
          <w:rFonts w:ascii="宋体" w:hAnsi="宋体" w:cs="宋体" w:eastAsia="宋体" w:hint="default"/>
          <w:sz w:val="9"/>
          <w:szCs w:val="9"/>
        </w:rPr>
      </w:pPr>
    </w:p>
    <w:p>
      <w:pPr>
        <w:pStyle w:val="Heading3"/>
        <w:tabs>
          <w:tab w:pos="1057" w:val="left" w:leader="none"/>
        </w:tabs>
        <w:spacing w:line="240" w:lineRule="auto" w:before="36"/>
        <w:ind w:right="2757"/>
        <w:jc w:val="left"/>
        <w:rPr>
          <w:b w:val="0"/>
          <w:bCs w:val="0"/>
        </w:rPr>
      </w:pPr>
      <w:r>
        <w:rPr/>
        <w:t>十一、</w:t>
        <w:tab/>
        <w:t>公允价值的披露</w:t>
      </w:r>
      <w:r>
        <w:rPr>
          <w:b w:val="0"/>
          <w:bCs w:val="0"/>
        </w:rPr>
      </w:r>
    </w:p>
    <w:p>
      <w:pPr>
        <w:pStyle w:val="Heading3"/>
        <w:spacing w:line="240" w:lineRule="auto" w:before="58"/>
        <w:ind w:right="2757"/>
        <w:jc w:val="left"/>
        <w:rPr>
          <w:b w:val="0"/>
          <w:bCs w:val="0"/>
        </w:rPr>
      </w:pPr>
      <w:r>
        <w:rPr>
          <w:rFonts w:ascii="宋体" w:hAnsi="宋体" w:cs="宋体" w:eastAsia="宋体" w:hint="default"/>
        </w:rPr>
        <w:t>1</w:t>
      </w:r>
      <w:r>
        <w:rPr/>
        <w:t>、</w:t>
      </w:r>
      <w:r>
        <w:rPr>
          <w:spacing w:val="3"/>
        </w:rPr>
        <w:t> </w:t>
      </w:r>
      <w:r>
        <w:rPr/>
        <w:t>以公允价值计量的资产和负债的期末公允价值</w:t>
      </w:r>
      <w:r>
        <w:rPr>
          <w:b w:val="0"/>
          <w:bCs w:val="0"/>
        </w:rPr>
      </w:r>
    </w:p>
    <w:p>
      <w:pPr>
        <w:pStyle w:val="BodyText"/>
        <w:tabs>
          <w:tab w:pos="1060" w:val="left" w:leader="none"/>
        </w:tabs>
        <w:spacing w:line="240" w:lineRule="auto" w:before="56"/>
        <w:ind w:right="2757"/>
        <w:jc w:val="left"/>
      </w:pPr>
      <w:r>
        <w:rPr>
          <w:spacing w:val="-1"/>
        </w:rPr>
        <w:t>□适用</w:t>
        <w:tab/>
      </w:r>
      <w:r>
        <w:rPr>
          <w:spacing w:val="-2"/>
        </w:rPr>
        <w:t>√不适用</w:t>
      </w:r>
    </w:p>
    <w:p>
      <w:pPr>
        <w:pStyle w:val="Heading3"/>
        <w:spacing w:line="240" w:lineRule="auto" w:before="58"/>
        <w:ind w:right="2757"/>
        <w:jc w:val="left"/>
        <w:rPr>
          <w:b w:val="0"/>
          <w:bCs w:val="0"/>
        </w:rPr>
      </w:pPr>
      <w:r>
        <w:rPr>
          <w:rFonts w:ascii="宋体" w:hAnsi="宋体" w:cs="宋体" w:eastAsia="宋体" w:hint="default"/>
        </w:rPr>
        <w:t>2</w:t>
      </w:r>
      <w:r>
        <w:rPr/>
        <w:t>、</w:t>
      </w:r>
      <w:r>
        <w:rPr>
          <w:spacing w:val="-1"/>
        </w:rPr>
        <w:t> </w:t>
      </w:r>
      <w:r>
        <w:rPr/>
        <w:t>持续和非持续第一层次公允价值计量项目市价的确定依据</w:t>
      </w:r>
      <w:r>
        <w:rPr>
          <w:b w:val="0"/>
          <w:bCs w:val="0"/>
        </w:rPr>
      </w:r>
    </w:p>
    <w:p>
      <w:pPr>
        <w:pStyle w:val="BodyText"/>
        <w:tabs>
          <w:tab w:pos="1060" w:val="left" w:leader="none"/>
        </w:tabs>
        <w:spacing w:line="240" w:lineRule="auto" w:before="56"/>
        <w:ind w:right="2757"/>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r>
        <w:rPr>
          <w:rFonts w:ascii="宋体" w:hAnsi="宋体" w:cs="宋体" w:eastAsia="宋体" w:hint="default"/>
        </w:rPr>
        <w:t>3</w:t>
      </w:r>
      <w:r>
        <w:rPr/>
        <w:t>、</w:t>
      </w:r>
      <w:r>
        <w:rPr>
          <w:spacing w:val="-1"/>
        </w:rPr>
        <w:t> </w:t>
      </w:r>
      <w:r>
        <w:rPr/>
        <w:t>持续和非持续第二层次公允价值计量项目，采用的估值技术和重要参数的定性及定量信息</w:t>
      </w:r>
      <w:r>
        <w:rPr>
          <w:b w:val="0"/>
          <w:bCs w:val="0"/>
        </w:rPr>
      </w:r>
    </w:p>
    <w:p>
      <w:pPr>
        <w:pStyle w:val="BodyText"/>
        <w:tabs>
          <w:tab w:pos="1060" w:val="left" w:leader="none"/>
        </w:tabs>
        <w:spacing w:line="240" w:lineRule="auto" w:before="58"/>
        <w:ind w:right="2757"/>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r>
        <w:rPr>
          <w:rFonts w:ascii="宋体" w:hAnsi="宋体" w:cs="宋体" w:eastAsia="宋体" w:hint="default"/>
        </w:rPr>
        <w:t>4</w:t>
      </w:r>
      <w:r>
        <w:rPr/>
        <w:t>、</w:t>
      </w:r>
      <w:r>
        <w:rPr>
          <w:spacing w:val="-1"/>
        </w:rPr>
        <w:t> </w:t>
      </w:r>
      <w:r>
        <w:rPr/>
        <w:t>持续和非持续第三层次公允价值计量项目，采用的估值技术和重要参数的定性及定量信息</w:t>
      </w:r>
      <w:r>
        <w:rPr>
          <w:b w:val="0"/>
          <w:bCs w:val="0"/>
        </w:rPr>
      </w:r>
    </w:p>
    <w:p>
      <w:pPr>
        <w:pStyle w:val="BodyText"/>
        <w:tabs>
          <w:tab w:pos="1060" w:val="left" w:leader="none"/>
        </w:tabs>
        <w:spacing w:line="240" w:lineRule="auto" w:before="57"/>
        <w:ind w:right="2757"/>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3"/>
        <w:spacing w:line="240" w:lineRule="auto"/>
        <w:ind w:left="642" w:right="217" w:hanging="425"/>
        <w:jc w:val="left"/>
        <w:rPr>
          <w:b w:val="0"/>
          <w:bCs w:val="0"/>
        </w:rPr>
      </w:pPr>
      <w:r>
        <w:rPr>
          <w:rFonts w:ascii="宋体" w:hAnsi="宋体" w:cs="宋体" w:eastAsia="宋体" w:hint="default"/>
        </w:rPr>
        <w:t>5</w:t>
      </w:r>
      <w:r>
        <w:rPr/>
        <w:t>、</w:t>
      </w:r>
      <w:r>
        <w:rPr>
          <w:spacing w:val="-23"/>
        </w:rPr>
        <w:t> </w:t>
      </w:r>
      <w:r>
        <w:rPr/>
        <w:t>持续的第三层次公允价值计量项目，期初与期末账面价值间的调节信息及不可观察参数敏感</w:t>
      </w:r>
      <w:r>
        <w:rPr>
          <w:w w:val="100"/>
        </w:rPr>
        <w:t> </w:t>
      </w:r>
      <w:r>
        <w:rPr/>
        <w:t>性分析</w:t>
      </w:r>
      <w:r>
        <w:rPr>
          <w:b w:val="0"/>
          <w:bCs w:val="0"/>
        </w:rPr>
      </w:r>
    </w:p>
    <w:p>
      <w:pPr>
        <w:pStyle w:val="BodyText"/>
        <w:tabs>
          <w:tab w:pos="1060" w:val="left" w:leader="none"/>
        </w:tabs>
        <w:spacing w:line="240" w:lineRule="auto" w:before="56"/>
        <w:ind w:right="2757"/>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3"/>
        <w:spacing w:line="240" w:lineRule="auto"/>
        <w:ind w:left="642" w:right="218" w:hanging="425"/>
        <w:jc w:val="left"/>
        <w:rPr>
          <w:b w:val="0"/>
          <w:bCs w:val="0"/>
        </w:rPr>
      </w:pPr>
      <w:r>
        <w:rPr>
          <w:rFonts w:ascii="宋体" w:hAnsi="宋体" w:cs="宋体" w:eastAsia="宋体" w:hint="default"/>
        </w:rPr>
        <w:t>6</w:t>
      </w:r>
      <w:r>
        <w:rPr/>
        <w:t>、</w:t>
      </w:r>
      <w:r>
        <w:rPr>
          <w:spacing w:val="-24"/>
        </w:rPr>
        <w:t> </w:t>
      </w:r>
      <w:r>
        <w:rPr/>
        <w:t>持续的公允价值计量项目，本期内发生各层级之间转换的，转换的原因及确定转换时点的政</w:t>
      </w:r>
      <w:r>
        <w:rPr>
          <w:w w:val="100"/>
        </w:rPr>
        <w:t> </w:t>
      </w:r>
      <w:r>
        <w:rPr/>
        <w:t>策</w:t>
      </w:r>
      <w:r>
        <w:rPr>
          <w:b w:val="0"/>
          <w:bCs w:val="0"/>
        </w:rPr>
      </w:r>
    </w:p>
    <w:p>
      <w:pPr>
        <w:pStyle w:val="BodyText"/>
        <w:tabs>
          <w:tab w:pos="1060" w:val="left" w:leader="none"/>
        </w:tabs>
        <w:spacing w:line="240" w:lineRule="auto" w:before="56"/>
        <w:ind w:right="2757"/>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3"/>
        <w:spacing w:line="240" w:lineRule="auto"/>
        <w:ind w:right="2757"/>
        <w:jc w:val="left"/>
        <w:rPr>
          <w:b w:val="0"/>
          <w:bCs w:val="0"/>
        </w:rPr>
      </w:pPr>
      <w:r>
        <w:rPr>
          <w:rFonts w:ascii="宋体" w:hAnsi="宋体" w:cs="宋体" w:eastAsia="宋体" w:hint="default"/>
        </w:rPr>
        <w:t>7</w:t>
      </w:r>
      <w:r>
        <w:rPr/>
        <w:t>、</w:t>
      </w:r>
      <w:r>
        <w:rPr>
          <w:spacing w:val="2"/>
        </w:rPr>
        <w:t> </w:t>
      </w:r>
      <w:r>
        <w:rPr/>
        <w:t>本期内发生的估值技术变更及变更原因</w:t>
      </w:r>
      <w:r>
        <w:rPr>
          <w:b w:val="0"/>
          <w:bCs w:val="0"/>
        </w:rPr>
      </w:r>
    </w:p>
    <w:p>
      <w:pPr>
        <w:pStyle w:val="BodyText"/>
        <w:tabs>
          <w:tab w:pos="1060" w:val="left" w:leader="none"/>
        </w:tabs>
        <w:spacing w:line="240" w:lineRule="auto" w:before="56"/>
        <w:ind w:right="2757"/>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3"/>
        <w:spacing w:line="240" w:lineRule="auto"/>
        <w:ind w:right="2757"/>
        <w:jc w:val="left"/>
        <w:rPr>
          <w:b w:val="0"/>
          <w:bCs w:val="0"/>
        </w:rPr>
      </w:pPr>
      <w:r>
        <w:rPr>
          <w:rFonts w:ascii="宋体" w:hAnsi="宋体" w:cs="宋体" w:eastAsia="宋体" w:hint="default"/>
        </w:rPr>
        <w:t>8</w:t>
      </w:r>
      <w:r>
        <w:rPr/>
        <w:t>、</w:t>
      </w:r>
      <w:r>
        <w:rPr>
          <w:spacing w:val="-1"/>
        </w:rPr>
        <w:t> </w:t>
      </w:r>
      <w:r>
        <w:rPr/>
        <w:t>不以公允价值计量的金融资产和金融负债的公允价值情况</w:t>
      </w:r>
      <w:r>
        <w:rPr>
          <w:b w:val="0"/>
          <w:bCs w:val="0"/>
        </w:rPr>
      </w:r>
    </w:p>
    <w:p>
      <w:pPr>
        <w:pStyle w:val="BodyText"/>
        <w:tabs>
          <w:tab w:pos="1060" w:val="left" w:leader="none"/>
        </w:tabs>
        <w:spacing w:line="240" w:lineRule="auto" w:before="58"/>
        <w:ind w:right="2757"/>
        <w:jc w:val="left"/>
      </w:pPr>
      <w:r>
        <w:rPr>
          <w:spacing w:val="-1"/>
        </w:rPr>
        <w:t>□适用</w:t>
        <w:tab/>
      </w:r>
      <w:r>
        <w:rPr>
          <w:spacing w:val="-2"/>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1195" w:top="1320" w:bottom="1380" w:left="1580" w:right="1040"/>
        </w:sectPr>
      </w:pPr>
    </w:p>
    <w:p>
      <w:pPr>
        <w:pStyle w:val="Heading3"/>
        <w:spacing w:line="240" w:lineRule="auto" w:before="36"/>
        <w:ind w:right="0"/>
        <w:jc w:val="left"/>
        <w:rPr>
          <w:b w:val="0"/>
          <w:bCs w:val="0"/>
        </w:rPr>
      </w:pPr>
      <w:r>
        <w:rPr>
          <w:rFonts w:ascii="宋体" w:hAnsi="宋体" w:cs="宋体" w:eastAsia="宋体" w:hint="default"/>
        </w:rPr>
        <w:t>9</w:t>
      </w:r>
      <w:r>
        <w:rPr/>
        <w:t>、</w:t>
      </w:r>
      <w:r>
        <w:rPr>
          <w:spacing w:val="2"/>
        </w:rPr>
        <w:t> </w:t>
      </w:r>
      <w:r>
        <w:rPr/>
        <w:t>其他</w:t>
      </w:r>
      <w:r>
        <w:rPr>
          <w:b w:val="0"/>
          <w:bCs w:val="0"/>
        </w:rPr>
      </w:r>
    </w:p>
    <w:p>
      <w:pPr>
        <w:pStyle w:val="BodyText"/>
        <w:tabs>
          <w:tab w:pos="1060" w:val="left" w:leader="none"/>
        </w:tabs>
        <w:spacing w:line="240" w:lineRule="auto" w:before="56"/>
        <w:ind w:right="0"/>
        <w:jc w:val="left"/>
      </w:pPr>
      <w:r>
        <w:rPr>
          <w:spacing w:val="-1"/>
        </w:rPr>
        <w:t>□适用</w:t>
        <w:tab/>
      </w:r>
      <w:r>
        <w:rPr>
          <w:spacing w:val="-2"/>
        </w:rPr>
        <w:t>√不适用</w:t>
      </w:r>
    </w:p>
    <w:p>
      <w:pPr>
        <w:pStyle w:val="Heading3"/>
        <w:tabs>
          <w:tab w:pos="1057" w:val="left" w:leader="none"/>
        </w:tabs>
        <w:spacing w:line="290" w:lineRule="auto" w:before="58"/>
        <w:ind w:right="0"/>
        <w:jc w:val="left"/>
        <w:rPr>
          <w:b w:val="0"/>
          <w:bCs w:val="0"/>
        </w:rPr>
      </w:pPr>
      <w:r>
        <w:rPr/>
        <w:t>十二、</w:t>
        <w:tab/>
        <w:t>关联方及关联交易</w:t>
      </w:r>
      <w:r>
        <w:rPr>
          <w:spacing w:val="-103"/>
        </w:rPr>
        <w:t> </w:t>
      </w:r>
      <w:r>
        <w:rPr>
          <w:spacing w:val="-103"/>
        </w:rPr>
      </w:r>
      <w:r>
        <w:rPr>
          <w:rFonts w:ascii="宋体" w:hAnsi="宋体" w:cs="宋体" w:eastAsia="宋体" w:hint="default"/>
        </w:rPr>
        <w:t>1</w:t>
      </w:r>
      <w:r>
        <w:rPr/>
        <w:t>、</w:t>
      </w:r>
      <w:r>
        <w:rPr>
          <w:spacing w:val="5"/>
        </w:rPr>
        <w:t> </w:t>
      </w:r>
      <w:r>
        <w:rPr/>
        <w:t>本企业的母公司情况</w:t>
      </w:r>
      <w:r>
        <w:rPr>
          <w:b w:val="0"/>
          <w:bCs w:val="0"/>
        </w:rPr>
      </w:r>
    </w:p>
    <w:p>
      <w:pPr>
        <w:pStyle w:val="BodyText"/>
        <w:tabs>
          <w:tab w:pos="1060" w:val="left" w:leader="none"/>
        </w:tabs>
        <w:spacing w:line="240" w:lineRule="auto" w:before="14"/>
        <w:ind w:right="0"/>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tabs>
          <w:tab w:pos="1480" w:val="left" w:leader="none"/>
        </w:tabs>
        <w:spacing w:line="240" w:lineRule="auto"/>
        <w:ind w:right="0"/>
        <w:jc w:val="left"/>
      </w:pPr>
      <w:r>
        <w:rPr>
          <w:spacing w:val="-1"/>
        </w:rPr>
        <w:t>单位：万元</w:t>
        <w:tab/>
      </w:r>
      <w:r>
        <w:rPr>
          <w:spacing w:val="-2"/>
        </w:rPr>
        <w:t>币种：人民币</w:t>
      </w:r>
    </w:p>
    <w:p>
      <w:pPr>
        <w:spacing w:after="0" w:line="240" w:lineRule="auto"/>
        <w:jc w:val="left"/>
        <w:sectPr>
          <w:type w:val="continuous"/>
          <w:pgSz w:w="11910" w:h="16840"/>
          <w:pgMar w:top="1000" w:bottom="280" w:left="1580" w:right="1040"/>
          <w:cols w:num="2" w:equalWidth="0">
            <w:col w:w="2748" w:space="3562"/>
            <w:col w:w="2980"/>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387"/>
        <w:gridCol w:w="1234"/>
        <w:gridCol w:w="1464"/>
        <w:gridCol w:w="1464"/>
        <w:gridCol w:w="1683"/>
        <w:gridCol w:w="1817"/>
      </w:tblGrid>
      <w:tr>
        <w:trPr>
          <w:trHeight w:val="852"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63" w:right="0"/>
              <w:jc w:val="left"/>
              <w:rPr>
                <w:rFonts w:ascii="宋体" w:hAnsi="宋体" w:cs="宋体" w:eastAsia="宋体" w:hint="default"/>
                <w:sz w:val="21"/>
                <w:szCs w:val="21"/>
              </w:rPr>
            </w:pPr>
            <w:r>
              <w:rPr>
                <w:rFonts w:ascii="宋体" w:hAnsi="宋体" w:cs="宋体" w:eastAsia="宋体" w:hint="default"/>
                <w:sz w:val="21"/>
                <w:szCs w:val="21"/>
              </w:rPr>
              <w:t>母公司名称</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95"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07"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07"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 w:right="0"/>
              <w:jc w:val="center"/>
              <w:rPr>
                <w:rFonts w:ascii="宋体" w:hAnsi="宋体" w:cs="宋体" w:eastAsia="宋体" w:hint="default"/>
                <w:sz w:val="21"/>
                <w:szCs w:val="21"/>
              </w:rPr>
            </w:pPr>
            <w:r>
              <w:rPr>
                <w:rFonts w:ascii="宋体" w:hAnsi="宋体" w:cs="宋体" w:eastAsia="宋体" w:hint="default"/>
                <w:sz w:val="21"/>
                <w:szCs w:val="21"/>
              </w:rPr>
              <w:t>母公司对本企</w:t>
            </w:r>
          </w:p>
          <w:p>
            <w:pPr>
              <w:pStyle w:val="TableParagraph"/>
              <w:spacing w:line="272" w:lineRule="exact" w:before="27"/>
              <w:ind w:left="206" w:right="202"/>
              <w:jc w:val="center"/>
              <w:rPr>
                <w:rFonts w:ascii="宋体" w:hAnsi="宋体" w:cs="宋体" w:eastAsia="宋体" w:hint="default"/>
                <w:sz w:val="21"/>
                <w:szCs w:val="21"/>
              </w:rPr>
            </w:pPr>
            <w:r>
              <w:rPr>
                <w:rFonts w:ascii="宋体" w:hAnsi="宋体" w:cs="宋体" w:eastAsia="宋体" w:hint="default"/>
                <w:spacing w:val="-1"/>
                <w:sz w:val="21"/>
                <w:szCs w:val="21"/>
              </w:rPr>
              <w:t>业的持股比例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42"/>
              <w:ind w:left="115" w:right="113" w:firstLine="52"/>
              <w:jc w:val="left"/>
              <w:rPr>
                <w:rFonts w:ascii="宋体" w:hAnsi="宋体" w:cs="宋体" w:eastAsia="宋体" w:hint="default"/>
                <w:sz w:val="21"/>
                <w:szCs w:val="21"/>
              </w:rPr>
            </w:pPr>
            <w:r>
              <w:rPr>
                <w:rFonts w:ascii="宋体" w:hAnsi="宋体" w:cs="宋体" w:eastAsia="宋体" w:hint="default"/>
                <w:sz w:val="21"/>
                <w:szCs w:val="21"/>
              </w:rPr>
              <w:t>母公司对本企业</w:t>
            </w:r>
            <w:r>
              <w:rPr>
                <w:rFonts w:ascii="宋体" w:hAnsi="宋体" w:cs="宋体" w:eastAsia="宋体" w:hint="default"/>
                <w:w w:val="100"/>
                <w:sz w:val="21"/>
                <w:szCs w:val="21"/>
              </w:rPr>
              <w:t> </w:t>
            </w:r>
            <w:r>
              <w:rPr>
                <w:rFonts w:ascii="宋体" w:hAnsi="宋体" w:cs="宋体" w:eastAsia="宋体" w:hint="default"/>
                <w:spacing w:val="-2"/>
                <w:sz w:val="21"/>
                <w:szCs w:val="21"/>
              </w:rPr>
              <w:t>的表决权比例</w:t>
            </w:r>
            <w:r>
              <w:rPr>
                <w:rFonts w:ascii="宋体" w:hAnsi="宋体" w:cs="宋体" w:eastAsia="宋体" w:hint="default"/>
                <w:spacing w:val="-2"/>
                <w:sz w:val="21"/>
                <w:szCs w:val="21"/>
              </w:rPr>
              <w:t>(%)</w:t>
            </w:r>
          </w:p>
        </w:tc>
      </w:tr>
      <w:tr>
        <w:trPr>
          <w:trHeight w:val="281"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234"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exact"/>
        <w:ind w:right="2757"/>
        <w:jc w:val="left"/>
      </w:pPr>
      <w:r>
        <w:rPr/>
        <w:t>本企业的母公司情况的说明</w:t>
      </w:r>
    </w:p>
    <w:p>
      <w:pPr>
        <w:pStyle w:val="BodyText"/>
        <w:spacing w:line="272" w:lineRule="exact"/>
        <w:ind w:right="2757"/>
        <w:jc w:val="left"/>
      </w:pPr>
      <w:r>
        <w:rPr>
          <w:w w:val="100"/>
        </w:rPr>
        <w:t>无</w:t>
      </w:r>
    </w:p>
    <w:p>
      <w:pPr>
        <w:pStyle w:val="BodyText"/>
        <w:spacing w:line="240" w:lineRule="auto"/>
        <w:ind w:right="0"/>
        <w:jc w:val="left"/>
      </w:pPr>
      <w:r>
        <w:rPr>
          <w:spacing w:val="-3"/>
        </w:rPr>
        <w:t>本企业最终控制方是本公司控股股东及实际控制人为严孟宇先生，期末持有本公司 </w:t>
      </w:r>
      <w:r>
        <w:rPr>
          <w:rFonts w:ascii="宋体" w:hAnsi="宋体" w:cs="宋体" w:eastAsia="宋体" w:hint="default"/>
        </w:rPr>
        <w:t>21.0092%</w:t>
      </w:r>
      <w:r>
        <w:rPr/>
        <w:t>的股</w:t>
      </w:r>
      <w:r>
        <w:rPr>
          <w:spacing w:val="-99"/>
        </w:rPr>
        <w:t> </w:t>
      </w:r>
      <w:r>
        <w:rPr/>
        <w:t>权。</w:t>
      </w:r>
    </w:p>
    <w:p>
      <w:pPr>
        <w:pStyle w:val="BodyText"/>
        <w:spacing w:line="274" w:lineRule="exact" w:before="22"/>
        <w:ind w:right="7998"/>
        <w:jc w:val="left"/>
      </w:pPr>
      <w:r>
        <w:rPr/>
        <w:t>其他说明：</w:t>
      </w:r>
      <w:r>
        <w:rPr>
          <w:spacing w:val="-102"/>
        </w:rPr>
        <w:t> </w:t>
      </w:r>
      <w:r>
        <w:rPr>
          <w:spacing w:val="-102"/>
        </w:rPr>
      </w:r>
      <w:r>
        <w:rPr/>
        <w:t>无</w:t>
      </w:r>
    </w:p>
    <w:p>
      <w:pPr>
        <w:spacing w:line="292" w:lineRule="auto" w:before="31"/>
        <w:ind w:left="218" w:right="6323"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 本企业的子公司情况</w:t>
      </w:r>
      <w:r>
        <w:rPr>
          <w:rFonts w:ascii="宋体" w:hAnsi="宋体" w:cs="宋体" w:eastAsia="宋体" w:hint="default"/>
          <w:b/>
          <w:bCs/>
          <w:spacing w:val="-101"/>
          <w:sz w:val="21"/>
          <w:szCs w:val="21"/>
        </w:rPr>
        <w:t> </w:t>
      </w:r>
      <w:r>
        <w:rPr>
          <w:rFonts w:ascii="宋体" w:hAnsi="宋体" w:cs="宋体" w:eastAsia="宋体" w:hint="default"/>
          <w:b/>
          <w:bCs/>
          <w:spacing w:val="-101"/>
          <w:sz w:val="21"/>
          <w:szCs w:val="21"/>
        </w:rPr>
      </w:r>
      <w:r>
        <w:rPr>
          <w:rFonts w:ascii="宋体" w:hAnsi="宋体" w:cs="宋体" w:eastAsia="宋体" w:hint="default"/>
          <w:spacing w:val="-2"/>
          <w:sz w:val="21"/>
          <w:szCs w:val="21"/>
        </w:rPr>
        <w:t>本企业子公司的情况详见附注</w:t>
      </w:r>
    </w:p>
    <w:p>
      <w:pPr>
        <w:pStyle w:val="BodyText"/>
        <w:tabs>
          <w:tab w:pos="1060" w:val="left" w:leader="none"/>
        </w:tabs>
        <w:spacing w:line="225" w:lineRule="exact"/>
        <w:ind w:right="2757"/>
        <w:jc w:val="left"/>
      </w:pPr>
      <w:r>
        <w:rPr>
          <w:spacing w:val="-1"/>
        </w:rPr>
        <w:t>√适用</w:t>
        <w:tab/>
      </w:r>
      <w:r>
        <w:rPr>
          <w:spacing w:val="-2"/>
        </w:rPr>
        <w:t>□不适用</w:t>
      </w:r>
    </w:p>
    <w:p>
      <w:pPr>
        <w:spacing w:after="0" w:line="225" w:lineRule="exact"/>
        <w:jc w:val="left"/>
        <w:sectPr>
          <w:type w:val="continuous"/>
          <w:pgSz w:w="11910" w:h="16840"/>
          <w:pgMar w:top="1000" w:bottom="280" w:left="1580" w:right="1040"/>
        </w:sectPr>
      </w:pPr>
    </w:p>
    <w:p>
      <w:pPr>
        <w:spacing w:line="240" w:lineRule="auto" w:before="4"/>
        <w:rPr>
          <w:rFonts w:ascii="宋体" w:hAnsi="宋体" w:cs="宋体" w:eastAsia="宋体" w:hint="default"/>
          <w:sz w:val="9"/>
          <w:szCs w:val="9"/>
        </w:rPr>
      </w:pPr>
    </w:p>
    <w:p>
      <w:pPr>
        <w:pStyle w:val="BodyText"/>
        <w:spacing w:line="240" w:lineRule="auto" w:before="36"/>
        <w:ind w:right="0"/>
        <w:jc w:val="left"/>
      </w:pPr>
      <w:r>
        <w:rPr>
          <w:spacing w:val="-2"/>
        </w:rPr>
        <w:t>本企业子公司的情况详见附注九、在其他主体中的权益</w:t>
      </w:r>
      <w:r>
        <w:rPr>
          <w:spacing w:val="10"/>
        </w:rPr>
        <w:t> </w:t>
      </w:r>
      <w:r>
        <w:rPr>
          <w:rFonts w:ascii="宋体" w:hAnsi="宋体" w:cs="宋体" w:eastAsia="宋体" w:hint="default"/>
          <w:spacing w:val="-2"/>
        </w:rPr>
        <w:t>1</w:t>
      </w:r>
      <w:r>
        <w:rPr>
          <w:spacing w:val="-2"/>
        </w:rPr>
        <w:t>、在子公司中的权益</w:t>
      </w:r>
    </w:p>
    <w:p>
      <w:pPr>
        <w:spacing w:line="240" w:lineRule="auto" w:before="3"/>
        <w:rPr>
          <w:rFonts w:ascii="宋体" w:hAnsi="宋体" w:cs="宋体" w:eastAsia="宋体" w:hint="default"/>
          <w:sz w:val="25"/>
          <w:szCs w:val="25"/>
        </w:rPr>
      </w:pPr>
    </w:p>
    <w:p>
      <w:pPr>
        <w:spacing w:line="290" w:lineRule="auto" w:before="0"/>
        <w:ind w:left="218" w:right="2757"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本企业合营和联营企业情况</w:t>
      </w:r>
      <w:r>
        <w:rPr>
          <w:rFonts w:ascii="宋体" w:hAnsi="宋体" w:cs="宋体" w:eastAsia="宋体" w:hint="default"/>
          <w:b/>
          <w:bCs/>
          <w:w w:val="100"/>
          <w:sz w:val="21"/>
          <w:szCs w:val="21"/>
        </w:rPr>
        <w:t> </w:t>
      </w:r>
      <w:r>
        <w:rPr>
          <w:rFonts w:ascii="宋体" w:hAnsi="宋体" w:cs="宋体" w:eastAsia="宋体" w:hint="default"/>
          <w:spacing w:val="-2"/>
          <w:sz w:val="21"/>
          <w:szCs w:val="21"/>
        </w:rPr>
        <w:t>本企业重要的合营或联营企业详见附注</w:t>
      </w:r>
    </w:p>
    <w:p>
      <w:pPr>
        <w:pStyle w:val="BodyText"/>
        <w:spacing w:line="226" w:lineRule="exact"/>
        <w:ind w:right="2757"/>
        <w:jc w:val="left"/>
      </w:pPr>
      <w:r>
        <w:rPr/>
        <w:t>□适用</w:t>
      </w:r>
      <w:r>
        <w:rPr>
          <w:spacing w:val="-1"/>
        </w:rPr>
        <w:t> </w:t>
      </w:r>
      <w:r>
        <w:rPr/>
        <w:t>√不适用</w:t>
      </w:r>
    </w:p>
    <w:p>
      <w:pPr>
        <w:pStyle w:val="BodyText"/>
        <w:spacing w:line="272" w:lineRule="exact" w:before="27"/>
        <w:ind w:right="0"/>
        <w:jc w:val="left"/>
      </w:pPr>
      <w:r>
        <w:rPr>
          <w:spacing w:val="-2"/>
        </w:rPr>
        <w:t>本期与本公司发生关联方交易，或前期与本公司发生关联方交易形成余额的其他合营或联营企业</w:t>
      </w:r>
      <w:r>
        <w:rPr>
          <w:spacing w:val="-25"/>
        </w:rPr>
        <w:t> </w:t>
      </w:r>
      <w:r>
        <w:rPr>
          <w:spacing w:val="-25"/>
        </w:rPr>
      </w:r>
      <w:r>
        <w:rPr/>
        <w:t>情况如下</w:t>
      </w:r>
    </w:p>
    <w:p>
      <w:pPr>
        <w:pStyle w:val="BodyText"/>
        <w:spacing w:line="272" w:lineRule="exact" w:before="1"/>
        <w:ind w:right="7474"/>
        <w:jc w:val="left"/>
      </w:pPr>
      <w:r>
        <w:rPr/>
        <w:t>□适用</w:t>
      </w:r>
      <w:r>
        <w:rPr>
          <w:spacing w:val="-1"/>
        </w:rPr>
        <w:t> </w:t>
      </w:r>
      <w:r>
        <w:rPr/>
        <w:t>√不适用</w:t>
      </w:r>
      <w:r>
        <w:rPr>
          <w:w w:val="100"/>
        </w:rPr>
        <w:t> </w:t>
      </w:r>
      <w:r>
        <w:rPr/>
        <w:t>其他说明</w:t>
      </w:r>
    </w:p>
    <w:p>
      <w:pPr>
        <w:pStyle w:val="BodyText"/>
        <w:spacing w:line="249" w:lineRule="exact"/>
        <w:ind w:right="2757"/>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3"/>
        <w:spacing w:line="240" w:lineRule="auto"/>
        <w:ind w:right="2757"/>
        <w:jc w:val="left"/>
        <w:rPr>
          <w:b w:val="0"/>
          <w:bCs w:val="0"/>
        </w:rPr>
      </w:pPr>
      <w:r>
        <w:rPr>
          <w:rFonts w:ascii="宋体" w:hAnsi="宋体" w:cs="宋体" w:eastAsia="宋体" w:hint="default"/>
        </w:rPr>
        <w:t>4</w:t>
      </w:r>
      <w:r>
        <w:rPr/>
        <w:t>、</w:t>
      </w:r>
      <w:r>
        <w:rPr>
          <w:spacing w:val="4"/>
        </w:rPr>
        <w:t> </w:t>
      </w:r>
      <w:r>
        <w:rPr/>
        <w:t>其他关联方情况</w:t>
      </w:r>
      <w:r>
        <w:rPr>
          <w:b w:val="0"/>
          <w:bCs w:val="0"/>
        </w:rPr>
      </w:r>
    </w:p>
    <w:p>
      <w:pPr>
        <w:pStyle w:val="BodyText"/>
        <w:spacing w:line="240" w:lineRule="auto" w:before="56"/>
        <w:ind w:right="2757"/>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980"/>
        <w:gridCol w:w="5070"/>
      </w:tblGrid>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47" w:right="0"/>
              <w:jc w:val="left"/>
              <w:rPr>
                <w:rFonts w:ascii="宋体" w:hAnsi="宋体" w:cs="宋体" w:eastAsia="宋体" w:hint="default"/>
                <w:sz w:val="21"/>
                <w:szCs w:val="21"/>
              </w:rPr>
            </w:pPr>
            <w:r>
              <w:rPr>
                <w:rFonts w:ascii="宋体" w:hAnsi="宋体" w:cs="宋体" w:eastAsia="宋体" w:hint="default"/>
                <w:sz w:val="21"/>
                <w:szCs w:val="21"/>
              </w:rPr>
              <w:t>其他关联方名称</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73" w:right="0"/>
              <w:jc w:val="left"/>
              <w:rPr>
                <w:rFonts w:ascii="宋体" w:hAnsi="宋体" w:cs="宋体" w:eastAsia="宋体" w:hint="default"/>
                <w:sz w:val="21"/>
                <w:szCs w:val="21"/>
              </w:rPr>
            </w:pPr>
            <w:r>
              <w:rPr>
                <w:rFonts w:ascii="宋体" w:hAnsi="宋体" w:cs="宋体" w:eastAsia="宋体" w:hint="default"/>
                <w:sz w:val="21"/>
                <w:szCs w:val="21"/>
              </w:rPr>
              <w:t>其他关联方与本企业关系</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中信证券股份有限公司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中信期货有限公司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554"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董事、监事、经理、财务总监及董事会秘</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书</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bl>
    <w:p>
      <w:pPr>
        <w:spacing w:line="240" w:lineRule="auto" w:before="5"/>
        <w:rPr>
          <w:rFonts w:ascii="宋体" w:hAnsi="宋体" w:cs="宋体" w:eastAsia="宋体" w:hint="default"/>
          <w:sz w:val="15"/>
          <w:szCs w:val="15"/>
        </w:rPr>
      </w:pPr>
    </w:p>
    <w:p>
      <w:pPr>
        <w:pStyle w:val="BodyText"/>
        <w:spacing w:line="240" w:lineRule="auto" w:before="36"/>
        <w:ind w:right="8208"/>
        <w:jc w:val="left"/>
      </w:pPr>
      <w:r>
        <w:rPr/>
        <w:t>其他说明</w:t>
      </w:r>
      <w:r>
        <w:rPr>
          <w:w w:val="100"/>
        </w:rPr>
        <w:t> </w:t>
      </w:r>
      <w:r>
        <w:rPr/>
        <w:t>无</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1195" w:top="1320" w:bottom="1380" w:left="1580" w:right="1040"/>
        </w:sectPr>
      </w:pPr>
    </w:p>
    <w:p>
      <w:pPr>
        <w:pStyle w:val="Heading3"/>
        <w:spacing w:line="240" w:lineRule="auto" w:before="36"/>
        <w:ind w:right="-18"/>
        <w:jc w:val="left"/>
        <w:rPr>
          <w:b w:val="0"/>
          <w:bCs w:val="0"/>
        </w:rPr>
      </w:pPr>
      <w:r>
        <w:rPr>
          <w:rFonts w:ascii="宋体" w:hAnsi="宋体" w:cs="宋体" w:eastAsia="宋体" w:hint="default"/>
        </w:rPr>
        <w:t>5</w:t>
      </w:r>
      <w:r>
        <w:rPr/>
        <w:t>、</w:t>
      </w:r>
      <w:r>
        <w:rPr>
          <w:spacing w:val="4"/>
        </w:rPr>
        <w:t> </w:t>
      </w:r>
      <w:r>
        <w:rPr/>
        <w:t>关联交易情况</w:t>
      </w:r>
      <w:r>
        <w:rPr>
          <w:b w:val="0"/>
          <w:bCs w:val="0"/>
        </w:rPr>
      </w:r>
    </w:p>
    <w:p>
      <w:pPr>
        <w:spacing w:line="290" w:lineRule="auto" w:before="56"/>
        <w:ind w:left="218" w:right="-18"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87"/>
          <w:sz w:val="21"/>
          <w:szCs w:val="21"/>
        </w:rPr>
        <w:t> </w:t>
      </w:r>
      <w:r>
        <w:rPr>
          <w:rFonts w:ascii="宋体" w:hAnsi="宋体" w:cs="宋体" w:eastAsia="宋体" w:hint="default"/>
          <w:b/>
          <w:bCs/>
          <w:sz w:val="21"/>
          <w:szCs w:val="21"/>
        </w:rPr>
        <w:t>购销商品、提供和接受劳务的关联交易</w:t>
      </w:r>
      <w:r>
        <w:rPr>
          <w:rFonts w:ascii="宋体" w:hAnsi="宋体" w:cs="宋体" w:eastAsia="宋体" w:hint="default"/>
          <w:b/>
          <w:bCs/>
          <w:w w:val="100"/>
          <w:sz w:val="21"/>
          <w:szCs w:val="21"/>
        </w:rPr>
        <w:t> </w:t>
      </w:r>
      <w:r>
        <w:rPr>
          <w:rFonts w:ascii="宋体" w:hAnsi="宋体" w:cs="宋体" w:eastAsia="宋体" w:hint="default"/>
          <w:sz w:val="21"/>
          <w:szCs w:val="21"/>
        </w:rPr>
        <w:t>采购商品</w:t>
      </w:r>
      <w:r>
        <w:rPr>
          <w:rFonts w:ascii="宋体" w:hAnsi="宋体" w:cs="宋体" w:eastAsia="宋体" w:hint="default"/>
          <w:sz w:val="21"/>
          <w:szCs w:val="21"/>
        </w:rPr>
        <w:t>/</w:t>
      </w:r>
      <w:r>
        <w:rPr>
          <w:rFonts w:ascii="宋体" w:hAnsi="宋体" w:cs="宋体" w:eastAsia="宋体" w:hint="default"/>
          <w:sz w:val="21"/>
          <w:szCs w:val="21"/>
        </w:rPr>
        <w:t>接受劳务情况表</w:t>
      </w:r>
    </w:p>
    <w:p>
      <w:pPr>
        <w:pStyle w:val="BodyText"/>
        <w:spacing w:line="226" w:lineRule="exact"/>
        <w:ind w:right="-18"/>
        <w:jc w:val="left"/>
      </w:pPr>
      <w:r>
        <w:rPr/>
        <w:t>□适用</w:t>
      </w:r>
      <w:r>
        <w:rPr>
          <w:spacing w:val="-1"/>
        </w:rPr>
        <w:t> </w:t>
      </w:r>
      <w:r>
        <w:rPr/>
        <w:t>√不适用</w:t>
      </w:r>
    </w:p>
    <w:p>
      <w:pPr>
        <w:pStyle w:val="BodyText"/>
        <w:spacing w:line="272" w:lineRule="exact"/>
        <w:ind w:right="-18"/>
        <w:jc w:val="left"/>
      </w:pPr>
      <w:r>
        <w:rPr/>
        <w:t>出售商品</w:t>
      </w:r>
      <w:r>
        <w:rPr>
          <w:rFonts w:ascii="宋体" w:hAnsi="宋体" w:cs="宋体" w:eastAsia="宋体" w:hint="default"/>
        </w:rPr>
        <w:t>/</w:t>
      </w:r>
      <w:r>
        <w:rPr/>
        <w:t>提供劳务情况表</w:t>
      </w:r>
    </w:p>
    <w:p>
      <w:pPr>
        <w:pStyle w:val="BodyText"/>
        <w:spacing w:line="273" w:lineRule="exact"/>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000" w:bottom="280" w:left="1580" w:right="1040"/>
          <w:cols w:num="2" w:equalWidth="0">
            <w:col w:w="4421" w:space="2101"/>
            <w:col w:w="2768"/>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417"/>
        <w:gridCol w:w="2122"/>
        <w:gridCol w:w="2177"/>
        <w:gridCol w:w="2180"/>
      </w:tblGrid>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中信证券股份有限公司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软件开发等</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5,292,452.83</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8,045,362.03</w:t>
            </w:r>
          </w:p>
        </w:tc>
      </w:tr>
      <w:tr>
        <w:trPr>
          <w:trHeight w:val="281"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中信期货有限公司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软件开发等</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1,303,015.64</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418,803.42</w:t>
            </w:r>
          </w:p>
        </w:tc>
      </w:tr>
    </w:tbl>
    <w:p>
      <w:pPr>
        <w:pStyle w:val="BodyText"/>
        <w:spacing w:line="240" w:lineRule="exact"/>
        <w:ind w:right="2757"/>
        <w:jc w:val="left"/>
      </w:pPr>
      <w:r>
        <w:rPr/>
        <w:t>购销商品、提供和接受劳务的关联交易说明</w:t>
      </w:r>
    </w:p>
    <w:p>
      <w:pPr>
        <w:pStyle w:val="BodyText"/>
        <w:spacing w:line="237" w:lineRule="auto" w:before="2"/>
        <w:ind w:right="0"/>
        <w:jc w:val="left"/>
      </w:pPr>
      <w:r>
        <w:rPr/>
        <w:t>√适用</w:t>
      </w:r>
      <w:r>
        <w:rPr>
          <w:spacing w:val="-2"/>
        </w:rPr>
        <w:t> </w:t>
      </w:r>
      <w:r>
        <w:rPr/>
        <w:t>□不适用</w:t>
      </w:r>
      <w:r>
        <w:rPr>
          <w:w w:val="100"/>
        </w:rPr>
        <w:t> </w:t>
      </w:r>
      <w:r>
        <w:rPr>
          <w:spacing w:val="-4"/>
        </w:rPr>
        <w:t>说明：</w:t>
      </w:r>
      <w:r>
        <w:rPr>
          <w:rFonts w:ascii="宋体" w:hAnsi="宋体" w:cs="宋体" w:eastAsia="宋体" w:hint="default"/>
          <w:spacing w:val="-4"/>
        </w:rPr>
        <w:t>1</w:t>
      </w:r>
      <w:r>
        <w:rPr>
          <w:spacing w:val="-4"/>
        </w:rPr>
        <w:t>、本公司主要对关联方提供软件定制化服务，关联交易均按照平等互利、等价有偿、公平</w:t>
      </w:r>
      <w:r>
        <w:rPr>
          <w:spacing w:val="-36"/>
        </w:rPr>
        <w:t> </w:t>
      </w:r>
      <w:r>
        <w:rPr>
          <w:spacing w:val="-36"/>
        </w:rPr>
      </w:r>
      <w:r>
        <w:rPr/>
        <w:t>公允的市场原则，通过商务谈判方式，以公允的价格和交易条件，确定双方的权利义务关系。</w:t>
      </w:r>
      <w:r>
        <w:rPr>
          <w:w w:val="100"/>
        </w:rPr>
        <w:t> </w:t>
      </w:r>
      <w:r>
        <w:rPr>
          <w:rFonts w:ascii="宋体" w:hAnsi="宋体" w:cs="宋体" w:eastAsia="宋体" w:hint="default"/>
        </w:rPr>
        <w:t>2</w:t>
      </w:r>
      <w:r>
        <w:rPr/>
        <w:t>、</w:t>
      </w:r>
      <w:r>
        <w:rPr>
          <w:rFonts w:ascii="宋体" w:hAnsi="宋体" w:cs="宋体" w:eastAsia="宋体" w:hint="default"/>
        </w:rPr>
        <w:t>2016</w:t>
      </w:r>
      <w:r>
        <w:rPr>
          <w:rFonts w:ascii="宋体" w:hAnsi="宋体" w:cs="宋体" w:eastAsia="宋体" w:hint="default"/>
          <w:spacing w:val="-57"/>
        </w:rPr>
        <w:t> </w:t>
      </w:r>
      <w:r>
        <w:rPr/>
        <w:t>年中信证券软件开发业务中含中信证券（浙江）有限公司</w:t>
      </w:r>
      <w:r>
        <w:rPr>
          <w:spacing w:val="-57"/>
        </w:rPr>
        <w:t> </w:t>
      </w:r>
      <w:r>
        <w:rPr>
          <w:rFonts w:ascii="宋体" w:hAnsi="宋体" w:cs="宋体" w:eastAsia="宋体" w:hint="default"/>
        </w:rPr>
        <w:t>693,396.24</w:t>
      </w:r>
      <w:r>
        <w:rPr>
          <w:rFonts w:ascii="宋体" w:hAnsi="宋体" w:cs="宋体" w:eastAsia="宋体" w:hint="default"/>
          <w:spacing w:val="-56"/>
        </w:rPr>
        <w:t> </w:t>
      </w:r>
      <w:r>
        <w:rPr/>
        <w:t>元。</w:t>
      </w:r>
    </w:p>
    <w:p>
      <w:pPr>
        <w:spacing w:line="240" w:lineRule="auto" w:before="3"/>
        <w:rPr>
          <w:rFonts w:ascii="宋体" w:hAnsi="宋体" w:cs="宋体" w:eastAsia="宋体" w:hint="default"/>
          <w:sz w:val="25"/>
          <w:szCs w:val="25"/>
        </w:rPr>
      </w:pPr>
    </w:p>
    <w:p>
      <w:pPr>
        <w:spacing w:line="273" w:lineRule="auto" w:before="0"/>
        <w:ind w:left="218" w:right="4634"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89"/>
          <w:sz w:val="21"/>
          <w:szCs w:val="21"/>
        </w:rPr>
        <w:t> </w:t>
      </w:r>
      <w:r>
        <w:rPr>
          <w:rFonts w:ascii="宋体" w:hAnsi="宋体" w:cs="宋体" w:eastAsia="宋体" w:hint="default"/>
          <w:b/>
          <w:bCs/>
          <w:sz w:val="21"/>
          <w:szCs w:val="21"/>
        </w:rPr>
        <w:t>关联受托管理</w:t>
      </w:r>
      <w:r>
        <w:rPr>
          <w:rFonts w:ascii="Cambria" w:hAnsi="Cambria" w:cs="Cambria" w:eastAsia="Cambria" w:hint="default"/>
          <w:b/>
          <w:bCs/>
          <w:sz w:val="21"/>
          <w:szCs w:val="21"/>
        </w:rPr>
        <w:t>/</w:t>
      </w:r>
      <w:r>
        <w:rPr>
          <w:rFonts w:ascii="宋体" w:hAnsi="宋体" w:cs="宋体" w:eastAsia="宋体" w:hint="default"/>
          <w:b/>
          <w:bCs/>
          <w:sz w:val="21"/>
          <w:szCs w:val="21"/>
        </w:rPr>
        <w:t>承包及委托管理</w:t>
      </w:r>
      <w:r>
        <w:rPr>
          <w:rFonts w:ascii="Cambria" w:hAnsi="Cambria" w:cs="Cambria" w:eastAsia="Cambria" w:hint="default"/>
          <w:b/>
          <w:bCs/>
          <w:sz w:val="21"/>
          <w:szCs w:val="21"/>
        </w:rPr>
        <w:t>/</w:t>
      </w:r>
      <w:r>
        <w:rPr>
          <w:rFonts w:ascii="宋体" w:hAnsi="宋体" w:cs="宋体" w:eastAsia="宋体" w:hint="default"/>
          <w:b/>
          <w:bCs/>
          <w:sz w:val="21"/>
          <w:szCs w:val="21"/>
        </w:rPr>
        <w:t>出包情况</w:t>
      </w:r>
      <w:r>
        <w:rPr>
          <w:rFonts w:ascii="宋体" w:hAnsi="宋体" w:cs="宋体" w:eastAsia="宋体" w:hint="default"/>
          <w:b/>
          <w:bCs/>
          <w:w w:val="100"/>
          <w:sz w:val="21"/>
          <w:szCs w:val="21"/>
        </w:rPr>
        <w:t> </w:t>
      </w:r>
      <w:r>
        <w:rPr>
          <w:rFonts w:ascii="宋体" w:hAnsi="宋体" w:cs="宋体" w:eastAsia="宋体" w:hint="default"/>
          <w:sz w:val="21"/>
          <w:szCs w:val="21"/>
        </w:rPr>
        <w:t>本公司受托管理</w:t>
      </w:r>
      <w:r>
        <w:rPr>
          <w:rFonts w:ascii="宋体" w:hAnsi="宋体" w:cs="宋体" w:eastAsia="宋体" w:hint="default"/>
          <w:sz w:val="21"/>
          <w:szCs w:val="21"/>
        </w:rPr>
        <w:t>/</w:t>
      </w:r>
      <w:r>
        <w:rPr>
          <w:rFonts w:ascii="宋体" w:hAnsi="宋体" w:cs="宋体" w:eastAsia="宋体" w:hint="default"/>
          <w:sz w:val="21"/>
          <w:szCs w:val="21"/>
        </w:rPr>
        <w:t>承包情况表：</w:t>
      </w:r>
    </w:p>
    <w:p>
      <w:pPr>
        <w:pStyle w:val="BodyText"/>
        <w:spacing w:line="241" w:lineRule="exact"/>
        <w:ind w:right="2757"/>
        <w:jc w:val="left"/>
      </w:pPr>
      <w:r>
        <w:rPr/>
        <w:t>□适用</w:t>
      </w:r>
      <w:r>
        <w:rPr>
          <w:spacing w:val="-1"/>
        </w:rPr>
        <w:t> </w:t>
      </w:r>
      <w:r>
        <w:rPr/>
        <w:t>√不适用</w:t>
      </w:r>
    </w:p>
    <w:p>
      <w:pPr>
        <w:pStyle w:val="BodyText"/>
        <w:spacing w:line="272" w:lineRule="exact"/>
        <w:ind w:right="2757"/>
        <w:jc w:val="left"/>
      </w:pPr>
      <w:r>
        <w:rPr/>
        <w:t>关联托管</w:t>
      </w:r>
      <w:r>
        <w:rPr>
          <w:rFonts w:ascii="宋体" w:hAnsi="宋体" w:cs="宋体" w:eastAsia="宋体" w:hint="default"/>
        </w:rPr>
        <w:t>/</w:t>
      </w:r>
      <w:r>
        <w:rPr/>
        <w:t>承包情况说明</w:t>
      </w:r>
    </w:p>
    <w:p>
      <w:pPr>
        <w:pStyle w:val="BodyText"/>
        <w:spacing w:line="273" w:lineRule="exact"/>
        <w:ind w:right="2757"/>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4" w:lineRule="exact"/>
        <w:ind w:right="2757"/>
        <w:jc w:val="left"/>
      </w:pPr>
      <w:r>
        <w:rPr/>
        <w:t>本公司委托管理</w:t>
      </w:r>
      <w:r>
        <w:rPr>
          <w:rFonts w:ascii="宋体" w:hAnsi="宋体" w:cs="宋体" w:eastAsia="宋体" w:hint="default"/>
        </w:rPr>
        <w:t>/</w:t>
      </w:r>
      <w:r>
        <w:rPr/>
        <w:t>出包情况表：</w:t>
      </w:r>
    </w:p>
    <w:p>
      <w:pPr>
        <w:pStyle w:val="BodyText"/>
        <w:spacing w:line="272" w:lineRule="exact" w:before="27"/>
        <w:ind w:right="6323"/>
        <w:jc w:val="left"/>
      </w:pPr>
      <w:r>
        <w:rPr/>
        <w:t>□适用</w:t>
      </w:r>
      <w:r>
        <w:rPr>
          <w:spacing w:val="-2"/>
        </w:rPr>
        <w:t> </w:t>
      </w:r>
      <w:r>
        <w:rPr/>
        <w:t>√不适用</w:t>
      </w:r>
      <w:r>
        <w:rPr>
          <w:w w:val="100"/>
        </w:rPr>
        <w:t> </w:t>
      </w:r>
      <w:r>
        <w:rPr>
          <w:spacing w:val="-2"/>
        </w:rPr>
        <w:t>关联管理</w:t>
      </w:r>
      <w:r>
        <w:rPr>
          <w:rFonts w:ascii="宋体" w:hAnsi="宋体" w:cs="宋体" w:eastAsia="宋体" w:hint="default"/>
          <w:spacing w:val="-2"/>
        </w:rPr>
        <w:t>/</w:t>
      </w:r>
      <w:r>
        <w:rPr>
          <w:spacing w:val="-2"/>
        </w:rPr>
        <w:t>出包情况说明</w:t>
      </w:r>
    </w:p>
    <w:p>
      <w:pPr>
        <w:pStyle w:val="BodyText"/>
        <w:spacing w:line="249" w:lineRule="exact"/>
        <w:ind w:right="2757"/>
        <w:jc w:val="left"/>
      </w:pPr>
      <w:r>
        <w:rPr/>
        <w:t>□适用</w:t>
      </w:r>
      <w:r>
        <w:rPr>
          <w:spacing w:val="-1"/>
        </w:rPr>
        <w:t> </w:t>
      </w:r>
      <w:r>
        <w:rPr/>
        <w:t>√不适用</w:t>
      </w:r>
    </w:p>
    <w:p>
      <w:pPr>
        <w:spacing w:after="0" w:line="249" w:lineRule="exact"/>
        <w:jc w:val="left"/>
        <w:sectPr>
          <w:type w:val="continuous"/>
          <w:pgSz w:w="11910" w:h="16840"/>
          <w:pgMar w:top="1000" w:bottom="280" w:left="1580" w:right="104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spacing w:line="290" w:lineRule="auto" w:before="36"/>
        <w:ind w:left="218" w:right="7165"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pacing w:val="89"/>
          <w:sz w:val="21"/>
          <w:szCs w:val="21"/>
        </w:rPr>
        <w:t> </w:t>
      </w:r>
      <w:r>
        <w:rPr>
          <w:rFonts w:ascii="宋体" w:hAnsi="宋体" w:cs="宋体" w:eastAsia="宋体" w:hint="default"/>
          <w:b/>
          <w:bCs/>
          <w:sz w:val="21"/>
          <w:szCs w:val="21"/>
        </w:rPr>
        <w:t>关联租赁情况</w:t>
      </w:r>
      <w:r>
        <w:rPr>
          <w:rFonts w:ascii="宋体" w:hAnsi="宋体" w:cs="宋体" w:eastAsia="宋体" w:hint="default"/>
          <w:b/>
          <w:bCs/>
          <w:w w:val="100"/>
          <w:sz w:val="21"/>
          <w:szCs w:val="21"/>
        </w:rPr>
        <w:t> </w:t>
      </w:r>
      <w:r>
        <w:rPr>
          <w:rFonts w:ascii="宋体" w:hAnsi="宋体" w:cs="宋体" w:eastAsia="宋体" w:hint="default"/>
          <w:spacing w:val="-1"/>
          <w:sz w:val="21"/>
          <w:szCs w:val="21"/>
        </w:rPr>
        <w:t>本公司作为出租方：</w:t>
      </w:r>
    </w:p>
    <w:p>
      <w:pPr>
        <w:pStyle w:val="BodyText"/>
        <w:spacing w:line="228" w:lineRule="exact"/>
        <w:ind w:right="2757"/>
        <w:jc w:val="left"/>
      </w:pPr>
      <w:r>
        <w:rPr/>
        <w:t>□适用</w:t>
      </w:r>
      <w:r>
        <w:rPr>
          <w:spacing w:val="-1"/>
        </w:rPr>
        <w:t> </w:t>
      </w:r>
      <w:r>
        <w:rPr/>
        <w:t>√不适用</w:t>
      </w:r>
    </w:p>
    <w:p>
      <w:pPr>
        <w:pStyle w:val="BodyText"/>
        <w:spacing w:line="272" w:lineRule="exact"/>
        <w:ind w:right="2757"/>
        <w:jc w:val="left"/>
      </w:pPr>
      <w:r>
        <w:rPr/>
        <w:t>本公司作为承租方：</w:t>
      </w:r>
    </w:p>
    <w:p>
      <w:pPr>
        <w:pStyle w:val="BodyText"/>
        <w:spacing w:line="272" w:lineRule="exact" w:before="27"/>
        <w:ind w:right="6323"/>
        <w:jc w:val="left"/>
      </w:pPr>
      <w:r>
        <w:rPr/>
        <w:t>□适用</w:t>
      </w:r>
      <w:r>
        <w:rPr>
          <w:spacing w:val="-2"/>
        </w:rPr>
        <w:t> </w:t>
      </w:r>
      <w:r>
        <w:rPr/>
        <w:t>√不适用</w:t>
      </w:r>
      <w:r>
        <w:rPr>
          <w:w w:val="100"/>
        </w:rPr>
        <w:t> </w:t>
      </w:r>
      <w:r>
        <w:rPr>
          <w:spacing w:val="-2"/>
        </w:rPr>
        <w:t>关联租赁情况说明</w:t>
      </w:r>
    </w:p>
    <w:p>
      <w:pPr>
        <w:pStyle w:val="BodyText"/>
        <w:spacing w:line="249" w:lineRule="exact"/>
        <w:ind w:right="2757"/>
        <w:jc w:val="left"/>
      </w:pPr>
      <w:r>
        <w:rPr/>
        <w:t>□适用</w:t>
      </w:r>
      <w:r>
        <w:rPr>
          <w:spacing w:val="-1"/>
        </w:rPr>
        <w:t> </w:t>
      </w:r>
      <w:r>
        <w:rPr/>
        <w:t>√不适用</w:t>
      </w:r>
    </w:p>
    <w:p>
      <w:pPr>
        <w:spacing w:line="240" w:lineRule="auto" w:before="3"/>
        <w:rPr>
          <w:rFonts w:ascii="宋体" w:hAnsi="宋体" w:cs="宋体" w:eastAsia="宋体" w:hint="default"/>
          <w:sz w:val="25"/>
          <w:szCs w:val="25"/>
        </w:rPr>
      </w:pPr>
    </w:p>
    <w:p>
      <w:pPr>
        <w:spacing w:line="290" w:lineRule="auto" w:before="0"/>
        <w:ind w:left="218" w:right="7165"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pacing w:val="89"/>
          <w:sz w:val="21"/>
          <w:szCs w:val="21"/>
        </w:rPr>
        <w:t> </w:t>
      </w:r>
      <w:r>
        <w:rPr>
          <w:rFonts w:ascii="宋体" w:hAnsi="宋体" w:cs="宋体" w:eastAsia="宋体" w:hint="default"/>
          <w:b/>
          <w:bCs/>
          <w:sz w:val="21"/>
          <w:szCs w:val="21"/>
        </w:rPr>
        <w:t>关联担保情况</w:t>
      </w:r>
      <w:r>
        <w:rPr>
          <w:rFonts w:ascii="宋体" w:hAnsi="宋体" w:cs="宋体" w:eastAsia="宋体" w:hint="default"/>
          <w:b/>
          <w:bCs/>
          <w:w w:val="100"/>
          <w:sz w:val="21"/>
          <w:szCs w:val="21"/>
        </w:rPr>
        <w:t> </w:t>
      </w:r>
      <w:r>
        <w:rPr>
          <w:rFonts w:ascii="宋体" w:hAnsi="宋体" w:cs="宋体" w:eastAsia="宋体" w:hint="default"/>
          <w:sz w:val="21"/>
          <w:szCs w:val="21"/>
        </w:rPr>
        <w:t>本公司作为担保方</w:t>
      </w:r>
    </w:p>
    <w:p>
      <w:pPr>
        <w:pStyle w:val="BodyText"/>
        <w:spacing w:line="228" w:lineRule="exact"/>
        <w:ind w:right="2757"/>
        <w:jc w:val="left"/>
      </w:pPr>
      <w:r>
        <w:rPr/>
        <w:t>□适用</w:t>
      </w:r>
      <w:r>
        <w:rPr>
          <w:spacing w:val="-1"/>
        </w:rPr>
        <w:t> </w:t>
      </w:r>
      <w:r>
        <w:rPr/>
        <w:t>√不适用</w:t>
      </w:r>
    </w:p>
    <w:p>
      <w:pPr>
        <w:pStyle w:val="BodyText"/>
        <w:spacing w:line="272" w:lineRule="exact"/>
        <w:ind w:right="2757"/>
        <w:jc w:val="left"/>
      </w:pPr>
      <w:r>
        <w:rPr/>
        <w:t>本公司作为被担保方</w:t>
      </w:r>
    </w:p>
    <w:p>
      <w:pPr>
        <w:pStyle w:val="BodyText"/>
        <w:spacing w:line="272" w:lineRule="exact" w:before="27"/>
        <w:ind w:right="6323"/>
        <w:jc w:val="left"/>
      </w:pPr>
      <w:r>
        <w:rPr/>
        <w:t>□适用</w:t>
      </w:r>
      <w:r>
        <w:rPr>
          <w:spacing w:val="-2"/>
        </w:rPr>
        <w:t> </w:t>
      </w:r>
      <w:r>
        <w:rPr/>
        <w:t>√不适用</w:t>
      </w:r>
      <w:r>
        <w:rPr>
          <w:w w:val="100"/>
        </w:rPr>
        <w:t> </w:t>
      </w:r>
      <w:r>
        <w:rPr>
          <w:spacing w:val="-2"/>
        </w:rPr>
        <w:t>关联担保情况说明</w:t>
      </w:r>
    </w:p>
    <w:p>
      <w:pPr>
        <w:pStyle w:val="BodyText"/>
        <w:spacing w:line="249" w:lineRule="exact"/>
        <w:ind w:right="2757"/>
        <w:jc w:val="left"/>
      </w:pPr>
      <w:r>
        <w:rPr/>
        <w:t>□适用</w:t>
      </w:r>
      <w:r>
        <w:rPr>
          <w:spacing w:val="-1"/>
        </w:rPr>
        <w:t> </w:t>
      </w:r>
      <w:r>
        <w:rPr/>
        <w:t>√不适用</w:t>
      </w:r>
    </w:p>
    <w:p>
      <w:pPr>
        <w:spacing w:line="240" w:lineRule="auto" w:before="4"/>
        <w:rPr>
          <w:rFonts w:ascii="宋体" w:hAnsi="宋体" w:cs="宋体" w:eastAsia="宋体" w:hint="default"/>
          <w:sz w:val="22"/>
          <w:szCs w:val="22"/>
        </w:rPr>
      </w:pPr>
    </w:p>
    <w:p>
      <w:pPr>
        <w:pStyle w:val="Heading3"/>
        <w:spacing w:line="240" w:lineRule="auto"/>
        <w:ind w:right="2757"/>
        <w:jc w:val="left"/>
        <w:rPr>
          <w:b w:val="0"/>
          <w:bCs w:val="0"/>
        </w:rPr>
      </w:pPr>
      <w:r>
        <w:rPr>
          <w:rFonts w:ascii="宋体" w:hAnsi="宋体" w:cs="宋体" w:eastAsia="宋体" w:hint="default"/>
        </w:rPr>
        <w:t>(5).</w:t>
      </w:r>
      <w:r>
        <w:rPr>
          <w:rFonts w:ascii="宋体" w:hAnsi="宋体" w:cs="宋体" w:eastAsia="宋体" w:hint="default"/>
          <w:spacing w:val="89"/>
        </w:rPr>
        <w:t> </w:t>
      </w:r>
      <w:r>
        <w:rPr/>
        <w:t>关联方资金拆借</w:t>
      </w:r>
      <w:r>
        <w:rPr>
          <w:b w:val="0"/>
          <w:bCs w:val="0"/>
        </w:rPr>
      </w:r>
    </w:p>
    <w:p>
      <w:pPr>
        <w:pStyle w:val="BodyText"/>
        <w:spacing w:line="240" w:lineRule="auto" w:before="56"/>
        <w:ind w:right="2757"/>
        <w:jc w:val="left"/>
      </w:pPr>
      <w:r>
        <w:rPr/>
        <w:t>□适用</w:t>
      </w:r>
      <w:r>
        <w:rPr>
          <w:spacing w:val="-1"/>
        </w:rPr>
        <w:t> </w:t>
      </w:r>
      <w:r>
        <w:rPr/>
        <w:t>√不适用</w:t>
      </w:r>
    </w:p>
    <w:p>
      <w:pPr>
        <w:pStyle w:val="Heading3"/>
        <w:spacing w:line="240" w:lineRule="auto" w:before="58"/>
        <w:ind w:right="2757"/>
        <w:jc w:val="left"/>
        <w:rPr>
          <w:b w:val="0"/>
          <w:bCs w:val="0"/>
        </w:rPr>
      </w:pPr>
      <w:r>
        <w:rPr>
          <w:rFonts w:ascii="宋体" w:hAnsi="宋体" w:cs="宋体" w:eastAsia="宋体" w:hint="default"/>
        </w:rPr>
        <w:t>(6).</w:t>
      </w:r>
      <w:r>
        <w:rPr>
          <w:rFonts w:ascii="宋体" w:hAnsi="宋体" w:cs="宋体" w:eastAsia="宋体" w:hint="default"/>
          <w:spacing w:val="86"/>
        </w:rPr>
        <w:t> </w:t>
      </w:r>
      <w:r>
        <w:rPr/>
        <w:t>关联方资产转让、债务重组情况</w:t>
      </w:r>
      <w:r>
        <w:rPr>
          <w:b w:val="0"/>
          <w:bCs w:val="0"/>
        </w:rPr>
      </w:r>
    </w:p>
    <w:p>
      <w:pPr>
        <w:pStyle w:val="BodyText"/>
        <w:tabs>
          <w:tab w:pos="1060" w:val="left" w:leader="none"/>
        </w:tabs>
        <w:spacing w:line="240" w:lineRule="auto" w:before="56"/>
        <w:ind w:right="2757"/>
        <w:jc w:val="left"/>
      </w:pPr>
      <w:r>
        <w:rPr>
          <w:spacing w:val="-1"/>
        </w:rPr>
        <w:t>□适用</w:t>
        <w:tab/>
      </w:r>
      <w:r>
        <w:rPr>
          <w:spacing w:val="-2"/>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1195" w:top="1320" w:bottom="1380" w:left="1580" w:right="1040"/>
        </w:sectPr>
      </w:pPr>
    </w:p>
    <w:p>
      <w:pPr>
        <w:pStyle w:val="Heading3"/>
        <w:spacing w:line="240" w:lineRule="auto" w:before="36"/>
        <w:ind w:right="-19"/>
        <w:jc w:val="left"/>
        <w:rPr>
          <w:b w:val="0"/>
          <w:bCs w:val="0"/>
        </w:rPr>
      </w:pPr>
      <w:r>
        <w:rPr>
          <w:rFonts w:ascii="宋体" w:hAnsi="宋体" w:cs="宋体" w:eastAsia="宋体" w:hint="default"/>
        </w:rPr>
        <w:t>(7).</w:t>
      </w:r>
      <w:r>
        <w:rPr>
          <w:rFonts w:ascii="宋体" w:hAnsi="宋体" w:cs="宋体" w:eastAsia="宋体" w:hint="default"/>
          <w:spacing w:val="89"/>
        </w:rPr>
        <w:t> </w:t>
      </w:r>
      <w:r>
        <w:rPr/>
        <w:t>关键管理人员报酬</w:t>
      </w:r>
      <w:r>
        <w:rPr>
          <w:b w:val="0"/>
          <w:bCs w:val="0"/>
        </w:rPr>
      </w:r>
    </w:p>
    <w:p>
      <w:pPr>
        <w:pStyle w:val="BodyText"/>
        <w:spacing w:line="240" w:lineRule="auto" w:before="58"/>
        <w:ind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478" w:val="left" w:leader="none"/>
        </w:tabs>
        <w:spacing w:line="240" w:lineRule="auto"/>
        <w:ind w:right="0"/>
        <w:jc w:val="left"/>
      </w:pPr>
      <w:r>
        <w:rPr>
          <w:spacing w:val="-1"/>
        </w:rPr>
        <w:t>单位：万元</w:t>
        <w:tab/>
        <w:t>币种：人民币</w:t>
      </w:r>
    </w:p>
    <w:p>
      <w:pPr>
        <w:spacing w:after="0" w:line="240" w:lineRule="auto"/>
        <w:jc w:val="left"/>
        <w:sectPr>
          <w:type w:val="continuous"/>
          <w:pgSz w:w="11910" w:h="16840"/>
          <w:pgMar w:top="1000" w:bottom="280" w:left="1580" w:right="1040"/>
          <w:cols w:num="2" w:equalWidth="0">
            <w:col w:w="2525" w:space="3786"/>
            <w:col w:w="297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74"/>
        <w:gridCol w:w="3274"/>
        <w:gridCol w:w="2501"/>
      </w:tblGrid>
      <w:tr>
        <w:trPr>
          <w:trHeight w:val="281"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19"/>
              <w:jc w:val="right"/>
              <w:rPr>
                <w:rFonts w:ascii="宋体" w:hAnsi="宋体" w:cs="宋体" w:eastAsia="宋体" w:hint="default"/>
                <w:sz w:val="21"/>
                <w:szCs w:val="21"/>
              </w:rPr>
            </w:pPr>
            <w:r>
              <w:rPr>
                <w:rFonts w:ascii="宋体" w:hAnsi="宋体" w:cs="宋体" w:eastAsia="宋体" w:hint="default"/>
                <w:sz w:val="21"/>
                <w:szCs w:val="21"/>
              </w:rPr>
              <w:t>项目</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76"/>
              <w:jc w:val="right"/>
              <w:rPr>
                <w:rFonts w:ascii="宋体" w:hAnsi="宋体" w:cs="宋体" w:eastAsia="宋体" w:hint="default"/>
                <w:sz w:val="21"/>
                <w:szCs w:val="21"/>
              </w:rPr>
            </w:pPr>
            <w:r>
              <w:rPr>
                <w:rFonts w:ascii="宋体" w:hAnsi="宋体" w:cs="宋体" w:eastAsia="宋体" w:hint="default"/>
                <w:spacing w:val="-2"/>
                <w:sz w:val="21"/>
                <w:szCs w:val="21"/>
              </w:rPr>
              <w:t>关键管理人员报酬</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358.36</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306.38</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3"/>
        <w:spacing w:line="240" w:lineRule="auto" w:before="36"/>
        <w:ind w:right="2757"/>
        <w:jc w:val="left"/>
        <w:rPr>
          <w:b w:val="0"/>
          <w:bCs w:val="0"/>
        </w:rPr>
      </w:pPr>
      <w:r>
        <w:rPr>
          <w:rFonts w:ascii="宋体" w:hAnsi="宋体" w:cs="宋体" w:eastAsia="宋体" w:hint="default"/>
        </w:rPr>
        <w:t>(8).</w:t>
      </w:r>
      <w:r>
        <w:rPr>
          <w:rFonts w:ascii="宋体" w:hAnsi="宋体" w:cs="宋体" w:eastAsia="宋体" w:hint="default"/>
          <w:spacing w:val="89"/>
        </w:rPr>
        <w:t> </w:t>
      </w:r>
      <w:r>
        <w:rPr/>
        <w:t>其他关联交易</w:t>
      </w:r>
      <w:r>
        <w:rPr>
          <w:b w:val="0"/>
          <w:bCs w:val="0"/>
        </w:rPr>
      </w:r>
    </w:p>
    <w:p>
      <w:pPr>
        <w:pStyle w:val="BodyText"/>
        <w:tabs>
          <w:tab w:pos="1060" w:val="left" w:leader="none"/>
        </w:tabs>
        <w:spacing w:line="240" w:lineRule="auto" w:before="56"/>
        <w:ind w:right="2757"/>
        <w:jc w:val="left"/>
      </w:pPr>
      <w:r>
        <w:rPr>
          <w:spacing w:val="-1"/>
        </w:rPr>
        <w:t>□适用</w:t>
        <w:tab/>
      </w:r>
      <w:r>
        <w:rPr>
          <w:spacing w:val="-2"/>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000" w:bottom="280" w:left="1580" w:right="1040"/>
        </w:sectPr>
      </w:pPr>
    </w:p>
    <w:p>
      <w:pPr>
        <w:pStyle w:val="Heading3"/>
        <w:spacing w:line="292" w:lineRule="auto" w:before="36"/>
        <w:ind w:right="-20"/>
        <w:jc w:val="left"/>
        <w:rPr>
          <w:b w:val="0"/>
          <w:bCs w:val="0"/>
        </w:rPr>
      </w:pPr>
      <w:r>
        <w:rPr>
          <w:rFonts w:ascii="宋体" w:hAnsi="宋体" w:cs="宋体" w:eastAsia="宋体" w:hint="default"/>
        </w:rPr>
        <w:t>6</w:t>
      </w:r>
      <w:r>
        <w:rPr/>
        <w:t>、</w:t>
      </w:r>
      <w:r>
        <w:rPr>
          <w:spacing w:val="5"/>
        </w:rPr>
        <w:t> </w:t>
      </w:r>
      <w:r>
        <w:rPr/>
        <w:t>关联方应收应付款项</w:t>
      </w:r>
      <w:r>
        <w:rPr>
          <w:w w:val="100"/>
        </w:rPr>
        <w:t> </w:t>
      </w:r>
      <w:r>
        <w:rPr>
          <w:rFonts w:ascii="宋体" w:hAnsi="宋体" w:cs="宋体" w:eastAsia="宋体" w:hint="default"/>
        </w:rPr>
        <w:t>(1).</w:t>
      </w:r>
      <w:r>
        <w:rPr>
          <w:rFonts w:ascii="宋体" w:hAnsi="宋体" w:cs="宋体" w:eastAsia="宋体" w:hint="default"/>
          <w:spacing w:val="88"/>
        </w:rPr>
        <w:t> </w:t>
      </w:r>
      <w:r>
        <w:rPr/>
        <w:t>应收项目</w:t>
      </w:r>
      <w:r>
        <w:rPr>
          <w:b w:val="0"/>
          <w:bCs w:val="0"/>
        </w:rPr>
      </w:r>
    </w:p>
    <w:p>
      <w:pPr>
        <w:pStyle w:val="BodyText"/>
        <w:tabs>
          <w:tab w:pos="1060" w:val="left" w:leader="none"/>
        </w:tabs>
        <w:spacing w:line="240" w:lineRule="auto" w:before="10"/>
        <w:ind w:right="-16"/>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tabs>
          <w:tab w:pos="1164" w:val="left" w:leader="none"/>
        </w:tabs>
        <w:spacing w:line="240" w:lineRule="auto"/>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000" w:bottom="280" w:left="1580" w:right="1040"/>
          <w:cols w:num="2" w:equalWidth="0">
            <w:col w:w="2544" w:space="4189"/>
            <w:col w:w="2557"/>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447"/>
        <w:gridCol w:w="1364"/>
        <w:gridCol w:w="1366"/>
        <w:gridCol w:w="1364"/>
        <w:gridCol w:w="1490"/>
        <w:gridCol w:w="1865"/>
      </w:tblGrid>
      <w:tr>
        <w:trPr>
          <w:trHeight w:val="283" w:hRule="exact"/>
        </w:trPr>
        <w:tc>
          <w:tcPr>
            <w:tcW w:w="1447" w:type="dxa"/>
            <w:vMerge w:val="restart"/>
            <w:tcBorders>
              <w:top w:val="single" w:sz="4" w:space="0" w:color="000000"/>
              <w:left w:val="single" w:sz="4" w:space="0" w:color="000000"/>
              <w:right w:val="single" w:sz="4" w:space="0" w:color="000000"/>
            </w:tcBorders>
          </w:tcPr>
          <w:p>
            <w:pPr>
              <w:pStyle w:val="TableParagraph"/>
              <w:spacing w:line="240" w:lineRule="auto" w:before="107"/>
              <w:ind w:left="297"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364" w:type="dxa"/>
            <w:vMerge w:val="restart"/>
            <w:tcBorders>
              <w:top w:val="single" w:sz="4" w:space="0" w:color="000000"/>
              <w:left w:val="single" w:sz="4" w:space="0" w:color="000000"/>
              <w:right w:val="single" w:sz="4" w:space="0" w:color="000000"/>
            </w:tcBorders>
          </w:tcPr>
          <w:p>
            <w:pPr>
              <w:pStyle w:val="TableParagraph"/>
              <w:spacing w:line="240" w:lineRule="auto" w:before="107"/>
              <w:ind w:left="360"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1447" w:type="dxa"/>
            <w:vMerge/>
            <w:tcBorders>
              <w:left w:val="single" w:sz="4" w:space="0" w:color="000000"/>
              <w:bottom w:val="single" w:sz="4" w:space="0" w:color="000000"/>
              <w:right w:val="single" w:sz="4" w:space="0" w:color="000000"/>
            </w:tcBorders>
          </w:tcPr>
          <w:p>
            <w:pPr/>
          </w:p>
        </w:tc>
        <w:tc>
          <w:tcPr>
            <w:tcW w:w="1364" w:type="dxa"/>
            <w:vMerge/>
            <w:tcBorders>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9"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5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中信证券股份</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3" w:right="0"/>
              <w:jc w:val="left"/>
              <w:rPr>
                <w:rFonts w:ascii="宋体" w:hAnsi="宋体" w:cs="宋体" w:eastAsia="宋体" w:hint="default"/>
                <w:sz w:val="21"/>
                <w:szCs w:val="21"/>
              </w:rPr>
            </w:pPr>
            <w:r>
              <w:rPr>
                <w:rFonts w:ascii="宋体"/>
                <w:sz w:val="21"/>
              </w:rPr>
              <w:t>42,000.00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1" w:right="0"/>
              <w:jc w:val="left"/>
              <w:rPr>
                <w:rFonts w:ascii="宋体" w:hAnsi="宋体" w:cs="宋体" w:eastAsia="宋体" w:hint="default"/>
                <w:sz w:val="21"/>
                <w:szCs w:val="21"/>
              </w:rPr>
            </w:pPr>
            <w:r>
              <w:rPr>
                <w:rFonts w:ascii="宋体"/>
                <w:sz w:val="21"/>
              </w:rPr>
              <w:t>40,000.00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5" w:right="0"/>
              <w:jc w:val="left"/>
              <w:rPr>
                <w:rFonts w:ascii="宋体" w:hAnsi="宋体" w:cs="宋体" w:eastAsia="宋体" w:hint="default"/>
                <w:sz w:val="21"/>
                <w:szCs w:val="21"/>
              </w:rPr>
            </w:pPr>
            <w:r>
              <w:rPr>
                <w:rFonts w:ascii="宋体"/>
                <w:sz w:val="21"/>
              </w:rPr>
              <w:t>400,840.00</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6" w:right="0"/>
              <w:jc w:val="left"/>
              <w:rPr>
                <w:rFonts w:ascii="宋体" w:hAnsi="宋体" w:cs="宋体" w:eastAsia="宋体" w:hint="default"/>
                <w:sz w:val="21"/>
                <w:szCs w:val="21"/>
              </w:rPr>
            </w:pPr>
            <w:r>
              <w:rPr>
                <w:rFonts w:ascii="宋体"/>
                <w:sz w:val="21"/>
              </w:rPr>
              <w:t>59,942.00</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000" w:bottom="280" w:left="1580" w:right="1040"/>
        </w:sectPr>
      </w:pPr>
    </w:p>
    <w:p>
      <w:pPr>
        <w:pStyle w:val="Heading3"/>
        <w:spacing w:line="240" w:lineRule="auto" w:before="36"/>
        <w:ind w:right="-12"/>
        <w:jc w:val="left"/>
        <w:rPr>
          <w:b w:val="0"/>
          <w:bCs w:val="0"/>
        </w:rPr>
      </w:pPr>
      <w:r>
        <w:rPr>
          <w:rFonts w:ascii="宋体" w:hAnsi="宋体" w:cs="宋体" w:eastAsia="宋体" w:hint="default"/>
        </w:rPr>
        <w:t>(2).</w:t>
      </w:r>
      <w:r>
        <w:rPr>
          <w:rFonts w:ascii="宋体" w:hAnsi="宋体" w:cs="宋体" w:eastAsia="宋体" w:hint="default"/>
          <w:spacing w:val="88"/>
        </w:rPr>
        <w:t> </w:t>
      </w:r>
      <w:r>
        <w:rPr/>
        <w:t>应付项目</w:t>
      </w:r>
      <w:r>
        <w:rPr>
          <w:b w:val="0"/>
          <w:bCs w:val="0"/>
        </w:rPr>
      </w:r>
    </w:p>
    <w:p>
      <w:pPr>
        <w:pStyle w:val="BodyText"/>
        <w:tabs>
          <w:tab w:pos="1060" w:val="left" w:leader="none"/>
        </w:tabs>
        <w:spacing w:line="240" w:lineRule="auto" w:before="58"/>
        <w:ind w:right="-12"/>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64" w:val="left" w:leader="none"/>
        </w:tabs>
        <w:spacing w:line="240" w:lineRule="auto"/>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000" w:bottom="280" w:left="1580" w:right="1040"/>
          <w:cols w:num="2" w:equalWidth="0">
            <w:col w:w="1901" w:space="4832"/>
            <w:col w:w="2557"/>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129"/>
        <w:gridCol w:w="2047"/>
        <w:gridCol w:w="2048"/>
        <w:gridCol w:w="2672"/>
      </w:tblGrid>
      <w:tr>
        <w:trPr>
          <w:trHeight w:val="28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8"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8"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0"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3"/>
              <w:jc w:val="center"/>
              <w:rPr>
                <w:rFonts w:ascii="宋体" w:hAnsi="宋体" w:cs="宋体" w:eastAsia="宋体" w:hint="default"/>
                <w:sz w:val="21"/>
                <w:szCs w:val="21"/>
              </w:rPr>
            </w:pPr>
            <w:r>
              <w:rPr>
                <w:rFonts w:ascii="宋体" w:hAnsi="宋体" w:cs="宋体" w:eastAsia="宋体" w:hint="default"/>
                <w:sz w:val="21"/>
                <w:szCs w:val="21"/>
              </w:rPr>
              <w:t>中信证券股份有限公</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54" w:right="0"/>
              <w:jc w:val="left"/>
              <w:rPr>
                <w:rFonts w:ascii="宋体" w:hAnsi="宋体" w:cs="宋体" w:eastAsia="宋体" w:hint="default"/>
                <w:sz w:val="21"/>
                <w:szCs w:val="21"/>
              </w:rPr>
            </w:pPr>
            <w:r>
              <w:rPr>
                <w:rFonts w:ascii="宋体"/>
                <w:sz w:val="21"/>
              </w:rPr>
              <w:t>4,809,562.97</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378" w:right="0"/>
              <w:jc w:val="left"/>
              <w:rPr>
                <w:rFonts w:ascii="宋体" w:hAnsi="宋体" w:cs="宋体" w:eastAsia="宋体" w:hint="default"/>
                <w:sz w:val="21"/>
                <w:szCs w:val="21"/>
              </w:rPr>
            </w:pPr>
            <w:r>
              <w:rPr>
                <w:rFonts w:ascii="宋体"/>
                <w:sz w:val="21"/>
              </w:rPr>
              <w:t>2,394,339.61</w:t>
            </w:r>
          </w:p>
        </w:tc>
      </w:tr>
    </w:tbl>
    <w:p>
      <w:pPr>
        <w:spacing w:after="0" w:line="243" w:lineRule="exact"/>
        <w:jc w:val="left"/>
        <w:rPr>
          <w:rFonts w:ascii="宋体" w:hAnsi="宋体" w:cs="宋体" w:eastAsia="宋体" w:hint="default"/>
          <w:sz w:val="21"/>
          <w:szCs w:val="21"/>
        </w:rPr>
        <w:sectPr>
          <w:type w:val="continuous"/>
          <w:pgSz w:w="11910" w:h="16840"/>
          <w:pgMar w:top="1000" w:bottom="280" w:left="1580" w:right="1040"/>
        </w:sectPr>
      </w:pPr>
    </w:p>
    <w:p>
      <w:pPr>
        <w:spacing w:line="240" w:lineRule="auto" w:before="9"/>
        <w:rPr>
          <w:rFonts w:ascii="宋体" w:hAnsi="宋体" w:cs="宋体" w:eastAsia="宋体" w:hint="default"/>
          <w:sz w:val="14"/>
          <w:szCs w:val="14"/>
        </w:rPr>
      </w:pPr>
    </w:p>
    <w:tbl>
      <w:tblPr>
        <w:tblW w:w="0" w:type="auto"/>
        <w:jc w:val="left"/>
        <w:tblInd w:w="182" w:type="dxa"/>
        <w:tblLayout w:type="fixed"/>
        <w:tblCellMar>
          <w:top w:w="0" w:type="dxa"/>
          <w:left w:w="0" w:type="dxa"/>
          <w:bottom w:w="0" w:type="dxa"/>
          <w:right w:w="0" w:type="dxa"/>
        </w:tblCellMar>
        <w:tblLook w:val="01E0"/>
      </w:tblPr>
      <w:tblGrid>
        <w:gridCol w:w="2129"/>
        <w:gridCol w:w="2047"/>
        <w:gridCol w:w="2048"/>
        <w:gridCol w:w="2672"/>
      </w:tblGrid>
      <w:tr>
        <w:trPr>
          <w:trHeight w:val="284"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048"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中信期货有限公司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62" w:right="0"/>
              <w:jc w:val="left"/>
              <w:rPr>
                <w:rFonts w:ascii="宋体" w:hAnsi="宋体" w:cs="宋体" w:eastAsia="宋体" w:hint="default"/>
                <w:sz w:val="21"/>
                <w:szCs w:val="21"/>
              </w:rPr>
            </w:pPr>
            <w:r>
              <w:rPr>
                <w:rFonts w:ascii="宋体"/>
                <w:sz w:val="21"/>
              </w:rPr>
              <w:t>169,811.32</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87" w:right="0"/>
              <w:jc w:val="left"/>
              <w:rPr>
                <w:rFonts w:ascii="宋体" w:hAnsi="宋体" w:cs="宋体" w:eastAsia="宋体" w:hint="default"/>
                <w:sz w:val="21"/>
                <w:szCs w:val="21"/>
              </w:rPr>
            </w:pPr>
            <w:r>
              <w:rPr>
                <w:rFonts w:ascii="宋体"/>
                <w:sz w:val="21"/>
              </w:rPr>
              <w:t>466,981.13</w:t>
            </w:r>
          </w:p>
        </w:tc>
      </w:tr>
    </w:tbl>
    <w:p>
      <w:pPr>
        <w:spacing w:line="240" w:lineRule="auto" w:before="12"/>
        <w:rPr>
          <w:rFonts w:ascii="宋体" w:hAnsi="宋体" w:cs="宋体" w:eastAsia="宋体" w:hint="default"/>
          <w:sz w:val="19"/>
          <w:szCs w:val="19"/>
        </w:rPr>
      </w:pPr>
    </w:p>
    <w:p>
      <w:pPr>
        <w:pStyle w:val="Heading3"/>
        <w:spacing w:line="240" w:lineRule="auto" w:before="36"/>
        <w:ind w:right="2757"/>
        <w:jc w:val="left"/>
        <w:rPr>
          <w:b w:val="0"/>
          <w:bCs w:val="0"/>
        </w:rPr>
      </w:pPr>
      <w:r>
        <w:rPr>
          <w:rFonts w:ascii="宋体" w:hAnsi="宋体" w:cs="宋体" w:eastAsia="宋体" w:hint="default"/>
        </w:rPr>
        <w:t>7</w:t>
      </w:r>
      <w:r>
        <w:rPr/>
        <w:t>、</w:t>
      </w:r>
      <w:r>
        <w:rPr>
          <w:spacing w:val="4"/>
        </w:rPr>
        <w:t> </w:t>
      </w:r>
      <w:r>
        <w:rPr/>
        <w:t>关联方承诺</w:t>
      </w:r>
      <w:r>
        <w:rPr>
          <w:b w:val="0"/>
          <w:bCs w:val="0"/>
        </w:rPr>
      </w:r>
    </w:p>
    <w:p>
      <w:pPr>
        <w:pStyle w:val="BodyText"/>
        <w:tabs>
          <w:tab w:pos="1060" w:val="left" w:leader="none"/>
        </w:tabs>
        <w:spacing w:line="240" w:lineRule="auto" w:before="58"/>
        <w:ind w:right="2757"/>
        <w:jc w:val="left"/>
      </w:pPr>
      <w:r>
        <w:rPr>
          <w:spacing w:val="-1"/>
        </w:rPr>
        <w:t>□适用</w:t>
        <w:tab/>
      </w:r>
      <w:r>
        <w:rPr>
          <w:spacing w:val="-2"/>
        </w:rPr>
        <w:t>√不适用</w:t>
      </w:r>
    </w:p>
    <w:p>
      <w:pPr>
        <w:spacing w:line="240" w:lineRule="auto" w:before="4"/>
        <w:rPr>
          <w:rFonts w:ascii="宋体" w:hAnsi="宋体" w:cs="宋体" w:eastAsia="宋体" w:hint="default"/>
          <w:sz w:val="22"/>
          <w:szCs w:val="22"/>
        </w:rPr>
      </w:pPr>
    </w:p>
    <w:p>
      <w:pPr>
        <w:spacing w:before="0"/>
        <w:ind w:left="218" w:right="2757" w:firstLine="0"/>
        <w:jc w:val="left"/>
        <w:rPr>
          <w:rFonts w:ascii="宋体" w:hAnsi="宋体" w:cs="宋体" w:eastAsia="宋体" w:hint="default"/>
          <w:sz w:val="21"/>
          <w:szCs w:val="21"/>
        </w:rPr>
      </w:pPr>
      <w:r>
        <w:rPr>
          <w:rFonts w:ascii="宋体" w:hAnsi="宋体" w:cs="宋体" w:eastAsia="宋体" w:hint="default"/>
          <w:b/>
          <w:bCs/>
          <w:sz w:val="20"/>
          <w:szCs w:val="20"/>
        </w:rPr>
        <w:t>8</w:t>
      </w:r>
      <w:r>
        <w:rPr>
          <w:rFonts w:ascii="宋体" w:hAnsi="宋体" w:cs="宋体" w:eastAsia="宋体" w:hint="default"/>
          <w:b/>
          <w:bCs/>
          <w:sz w:val="20"/>
          <w:szCs w:val="20"/>
        </w:rPr>
        <w:t>、</w:t>
      </w:r>
      <w:r>
        <w:rPr>
          <w:rFonts w:ascii="宋体" w:hAnsi="宋体" w:cs="宋体" w:eastAsia="宋体" w:hint="default"/>
          <w:b/>
          <w:bCs/>
          <w:spacing w:val="21"/>
          <w:sz w:val="20"/>
          <w:szCs w:val="20"/>
        </w:rPr>
        <w:t> </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tabs>
          <w:tab w:pos="1060" w:val="left" w:leader="none"/>
        </w:tabs>
        <w:spacing w:line="240" w:lineRule="auto" w:before="56"/>
        <w:ind w:right="2757"/>
        <w:jc w:val="left"/>
      </w:pPr>
      <w:r>
        <w:rPr>
          <w:spacing w:val="-1"/>
        </w:rPr>
        <w:t>□适用</w:t>
        <w:tab/>
      </w:r>
      <w:r>
        <w:rPr>
          <w:spacing w:val="-2"/>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1195" w:top="1320" w:bottom="1380" w:left="1580" w:right="1040"/>
        </w:sectPr>
      </w:pPr>
    </w:p>
    <w:p>
      <w:pPr>
        <w:pStyle w:val="Heading3"/>
        <w:tabs>
          <w:tab w:pos="1057" w:val="left" w:leader="none"/>
        </w:tabs>
        <w:spacing w:line="240" w:lineRule="auto" w:before="36"/>
        <w:ind w:right="-16"/>
        <w:jc w:val="left"/>
        <w:rPr>
          <w:b w:val="0"/>
          <w:bCs w:val="0"/>
        </w:rPr>
      </w:pPr>
      <w:r>
        <w:rPr/>
        <w:t>十三、</w:t>
        <w:tab/>
        <w:t>股份支付</w:t>
      </w:r>
      <w:r>
        <w:rPr>
          <w:b w:val="0"/>
          <w:bCs w:val="0"/>
        </w:rPr>
      </w:r>
    </w:p>
    <w:p>
      <w:pPr>
        <w:pStyle w:val="Heading3"/>
        <w:spacing w:line="240" w:lineRule="auto" w:before="58"/>
        <w:ind w:right="-20"/>
        <w:jc w:val="left"/>
        <w:rPr>
          <w:b w:val="0"/>
          <w:bCs w:val="0"/>
        </w:rPr>
      </w:pPr>
      <w:r>
        <w:rPr>
          <w:rFonts w:ascii="宋体" w:hAnsi="宋体" w:cs="宋体" w:eastAsia="宋体" w:hint="default"/>
        </w:rPr>
        <w:t>1</w:t>
      </w:r>
      <w:r>
        <w:rPr/>
        <w:t>、</w:t>
      </w:r>
      <w:r>
        <w:rPr>
          <w:spacing w:val="5"/>
        </w:rPr>
        <w:t> </w:t>
      </w:r>
      <w:r>
        <w:rPr/>
        <w:t>股份支付总体情况</w:t>
      </w:r>
      <w:r>
        <w:rPr>
          <w:b w:val="0"/>
          <w:bCs w:val="0"/>
        </w:rPr>
      </w:r>
    </w:p>
    <w:p>
      <w:pPr>
        <w:pStyle w:val="BodyText"/>
        <w:spacing w:line="240" w:lineRule="auto" w:before="57"/>
        <w:ind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单位：股</w:t>
        <w:tab/>
      </w:r>
      <w:r>
        <w:rPr>
          <w:spacing w:val="-2"/>
        </w:rPr>
        <w:t>币种：人民币</w:t>
      </w:r>
    </w:p>
    <w:p>
      <w:pPr>
        <w:spacing w:after="0" w:line="240" w:lineRule="auto"/>
        <w:jc w:val="left"/>
        <w:sectPr>
          <w:type w:val="continuous"/>
          <w:pgSz w:w="11910" w:h="16840"/>
          <w:pgMar w:top="1000" w:bottom="280" w:left="1580" w:right="1040"/>
          <w:cols w:num="2" w:equalWidth="0">
            <w:col w:w="2333" w:space="4189"/>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645"/>
        <w:gridCol w:w="4405"/>
      </w:tblGrid>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公司本期授予的各项权益工具总额</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1,677,000</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公司本期行权的各项权益工具总额</w:t>
            </w:r>
          </w:p>
        </w:tc>
        <w:tc>
          <w:tcPr>
            <w:tcW w:w="440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公司本期失效的各项权益工具总额</w:t>
            </w:r>
          </w:p>
        </w:tc>
        <w:tc>
          <w:tcPr>
            <w:tcW w:w="4405"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公司期末发行在外的股票期权行权价格的范围和</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合同剩余期限</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8"/>
              <w:jc w:val="left"/>
              <w:rPr>
                <w:rFonts w:ascii="宋体" w:hAnsi="宋体" w:cs="宋体" w:eastAsia="宋体" w:hint="default"/>
                <w:sz w:val="21"/>
                <w:szCs w:val="21"/>
              </w:rPr>
            </w:pPr>
            <w:r>
              <w:rPr>
                <w:rFonts w:ascii="宋体" w:hAnsi="宋体" w:cs="宋体" w:eastAsia="宋体" w:hint="default"/>
                <w:sz w:val="21"/>
                <w:szCs w:val="21"/>
              </w:rPr>
              <w:t>22.96</w:t>
            </w:r>
            <w:r>
              <w:rPr>
                <w:rFonts w:ascii="宋体" w:hAnsi="宋体" w:cs="宋体" w:eastAsia="宋体" w:hint="default"/>
                <w:spacing w:val="3"/>
                <w:sz w:val="21"/>
                <w:szCs w:val="21"/>
              </w:rPr>
              <w:t> </w:t>
            </w:r>
            <w:r>
              <w:rPr>
                <w:rFonts w:ascii="宋体" w:hAnsi="宋体" w:cs="宋体" w:eastAsia="宋体" w:hint="default"/>
                <w:spacing w:val="-8"/>
                <w:sz w:val="21"/>
                <w:szCs w:val="21"/>
              </w:rPr>
              <w:t>元</w:t>
            </w:r>
            <w:r>
              <w:rPr>
                <w:rFonts w:ascii="宋体" w:hAnsi="宋体" w:cs="宋体" w:eastAsia="宋体" w:hint="default"/>
                <w:spacing w:val="-8"/>
                <w:sz w:val="21"/>
                <w:szCs w:val="21"/>
              </w:rPr>
              <w:t>/</w:t>
            </w:r>
            <w:r>
              <w:rPr>
                <w:rFonts w:ascii="宋体" w:hAnsi="宋体" w:cs="宋体" w:eastAsia="宋体" w:hint="default"/>
                <w:spacing w:val="-8"/>
                <w:sz w:val="21"/>
                <w:szCs w:val="21"/>
              </w:rPr>
              <w:t>股，</w:t>
            </w:r>
            <w:r>
              <w:rPr>
                <w:rFonts w:ascii="宋体" w:hAnsi="宋体" w:cs="宋体" w:eastAsia="宋体" w:hint="default"/>
                <w:spacing w:val="-8"/>
                <w:sz w:val="21"/>
                <w:szCs w:val="21"/>
              </w:rPr>
              <w:t>67.08</w:t>
            </w:r>
            <w:r>
              <w:rPr>
                <w:rFonts w:ascii="宋体" w:hAnsi="宋体" w:cs="宋体" w:eastAsia="宋体" w:hint="default"/>
                <w:spacing w:val="-53"/>
                <w:sz w:val="21"/>
                <w:szCs w:val="21"/>
              </w:rPr>
              <w:t> </w:t>
            </w:r>
            <w:r>
              <w:rPr>
                <w:rFonts w:ascii="宋体" w:hAnsi="宋体" w:cs="宋体" w:eastAsia="宋体" w:hint="default"/>
                <w:sz w:val="21"/>
                <w:szCs w:val="21"/>
              </w:rPr>
              <w:t>万股剩余期限</w:t>
            </w:r>
            <w:r>
              <w:rPr>
                <w:rFonts w:ascii="宋体" w:hAnsi="宋体" w:cs="宋体" w:eastAsia="宋体" w:hint="default"/>
                <w:spacing w:val="-49"/>
                <w:sz w:val="21"/>
                <w:szCs w:val="21"/>
              </w:rPr>
              <w:t> </w:t>
            </w:r>
            <w:r>
              <w:rPr>
                <w:rFonts w:ascii="宋体" w:hAnsi="宋体" w:cs="宋体" w:eastAsia="宋体" w:hint="default"/>
                <w:sz w:val="21"/>
                <w:szCs w:val="21"/>
              </w:rPr>
              <w:t>7-19</w:t>
            </w:r>
            <w:r>
              <w:rPr>
                <w:rFonts w:ascii="宋体" w:hAnsi="宋体" w:cs="宋体" w:eastAsia="宋体" w:hint="default"/>
                <w:spacing w:val="-53"/>
                <w:sz w:val="21"/>
                <w:szCs w:val="21"/>
              </w:rPr>
              <w:t> </w:t>
            </w:r>
            <w:r>
              <w:rPr>
                <w:rFonts w:ascii="宋体" w:hAnsi="宋体" w:cs="宋体" w:eastAsia="宋体" w:hint="default"/>
                <w:sz w:val="21"/>
                <w:szCs w:val="21"/>
              </w:rPr>
              <w:t>个月、</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50.31</w:t>
            </w:r>
            <w:r>
              <w:rPr>
                <w:rFonts w:ascii="宋体" w:hAnsi="宋体" w:cs="宋体" w:eastAsia="宋体" w:hint="default"/>
                <w:spacing w:val="-54"/>
                <w:sz w:val="21"/>
                <w:szCs w:val="21"/>
              </w:rPr>
              <w:t> </w:t>
            </w:r>
            <w:r>
              <w:rPr>
                <w:rFonts w:ascii="宋体" w:hAnsi="宋体" w:cs="宋体" w:eastAsia="宋体" w:hint="default"/>
                <w:sz w:val="21"/>
                <w:szCs w:val="21"/>
              </w:rPr>
              <w:t>万股剩余期限</w:t>
            </w:r>
            <w:r>
              <w:rPr>
                <w:rFonts w:ascii="宋体" w:hAnsi="宋体" w:cs="宋体" w:eastAsia="宋体" w:hint="default"/>
                <w:spacing w:val="-54"/>
                <w:sz w:val="21"/>
                <w:szCs w:val="21"/>
              </w:rPr>
              <w:t> </w:t>
            </w:r>
            <w:r>
              <w:rPr>
                <w:rFonts w:ascii="宋体" w:hAnsi="宋体" w:cs="宋体" w:eastAsia="宋体" w:hint="default"/>
                <w:sz w:val="21"/>
                <w:szCs w:val="21"/>
              </w:rPr>
              <w:t>19-31</w:t>
            </w:r>
            <w:r>
              <w:rPr>
                <w:rFonts w:ascii="宋体" w:hAnsi="宋体" w:cs="宋体" w:eastAsia="宋体" w:hint="default"/>
                <w:spacing w:val="-51"/>
                <w:sz w:val="21"/>
                <w:szCs w:val="21"/>
              </w:rPr>
              <w:t> </w:t>
            </w:r>
            <w:r>
              <w:rPr>
                <w:rFonts w:ascii="宋体" w:hAnsi="宋体" w:cs="宋体" w:eastAsia="宋体" w:hint="default"/>
                <w:sz w:val="21"/>
                <w:szCs w:val="21"/>
              </w:rPr>
              <w:t>个月、</w:t>
            </w:r>
            <w:r>
              <w:rPr>
                <w:rFonts w:ascii="宋体" w:hAnsi="宋体" w:cs="宋体" w:eastAsia="宋体" w:hint="default"/>
                <w:sz w:val="21"/>
                <w:szCs w:val="21"/>
              </w:rPr>
              <w:t>50.31</w:t>
            </w:r>
            <w:r>
              <w:rPr>
                <w:rFonts w:ascii="宋体" w:hAnsi="宋体" w:cs="宋体" w:eastAsia="宋体" w:hint="default"/>
                <w:spacing w:val="-54"/>
                <w:sz w:val="21"/>
                <w:szCs w:val="21"/>
              </w:rPr>
              <w:t> </w:t>
            </w:r>
            <w:r>
              <w:rPr>
                <w:rFonts w:ascii="宋体" w:hAnsi="宋体" w:cs="宋体" w:eastAsia="宋体" w:hint="default"/>
                <w:sz w:val="21"/>
                <w:szCs w:val="21"/>
              </w:rPr>
              <w:t>万股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剩余期限</w:t>
            </w:r>
            <w:r>
              <w:rPr>
                <w:rFonts w:ascii="宋体" w:hAnsi="宋体" w:cs="宋体" w:eastAsia="宋体" w:hint="default"/>
                <w:spacing w:val="-51"/>
                <w:sz w:val="21"/>
                <w:szCs w:val="21"/>
              </w:rPr>
              <w:t> </w:t>
            </w:r>
            <w:r>
              <w:rPr>
                <w:rFonts w:ascii="宋体" w:hAnsi="宋体" w:cs="宋体" w:eastAsia="宋体" w:hint="default"/>
                <w:sz w:val="21"/>
                <w:szCs w:val="21"/>
              </w:rPr>
              <w:t>31-43</w:t>
            </w:r>
            <w:r>
              <w:rPr>
                <w:rFonts w:ascii="宋体" w:hAnsi="宋体" w:cs="宋体" w:eastAsia="宋体" w:hint="default"/>
                <w:spacing w:val="-53"/>
                <w:sz w:val="21"/>
                <w:szCs w:val="21"/>
              </w:rPr>
              <w:t> </w:t>
            </w:r>
            <w:r>
              <w:rPr>
                <w:rFonts w:ascii="宋体" w:hAnsi="宋体" w:cs="宋体" w:eastAsia="宋体" w:hint="default"/>
                <w:sz w:val="21"/>
                <w:szCs w:val="21"/>
              </w:rPr>
              <w:t>个月</w:t>
            </w:r>
          </w:p>
        </w:tc>
      </w:tr>
      <w:tr>
        <w:trPr>
          <w:trHeight w:val="554"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公司期末发行在外的其他权益工具行权价格的范</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围和合同剩余期限</w:t>
            </w:r>
          </w:p>
        </w:tc>
        <w:tc>
          <w:tcPr>
            <w:tcW w:w="440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exact"/>
        <w:ind w:right="0"/>
        <w:jc w:val="both"/>
      </w:pPr>
      <w:r>
        <w:rPr/>
        <w:t>其他说明</w:t>
      </w:r>
    </w:p>
    <w:p>
      <w:pPr>
        <w:pStyle w:val="BodyText"/>
        <w:spacing w:line="237" w:lineRule="auto" w:before="2"/>
        <w:ind w:right="229"/>
        <w:jc w:val="both"/>
      </w:pPr>
      <w:r>
        <w:rPr>
          <w:rFonts w:ascii="宋体" w:hAnsi="宋体" w:cs="宋体" w:eastAsia="宋体" w:hint="default"/>
          <w:w w:val="100"/>
        </w:rPr>
        <w:t>2017</w:t>
      </w:r>
      <w:r>
        <w:rPr>
          <w:rFonts w:ascii="宋体" w:hAnsi="宋体" w:cs="宋体" w:eastAsia="宋体" w:hint="default"/>
          <w:spacing w:val="-54"/>
          <w:w w:val="100"/>
        </w:rPr>
        <w:t> </w:t>
      </w:r>
      <w:r>
        <w:rPr>
          <w:w w:val="100"/>
        </w:rPr>
        <w:t>年</w:t>
      </w:r>
      <w:r>
        <w:rPr>
          <w:spacing w:val="-52"/>
          <w:w w:val="100"/>
        </w:rPr>
        <w:t> </w:t>
      </w:r>
      <w:r>
        <w:rPr>
          <w:rFonts w:ascii="宋体" w:hAnsi="宋体" w:cs="宋体" w:eastAsia="宋体" w:hint="default"/>
          <w:w w:val="100"/>
        </w:rPr>
        <w:t>7</w:t>
      </w:r>
      <w:r>
        <w:rPr>
          <w:rFonts w:ascii="宋体" w:hAnsi="宋体" w:cs="宋体" w:eastAsia="宋体" w:hint="default"/>
          <w:spacing w:val="-54"/>
          <w:w w:val="100"/>
        </w:rPr>
        <w:t> </w:t>
      </w:r>
      <w:r>
        <w:rPr>
          <w:w w:val="100"/>
        </w:rPr>
        <w:t>月</w:t>
      </w:r>
      <w:r>
        <w:rPr>
          <w:spacing w:val="-52"/>
          <w:w w:val="100"/>
        </w:rPr>
        <w:t> </w:t>
      </w:r>
      <w:r>
        <w:rPr>
          <w:rFonts w:ascii="宋体" w:hAnsi="宋体" w:cs="宋体" w:eastAsia="宋体" w:hint="default"/>
          <w:w w:val="100"/>
        </w:rPr>
        <w:t>26</w:t>
      </w:r>
      <w:r>
        <w:rPr>
          <w:rFonts w:ascii="宋体" w:hAnsi="宋体" w:cs="宋体" w:eastAsia="宋体" w:hint="default"/>
          <w:spacing w:val="-54"/>
          <w:w w:val="100"/>
        </w:rPr>
        <w:t> </w:t>
      </w:r>
      <w:r>
        <w:rPr>
          <w:spacing w:val="-16"/>
          <w:w w:val="100"/>
        </w:rPr>
        <w:t>日，公司召开</w:t>
      </w:r>
      <w:r>
        <w:rPr>
          <w:spacing w:val="-51"/>
          <w:w w:val="100"/>
        </w:rPr>
        <w:t> </w:t>
      </w:r>
      <w:r>
        <w:rPr>
          <w:rFonts w:ascii="宋体" w:hAnsi="宋体" w:cs="宋体" w:eastAsia="宋体" w:hint="default"/>
          <w:spacing w:val="-1"/>
          <w:w w:val="100"/>
        </w:rPr>
        <w:t>2017</w:t>
      </w:r>
      <w:r>
        <w:rPr>
          <w:rFonts w:ascii="宋体" w:hAnsi="宋体" w:cs="宋体" w:eastAsia="宋体" w:hint="default"/>
          <w:spacing w:val="-52"/>
          <w:w w:val="100"/>
        </w:rPr>
        <w:t> </w:t>
      </w:r>
      <w:r>
        <w:rPr>
          <w:spacing w:val="-8"/>
          <w:w w:val="100"/>
        </w:rPr>
        <w:t>年第三次临时股东大会《关于公司限制性股票激励计划（草案）</w:t>
      </w:r>
      <w:r>
        <w:rPr>
          <w:w w:val="100"/>
        </w:rPr>
        <w:t> </w:t>
      </w:r>
      <w:r>
        <w:rPr>
          <w:spacing w:val="-4"/>
        </w:rPr>
        <w:t>及其摘要的议案》（以下简称《激励计划》）、《关于公司</w:t>
      </w:r>
      <w:r>
        <w:rPr>
          <w:rFonts w:ascii="宋体" w:hAnsi="宋体" w:cs="宋体" w:eastAsia="宋体" w:hint="default"/>
          <w:spacing w:val="-4"/>
        </w:rPr>
        <w:t>&lt;</w:t>
      </w:r>
      <w:r>
        <w:rPr>
          <w:spacing w:val="-4"/>
        </w:rPr>
        <w:t>限制性股票激励计划实施考核管理办</w:t>
      </w:r>
      <w:r>
        <w:rPr>
          <w:spacing w:val="-35"/>
        </w:rPr>
        <w:t> </w:t>
      </w:r>
      <w:r>
        <w:rPr>
          <w:spacing w:val="-35"/>
        </w:rPr>
      </w:r>
      <w:r>
        <w:rPr/>
        <w:t>法</w:t>
      </w:r>
      <w:r>
        <w:rPr>
          <w:rFonts w:ascii="宋体" w:hAnsi="宋体" w:cs="宋体" w:eastAsia="宋体" w:hint="default"/>
        </w:rPr>
        <w:t>&gt;</w:t>
      </w:r>
      <w:r>
        <w:rPr/>
        <w:t>的议案》，</w:t>
      </w:r>
      <w:r>
        <w:rPr>
          <w:rFonts w:ascii="宋体" w:hAnsi="宋体" w:cs="宋体" w:eastAsia="宋体" w:hint="default"/>
        </w:rPr>
        <w:t>2017</w:t>
      </w:r>
      <w:r>
        <w:rPr>
          <w:rFonts w:ascii="宋体" w:hAnsi="宋体" w:cs="宋体" w:eastAsia="宋体" w:hint="default"/>
          <w:spacing w:val="-55"/>
        </w:rPr>
        <w:t> </w:t>
      </w:r>
      <w:r>
        <w:rPr/>
        <w:t>年</w:t>
      </w:r>
      <w:r>
        <w:rPr>
          <w:spacing w:val="-52"/>
        </w:rPr>
        <w:t> </w:t>
      </w:r>
      <w:r>
        <w:rPr>
          <w:rFonts w:ascii="宋体" w:hAnsi="宋体" w:cs="宋体" w:eastAsia="宋体" w:hint="default"/>
        </w:rPr>
        <w:t>7</w:t>
      </w:r>
      <w:r>
        <w:rPr>
          <w:rFonts w:ascii="宋体" w:hAnsi="宋体" w:cs="宋体" w:eastAsia="宋体" w:hint="default"/>
          <w:spacing w:val="-55"/>
        </w:rPr>
        <w:t> </w:t>
      </w:r>
      <w:r>
        <w:rPr/>
        <w:t>月</w:t>
      </w:r>
      <w:r>
        <w:rPr>
          <w:spacing w:val="-53"/>
        </w:rPr>
        <w:t> </w:t>
      </w:r>
      <w:r>
        <w:rPr>
          <w:rFonts w:ascii="宋体" w:hAnsi="宋体" w:cs="宋体" w:eastAsia="宋体" w:hint="default"/>
        </w:rPr>
        <w:t>27</w:t>
      </w:r>
      <w:r>
        <w:rPr>
          <w:rFonts w:ascii="宋体" w:hAnsi="宋体" w:cs="宋体" w:eastAsia="宋体" w:hint="default"/>
          <w:spacing w:val="-55"/>
        </w:rPr>
        <w:t> </w:t>
      </w:r>
      <w:r>
        <w:rPr/>
        <w:t>日，公司召开</w:t>
      </w:r>
      <w:r>
        <w:rPr>
          <w:spacing w:val="-55"/>
        </w:rPr>
        <w:t> </w:t>
      </w:r>
      <w:r>
        <w:rPr>
          <w:rFonts w:ascii="宋体" w:hAnsi="宋体" w:cs="宋体" w:eastAsia="宋体" w:hint="default"/>
        </w:rPr>
        <w:t>2017</w:t>
      </w:r>
      <w:r>
        <w:rPr>
          <w:rFonts w:ascii="宋体" w:hAnsi="宋体" w:cs="宋体" w:eastAsia="宋体" w:hint="default"/>
          <w:spacing w:val="-55"/>
        </w:rPr>
        <w:t> </w:t>
      </w:r>
      <w:r>
        <w:rPr/>
        <w:t>年第七届董事会第二次会议审议通过了《关于</w:t>
      </w:r>
      <w:r>
        <w:rPr>
          <w:w w:val="100"/>
        </w:rPr>
        <w:t> </w:t>
      </w:r>
      <w:r>
        <w:rPr>
          <w:spacing w:val="-2"/>
        </w:rPr>
        <w:t>调整公司限制性股票激励计划激励对象和授予数量的议案》、《关于向激励对象授予限制性股票</w:t>
      </w:r>
      <w:r>
        <w:rPr>
          <w:spacing w:val="-25"/>
        </w:rPr>
        <w:t> </w:t>
      </w:r>
      <w:r>
        <w:rPr>
          <w:spacing w:val="-25"/>
        </w:rPr>
      </w:r>
      <w:r>
        <w:rPr>
          <w:spacing w:val="-3"/>
        </w:rPr>
        <w:t>的议案》。本次激励计划限制性股票的激励对象为</w:t>
      </w:r>
      <w:r>
        <w:rPr>
          <w:spacing w:val="21"/>
        </w:rPr>
        <w:t> </w:t>
      </w:r>
      <w:r>
        <w:rPr>
          <w:rFonts w:ascii="宋体" w:hAnsi="宋体" w:cs="宋体" w:eastAsia="宋体" w:hint="default"/>
        </w:rPr>
        <w:t>134</w:t>
      </w:r>
      <w:r>
        <w:rPr>
          <w:rFonts w:ascii="宋体" w:hAnsi="宋体" w:cs="宋体" w:eastAsia="宋体" w:hint="default"/>
          <w:spacing w:val="-40"/>
        </w:rPr>
        <w:t> </w:t>
      </w:r>
      <w:r>
        <w:rPr>
          <w:spacing w:val="-3"/>
        </w:rPr>
        <w:t>人，授予的限制性股票</w:t>
      </w:r>
      <w:r>
        <w:rPr>
          <w:spacing w:val="-40"/>
        </w:rPr>
        <w:t> </w:t>
      </w:r>
      <w:r>
        <w:rPr>
          <w:rFonts w:ascii="宋体" w:hAnsi="宋体" w:cs="宋体" w:eastAsia="宋体" w:hint="default"/>
        </w:rPr>
        <w:t>167.7</w:t>
      </w:r>
      <w:r>
        <w:rPr>
          <w:rFonts w:ascii="宋体" w:hAnsi="宋体" w:cs="宋体" w:eastAsia="宋体" w:hint="default"/>
          <w:spacing w:val="-40"/>
        </w:rPr>
        <w:t> </w:t>
      </w:r>
      <w:r>
        <w:rPr>
          <w:spacing w:val="-4"/>
        </w:rPr>
        <w:t>万股。本次</w:t>
      </w:r>
    </w:p>
    <w:p>
      <w:pPr>
        <w:pStyle w:val="BodyText"/>
        <w:spacing w:line="237" w:lineRule="auto"/>
        <w:ind w:right="237"/>
        <w:jc w:val="both"/>
      </w:pPr>
      <w:r>
        <w:rPr/>
        <w:t>限制性股票激励对象自获授限制性股票之日起 </w:t>
      </w:r>
      <w:r>
        <w:rPr>
          <w:rFonts w:ascii="宋体" w:hAnsi="宋体" w:cs="宋体" w:eastAsia="宋体" w:hint="default"/>
        </w:rPr>
        <w:t>12</w:t>
      </w:r>
      <w:r>
        <w:rPr>
          <w:rFonts w:ascii="宋体" w:hAnsi="宋体" w:cs="宋体" w:eastAsia="宋体" w:hint="default"/>
          <w:spacing w:val="-3"/>
        </w:rPr>
        <w:t> </w:t>
      </w:r>
      <w:r>
        <w:rPr/>
        <w:t>个月内为锁定期。在锁定期内，激励对象根据</w:t>
      </w:r>
      <w:r>
        <w:rPr>
          <w:w w:val="100"/>
        </w:rPr>
        <w:t> </w:t>
      </w:r>
      <w:r>
        <w:rPr>
          <w:spacing w:val="-2"/>
        </w:rPr>
        <w:t>本计划获授的限制性股票予以锁定，激励对象获授的限制性股票在解禁前不得转让或用于担保或</w:t>
      </w:r>
      <w:r>
        <w:rPr>
          <w:spacing w:val="-25"/>
        </w:rPr>
        <w:t> </w:t>
      </w:r>
      <w:r>
        <w:rPr>
          <w:spacing w:val="-25"/>
        </w:rPr>
      </w:r>
      <w:r>
        <w:rPr/>
        <w:t>偿还债务。</w:t>
      </w:r>
    </w:p>
    <w:p>
      <w:pPr>
        <w:pStyle w:val="BodyText"/>
        <w:spacing w:line="271" w:lineRule="exact"/>
        <w:ind w:right="0"/>
        <w:jc w:val="both"/>
      </w:pPr>
      <w:r>
        <w:rPr/>
        <w:t>业绩限制性股票解锁安排及公司业绩考核条件如下：</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526"/>
        <w:gridCol w:w="2410"/>
        <w:gridCol w:w="3118"/>
        <w:gridCol w:w="1469"/>
      </w:tblGrid>
      <w:tr>
        <w:trPr>
          <w:trHeight w:val="283"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解锁期</w:t>
            </w:r>
            <w:r>
              <w:rPr>
                <w:rFonts w:ascii="宋体" w:hAnsi="宋体" w:cs="宋体" w:eastAsia="宋体" w:hint="default"/>
                <w:sz w:val="21"/>
                <w:szCs w:val="21"/>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解锁条件</w:t>
            </w:r>
            <w:r>
              <w:rPr>
                <w:rFonts w:ascii="宋体" w:hAnsi="宋体" w:cs="宋体" w:eastAsia="宋体" w:hint="default"/>
                <w:sz w:val="21"/>
                <w:szCs w:val="21"/>
              </w:rPr>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解锁时间</w:t>
            </w:r>
            <w:r>
              <w:rPr>
                <w:rFonts w:ascii="宋体" w:hAnsi="宋体" w:cs="宋体" w:eastAsia="宋体" w:hint="default"/>
                <w:sz w:val="21"/>
                <w:szCs w:val="21"/>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解锁比例</w:t>
            </w:r>
            <w:r>
              <w:rPr>
                <w:rFonts w:ascii="宋体" w:hAnsi="宋体" w:cs="宋体" w:eastAsia="宋体" w:hint="default"/>
                <w:sz w:val="21"/>
                <w:szCs w:val="21"/>
              </w:rPr>
            </w:r>
          </w:p>
        </w:tc>
      </w:tr>
      <w:tr>
        <w:trPr>
          <w:trHeight w:val="826"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第一个解锁期</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60"/>
                <w:sz w:val="21"/>
                <w:szCs w:val="21"/>
              </w:rPr>
              <w:t> </w:t>
            </w:r>
            <w:r>
              <w:rPr>
                <w:rFonts w:ascii="宋体" w:hAnsi="宋体" w:cs="宋体" w:eastAsia="宋体" w:hint="default"/>
                <w:sz w:val="21"/>
                <w:szCs w:val="21"/>
              </w:rPr>
              <w:t>2017</w:t>
            </w:r>
            <w:r>
              <w:rPr>
                <w:rFonts w:ascii="宋体" w:hAnsi="宋体" w:cs="宋体" w:eastAsia="宋体" w:hint="default"/>
                <w:spacing w:val="-57"/>
                <w:sz w:val="21"/>
                <w:szCs w:val="21"/>
              </w:rPr>
              <w:t> </w:t>
            </w:r>
            <w:r>
              <w:rPr>
                <w:rFonts w:ascii="宋体" w:hAnsi="宋体" w:cs="宋体" w:eastAsia="宋体" w:hint="default"/>
                <w:sz w:val="21"/>
                <w:szCs w:val="21"/>
              </w:rPr>
              <w:t>年实现的净利</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润金额较</w:t>
            </w:r>
            <w:r>
              <w:rPr>
                <w:rFonts w:ascii="宋体" w:hAnsi="宋体" w:cs="宋体" w:eastAsia="宋体" w:hint="default"/>
                <w:spacing w:val="-59"/>
                <w:sz w:val="21"/>
                <w:szCs w:val="21"/>
              </w:rPr>
              <w:t> </w:t>
            </w:r>
            <w:r>
              <w:rPr>
                <w:rFonts w:ascii="宋体" w:hAnsi="宋体" w:cs="宋体" w:eastAsia="宋体" w:hint="default"/>
                <w:sz w:val="21"/>
                <w:szCs w:val="21"/>
              </w:rPr>
              <w:t>2016</w:t>
            </w:r>
            <w:r>
              <w:rPr>
                <w:rFonts w:ascii="宋体" w:hAnsi="宋体" w:cs="宋体" w:eastAsia="宋体" w:hint="default"/>
                <w:spacing w:val="-58"/>
                <w:sz w:val="21"/>
                <w:szCs w:val="21"/>
              </w:rPr>
              <w:t> </w:t>
            </w:r>
            <w:r>
              <w:rPr>
                <w:rFonts w:ascii="宋体" w:hAnsi="宋体" w:cs="宋体" w:eastAsia="宋体" w:hint="default"/>
                <w:sz w:val="21"/>
                <w:szCs w:val="21"/>
              </w:rPr>
              <w:t>年同比增</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长不低于</w:t>
            </w:r>
            <w:r>
              <w:rPr>
                <w:rFonts w:ascii="宋体" w:hAnsi="宋体" w:cs="宋体" w:eastAsia="宋体" w:hint="default"/>
                <w:spacing w:val="-52"/>
                <w:sz w:val="21"/>
                <w:szCs w:val="21"/>
              </w:rPr>
              <w:t> </w:t>
            </w:r>
            <w:r>
              <w:rPr>
                <w:rFonts w:ascii="宋体" w:hAnsi="宋体" w:cs="宋体" w:eastAsia="宋体" w:hint="default"/>
                <w:sz w:val="21"/>
                <w:szCs w:val="21"/>
              </w:rPr>
              <w:t>20%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自首个授予日起</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个月后的首</w:t>
            </w:r>
          </w:p>
          <w:p>
            <w:pPr>
              <w:pStyle w:val="TableParagraph"/>
              <w:spacing w:line="240" w:lineRule="auto"/>
              <w:ind w:left="103" w:right="167"/>
              <w:jc w:val="left"/>
              <w:rPr>
                <w:rFonts w:ascii="宋体" w:hAnsi="宋体" w:cs="宋体" w:eastAsia="宋体" w:hint="default"/>
                <w:sz w:val="21"/>
                <w:szCs w:val="21"/>
              </w:rPr>
            </w:pPr>
            <w:r>
              <w:rPr>
                <w:rFonts w:ascii="宋体" w:hAnsi="宋体" w:cs="宋体" w:eastAsia="宋体" w:hint="default"/>
                <w:sz w:val="21"/>
                <w:szCs w:val="21"/>
              </w:rPr>
              <w:t>个交易日起至授予日起</w:t>
            </w:r>
            <w:r>
              <w:rPr>
                <w:rFonts w:ascii="宋体" w:hAnsi="宋体" w:cs="宋体" w:eastAsia="宋体" w:hint="default"/>
                <w:spacing w:val="-53"/>
                <w:sz w:val="21"/>
                <w:szCs w:val="21"/>
              </w:rPr>
              <w:t> </w:t>
            </w:r>
            <w:r>
              <w:rPr>
                <w:rFonts w:ascii="宋体" w:hAnsi="宋体" w:cs="宋体" w:eastAsia="宋体" w:hint="default"/>
                <w:sz w:val="21"/>
                <w:szCs w:val="21"/>
              </w:rPr>
              <w:t>24</w:t>
            </w:r>
            <w:r>
              <w:rPr>
                <w:rFonts w:ascii="宋体" w:hAnsi="宋体" w:cs="宋体" w:eastAsia="宋体" w:hint="default"/>
                <w:spacing w:val="-55"/>
                <w:sz w:val="21"/>
                <w:szCs w:val="21"/>
              </w:rPr>
              <w:t> </w:t>
            </w:r>
            <w:r>
              <w:rPr>
                <w:rFonts w:ascii="宋体" w:hAnsi="宋体" w:cs="宋体" w:eastAsia="宋体" w:hint="default"/>
                <w:sz w:val="21"/>
                <w:szCs w:val="21"/>
              </w:rPr>
              <w:t>个月</w:t>
            </w:r>
            <w:r>
              <w:rPr>
                <w:rFonts w:ascii="宋体" w:hAnsi="宋体" w:cs="宋体" w:eastAsia="宋体" w:hint="default"/>
                <w:w w:val="100"/>
                <w:sz w:val="21"/>
                <w:szCs w:val="21"/>
              </w:rPr>
              <w:t> </w:t>
            </w:r>
            <w:r>
              <w:rPr>
                <w:rFonts w:ascii="宋体" w:hAnsi="宋体" w:cs="宋体" w:eastAsia="宋体" w:hint="default"/>
                <w:sz w:val="21"/>
                <w:szCs w:val="21"/>
              </w:rPr>
              <w:t>内的最后一个交易日当日止</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sz w:val="21"/>
              </w:rPr>
              <w:t>40%</w:t>
            </w:r>
          </w:p>
        </w:tc>
      </w:tr>
      <w:tr>
        <w:trPr>
          <w:trHeight w:val="828"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第二个解锁期</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60"/>
                <w:sz w:val="21"/>
                <w:szCs w:val="21"/>
              </w:rPr>
              <w:t> </w:t>
            </w:r>
            <w:r>
              <w:rPr>
                <w:rFonts w:ascii="宋体" w:hAnsi="宋体" w:cs="宋体" w:eastAsia="宋体" w:hint="default"/>
                <w:sz w:val="21"/>
                <w:szCs w:val="21"/>
              </w:rPr>
              <w:t>2018</w:t>
            </w:r>
            <w:r>
              <w:rPr>
                <w:rFonts w:ascii="宋体" w:hAnsi="宋体" w:cs="宋体" w:eastAsia="宋体" w:hint="default"/>
                <w:spacing w:val="-57"/>
                <w:sz w:val="21"/>
                <w:szCs w:val="21"/>
              </w:rPr>
              <w:t> </w:t>
            </w:r>
            <w:r>
              <w:rPr>
                <w:rFonts w:ascii="宋体" w:hAnsi="宋体" w:cs="宋体" w:eastAsia="宋体" w:hint="default"/>
                <w:sz w:val="21"/>
                <w:szCs w:val="21"/>
              </w:rPr>
              <w:t>年实现的净利</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润金额较</w:t>
            </w:r>
            <w:r>
              <w:rPr>
                <w:rFonts w:ascii="宋体" w:hAnsi="宋体" w:cs="宋体" w:eastAsia="宋体" w:hint="default"/>
                <w:spacing w:val="-59"/>
                <w:sz w:val="21"/>
                <w:szCs w:val="21"/>
              </w:rPr>
              <w:t> </w:t>
            </w:r>
            <w:r>
              <w:rPr>
                <w:rFonts w:ascii="宋体" w:hAnsi="宋体" w:cs="宋体" w:eastAsia="宋体" w:hint="default"/>
                <w:sz w:val="21"/>
                <w:szCs w:val="21"/>
              </w:rPr>
              <w:t>2016</w:t>
            </w:r>
            <w:r>
              <w:rPr>
                <w:rFonts w:ascii="宋体" w:hAnsi="宋体" w:cs="宋体" w:eastAsia="宋体" w:hint="default"/>
                <w:spacing w:val="-58"/>
                <w:sz w:val="21"/>
                <w:szCs w:val="21"/>
              </w:rPr>
              <w:t> </w:t>
            </w:r>
            <w:r>
              <w:rPr>
                <w:rFonts w:ascii="宋体" w:hAnsi="宋体" w:cs="宋体" w:eastAsia="宋体" w:hint="default"/>
                <w:sz w:val="21"/>
                <w:szCs w:val="21"/>
              </w:rPr>
              <w:t>年同比增</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长不低于</w:t>
            </w:r>
            <w:r>
              <w:rPr>
                <w:rFonts w:ascii="宋体" w:hAnsi="宋体" w:cs="宋体" w:eastAsia="宋体" w:hint="default"/>
                <w:spacing w:val="-52"/>
                <w:sz w:val="21"/>
                <w:szCs w:val="21"/>
              </w:rPr>
              <w:t> </w:t>
            </w:r>
            <w:r>
              <w:rPr>
                <w:rFonts w:ascii="宋体" w:hAnsi="宋体" w:cs="宋体" w:eastAsia="宋体" w:hint="default"/>
                <w:sz w:val="21"/>
                <w:szCs w:val="21"/>
              </w:rPr>
              <w:t>30%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自首个授予日起</w:t>
            </w:r>
            <w:r>
              <w:rPr>
                <w:rFonts w:ascii="宋体" w:hAnsi="宋体" w:cs="宋体" w:eastAsia="宋体" w:hint="default"/>
                <w:spacing w:val="-53"/>
                <w:sz w:val="21"/>
                <w:szCs w:val="21"/>
              </w:rPr>
              <w:t> </w:t>
            </w:r>
            <w:r>
              <w:rPr>
                <w:rFonts w:ascii="宋体" w:hAnsi="宋体" w:cs="宋体" w:eastAsia="宋体" w:hint="default"/>
                <w:sz w:val="21"/>
                <w:szCs w:val="21"/>
              </w:rPr>
              <w:t>24</w:t>
            </w:r>
            <w:r>
              <w:rPr>
                <w:rFonts w:ascii="宋体" w:hAnsi="宋体" w:cs="宋体" w:eastAsia="宋体" w:hint="default"/>
                <w:spacing w:val="-55"/>
                <w:sz w:val="21"/>
                <w:szCs w:val="21"/>
              </w:rPr>
              <w:t> </w:t>
            </w:r>
            <w:r>
              <w:rPr>
                <w:rFonts w:ascii="宋体" w:hAnsi="宋体" w:cs="宋体" w:eastAsia="宋体" w:hint="default"/>
                <w:sz w:val="21"/>
                <w:szCs w:val="21"/>
              </w:rPr>
              <w:t>个月后的首</w:t>
            </w:r>
          </w:p>
          <w:p>
            <w:pPr>
              <w:pStyle w:val="TableParagraph"/>
              <w:spacing w:line="272" w:lineRule="exact" w:before="27"/>
              <w:ind w:left="103" w:right="167"/>
              <w:jc w:val="left"/>
              <w:rPr>
                <w:rFonts w:ascii="宋体" w:hAnsi="宋体" w:cs="宋体" w:eastAsia="宋体" w:hint="default"/>
                <w:sz w:val="21"/>
                <w:szCs w:val="21"/>
              </w:rPr>
            </w:pPr>
            <w:r>
              <w:rPr>
                <w:rFonts w:ascii="宋体" w:hAnsi="宋体" w:cs="宋体" w:eastAsia="宋体" w:hint="default"/>
                <w:sz w:val="21"/>
                <w:szCs w:val="21"/>
              </w:rPr>
              <w:t>个交易日起至授予日起</w:t>
            </w:r>
            <w:r>
              <w:rPr>
                <w:rFonts w:ascii="宋体" w:hAnsi="宋体" w:cs="宋体" w:eastAsia="宋体" w:hint="default"/>
                <w:spacing w:val="-53"/>
                <w:sz w:val="21"/>
                <w:szCs w:val="21"/>
              </w:rPr>
              <w:t> </w:t>
            </w:r>
            <w:r>
              <w:rPr>
                <w:rFonts w:ascii="宋体" w:hAnsi="宋体" w:cs="宋体" w:eastAsia="宋体" w:hint="default"/>
                <w:sz w:val="21"/>
                <w:szCs w:val="21"/>
              </w:rPr>
              <w:t>36</w:t>
            </w:r>
            <w:r>
              <w:rPr>
                <w:rFonts w:ascii="宋体" w:hAnsi="宋体" w:cs="宋体" w:eastAsia="宋体" w:hint="default"/>
                <w:spacing w:val="-55"/>
                <w:sz w:val="21"/>
                <w:szCs w:val="21"/>
              </w:rPr>
              <w:t> </w:t>
            </w:r>
            <w:r>
              <w:rPr>
                <w:rFonts w:ascii="宋体" w:hAnsi="宋体" w:cs="宋体" w:eastAsia="宋体" w:hint="default"/>
                <w:sz w:val="21"/>
                <w:szCs w:val="21"/>
              </w:rPr>
              <w:t>个月</w:t>
            </w:r>
            <w:r>
              <w:rPr>
                <w:rFonts w:ascii="宋体" w:hAnsi="宋体" w:cs="宋体" w:eastAsia="宋体" w:hint="default"/>
                <w:w w:val="100"/>
                <w:sz w:val="21"/>
                <w:szCs w:val="21"/>
              </w:rPr>
              <w:t> </w:t>
            </w:r>
            <w:r>
              <w:rPr>
                <w:rFonts w:ascii="宋体" w:hAnsi="宋体" w:cs="宋体" w:eastAsia="宋体" w:hint="default"/>
                <w:sz w:val="21"/>
                <w:szCs w:val="21"/>
              </w:rPr>
              <w:t>内的最后一个交易日当日止</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sz w:val="21"/>
              </w:rPr>
              <w:t>30%</w:t>
            </w:r>
          </w:p>
        </w:tc>
      </w:tr>
      <w:tr>
        <w:trPr>
          <w:trHeight w:val="828"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第三个解锁期</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60"/>
                <w:sz w:val="21"/>
                <w:szCs w:val="21"/>
              </w:rPr>
              <w:t> </w:t>
            </w:r>
            <w:r>
              <w:rPr>
                <w:rFonts w:ascii="宋体" w:hAnsi="宋体" w:cs="宋体" w:eastAsia="宋体" w:hint="default"/>
                <w:sz w:val="21"/>
                <w:szCs w:val="21"/>
              </w:rPr>
              <w:t>2019</w:t>
            </w:r>
            <w:r>
              <w:rPr>
                <w:rFonts w:ascii="宋体" w:hAnsi="宋体" w:cs="宋体" w:eastAsia="宋体" w:hint="default"/>
                <w:spacing w:val="-57"/>
                <w:sz w:val="21"/>
                <w:szCs w:val="21"/>
              </w:rPr>
              <w:t> </w:t>
            </w:r>
            <w:r>
              <w:rPr>
                <w:rFonts w:ascii="宋体" w:hAnsi="宋体" w:cs="宋体" w:eastAsia="宋体" w:hint="default"/>
                <w:sz w:val="21"/>
                <w:szCs w:val="21"/>
              </w:rPr>
              <w:t>年实现的净利</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润金额较</w:t>
            </w:r>
            <w:r>
              <w:rPr>
                <w:rFonts w:ascii="宋体" w:hAnsi="宋体" w:cs="宋体" w:eastAsia="宋体" w:hint="default"/>
                <w:spacing w:val="-59"/>
                <w:sz w:val="21"/>
                <w:szCs w:val="21"/>
              </w:rPr>
              <w:t> </w:t>
            </w:r>
            <w:r>
              <w:rPr>
                <w:rFonts w:ascii="宋体" w:hAnsi="宋体" w:cs="宋体" w:eastAsia="宋体" w:hint="default"/>
                <w:sz w:val="21"/>
                <w:szCs w:val="21"/>
              </w:rPr>
              <w:t>2016</w:t>
            </w:r>
            <w:r>
              <w:rPr>
                <w:rFonts w:ascii="宋体" w:hAnsi="宋体" w:cs="宋体" w:eastAsia="宋体" w:hint="default"/>
                <w:spacing w:val="-58"/>
                <w:sz w:val="21"/>
                <w:szCs w:val="21"/>
              </w:rPr>
              <w:t> </w:t>
            </w:r>
            <w:r>
              <w:rPr>
                <w:rFonts w:ascii="宋体" w:hAnsi="宋体" w:cs="宋体" w:eastAsia="宋体" w:hint="default"/>
                <w:sz w:val="21"/>
                <w:szCs w:val="21"/>
              </w:rPr>
              <w:t>年同比增</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长不低于</w:t>
            </w:r>
            <w:r>
              <w:rPr>
                <w:rFonts w:ascii="宋体" w:hAnsi="宋体" w:cs="宋体" w:eastAsia="宋体" w:hint="default"/>
                <w:spacing w:val="-52"/>
                <w:sz w:val="21"/>
                <w:szCs w:val="21"/>
              </w:rPr>
              <w:t> </w:t>
            </w:r>
            <w:r>
              <w:rPr>
                <w:rFonts w:ascii="宋体" w:hAnsi="宋体" w:cs="宋体" w:eastAsia="宋体" w:hint="default"/>
                <w:sz w:val="21"/>
                <w:szCs w:val="21"/>
              </w:rPr>
              <w:t>40%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自首个授予日起</w:t>
            </w:r>
            <w:r>
              <w:rPr>
                <w:rFonts w:ascii="宋体" w:hAnsi="宋体" w:cs="宋体" w:eastAsia="宋体" w:hint="default"/>
                <w:spacing w:val="-53"/>
                <w:sz w:val="21"/>
                <w:szCs w:val="21"/>
              </w:rPr>
              <w:t> </w:t>
            </w:r>
            <w:r>
              <w:rPr>
                <w:rFonts w:ascii="宋体" w:hAnsi="宋体" w:cs="宋体" w:eastAsia="宋体" w:hint="default"/>
                <w:sz w:val="21"/>
                <w:szCs w:val="21"/>
              </w:rPr>
              <w:t>36</w:t>
            </w:r>
            <w:r>
              <w:rPr>
                <w:rFonts w:ascii="宋体" w:hAnsi="宋体" w:cs="宋体" w:eastAsia="宋体" w:hint="default"/>
                <w:spacing w:val="-55"/>
                <w:sz w:val="21"/>
                <w:szCs w:val="21"/>
              </w:rPr>
              <w:t> </w:t>
            </w:r>
            <w:r>
              <w:rPr>
                <w:rFonts w:ascii="宋体" w:hAnsi="宋体" w:cs="宋体" w:eastAsia="宋体" w:hint="default"/>
                <w:sz w:val="21"/>
                <w:szCs w:val="21"/>
              </w:rPr>
              <w:t>个月后的首</w:t>
            </w:r>
          </w:p>
          <w:p>
            <w:pPr>
              <w:pStyle w:val="TableParagraph"/>
              <w:spacing w:line="240" w:lineRule="auto"/>
              <w:ind w:left="103" w:right="167"/>
              <w:jc w:val="left"/>
              <w:rPr>
                <w:rFonts w:ascii="宋体" w:hAnsi="宋体" w:cs="宋体" w:eastAsia="宋体" w:hint="default"/>
                <w:sz w:val="21"/>
                <w:szCs w:val="21"/>
              </w:rPr>
            </w:pPr>
            <w:r>
              <w:rPr>
                <w:rFonts w:ascii="宋体" w:hAnsi="宋体" w:cs="宋体" w:eastAsia="宋体" w:hint="default"/>
                <w:sz w:val="21"/>
                <w:szCs w:val="21"/>
              </w:rPr>
              <w:t>个交易日起至授予日起</w:t>
            </w:r>
            <w:r>
              <w:rPr>
                <w:rFonts w:ascii="宋体" w:hAnsi="宋体" w:cs="宋体" w:eastAsia="宋体" w:hint="default"/>
                <w:spacing w:val="-53"/>
                <w:sz w:val="21"/>
                <w:szCs w:val="21"/>
              </w:rPr>
              <w:t> </w:t>
            </w:r>
            <w:r>
              <w:rPr>
                <w:rFonts w:ascii="宋体" w:hAnsi="宋体" w:cs="宋体" w:eastAsia="宋体" w:hint="default"/>
                <w:sz w:val="21"/>
                <w:szCs w:val="21"/>
              </w:rPr>
              <w:t>48</w:t>
            </w:r>
            <w:r>
              <w:rPr>
                <w:rFonts w:ascii="宋体" w:hAnsi="宋体" w:cs="宋体" w:eastAsia="宋体" w:hint="default"/>
                <w:spacing w:val="-55"/>
                <w:sz w:val="21"/>
                <w:szCs w:val="21"/>
              </w:rPr>
              <w:t> </w:t>
            </w:r>
            <w:r>
              <w:rPr>
                <w:rFonts w:ascii="宋体" w:hAnsi="宋体" w:cs="宋体" w:eastAsia="宋体" w:hint="default"/>
                <w:sz w:val="21"/>
                <w:szCs w:val="21"/>
              </w:rPr>
              <w:t>个月</w:t>
            </w:r>
            <w:r>
              <w:rPr>
                <w:rFonts w:ascii="宋体" w:hAnsi="宋体" w:cs="宋体" w:eastAsia="宋体" w:hint="default"/>
                <w:w w:val="100"/>
                <w:sz w:val="21"/>
                <w:szCs w:val="21"/>
              </w:rPr>
              <w:t> </w:t>
            </w:r>
            <w:r>
              <w:rPr>
                <w:rFonts w:ascii="宋体" w:hAnsi="宋体" w:cs="宋体" w:eastAsia="宋体" w:hint="default"/>
                <w:sz w:val="21"/>
                <w:szCs w:val="21"/>
              </w:rPr>
              <w:t>内的最后一个交易日当日止</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sz w:val="21"/>
              </w:rPr>
              <w:t>30%</w:t>
            </w:r>
          </w:p>
        </w:tc>
      </w:tr>
    </w:tbl>
    <w:p>
      <w:pPr>
        <w:spacing w:line="240" w:lineRule="auto" w:before="5"/>
        <w:rPr>
          <w:rFonts w:ascii="宋体" w:hAnsi="宋体" w:cs="宋体" w:eastAsia="宋体" w:hint="default"/>
          <w:sz w:val="15"/>
          <w:szCs w:val="15"/>
        </w:rPr>
      </w:pPr>
    </w:p>
    <w:p>
      <w:pPr>
        <w:pStyle w:val="BodyText"/>
        <w:spacing w:line="237" w:lineRule="auto" w:before="38"/>
        <w:ind w:right="230"/>
        <w:jc w:val="both"/>
      </w:pPr>
      <w:r>
        <w:rPr>
          <w:rFonts w:ascii="宋体" w:hAnsi="宋体" w:cs="宋体" w:eastAsia="宋体" w:hint="default"/>
        </w:rPr>
        <w:t>2017</w:t>
      </w:r>
      <w:r>
        <w:rPr>
          <w:rFonts w:ascii="宋体" w:hAnsi="宋体" w:cs="宋体" w:eastAsia="宋体" w:hint="default"/>
          <w:spacing w:val="-57"/>
        </w:rPr>
        <w:t> </w:t>
      </w:r>
      <w:r>
        <w:rPr/>
        <w:t>年公司实现扣除非经常性损益后归属于公司普通股股东的净利润</w:t>
      </w:r>
      <w:r>
        <w:rPr>
          <w:spacing w:val="-55"/>
        </w:rPr>
        <w:t> </w:t>
      </w:r>
      <w:r>
        <w:rPr>
          <w:rFonts w:ascii="宋体" w:hAnsi="宋体" w:cs="宋体" w:eastAsia="宋体" w:hint="default"/>
        </w:rPr>
        <w:t>8,764.69</w:t>
      </w:r>
      <w:r>
        <w:rPr>
          <w:rFonts w:ascii="宋体" w:hAnsi="宋体" w:cs="宋体" w:eastAsia="宋体" w:hint="default"/>
          <w:spacing w:val="-54"/>
        </w:rPr>
        <w:t> </w:t>
      </w:r>
      <w:r>
        <w:rPr/>
        <w:t>万元，比上年同</w:t>
      </w:r>
      <w:r>
        <w:rPr>
          <w:w w:val="100"/>
        </w:rPr>
        <w:t> </w:t>
      </w:r>
      <w:r>
        <w:rPr/>
        <w:t>期增长</w:t>
      </w:r>
      <w:r>
        <w:rPr>
          <w:spacing w:val="6"/>
        </w:rPr>
        <w:t> </w:t>
      </w:r>
      <w:r>
        <w:rPr>
          <w:rFonts w:ascii="宋体" w:hAnsi="宋体" w:cs="宋体" w:eastAsia="宋体" w:hint="default"/>
          <w:spacing w:val="-4"/>
        </w:rPr>
        <w:t>25.59%</w:t>
      </w:r>
      <w:r>
        <w:rPr>
          <w:spacing w:val="-4"/>
        </w:rPr>
        <w:t>，实现</w:t>
      </w:r>
      <w:r>
        <w:rPr>
          <w:spacing w:val="-48"/>
        </w:rPr>
        <w:t> </w:t>
      </w:r>
      <w:r>
        <w:rPr>
          <w:rFonts w:ascii="宋体" w:hAnsi="宋体" w:cs="宋体" w:eastAsia="宋体" w:hint="default"/>
        </w:rPr>
        <w:t>2017</w:t>
      </w:r>
      <w:r>
        <w:rPr>
          <w:rFonts w:ascii="宋体" w:hAnsi="宋体" w:cs="宋体" w:eastAsia="宋体" w:hint="default"/>
          <w:spacing w:val="-49"/>
        </w:rPr>
        <w:t> </w:t>
      </w:r>
      <w:r>
        <w:rPr/>
        <w:t>年扣非后净利润金额较</w:t>
      </w:r>
      <w:r>
        <w:rPr>
          <w:spacing w:val="-51"/>
        </w:rPr>
        <w:t> </w:t>
      </w:r>
      <w:r>
        <w:rPr>
          <w:rFonts w:ascii="宋体" w:hAnsi="宋体" w:cs="宋体" w:eastAsia="宋体" w:hint="default"/>
        </w:rPr>
        <w:t>2016</w:t>
      </w:r>
      <w:r>
        <w:rPr>
          <w:rFonts w:ascii="宋体" w:hAnsi="宋体" w:cs="宋体" w:eastAsia="宋体" w:hint="default"/>
          <w:spacing w:val="-49"/>
        </w:rPr>
        <w:t> </w:t>
      </w:r>
      <w:r>
        <w:rPr/>
        <w:t>年同比增长不低于</w:t>
      </w:r>
      <w:r>
        <w:rPr>
          <w:spacing w:val="-49"/>
        </w:rPr>
        <w:t> </w:t>
      </w:r>
      <w:r>
        <w:rPr>
          <w:rFonts w:ascii="宋体" w:hAnsi="宋体" w:cs="宋体" w:eastAsia="宋体" w:hint="default"/>
          <w:spacing w:val="-4"/>
        </w:rPr>
        <w:t>20%</w:t>
      </w:r>
      <w:r>
        <w:rPr>
          <w:spacing w:val="-4"/>
        </w:rPr>
        <w:t>，符合股权激励第</w:t>
      </w:r>
      <w:r>
        <w:rPr>
          <w:w w:val="100"/>
        </w:rPr>
        <w:t> </w:t>
      </w:r>
      <w:r>
        <w:rPr/>
        <w:t>一个解锁期业绩考核条件。</w:t>
      </w:r>
    </w:p>
    <w:p>
      <w:pPr>
        <w:spacing w:line="240" w:lineRule="auto" w:before="4"/>
        <w:rPr>
          <w:rFonts w:ascii="宋体" w:hAnsi="宋体" w:cs="宋体" w:eastAsia="宋体" w:hint="default"/>
          <w:sz w:val="25"/>
          <w:szCs w:val="25"/>
        </w:rPr>
      </w:pPr>
    </w:p>
    <w:p>
      <w:pPr>
        <w:pStyle w:val="Heading3"/>
        <w:spacing w:line="240" w:lineRule="auto"/>
        <w:ind w:right="0"/>
        <w:jc w:val="both"/>
        <w:rPr>
          <w:b w:val="0"/>
          <w:bCs w:val="0"/>
        </w:rPr>
      </w:pPr>
      <w:r>
        <w:rPr>
          <w:rFonts w:ascii="宋体" w:hAnsi="宋体" w:cs="宋体" w:eastAsia="宋体" w:hint="default"/>
        </w:rPr>
        <w:t>2</w:t>
      </w:r>
      <w:r>
        <w:rPr/>
        <w:t>、 以权益结算的股份支付情况</w:t>
      </w:r>
      <w:r>
        <w:rPr>
          <w:b w:val="0"/>
          <w:bCs w:val="0"/>
        </w:rPr>
      </w:r>
    </w:p>
    <w:p>
      <w:pPr>
        <w:pStyle w:val="BodyText"/>
        <w:spacing w:line="240" w:lineRule="auto" w:before="56"/>
        <w:ind w:right="0"/>
        <w:jc w:val="both"/>
      </w:pPr>
      <w:r>
        <w:rPr/>
        <w:t>√适用</w:t>
      </w:r>
      <w:r>
        <w:rPr>
          <w:spacing w:val="-1"/>
        </w:rPr>
        <w:t> </w:t>
      </w:r>
      <w:r>
        <w:rPr/>
        <w:t>□不适用</w:t>
      </w:r>
    </w:p>
    <w:p>
      <w:pPr>
        <w:spacing w:after="0" w:line="240" w:lineRule="auto"/>
        <w:jc w:val="both"/>
        <w:sectPr>
          <w:type w:val="continuous"/>
          <w:pgSz w:w="11910" w:h="16840"/>
          <w:pgMar w:top="1000" w:bottom="280" w:left="1580" w:right="1040"/>
        </w:sectPr>
      </w:pPr>
    </w:p>
    <w:p>
      <w:pPr>
        <w:spacing w:line="240" w:lineRule="auto" w:before="4"/>
        <w:rPr>
          <w:rFonts w:ascii="宋体" w:hAnsi="宋体" w:cs="宋体" w:eastAsia="宋体" w:hint="default"/>
          <w:sz w:val="9"/>
          <w:szCs w:val="9"/>
        </w:rPr>
      </w:pPr>
    </w:p>
    <w:p>
      <w:pPr>
        <w:pStyle w:val="BodyText"/>
        <w:tabs>
          <w:tab w:pos="1051" w:val="left" w:leader="none"/>
        </w:tabs>
        <w:spacing w:line="240" w:lineRule="auto" w:before="36"/>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645"/>
        <w:gridCol w:w="4405"/>
      </w:tblGrid>
      <w:tr>
        <w:trPr>
          <w:trHeight w:val="1099"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授予日权益工具公允价值的确定方法</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公司采用授予日市价减去认沽期权价值的方</w:t>
            </w:r>
          </w:p>
          <w:p>
            <w:pPr>
              <w:pStyle w:val="TableParagraph"/>
              <w:spacing w:line="272" w:lineRule="exact" w:before="27"/>
              <w:ind w:left="103" w:right="86"/>
              <w:jc w:val="both"/>
              <w:rPr>
                <w:rFonts w:ascii="宋体" w:hAnsi="宋体" w:cs="宋体" w:eastAsia="宋体" w:hint="default"/>
                <w:sz w:val="21"/>
                <w:szCs w:val="21"/>
              </w:rPr>
            </w:pPr>
            <w:r>
              <w:rPr>
                <w:rFonts w:ascii="宋体" w:hAnsi="宋体" w:cs="宋体" w:eastAsia="宋体" w:hint="default"/>
                <w:spacing w:val="-2"/>
                <w:sz w:val="21"/>
                <w:szCs w:val="21"/>
              </w:rPr>
              <w:t>法确定限制性股票的公允价值，期权定价模型</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2"/>
                <w:sz w:val="21"/>
                <w:szCs w:val="21"/>
              </w:rPr>
              <w:t>确定认沽期权价值，限制性股票成本由限制性</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2"/>
                <w:sz w:val="21"/>
                <w:szCs w:val="21"/>
              </w:rPr>
              <w:t>股票公允价值减去限制性股票授予价格确定。</w:t>
            </w:r>
          </w:p>
        </w:tc>
      </w:tr>
      <w:tr>
        <w:trPr>
          <w:trHeight w:val="828"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可行权权益工具数量的确定依据</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公司根据在职激励对象对应的权益工具、公司</w:t>
            </w:r>
          </w:p>
          <w:p>
            <w:pPr>
              <w:pStyle w:val="TableParagraph"/>
              <w:spacing w:line="272" w:lineRule="exact" w:before="27"/>
              <w:ind w:left="103" w:right="295"/>
              <w:jc w:val="left"/>
              <w:rPr>
                <w:rFonts w:ascii="宋体" w:hAnsi="宋体" w:cs="宋体" w:eastAsia="宋体" w:hint="default"/>
                <w:sz w:val="21"/>
                <w:szCs w:val="21"/>
              </w:rPr>
            </w:pPr>
            <w:r>
              <w:rPr>
                <w:rFonts w:ascii="宋体" w:hAnsi="宋体" w:cs="宋体" w:eastAsia="宋体" w:hint="default"/>
                <w:spacing w:val="-2"/>
                <w:sz w:val="21"/>
                <w:szCs w:val="21"/>
              </w:rPr>
              <w:t>业绩以及对未来年度公司业绩的预测进行确</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定。</w:t>
            </w: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本期估计与上期估计有重大差异的原因</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以权益结算的股份支付计入资本公积的累计金额</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1,890,468.13</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本期以权益结算的股份支付确认的费用总额</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1,890,468.13</w:t>
            </w:r>
          </w:p>
        </w:tc>
      </w:tr>
    </w:tbl>
    <w:p>
      <w:pPr>
        <w:pStyle w:val="BodyText"/>
        <w:spacing w:line="241" w:lineRule="exact"/>
        <w:ind w:right="2757"/>
        <w:jc w:val="left"/>
      </w:pPr>
      <w:r>
        <w:rPr/>
        <w:t>其他说明</w:t>
      </w:r>
    </w:p>
    <w:p>
      <w:pPr>
        <w:pStyle w:val="BodyText"/>
        <w:spacing w:line="240" w:lineRule="auto" w:before="117"/>
        <w:ind w:right="2757"/>
        <w:jc w:val="left"/>
      </w:pPr>
      <w:r>
        <w:rPr>
          <w:w w:val="100"/>
        </w:rPr>
        <w:t>无</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pStyle w:val="Heading3"/>
        <w:spacing w:line="240" w:lineRule="auto"/>
        <w:ind w:right="2757"/>
        <w:jc w:val="left"/>
        <w:rPr>
          <w:b w:val="0"/>
          <w:bCs w:val="0"/>
        </w:rPr>
      </w:pPr>
      <w:r>
        <w:rPr>
          <w:rFonts w:ascii="宋体" w:hAnsi="宋体" w:cs="宋体" w:eastAsia="宋体" w:hint="default"/>
        </w:rPr>
        <w:t>3</w:t>
      </w:r>
      <w:r>
        <w:rPr/>
        <w:t>、 以现金结算的股份支付情况</w:t>
      </w:r>
      <w:r>
        <w:rPr>
          <w:b w:val="0"/>
          <w:bCs w:val="0"/>
        </w:rPr>
      </w:r>
    </w:p>
    <w:p>
      <w:pPr>
        <w:pStyle w:val="BodyText"/>
        <w:spacing w:line="240" w:lineRule="auto" w:before="56"/>
        <w:ind w:right="2757"/>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3"/>
        <w:spacing w:line="240" w:lineRule="auto"/>
        <w:ind w:right="2757"/>
        <w:jc w:val="left"/>
        <w:rPr>
          <w:b w:val="0"/>
          <w:bCs w:val="0"/>
        </w:rPr>
      </w:pPr>
      <w:r>
        <w:rPr>
          <w:rFonts w:ascii="宋体" w:hAnsi="宋体" w:cs="宋体" w:eastAsia="宋体" w:hint="default"/>
        </w:rPr>
        <w:t>4</w:t>
      </w:r>
      <w:r>
        <w:rPr/>
        <w:t>、 股份支付的修改、终止情况</w:t>
      </w:r>
      <w:r>
        <w:rPr>
          <w:b w:val="0"/>
          <w:bCs w:val="0"/>
        </w:rPr>
      </w:r>
    </w:p>
    <w:p>
      <w:pPr>
        <w:pStyle w:val="BodyText"/>
        <w:tabs>
          <w:tab w:pos="1060" w:val="left" w:leader="none"/>
        </w:tabs>
        <w:spacing w:line="240" w:lineRule="auto" w:before="56"/>
        <w:ind w:right="2757"/>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3"/>
        <w:spacing w:line="240" w:lineRule="auto"/>
        <w:ind w:right="2757"/>
        <w:jc w:val="left"/>
        <w:rPr>
          <w:b w:val="0"/>
          <w:bCs w:val="0"/>
        </w:rPr>
      </w:pPr>
      <w:r>
        <w:rPr>
          <w:rFonts w:ascii="宋体" w:hAnsi="宋体" w:cs="宋体" w:eastAsia="宋体" w:hint="default"/>
        </w:rPr>
        <w:t>5</w:t>
      </w:r>
      <w:r>
        <w:rPr/>
        <w:t>、</w:t>
      </w:r>
      <w:r>
        <w:rPr>
          <w:spacing w:val="2"/>
        </w:rPr>
        <w:t> </w:t>
      </w:r>
      <w:r>
        <w:rPr/>
        <w:t>其他</w:t>
      </w:r>
      <w:r>
        <w:rPr>
          <w:b w:val="0"/>
          <w:bCs w:val="0"/>
        </w:rPr>
      </w:r>
    </w:p>
    <w:p>
      <w:pPr>
        <w:pStyle w:val="BodyText"/>
        <w:tabs>
          <w:tab w:pos="1060" w:val="left" w:leader="none"/>
        </w:tabs>
        <w:spacing w:line="240" w:lineRule="auto" w:before="56"/>
        <w:ind w:right="2757"/>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3"/>
        <w:tabs>
          <w:tab w:pos="1057" w:val="left" w:leader="none"/>
        </w:tabs>
        <w:spacing w:line="290" w:lineRule="auto"/>
        <w:ind w:right="6748"/>
        <w:jc w:val="left"/>
        <w:rPr>
          <w:b w:val="0"/>
          <w:bCs w:val="0"/>
        </w:rPr>
      </w:pPr>
      <w:r>
        <w:rPr/>
        <w:t>十四、</w:t>
        <w:tab/>
        <w:t>承诺及或有事项</w:t>
      </w:r>
      <w:r>
        <w:rPr>
          <w:spacing w:val="-104"/>
        </w:rPr>
        <w:t> </w:t>
      </w:r>
      <w:r>
        <w:rPr>
          <w:spacing w:val="-104"/>
        </w:rPr>
      </w:r>
      <w:r>
        <w:rPr>
          <w:rFonts w:ascii="宋体" w:hAnsi="宋体" w:cs="宋体" w:eastAsia="宋体" w:hint="default"/>
        </w:rPr>
        <w:t>1</w:t>
      </w:r>
      <w:r>
        <w:rPr/>
        <w:t>、</w:t>
      </w:r>
      <w:r>
        <w:rPr>
          <w:spacing w:val="4"/>
        </w:rPr>
        <w:t> </w:t>
      </w:r>
      <w:r>
        <w:rPr/>
        <w:t>重要承诺事项</w:t>
      </w:r>
      <w:r>
        <w:rPr>
          <w:b w:val="0"/>
          <w:bCs w:val="0"/>
        </w:rPr>
      </w:r>
    </w:p>
    <w:p>
      <w:pPr>
        <w:pStyle w:val="BodyText"/>
        <w:spacing w:line="240" w:lineRule="auto" w:before="12"/>
        <w:ind w:right="2757"/>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3"/>
        <w:spacing w:line="240" w:lineRule="auto"/>
        <w:ind w:right="2757"/>
        <w:jc w:val="left"/>
        <w:rPr>
          <w:b w:val="0"/>
          <w:bCs w:val="0"/>
        </w:rPr>
      </w:pPr>
      <w:r>
        <w:rPr>
          <w:rFonts w:ascii="宋体" w:hAnsi="宋体" w:cs="宋体" w:eastAsia="宋体" w:hint="default"/>
        </w:rPr>
        <w:t>2</w:t>
      </w:r>
      <w:r>
        <w:rPr/>
        <w:t>、</w:t>
      </w:r>
      <w:r>
        <w:rPr>
          <w:spacing w:val="3"/>
        </w:rPr>
        <w:t> </w:t>
      </w:r>
      <w:r>
        <w:rPr/>
        <w:t>或有事项</w:t>
      </w:r>
      <w:r>
        <w:rPr>
          <w:b w:val="0"/>
          <w:bCs w:val="0"/>
        </w:rPr>
      </w:r>
    </w:p>
    <w:p>
      <w:pPr>
        <w:pStyle w:val="Heading3"/>
        <w:spacing w:line="240" w:lineRule="auto" w:before="58"/>
        <w:ind w:right="2757"/>
        <w:jc w:val="left"/>
        <w:rPr>
          <w:b w:val="0"/>
          <w:bCs w:val="0"/>
        </w:rPr>
      </w:pPr>
      <w:r>
        <w:rPr>
          <w:rFonts w:ascii="宋体" w:hAnsi="宋体" w:cs="宋体" w:eastAsia="宋体" w:hint="default"/>
        </w:rPr>
        <w:t>(1).</w:t>
      </w:r>
      <w:r>
        <w:rPr>
          <w:rFonts w:ascii="宋体" w:hAnsi="宋体" w:cs="宋体" w:eastAsia="宋体" w:hint="default"/>
          <w:spacing w:val="86"/>
        </w:rPr>
        <w:t> </w:t>
      </w:r>
      <w:r>
        <w:rPr/>
        <w:t>资产负债表日存在的重要或有事项</w:t>
      </w:r>
      <w:r>
        <w:rPr>
          <w:b w:val="0"/>
          <w:bCs w:val="0"/>
        </w:rPr>
      </w:r>
    </w:p>
    <w:p>
      <w:pPr>
        <w:pStyle w:val="BodyText"/>
        <w:tabs>
          <w:tab w:pos="1060" w:val="left" w:leader="none"/>
        </w:tabs>
        <w:spacing w:line="240" w:lineRule="auto" w:before="56"/>
        <w:ind w:right="2757"/>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3"/>
        <w:spacing w:line="240" w:lineRule="auto"/>
        <w:ind w:right="2757"/>
        <w:jc w:val="left"/>
        <w:rPr>
          <w:b w:val="0"/>
          <w:bCs w:val="0"/>
        </w:rPr>
      </w:pPr>
      <w:r>
        <w:rPr>
          <w:rFonts w:ascii="宋体" w:hAnsi="宋体" w:cs="宋体" w:eastAsia="宋体" w:hint="default"/>
        </w:rPr>
        <w:t>(2).</w:t>
      </w:r>
      <w:r>
        <w:rPr>
          <w:rFonts w:ascii="宋体" w:hAnsi="宋体" w:cs="宋体" w:eastAsia="宋体" w:hint="default"/>
          <w:spacing w:val="84"/>
        </w:rPr>
        <w:t> </w:t>
      </w:r>
      <w:r>
        <w:rPr/>
        <w:t>公司没有需要披露的重要或有事项，也应予以说明：</w:t>
      </w:r>
      <w:r>
        <w:rPr>
          <w:b w:val="0"/>
          <w:bCs w:val="0"/>
        </w:rPr>
      </w:r>
    </w:p>
    <w:p>
      <w:pPr>
        <w:pStyle w:val="BodyText"/>
        <w:tabs>
          <w:tab w:pos="1060" w:val="left" w:leader="none"/>
        </w:tabs>
        <w:spacing w:line="272" w:lineRule="exact" w:before="86"/>
        <w:ind w:right="5072"/>
        <w:jc w:val="left"/>
      </w:pPr>
      <w:r>
        <w:rPr>
          <w:spacing w:val="-1"/>
        </w:rPr>
        <w:t>√适用</w:t>
        <w:tab/>
      </w:r>
      <w:r>
        <w:rPr>
          <w:spacing w:val="-2"/>
        </w:rPr>
        <w:t>□不适用</w:t>
      </w:r>
      <w:r>
        <w:rPr>
          <w:spacing w:val="-99"/>
        </w:rPr>
        <w:t> </w:t>
      </w:r>
      <w:r>
        <w:rPr>
          <w:spacing w:val="-99"/>
        </w:rPr>
      </w:r>
      <w:r>
        <w:rPr>
          <w:spacing w:val="-2"/>
        </w:rPr>
        <w:t>本公司期末不存在需要披露的重大或有事项</w:t>
      </w:r>
    </w:p>
    <w:p>
      <w:pPr>
        <w:spacing w:line="240" w:lineRule="auto" w:before="0"/>
        <w:rPr>
          <w:rFonts w:ascii="宋体" w:hAnsi="宋体" w:cs="宋体" w:eastAsia="宋体" w:hint="default"/>
          <w:sz w:val="22"/>
          <w:szCs w:val="22"/>
        </w:rPr>
      </w:pPr>
    </w:p>
    <w:p>
      <w:pPr>
        <w:pStyle w:val="Heading3"/>
        <w:spacing w:line="240" w:lineRule="auto"/>
        <w:ind w:right="2757"/>
        <w:jc w:val="left"/>
        <w:rPr>
          <w:b w:val="0"/>
          <w:bCs w:val="0"/>
        </w:rPr>
      </w:pPr>
      <w:r>
        <w:rPr>
          <w:rFonts w:ascii="宋体" w:hAnsi="宋体" w:cs="宋体" w:eastAsia="宋体" w:hint="default"/>
        </w:rPr>
        <w:t>3</w:t>
      </w:r>
      <w:r>
        <w:rPr/>
        <w:t>、</w:t>
      </w:r>
      <w:r>
        <w:rPr>
          <w:spacing w:val="2"/>
        </w:rPr>
        <w:t> </w:t>
      </w:r>
      <w:r>
        <w:rPr/>
        <w:t>其他</w:t>
      </w:r>
      <w:r>
        <w:rPr>
          <w:b w:val="0"/>
          <w:bCs w:val="0"/>
        </w:rPr>
      </w:r>
    </w:p>
    <w:p>
      <w:pPr>
        <w:pStyle w:val="BodyText"/>
        <w:tabs>
          <w:tab w:pos="1060" w:val="left" w:leader="none"/>
        </w:tabs>
        <w:spacing w:line="240" w:lineRule="auto" w:before="58"/>
        <w:ind w:right="2757"/>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3"/>
        <w:tabs>
          <w:tab w:pos="1057" w:val="left" w:leader="none"/>
        </w:tabs>
        <w:spacing w:line="240" w:lineRule="auto"/>
        <w:ind w:right="2757"/>
        <w:jc w:val="left"/>
        <w:rPr>
          <w:b w:val="0"/>
          <w:bCs w:val="0"/>
        </w:rPr>
      </w:pPr>
      <w:r>
        <w:rPr/>
        <w:t>十五、</w:t>
        <w:tab/>
        <w:t>资产负债表日后事项</w:t>
      </w:r>
      <w:r>
        <w:rPr>
          <w:b w:val="0"/>
          <w:bCs w:val="0"/>
        </w:rPr>
      </w:r>
    </w:p>
    <w:p>
      <w:pPr>
        <w:pStyle w:val="Heading3"/>
        <w:spacing w:line="240" w:lineRule="auto" w:before="56"/>
        <w:ind w:right="2757"/>
        <w:jc w:val="left"/>
        <w:rPr>
          <w:b w:val="0"/>
          <w:bCs w:val="0"/>
        </w:rPr>
      </w:pPr>
      <w:r>
        <w:rPr>
          <w:rFonts w:ascii="Calibri" w:hAnsi="Calibri" w:cs="Calibri" w:eastAsia="Calibri" w:hint="default"/>
        </w:rPr>
        <w:t>1</w:t>
      </w:r>
      <w:r>
        <w:rPr/>
        <w:t>、</w:t>
      </w:r>
      <w:r>
        <w:rPr>
          <w:spacing w:val="-1"/>
        </w:rPr>
        <w:t> </w:t>
      </w:r>
      <w:r>
        <w:rPr/>
        <w:t>其他资产负债表日后事项说明</w:t>
      </w:r>
      <w:r>
        <w:rPr>
          <w:b w:val="0"/>
          <w:bCs w:val="0"/>
        </w:rPr>
      </w:r>
    </w:p>
    <w:p>
      <w:pPr>
        <w:pStyle w:val="BodyText"/>
        <w:tabs>
          <w:tab w:pos="1060" w:val="left" w:leader="none"/>
        </w:tabs>
        <w:spacing w:line="240" w:lineRule="auto" w:before="32"/>
        <w:ind w:right="2757"/>
        <w:jc w:val="left"/>
      </w:pPr>
      <w:r>
        <w:rPr>
          <w:spacing w:val="-1"/>
        </w:rPr>
        <w:t>□适用</w:t>
        <w:tab/>
      </w:r>
      <w:r>
        <w:rPr>
          <w:spacing w:val="-2"/>
        </w:rPr>
        <w:t>√不适用</w:t>
      </w:r>
    </w:p>
    <w:p>
      <w:pPr>
        <w:spacing w:after="0" w:line="240" w:lineRule="auto"/>
        <w:jc w:val="left"/>
        <w:sectPr>
          <w:pgSz w:w="11910" w:h="16840"/>
          <w:pgMar w:header="0" w:footer="1195" w:top="1320" w:bottom="1380" w:left="1580" w:right="1040"/>
        </w:sectPr>
      </w:pPr>
    </w:p>
    <w:p>
      <w:pPr>
        <w:spacing w:line="240" w:lineRule="auto" w:before="4"/>
        <w:rPr>
          <w:rFonts w:ascii="宋体" w:hAnsi="宋体" w:cs="宋体" w:eastAsia="宋体" w:hint="default"/>
          <w:sz w:val="9"/>
          <w:szCs w:val="9"/>
        </w:rPr>
      </w:pPr>
    </w:p>
    <w:p>
      <w:pPr>
        <w:spacing w:after="0" w:line="240" w:lineRule="auto"/>
        <w:rPr>
          <w:rFonts w:ascii="宋体" w:hAnsi="宋体" w:cs="宋体" w:eastAsia="宋体" w:hint="default"/>
          <w:sz w:val="9"/>
          <w:szCs w:val="9"/>
        </w:rPr>
        <w:sectPr>
          <w:pgSz w:w="11910" w:h="16840"/>
          <w:pgMar w:header="0" w:footer="1195" w:top="1320" w:bottom="1380" w:left="1580" w:right="1040"/>
        </w:sectPr>
      </w:pPr>
    </w:p>
    <w:p>
      <w:pPr>
        <w:pStyle w:val="Heading3"/>
        <w:spacing w:line="240" w:lineRule="auto" w:before="36"/>
        <w:ind w:right="-19"/>
        <w:jc w:val="left"/>
        <w:rPr>
          <w:b w:val="0"/>
          <w:bCs w:val="0"/>
        </w:rPr>
      </w:pPr>
      <w:r>
        <w:rPr>
          <w:rFonts w:ascii="Calibri" w:hAnsi="Calibri" w:cs="Calibri" w:eastAsia="Calibri" w:hint="default"/>
        </w:rPr>
        <w:t>2</w:t>
      </w:r>
      <w:r>
        <w:rPr/>
        <w:t>、</w:t>
      </w:r>
      <w:r>
        <w:rPr>
          <w:spacing w:val="3"/>
        </w:rPr>
        <w:t> </w:t>
      </w:r>
      <w:r>
        <w:rPr/>
        <w:t>利润分配情况</w:t>
      </w:r>
      <w:r>
        <w:rPr>
          <w:b w:val="0"/>
          <w:bCs w:val="0"/>
        </w:rPr>
      </w:r>
    </w:p>
    <w:p>
      <w:pPr>
        <w:pStyle w:val="BodyText"/>
        <w:tabs>
          <w:tab w:pos="1060" w:val="left" w:leader="none"/>
        </w:tabs>
        <w:spacing w:line="240" w:lineRule="auto" w:before="32"/>
        <w:ind w:right="-10"/>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000" w:bottom="280" w:left="1580" w:right="1040"/>
          <w:cols w:num="2" w:equalWidth="0">
            <w:col w:w="1911" w:space="4611"/>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723"/>
        <w:gridCol w:w="5327"/>
      </w:tblGrid>
      <w:tr>
        <w:trPr>
          <w:trHeight w:val="28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拟分配的利润或股利</w:t>
            </w:r>
          </w:p>
        </w:tc>
        <w:tc>
          <w:tcPr>
            <w:tcW w:w="5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42,933,500</w:t>
            </w:r>
          </w:p>
        </w:tc>
      </w:tr>
      <w:tr>
        <w:trPr>
          <w:trHeight w:val="28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经审议批准宣告发放的利润或股利</w:t>
            </w:r>
          </w:p>
        </w:tc>
        <w:tc>
          <w:tcPr>
            <w:tcW w:w="53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42,933,500</w:t>
            </w:r>
          </w:p>
        </w:tc>
      </w:tr>
    </w:tbl>
    <w:p>
      <w:pPr>
        <w:spacing w:line="240" w:lineRule="auto" w:before="2"/>
        <w:rPr>
          <w:rFonts w:ascii="宋体" w:hAnsi="宋体" w:cs="宋体" w:eastAsia="宋体" w:hint="default"/>
          <w:sz w:val="20"/>
          <w:szCs w:val="20"/>
        </w:rPr>
      </w:pPr>
    </w:p>
    <w:p>
      <w:pPr>
        <w:pStyle w:val="Heading3"/>
        <w:spacing w:line="240" w:lineRule="auto" w:before="36"/>
        <w:ind w:right="0"/>
        <w:jc w:val="both"/>
        <w:rPr>
          <w:b w:val="0"/>
          <w:bCs w:val="0"/>
        </w:rPr>
      </w:pPr>
      <w:r>
        <w:rPr>
          <w:rFonts w:ascii="Calibri" w:hAnsi="Calibri" w:cs="Calibri" w:eastAsia="Calibri" w:hint="default"/>
        </w:rPr>
        <w:t>3</w:t>
      </w:r>
      <w:r>
        <w:rPr/>
        <w:t>、</w:t>
      </w:r>
      <w:r>
        <w:rPr>
          <w:spacing w:val="4"/>
        </w:rPr>
        <w:t> </w:t>
      </w:r>
      <w:r>
        <w:rPr/>
        <w:t>重要的非调整事项</w:t>
      </w:r>
      <w:r>
        <w:rPr>
          <w:b w:val="0"/>
          <w:bCs w:val="0"/>
        </w:rPr>
      </w:r>
    </w:p>
    <w:p>
      <w:pPr>
        <w:pStyle w:val="BodyText"/>
        <w:spacing w:line="240" w:lineRule="auto" w:before="29"/>
        <w:ind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3"/>
        <w:spacing w:line="240" w:lineRule="auto"/>
        <w:ind w:right="0"/>
        <w:jc w:val="both"/>
        <w:rPr>
          <w:b w:val="0"/>
          <w:bCs w:val="0"/>
        </w:rPr>
      </w:pPr>
      <w:r>
        <w:rPr>
          <w:rFonts w:ascii="Calibri" w:hAnsi="Calibri" w:cs="Calibri" w:eastAsia="Calibri" w:hint="default"/>
        </w:rPr>
        <w:t>4</w:t>
      </w:r>
      <w:r>
        <w:rPr/>
        <w:t>、</w:t>
      </w:r>
      <w:r>
        <w:rPr>
          <w:spacing w:val="2"/>
        </w:rPr>
        <w:t> </w:t>
      </w:r>
      <w:r>
        <w:rPr/>
        <w:t>销售退回</w:t>
      </w:r>
      <w:r>
        <w:rPr>
          <w:b w:val="0"/>
          <w:bCs w:val="0"/>
        </w:rPr>
      </w:r>
    </w:p>
    <w:p>
      <w:pPr>
        <w:pStyle w:val="BodyText"/>
        <w:spacing w:line="240" w:lineRule="auto" w:before="32"/>
        <w:ind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3"/>
        <w:spacing w:line="240" w:lineRule="auto"/>
        <w:ind w:right="0"/>
        <w:jc w:val="both"/>
        <w:rPr>
          <w:b w:val="0"/>
          <w:bCs w:val="0"/>
        </w:rPr>
      </w:pPr>
      <w:r>
        <w:rPr>
          <w:rFonts w:ascii="Calibri" w:hAnsi="Calibri" w:cs="Calibri" w:eastAsia="Calibri" w:hint="default"/>
        </w:rPr>
        <w:t>5</w:t>
      </w:r>
      <w:r>
        <w:rPr/>
        <w:t>、</w:t>
      </w:r>
      <w:r>
        <w:rPr>
          <w:spacing w:val="-1"/>
        </w:rPr>
        <w:t> </w:t>
      </w:r>
      <w:r>
        <w:rPr/>
        <w:t>其他资产负债表日后事项说明</w:t>
      </w:r>
      <w:r>
        <w:rPr>
          <w:b w:val="0"/>
          <w:bCs w:val="0"/>
        </w:rPr>
      </w:r>
    </w:p>
    <w:p>
      <w:pPr>
        <w:pStyle w:val="BodyText"/>
        <w:spacing w:line="240" w:lineRule="auto" w:before="29"/>
        <w:ind w:right="0"/>
        <w:jc w:val="both"/>
      </w:pPr>
      <w:r>
        <w:rPr/>
        <w:t>□适用</w:t>
      </w:r>
      <w:r>
        <w:rPr>
          <w:spacing w:val="104"/>
        </w:rPr>
        <w:t> </w:t>
      </w:r>
      <w:r>
        <w:rPr/>
        <w:t>√不适用</w:t>
      </w:r>
    </w:p>
    <w:p>
      <w:pPr>
        <w:spacing w:line="240" w:lineRule="auto" w:before="3"/>
        <w:rPr>
          <w:rFonts w:ascii="宋体" w:hAnsi="宋体" w:cs="宋体" w:eastAsia="宋体" w:hint="default"/>
          <w:sz w:val="25"/>
          <w:szCs w:val="25"/>
        </w:rPr>
      </w:pPr>
    </w:p>
    <w:p>
      <w:pPr>
        <w:pStyle w:val="Heading3"/>
        <w:spacing w:line="290" w:lineRule="auto"/>
        <w:ind w:right="6952"/>
        <w:jc w:val="both"/>
        <w:rPr>
          <w:b w:val="0"/>
          <w:bCs w:val="0"/>
        </w:rPr>
      </w:pPr>
      <w:r>
        <w:rPr/>
        <w:t>十六、</w:t>
      </w:r>
      <w:r>
        <w:rPr>
          <w:spacing w:val="103"/>
        </w:rPr>
        <w:t> </w:t>
      </w:r>
      <w:r>
        <w:rPr/>
        <w:t>其他重要事项</w:t>
      </w:r>
      <w:r>
        <w:rPr>
          <w:w w:val="100"/>
        </w:rPr>
        <w:t> </w:t>
      </w:r>
      <w:r>
        <w:rPr>
          <w:rFonts w:ascii="宋体" w:hAnsi="宋体" w:cs="宋体" w:eastAsia="宋体" w:hint="default"/>
        </w:rPr>
        <w:t>1</w:t>
      </w:r>
      <w:r>
        <w:rPr/>
        <w:t>、</w:t>
      </w:r>
      <w:r>
        <w:rPr>
          <w:spacing w:val="5"/>
        </w:rPr>
        <w:t> </w:t>
      </w:r>
      <w:r>
        <w:rPr/>
        <w:t>前期会计差错更正</w:t>
      </w:r>
      <w:r>
        <w:rPr>
          <w:w w:val="100"/>
        </w:rPr>
        <w:t> </w:t>
      </w:r>
      <w:r>
        <w:rPr>
          <w:rFonts w:ascii="宋体" w:hAnsi="宋体" w:cs="宋体" w:eastAsia="宋体" w:hint="default"/>
        </w:rPr>
        <w:t>(1).</w:t>
      </w:r>
      <w:r>
        <w:rPr>
          <w:rFonts w:ascii="宋体" w:hAnsi="宋体" w:cs="宋体" w:eastAsia="宋体" w:hint="default"/>
          <w:spacing w:val="74"/>
        </w:rPr>
        <w:t> </w:t>
      </w:r>
      <w:r>
        <w:rPr/>
        <w:t>追溯重述法</w:t>
      </w:r>
      <w:r>
        <w:rPr>
          <w:b w:val="0"/>
          <w:bCs w:val="0"/>
        </w:rPr>
      </w:r>
    </w:p>
    <w:p>
      <w:pPr>
        <w:spacing w:line="290" w:lineRule="auto" w:before="12"/>
        <w:ind w:left="218" w:right="739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pacing w:val="74"/>
          <w:sz w:val="21"/>
          <w:szCs w:val="21"/>
        </w:rPr>
        <w:t> </w:t>
      </w:r>
      <w:r>
        <w:rPr>
          <w:rFonts w:ascii="宋体" w:hAnsi="宋体" w:cs="宋体" w:eastAsia="宋体" w:hint="default"/>
          <w:b/>
          <w:bCs/>
          <w:sz w:val="21"/>
          <w:szCs w:val="21"/>
        </w:rPr>
        <w:t>未来适用法</w:t>
      </w:r>
      <w:r>
        <w:rPr>
          <w:rFonts w:ascii="宋体" w:hAnsi="宋体" w:cs="宋体" w:eastAsia="宋体" w:hint="default"/>
          <w:sz w:val="21"/>
          <w:szCs w:val="21"/>
        </w:rPr>
      </w:r>
    </w:p>
    <w:p>
      <w:pPr>
        <w:spacing w:line="292" w:lineRule="auto" w:before="12"/>
        <w:ind w:left="218" w:right="747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债务重组</w:t>
      </w:r>
      <w:r>
        <w:rPr>
          <w:rFonts w:ascii="宋体" w:hAnsi="宋体" w:cs="宋体" w:eastAsia="宋体" w:hint="default"/>
          <w:sz w:val="21"/>
          <w:szCs w:val="21"/>
        </w:rPr>
      </w:r>
    </w:p>
    <w:p>
      <w:pPr>
        <w:pStyle w:val="BodyText"/>
        <w:spacing w:line="240" w:lineRule="auto" w:before="10"/>
        <w:ind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3"/>
        <w:spacing w:line="240" w:lineRule="auto"/>
        <w:ind w:right="0"/>
        <w:jc w:val="both"/>
        <w:rPr>
          <w:b w:val="0"/>
          <w:bCs w:val="0"/>
        </w:rPr>
      </w:pPr>
      <w:r>
        <w:rPr>
          <w:rFonts w:ascii="宋体" w:hAnsi="宋体" w:cs="宋体" w:eastAsia="宋体" w:hint="default"/>
        </w:rPr>
        <w:t>3</w:t>
      </w:r>
      <w:r>
        <w:rPr/>
        <w:t>、</w:t>
      </w:r>
      <w:r>
        <w:rPr>
          <w:spacing w:val="3"/>
        </w:rPr>
        <w:t> </w:t>
      </w:r>
      <w:r>
        <w:rPr/>
        <w:t>资产置换</w:t>
      </w:r>
      <w:r>
        <w:rPr>
          <w:b w:val="0"/>
          <w:bCs w:val="0"/>
        </w:rPr>
      </w:r>
    </w:p>
    <w:p>
      <w:pPr>
        <w:pStyle w:val="Heading3"/>
        <w:spacing w:line="240" w:lineRule="auto" w:before="58"/>
        <w:ind w:right="0"/>
        <w:jc w:val="both"/>
        <w:rPr>
          <w:b w:val="0"/>
          <w:bCs w:val="0"/>
        </w:rPr>
      </w:pPr>
      <w:r>
        <w:rPr>
          <w:rFonts w:ascii="宋体" w:hAnsi="宋体" w:cs="宋体" w:eastAsia="宋体" w:hint="default"/>
        </w:rPr>
        <w:t>(1). </w:t>
      </w:r>
      <w:r>
        <w:rPr>
          <w:rFonts w:ascii="宋体" w:hAnsi="宋体" w:cs="宋体" w:eastAsia="宋体" w:hint="default"/>
          <w:spacing w:val="11"/>
        </w:rPr>
        <w:t> </w:t>
      </w:r>
      <w:r>
        <w:rPr/>
        <w:t>非货币性资产交换</w:t>
      </w:r>
      <w:r>
        <w:rPr>
          <w:b w:val="0"/>
          <w:bCs w:val="0"/>
        </w:rPr>
      </w:r>
    </w:p>
    <w:p>
      <w:pPr>
        <w:pStyle w:val="BodyText"/>
        <w:spacing w:line="240" w:lineRule="auto" w:before="133"/>
        <w:ind w:right="0"/>
        <w:jc w:val="both"/>
      </w:pPr>
      <w:r>
        <w:rPr/>
        <w:t>□适用</w:t>
      </w:r>
      <w:r>
        <w:rPr>
          <w:spacing w:val="104"/>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both"/>
        <w:rPr>
          <w:b w:val="0"/>
          <w:bCs w:val="0"/>
        </w:rPr>
      </w:pPr>
      <w:r>
        <w:rPr>
          <w:rFonts w:ascii="宋体" w:hAnsi="宋体" w:cs="宋体" w:eastAsia="宋体" w:hint="default"/>
        </w:rPr>
        <w:t>(2). </w:t>
      </w:r>
      <w:r>
        <w:rPr>
          <w:rFonts w:ascii="宋体" w:hAnsi="宋体" w:cs="宋体" w:eastAsia="宋体" w:hint="default"/>
          <w:spacing w:val="10"/>
        </w:rPr>
        <w:t> </w:t>
      </w:r>
      <w:r>
        <w:rPr/>
        <w:t>其他资产置换</w:t>
      </w:r>
      <w:r>
        <w:rPr>
          <w:b w:val="0"/>
          <w:bCs w:val="0"/>
        </w:rPr>
      </w:r>
    </w:p>
    <w:p>
      <w:pPr>
        <w:pStyle w:val="BodyText"/>
        <w:spacing w:line="240" w:lineRule="auto" w:before="56"/>
        <w:ind w:right="0"/>
        <w:jc w:val="both"/>
      </w:pPr>
      <w:r>
        <w:rPr/>
        <w:t>□适用</w:t>
      </w:r>
      <w:r>
        <w:rPr>
          <w:spacing w:val="104"/>
        </w:rPr>
        <w:t> </w:t>
      </w:r>
      <w:r>
        <w:rPr/>
        <w:t>√不适用</w:t>
      </w:r>
    </w:p>
    <w:p>
      <w:pPr>
        <w:spacing w:line="240" w:lineRule="auto" w:before="3"/>
        <w:rPr>
          <w:rFonts w:ascii="宋体" w:hAnsi="宋体" w:cs="宋体" w:eastAsia="宋体" w:hint="default"/>
          <w:sz w:val="25"/>
          <w:szCs w:val="25"/>
        </w:rPr>
      </w:pPr>
    </w:p>
    <w:p>
      <w:pPr>
        <w:pStyle w:val="Heading3"/>
        <w:spacing w:line="240" w:lineRule="auto"/>
        <w:ind w:right="0"/>
        <w:jc w:val="both"/>
        <w:rPr>
          <w:b w:val="0"/>
          <w:bCs w:val="0"/>
        </w:rPr>
      </w:pPr>
      <w:r>
        <w:rPr>
          <w:rFonts w:ascii="宋体" w:hAnsi="宋体" w:cs="宋体" w:eastAsia="宋体" w:hint="default"/>
        </w:rPr>
        <w:t>4</w:t>
      </w:r>
      <w:r>
        <w:rPr/>
        <w:t>、</w:t>
      </w:r>
      <w:r>
        <w:rPr>
          <w:spacing w:val="3"/>
        </w:rPr>
        <w:t> </w:t>
      </w:r>
      <w:r>
        <w:rPr/>
        <w:t>年金计划</w:t>
      </w:r>
      <w:r>
        <w:rPr>
          <w:b w:val="0"/>
          <w:bCs w:val="0"/>
        </w:rPr>
      </w:r>
    </w:p>
    <w:p>
      <w:pPr>
        <w:pStyle w:val="BodyText"/>
        <w:spacing w:line="240" w:lineRule="auto" w:before="58"/>
        <w:ind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3"/>
        <w:spacing w:line="240" w:lineRule="auto"/>
        <w:ind w:right="0"/>
        <w:jc w:val="both"/>
        <w:rPr>
          <w:b w:val="0"/>
          <w:bCs w:val="0"/>
        </w:rPr>
      </w:pPr>
      <w:r>
        <w:rPr>
          <w:rFonts w:ascii="宋体" w:hAnsi="宋体" w:cs="宋体" w:eastAsia="宋体" w:hint="default"/>
        </w:rPr>
        <w:t>5</w:t>
      </w:r>
      <w:r>
        <w:rPr/>
        <w:t>、</w:t>
      </w:r>
      <w:r>
        <w:rPr>
          <w:spacing w:val="3"/>
        </w:rPr>
        <w:t> </w:t>
      </w:r>
      <w:r>
        <w:rPr/>
        <w:t>终止经营</w:t>
      </w:r>
      <w:r>
        <w:rPr>
          <w:b w:val="0"/>
          <w:bCs w:val="0"/>
        </w:rPr>
      </w:r>
    </w:p>
    <w:p>
      <w:pPr>
        <w:pStyle w:val="BodyText"/>
        <w:spacing w:line="240" w:lineRule="auto" w:before="56"/>
        <w:ind w:right="0"/>
        <w:jc w:val="both"/>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3"/>
        <w:spacing w:line="240" w:lineRule="auto"/>
        <w:ind w:right="0"/>
        <w:jc w:val="both"/>
        <w:rPr>
          <w:b w:val="0"/>
          <w:bCs w:val="0"/>
        </w:rPr>
      </w:pPr>
      <w:r>
        <w:rPr>
          <w:rFonts w:ascii="宋体" w:hAnsi="宋体" w:cs="宋体" w:eastAsia="宋体" w:hint="default"/>
        </w:rPr>
        <w:t>6</w:t>
      </w:r>
      <w:r>
        <w:rPr/>
        <w:t>、</w:t>
      </w:r>
      <w:r>
        <w:rPr>
          <w:spacing w:val="3"/>
        </w:rPr>
        <w:t> </w:t>
      </w:r>
      <w:r>
        <w:rPr/>
        <w:t>分部信息</w:t>
      </w:r>
      <w:r>
        <w:rPr>
          <w:b w:val="0"/>
          <w:bCs w:val="0"/>
        </w:rPr>
      </w:r>
    </w:p>
    <w:p>
      <w:pPr>
        <w:pStyle w:val="Heading3"/>
        <w:spacing w:line="240" w:lineRule="auto" w:before="56"/>
        <w:ind w:right="0"/>
        <w:jc w:val="both"/>
        <w:rPr>
          <w:b w:val="0"/>
          <w:bCs w:val="0"/>
        </w:rPr>
      </w:pPr>
      <w:r>
        <w:rPr>
          <w:rFonts w:ascii="宋体" w:hAnsi="宋体" w:cs="宋体" w:eastAsia="宋体" w:hint="default"/>
        </w:rPr>
        <w:t>(1). </w:t>
      </w:r>
      <w:r>
        <w:rPr>
          <w:rFonts w:ascii="宋体" w:hAnsi="宋体" w:cs="宋体" w:eastAsia="宋体" w:hint="default"/>
          <w:spacing w:val="7"/>
        </w:rPr>
        <w:t> </w:t>
      </w:r>
      <w:r>
        <w:rPr/>
        <w:t>报告分部的确定依据与会计政策：</w:t>
      </w:r>
      <w:r>
        <w:rPr>
          <w:b w:val="0"/>
          <w:bCs w:val="0"/>
        </w:rPr>
      </w:r>
    </w:p>
    <w:p>
      <w:pPr>
        <w:pStyle w:val="BodyText"/>
        <w:spacing w:line="240" w:lineRule="auto" w:before="58"/>
        <w:ind w:right="0"/>
        <w:jc w:val="both"/>
      </w:pPr>
      <w:r>
        <w:rPr/>
        <w:t>□适用</w:t>
      </w:r>
      <w:r>
        <w:rPr>
          <w:spacing w:val="104"/>
        </w:rPr>
        <w:t> </w:t>
      </w:r>
      <w:r>
        <w:rPr/>
        <w:t>√不适用</w:t>
      </w:r>
    </w:p>
    <w:p>
      <w:pPr>
        <w:spacing w:line="240" w:lineRule="auto" w:before="1"/>
        <w:rPr>
          <w:rFonts w:ascii="宋体" w:hAnsi="宋体" w:cs="宋体" w:eastAsia="宋体" w:hint="default"/>
          <w:sz w:val="25"/>
          <w:szCs w:val="25"/>
        </w:rPr>
      </w:pPr>
    </w:p>
    <w:p>
      <w:pPr>
        <w:pStyle w:val="Heading3"/>
        <w:spacing w:line="240" w:lineRule="auto"/>
        <w:ind w:right="0"/>
        <w:jc w:val="both"/>
        <w:rPr>
          <w:b w:val="0"/>
          <w:bCs w:val="0"/>
        </w:rPr>
      </w:pPr>
      <w:r>
        <w:rPr>
          <w:rFonts w:ascii="宋体" w:hAnsi="宋体" w:cs="宋体" w:eastAsia="宋体" w:hint="default"/>
        </w:rPr>
        <w:t>(2). </w:t>
      </w:r>
      <w:r>
        <w:rPr>
          <w:rFonts w:ascii="宋体" w:hAnsi="宋体" w:cs="宋体" w:eastAsia="宋体" w:hint="default"/>
          <w:spacing w:val="11"/>
        </w:rPr>
        <w:t> </w:t>
      </w:r>
      <w:r>
        <w:rPr/>
        <w:t>报告分部的财务信息</w:t>
      </w:r>
      <w:r>
        <w:rPr>
          <w:b w:val="0"/>
          <w:bCs w:val="0"/>
        </w:rPr>
      </w:r>
    </w:p>
    <w:p>
      <w:pPr>
        <w:pStyle w:val="BodyText"/>
        <w:spacing w:line="240" w:lineRule="auto" w:before="58"/>
        <w:ind w:right="0"/>
        <w:jc w:val="both"/>
      </w:pPr>
      <w:r>
        <w:rPr/>
        <w:t>□适用</w:t>
      </w:r>
      <w:r>
        <w:rPr>
          <w:spacing w:val="104"/>
        </w:rPr>
        <w:t> </w:t>
      </w:r>
      <w:r>
        <w:rPr/>
        <w:t>√不适用</w:t>
      </w:r>
    </w:p>
    <w:p>
      <w:pPr>
        <w:spacing w:after="0" w:line="240" w:lineRule="auto"/>
        <w:jc w:val="both"/>
        <w:sectPr>
          <w:type w:val="continuous"/>
          <w:pgSz w:w="11910" w:h="16840"/>
          <w:pgMar w:top="1000" w:bottom="280" w:left="1580" w:right="1040"/>
        </w:sectPr>
      </w:pPr>
    </w:p>
    <w:p>
      <w:pPr>
        <w:spacing w:line="240" w:lineRule="auto" w:before="4"/>
        <w:rPr>
          <w:rFonts w:ascii="宋体" w:hAnsi="宋体" w:cs="宋体" w:eastAsia="宋体" w:hint="default"/>
          <w:sz w:val="9"/>
          <w:szCs w:val="9"/>
        </w:rPr>
      </w:pPr>
    </w:p>
    <w:p>
      <w:pPr>
        <w:pStyle w:val="Heading3"/>
        <w:tabs>
          <w:tab w:pos="781" w:val="left" w:leader="none"/>
        </w:tabs>
        <w:spacing w:line="240" w:lineRule="auto" w:before="36"/>
        <w:ind w:left="138" w:right="0"/>
        <w:jc w:val="left"/>
        <w:rPr>
          <w:b w:val="0"/>
          <w:bCs w:val="0"/>
        </w:rPr>
      </w:pPr>
      <w:r>
        <w:rPr>
          <w:rFonts w:ascii="宋体" w:hAnsi="宋体" w:cs="宋体" w:eastAsia="宋体" w:hint="default"/>
          <w:w w:val="95"/>
        </w:rPr>
        <w:t>(3).</w:t>
        <w:tab/>
      </w:r>
      <w:r>
        <w:rPr/>
        <w:t>公司无报告分部的，或者不能披露各报告分部的资产总额和负债总额的，应说明原因</w:t>
      </w:r>
      <w:r>
        <w:rPr>
          <w:b w:val="0"/>
          <w:bCs w:val="0"/>
        </w:rPr>
      </w:r>
    </w:p>
    <w:p>
      <w:pPr>
        <w:pStyle w:val="BodyText"/>
        <w:tabs>
          <w:tab w:pos="980" w:val="left" w:leader="none"/>
        </w:tabs>
        <w:spacing w:line="237" w:lineRule="auto" w:before="61"/>
        <w:ind w:left="138" w:right="137"/>
        <w:jc w:val="left"/>
      </w:pPr>
      <w:r>
        <w:rPr>
          <w:spacing w:val="-1"/>
        </w:rPr>
        <w:t>√适用</w:t>
        <w:tab/>
      </w:r>
      <w:r>
        <w:rPr>
          <w:spacing w:val="-2"/>
        </w:rPr>
        <w:t>□不适用</w:t>
      </w:r>
      <w:r>
        <w:rPr>
          <w:spacing w:val="-99"/>
        </w:rPr>
        <w:t> </w:t>
      </w:r>
      <w:r>
        <w:rPr>
          <w:spacing w:val="-99"/>
        </w:rPr>
      </w:r>
      <w:r>
        <w:rPr>
          <w:spacing w:val="-2"/>
        </w:rPr>
        <w:t>本公司专注主营业务的发展，围绕应用软件开发开展各项业务，整体的资源分配和业绩评价不存</w:t>
      </w:r>
      <w:r>
        <w:rPr>
          <w:spacing w:val="-25"/>
        </w:rPr>
        <w:t> </w:t>
      </w:r>
      <w:r>
        <w:rPr>
          <w:spacing w:val="-25"/>
        </w:rPr>
      </w:r>
      <w:r>
        <w:rPr/>
        <w:t>在内部拆分主体，因此不存在分部报告</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3"/>
        <w:tabs>
          <w:tab w:pos="781" w:val="left" w:leader="none"/>
        </w:tabs>
        <w:spacing w:line="240" w:lineRule="auto"/>
        <w:ind w:left="138" w:right="0"/>
        <w:jc w:val="left"/>
        <w:rPr>
          <w:b w:val="0"/>
          <w:bCs w:val="0"/>
        </w:rPr>
      </w:pPr>
      <w:r>
        <w:rPr>
          <w:rFonts w:ascii="宋体" w:hAnsi="宋体" w:cs="宋体" w:eastAsia="宋体" w:hint="default"/>
          <w:w w:val="95"/>
        </w:rPr>
        <w:t>(4).</w:t>
        <w:tab/>
      </w:r>
      <w:r>
        <w:rPr/>
        <w:t>其他说明：</w:t>
      </w:r>
      <w:r>
        <w:rPr>
          <w:b w:val="0"/>
          <w:bCs w:val="0"/>
        </w:rPr>
      </w:r>
    </w:p>
    <w:p>
      <w:pPr>
        <w:pStyle w:val="BodyText"/>
        <w:tabs>
          <w:tab w:pos="980" w:val="left" w:leader="none"/>
        </w:tabs>
        <w:spacing w:line="240" w:lineRule="auto" w:before="58"/>
        <w:ind w:left="138"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3"/>
        <w:spacing w:line="240" w:lineRule="auto"/>
        <w:ind w:left="138" w:right="0"/>
        <w:jc w:val="left"/>
        <w:rPr>
          <w:b w:val="0"/>
          <w:bCs w:val="0"/>
        </w:rPr>
      </w:pPr>
      <w:r>
        <w:rPr>
          <w:rFonts w:ascii="宋体" w:hAnsi="宋体" w:cs="宋体" w:eastAsia="宋体" w:hint="default"/>
        </w:rPr>
        <w:t>7</w:t>
      </w:r>
      <w:r>
        <w:rPr/>
        <w:t>、</w:t>
      </w:r>
      <w:r>
        <w:rPr>
          <w:spacing w:val="3"/>
        </w:rPr>
        <w:t> </w:t>
      </w:r>
      <w:r>
        <w:rPr/>
        <w:t>其他对投资者决策有影响的重要交易和事项</w:t>
      </w:r>
      <w:r>
        <w:rPr>
          <w:b w:val="0"/>
          <w:bCs w:val="0"/>
        </w:rPr>
      </w:r>
    </w:p>
    <w:p>
      <w:pPr>
        <w:pStyle w:val="BodyText"/>
        <w:tabs>
          <w:tab w:pos="980" w:val="left" w:leader="none"/>
        </w:tabs>
        <w:spacing w:line="240" w:lineRule="auto" w:before="133"/>
        <w:ind w:left="138" w:right="0"/>
        <w:jc w:val="left"/>
      </w:pPr>
      <w:r>
        <w:rPr>
          <w:spacing w:val="-1"/>
        </w:rPr>
        <w:t>□适用</w:t>
        <w:tab/>
      </w:r>
      <w:r>
        <w:rPr>
          <w:spacing w:val="-2"/>
        </w:rPr>
        <w:t>√不适用</w:t>
      </w:r>
    </w:p>
    <w:p>
      <w:pPr>
        <w:spacing w:line="240" w:lineRule="auto" w:before="2"/>
        <w:rPr>
          <w:rFonts w:ascii="宋体" w:hAnsi="宋体" w:cs="宋体" w:eastAsia="宋体" w:hint="default"/>
          <w:sz w:val="26"/>
          <w:szCs w:val="26"/>
        </w:rPr>
      </w:pPr>
    </w:p>
    <w:p>
      <w:pPr>
        <w:pStyle w:val="Heading3"/>
        <w:spacing w:line="240" w:lineRule="auto"/>
        <w:ind w:left="138" w:right="0"/>
        <w:jc w:val="left"/>
        <w:rPr>
          <w:b w:val="0"/>
          <w:bCs w:val="0"/>
        </w:rPr>
      </w:pPr>
      <w:r>
        <w:rPr>
          <w:rFonts w:ascii="宋体" w:hAnsi="宋体" w:cs="宋体" w:eastAsia="宋体" w:hint="default"/>
        </w:rPr>
        <w:t>8</w:t>
      </w:r>
      <w:r>
        <w:rPr/>
        <w:t>、</w:t>
      </w:r>
      <w:r>
        <w:rPr>
          <w:spacing w:val="2"/>
        </w:rPr>
        <w:t> </w:t>
      </w:r>
      <w:r>
        <w:rPr/>
        <w:t>其他</w:t>
      </w:r>
      <w:r>
        <w:rPr>
          <w:b w:val="0"/>
          <w:bCs w:val="0"/>
        </w:rPr>
      </w:r>
    </w:p>
    <w:p>
      <w:pPr>
        <w:pStyle w:val="BodyText"/>
        <w:tabs>
          <w:tab w:pos="980" w:val="left" w:leader="none"/>
        </w:tabs>
        <w:spacing w:line="240" w:lineRule="auto" w:before="56"/>
        <w:ind w:left="138" w:right="0"/>
        <w:jc w:val="left"/>
      </w:pPr>
      <w:r>
        <w:rPr>
          <w:spacing w:val="-1"/>
        </w:rPr>
        <w:t>□适用</w:t>
        <w:tab/>
      </w:r>
      <w:r>
        <w:rPr>
          <w:spacing w:val="-2"/>
        </w:rPr>
        <w:t>√不适用</w:t>
      </w:r>
    </w:p>
    <w:p>
      <w:pPr>
        <w:pStyle w:val="Heading3"/>
        <w:tabs>
          <w:tab w:pos="977" w:val="left" w:leader="none"/>
        </w:tabs>
        <w:spacing w:line="290" w:lineRule="auto" w:before="58"/>
        <w:ind w:left="138" w:right="5385"/>
        <w:jc w:val="left"/>
        <w:rPr>
          <w:b w:val="0"/>
          <w:bCs w:val="0"/>
        </w:rPr>
      </w:pPr>
      <w:r>
        <w:rPr/>
        <w:t>十七、</w:t>
        <w:tab/>
      </w:r>
      <w:r>
        <w:rPr>
          <w:spacing w:val="-1"/>
        </w:rPr>
        <w:t>母公司财务报表主要项目注释</w:t>
      </w:r>
      <w:r>
        <w:rPr>
          <w:spacing w:val="-94"/>
        </w:rPr>
        <w:t> </w:t>
      </w:r>
      <w:r>
        <w:rPr>
          <w:spacing w:val="-94"/>
        </w:rPr>
      </w:r>
      <w:r>
        <w:rPr>
          <w:rFonts w:ascii="宋体" w:hAnsi="宋体" w:cs="宋体" w:eastAsia="宋体" w:hint="default"/>
        </w:rPr>
        <w:t>1</w:t>
      </w:r>
      <w:r>
        <w:rPr/>
        <w:t>、</w:t>
      </w:r>
      <w:r>
        <w:rPr>
          <w:spacing w:val="3"/>
        </w:rPr>
        <w:t> </w:t>
      </w:r>
      <w:r>
        <w:rPr/>
        <w:t>应收账款</w:t>
      </w:r>
      <w:r>
        <w:rPr>
          <w:b w:val="0"/>
          <w:bCs w:val="0"/>
        </w:rPr>
      </w:r>
    </w:p>
    <w:p>
      <w:pPr>
        <w:pStyle w:val="Heading3"/>
        <w:tabs>
          <w:tab w:pos="977" w:val="left" w:leader="none"/>
        </w:tabs>
        <w:spacing w:line="240" w:lineRule="auto" w:before="14"/>
        <w:ind w:left="279" w:right="0"/>
        <w:jc w:val="left"/>
        <w:rPr>
          <w:b w:val="0"/>
          <w:bCs w:val="0"/>
        </w:rPr>
      </w:pPr>
      <w:r>
        <w:rPr>
          <w:rFonts w:ascii="宋体" w:hAnsi="宋体" w:cs="宋体" w:eastAsia="宋体" w:hint="default"/>
          <w:w w:val="95"/>
        </w:rPr>
        <w:t>(1).</w:t>
        <w:tab/>
      </w:r>
      <w:r>
        <w:rPr/>
        <w:t>应收账款分类披露：</w:t>
      </w:r>
      <w:r>
        <w:rPr>
          <w:b w:val="0"/>
          <w:bCs w:val="0"/>
        </w:rPr>
      </w:r>
    </w:p>
    <w:p>
      <w:pPr>
        <w:pStyle w:val="BodyText"/>
        <w:tabs>
          <w:tab w:pos="980" w:val="left" w:leader="none"/>
        </w:tabs>
        <w:spacing w:line="240" w:lineRule="auto" w:before="56"/>
        <w:ind w:left="138" w:right="0"/>
        <w:jc w:val="left"/>
      </w:pPr>
      <w:r>
        <w:rPr>
          <w:spacing w:val="-1"/>
        </w:rPr>
        <w:t>√适用</w:t>
        <w:tab/>
      </w:r>
      <w:r>
        <w:rPr>
          <w:spacing w:val="-2"/>
        </w:rPr>
        <w:t>□不适用</w:t>
      </w:r>
    </w:p>
    <w:p>
      <w:pPr>
        <w:spacing w:after="0" w:line="240" w:lineRule="auto"/>
        <w:jc w:val="left"/>
        <w:sectPr>
          <w:pgSz w:w="11910" w:h="16840"/>
          <w:pgMar w:header="0" w:footer="1195" w:top="1320" w:bottom="1380" w:left="1660" w:right="1140"/>
        </w:sectPr>
      </w:pPr>
    </w:p>
    <w:p>
      <w:pPr>
        <w:spacing w:line="240" w:lineRule="auto" w:before="8"/>
        <w:rPr>
          <w:rFonts w:ascii="宋体" w:hAnsi="宋体" w:cs="宋体" w:eastAsia="宋体" w:hint="default"/>
          <w:sz w:val="15"/>
          <w:szCs w:val="15"/>
        </w:rPr>
      </w:pPr>
    </w:p>
    <w:p>
      <w:pPr>
        <w:spacing w:before="44"/>
        <w:ind w:left="5331" w:right="5278" w:firstLine="0"/>
        <w:jc w:val="center"/>
        <w:rPr>
          <w:rFonts w:ascii="宋体" w:hAnsi="宋体" w:cs="宋体" w:eastAsia="宋体" w:hint="default"/>
          <w:sz w:val="18"/>
          <w:szCs w:val="18"/>
        </w:rPr>
      </w:pPr>
      <w:r>
        <w:rPr/>
        <w:pict>
          <v:shape style="position:absolute;margin-left:72pt;margin-top:-6.728303pt;width:71.25pt;height:19.46pt;mso-position-horizontal-relative:page;mso-position-vertical-relative:paragraph;z-index:1480" type="#_x0000_t75" stroked="false">
            <v:imagedata r:id="rId33" o:title=""/>
          </v:shape>
        </w:pict>
      </w:r>
      <w:r>
        <w:rPr>
          <w:rFonts w:ascii="宋体" w:hAnsi="宋体" w:cs="宋体" w:eastAsia="宋体" w:hint="default"/>
          <w:sz w:val="18"/>
          <w:szCs w:val="18"/>
        </w:rPr>
        <w:t>福建顶点软件股份有限公司</w:t>
      </w:r>
      <w:r>
        <w:rPr>
          <w:rFonts w:ascii="宋体" w:hAnsi="宋体" w:cs="宋体" w:eastAsia="宋体" w:hint="default"/>
          <w:spacing w:val="-48"/>
          <w:sz w:val="18"/>
          <w:szCs w:val="18"/>
        </w:rPr>
        <w:t> </w:t>
      </w: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29"/>
          <w:szCs w:val="29"/>
        </w:rPr>
      </w:pPr>
    </w:p>
    <w:p>
      <w:pPr>
        <w:pStyle w:val="BodyText"/>
        <w:tabs>
          <w:tab w:pos="1051" w:val="left" w:leader="none"/>
        </w:tabs>
        <w:spacing w:line="240" w:lineRule="auto" w:before="36"/>
        <w:ind w:left="0" w:right="139"/>
        <w:jc w:val="right"/>
      </w:pPr>
      <w:r>
        <w:rPr>
          <w:spacing w:val="-1"/>
        </w:rPr>
        <w:t>单位：元</w:t>
        <w:tab/>
        <w:t>币种：人民币</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031"/>
        <w:gridCol w:w="1164"/>
        <w:gridCol w:w="901"/>
        <w:gridCol w:w="1322"/>
        <w:gridCol w:w="1051"/>
        <w:gridCol w:w="1164"/>
        <w:gridCol w:w="1428"/>
        <w:gridCol w:w="1052"/>
        <w:gridCol w:w="1322"/>
        <w:gridCol w:w="1075"/>
        <w:gridCol w:w="1426"/>
      </w:tblGrid>
      <w:tr>
        <w:trPr>
          <w:trHeight w:val="283" w:hRule="exact"/>
        </w:trPr>
        <w:tc>
          <w:tcPr>
            <w:tcW w:w="203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560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630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031" w:type="dxa"/>
            <w:vMerge/>
            <w:tcBorders>
              <w:left w:val="single" w:sz="4" w:space="0" w:color="000000"/>
              <w:right w:val="single" w:sz="4" w:space="0" w:color="000000"/>
            </w:tcBorders>
          </w:tcPr>
          <w:p>
            <w:pPr/>
          </w:p>
        </w:tc>
        <w:tc>
          <w:tcPr>
            <w:tcW w:w="20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164" w:type="dxa"/>
            <w:vMerge w:val="restart"/>
            <w:tcBorders>
              <w:top w:val="single" w:sz="4" w:space="0" w:color="000000"/>
              <w:left w:val="single" w:sz="4" w:space="0" w:color="000000"/>
              <w:right w:val="single" w:sz="4" w:space="0" w:color="000000"/>
            </w:tcBorders>
          </w:tcPr>
          <w:p>
            <w:pPr>
              <w:pStyle w:val="TableParagraph"/>
              <w:spacing w:line="272" w:lineRule="exact" w:before="135"/>
              <w:ind w:left="367" w:right="362"/>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c>
          <w:tcPr>
            <w:tcW w:w="24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1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3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26" w:type="dxa"/>
            <w:vMerge w:val="restart"/>
            <w:tcBorders>
              <w:top w:val="single" w:sz="4" w:space="0" w:color="000000"/>
              <w:left w:val="single" w:sz="4" w:space="0" w:color="000000"/>
              <w:right w:val="single" w:sz="4" w:space="0" w:color="000000"/>
            </w:tcBorders>
          </w:tcPr>
          <w:p>
            <w:pPr>
              <w:pStyle w:val="TableParagraph"/>
              <w:spacing w:line="272" w:lineRule="exact" w:before="135"/>
              <w:ind w:left="499" w:right="492"/>
              <w:jc w:val="center"/>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p>
        </w:tc>
      </w:tr>
      <w:tr>
        <w:trPr>
          <w:trHeight w:val="554" w:hRule="exact"/>
        </w:trPr>
        <w:tc>
          <w:tcPr>
            <w:tcW w:w="2031" w:type="dxa"/>
            <w:vMerge/>
            <w:tcBorders>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74"/>
              <w:jc w:val="right"/>
              <w:rPr>
                <w:rFonts w:ascii="宋体" w:hAnsi="宋体" w:cs="宋体" w:eastAsia="宋体" w:hint="default"/>
                <w:sz w:val="21"/>
                <w:szCs w:val="21"/>
              </w:rPr>
            </w:pPr>
            <w:r>
              <w:rPr>
                <w:rFonts w:ascii="宋体" w:hAnsi="宋体" w:cs="宋体" w:eastAsia="宋体" w:hint="default"/>
                <w:spacing w:val="-1"/>
                <w:sz w:val="21"/>
                <w:szCs w:val="21"/>
              </w:rPr>
              <w:t>比例</w:t>
            </w:r>
            <w:r>
              <w:rPr>
                <w:rFonts w:ascii="宋体" w:hAnsi="宋体" w:cs="宋体" w:eastAsia="宋体" w:hint="default"/>
                <w:spacing w:val="-1"/>
                <w:sz w:val="21"/>
                <w:szCs w:val="21"/>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73" w:lineRule="exact"/>
              <w:ind w:left="4" w:right="0"/>
              <w:jc w:val="center"/>
              <w:rPr>
                <w:rFonts w:ascii="宋体" w:hAnsi="宋体" w:cs="宋体" w:eastAsia="宋体" w:hint="default"/>
                <w:sz w:val="21"/>
                <w:szCs w:val="21"/>
              </w:rPr>
            </w:pPr>
            <w:r>
              <w:rPr>
                <w:rFonts w:ascii="宋体"/>
                <w:sz w:val="21"/>
              </w:rPr>
              <w:t>(%)</w:t>
            </w:r>
          </w:p>
        </w:tc>
        <w:tc>
          <w:tcPr>
            <w:tcW w:w="1164" w:type="dxa"/>
            <w:vMerge/>
            <w:tcBorders>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53"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73" w:lineRule="exact"/>
              <w:ind w:right="0"/>
              <w:jc w:val="center"/>
              <w:rPr>
                <w:rFonts w:ascii="宋体" w:hAnsi="宋体" w:cs="宋体" w:eastAsia="宋体" w:hint="default"/>
                <w:sz w:val="21"/>
                <w:szCs w:val="21"/>
              </w:rPr>
            </w:pPr>
            <w:r>
              <w:rPr>
                <w:rFonts w:ascii="宋体"/>
                <w:sz w:val="21"/>
              </w:rPr>
              <w:t>(%)</w:t>
            </w:r>
          </w:p>
        </w:tc>
        <w:tc>
          <w:tcPr>
            <w:tcW w:w="1426" w:type="dxa"/>
            <w:vMerge/>
            <w:tcBorders>
              <w:left w:val="single" w:sz="4" w:space="0" w:color="000000"/>
              <w:bottom w:val="single" w:sz="4" w:space="0" w:color="000000"/>
              <w:right w:val="single" w:sz="4" w:space="0" w:color="000000"/>
            </w:tcBorders>
          </w:tcPr>
          <w:p>
            <w:pPr/>
          </w:p>
        </w:tc>
      </w:tr>
      <w:tr>
        <w:trPr>
          <w:trHeight w:val="826" w:hRule="exact"/>
        </w:trPr>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6"/>
                <w:sz w:val="21"/>
                <w:szCs w:val="21"/>
              </w:rPr>
              <w:t>单项金额重大并单独</w:t>
            </w:r>
          </w:p>
          <w:p>
            <w:pPr>
              <w:pStyle w:val="TableParagraph"/>
              <w:spacing w:line="240" w:lineRule="auto"/>
              <w:ind w:left="26" w:right="24"/>
              <w:jc w:val="left"/>
              <w:rPr>
                <w:rFonts w:ascii="宋体" w:hAnsi="宋体" w:cs="宋体" w:eastAsia="宋体" w:hint="default"/>
                <w:sz w:val="21"/>
                <w:szCs w:val="21"/>
              </w:rPr>
            </w:pPr>
            <w:r>
              <w:rPr>
                <w:rFonts w:ascii="宋体" w:hAnsi="宋体" w:cs="宋体" w:eastAsia="宋体" w:hint="default"/>
                <w:spacing w:val="6"/>
                <w:sz w:val="21"/>
                <w:szCs w:val="21"/>
              </w:rPr>
              <w:t>计提坏账准备的应收</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账款</w:t>
            </w:r>
          </w:p>
        </w:tc>
        <w:tc>
          <w:tcPr>
            <w:tcW w:w="1164"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7"/>
                <w:sz w:val="21"/>
                <w:szCs w:val="21"/>
              </w:rPr>
              <w:t>按信用风险特征组合</w:t>
            </w:r>
            <w:r>
              <w:rPr>
                <w:rFonts w:ascii="宋体" w:hAnsi="宋体" w:cs="宋体" w:eastAsia="宋体" w:hint="default"/>
                <w:sz w:val="21"/>
                <w:szCs w:val="21"/>
              </w:rPr>
            </w:r>
          </w:p>
          <w:p>
            <w:pPr>
              <w:pStyle w:val="TableParagraph"/>
              <w:spacing w:line="272" w:lineRule="exact" w:before="27"/>
              <w:ind w:left="26" w:right="24"/>
              <w:jc w:val="left"/>
              <w:rPr>
                <w:rFonts w:ascii="宋体" w:hAnsi="宋体" w:cs="宋体" w:eastAsia="宋体" w:hint="default"/>
                <w:sz w:val="21"/>
                <w:szCs w:val="21"/>
              </w:rPr>
            </w:pPr>
            <w:r>
              <w:rPr>
                <w:rFonts w:ascii="宋体" w:hAnsi="宋体" w:cs="宋体" w:eastAsia="宋体" w:hint="default"/>
                <w:spacing w:val="6"/>
                <w:sz w:val="21"/>
                <w:szCs w:val="21"/>
              </w:rPr>
              <w:t>计提坏账准备的应收</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账款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 w:right="0"/>
              <w:jc w:val="center"/>
              <w:rPr>
                <w:rFonts w:ascii="Arial Narrow" w:hAnsi="Arial Narrow" w:cs="Arial Narrow" w:eastAsia="Arial Narrow" w:hint="default"/>
                <w:sz w:val="21"/>
                <w:szCs w:val="21"/>
              </w:rPr>
            </w:pPr>
            <w:r>
              <w:rPr>
                <w:rFonts w:ascii="Arial Narrow"/>
                <w:sz w:val="21"/>
              </w:rPr>
              <w:t>19,306,128.14</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100.00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2,748,239.84</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14.24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22"/>
              <w:jc w:val="right"/>
              <w:rPr>
                <w:rFonts w:ascii="Arial Narrow" w:hAnsi="Arial Narrow" w:cs="Arial Narrow" w:eastAsia="Arial Narrow" w:hint="default"/>
                <w:sz w:val="21"/>
                <w:szCs w:val="21"/>
              </w:rPr>
            </w:pPr>
            <w:r>
              <w:rPr>
                <w:rFonts w:ascii="Arial Narrow"/>
                <w:spacing w:val="-1"/>
                <w:sz w:val="21"/>
              </w:rPr>
              <w:t>16,557,888.30</w:t>
            </w:r>
            <w:r>
              <w:rPr>
                <w:rFonts w:ascii="Arial Narrow"/>
                <w:sz w:val="21"/>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15,660,762.21</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6" w:right="0"/>
              <w:jc w:val="left"/>
              <w:rPr>
                <w:rFonts w:ascii="宋体" w:hAnsi="宋体" w:cs="宋体" w:eastAsia="宋体" w:hint="default"/>
                <w:sz w:val="21"/>
                <w:szCs w:val="21"/>
              </w:rPr>
            </w:pPr>
            <w:r>
              <w:rPr>
                <w:rFonts w:ascii="宋体"/>
                <w:sz w:val="21"/>
              </w:rPr>
              <w:t>100.00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2,311,222.08</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13" w:right="0"/>
              <w:jc w:val="left"/>
              <w:rPr>
                <w:rFonts w:ascii="宋体" w:hAnsi="宋体" w:cs="宋体" w:eastAsia="宋体" w:hint="default"/>
                <w:sz w:val="21"/>
                <w:szCs w:val="21"/>
              </w:rPr>
            </w:pPr>
            <w:r>
              <w:rPr>
                <w:rFonts w:ascii="宋体"/>
                <w:sz w:val="21"/>
              </w:rPr>
              <w:t>14.76</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13,349,540.13</w:t>
            </w:r>
          </w:p>
        </w:tc>
      </w:tr>
      <w:tr>
        <w:trPr>
          <w:trHeight w:val="826" w:hRule="exact"/>
        </w:trPr>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6"/>
                <w:sz w:val="21"/>
                <w:szCs w:val="21"/>
              </w:rPr>
              <w:t>单项金额不重大但单</w:t>
            </w:r>
          </w:p>
          <w:p>
            <w:pPr>
              <w:pStyle w:val="TableParagraph"/>
              <w:spacing w:line="240" w:lineRule="auto"/>
              <w:ind w:left="26" w:right="24"/>
              <w:jc w:val="left"/>
              <w:rPr>
                <w:rFonts w:ascii="宋体" w:hAnsi="宋体" w:cs="宋体" w:eastAsia="宋体" w:hint="default"/>
                <w:sz w:val="21"/>
                <w:szCs w:val="21"/>
              </w:rPr>
            </w:pPr>
            <w:r>
              <w:rPr>
                <w:rFonts w:ascii="宋体" w:hAnsi="宋体" w:cs="宋体" w:eastAsia="宋体" w:hint="default"/>
                <w:spacing w:val="6"/>
                <w:sz w:val="21"/>
                <w:szCs w:val="21"/>
              </w:rPr>
              <w:t>独计提坏账准备的应</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收账款</w:t>
            </w:r>
          </w:p>
        </w:tc>
        <w:tc>
          <w:tcPr>
            <w:tcW w:w="1164"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r>
      <w:tr>
        <w:trPr>
          <w:trHeight w:val="526" w:hRule="exact"/>
        </w:trPr>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 w:right="0"/>
              <w:jc w:val="center"/>
              <w:rPr>
                <w:rFonts w:ascii="Arial Narrow" w:hAnsi="Arial Narrow" w:cs="Arial Narrow" w:eastAsia="Arial Narrow" w:hint="default"/>
                <w:sz w:val="21"/>
                <w:szCs w:val="21"/>
              </w:rPr>
            </w:pPr>
            <w:r>
              <w:rPr>
                <w:rFonts w:ascii="Arial Narrow"/>
                <w:sz w:val="21"/>
              </w:rPr>
              <w:t>19,306,128.14</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right"/>
              <w:rPr>
                <w:rFonts w:ascii="宋体" w:hAnsi="宋体" w:cs="宋体" w:eastAsia="宋体" w:hint="default"/>
                <w:sz w:val="21"/>
                <w:szCs w:val="21"/>
              </w:rPr>
            </w:pPr>
            <w:r>
              <w:rPr>
                <w:rFonts w:ascii="宋体"/>
                <w:w w:val="100"/>
                <w:sz w:val="21"/>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2,748,239.84</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w w:val="100"/>
                <w:sz w:val="21"/>
              </w:rPr>
              <w:t>/</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2"/>
              <w:jc w:val="right"/>
              <w:rPr>
                <w:rFonts w:ascii="Arial Narrow" w:hAnsi="Arial Narrow" w:cs="Arial Narrow" w:eastAsia="Arial Narrow" w:hint="default"/>
                <w:sz w:val="21"/>
                <w:szCs w:val="21"/>
              </w:rPr>
            </w:pPr>
            <w:r>
              <w:rPr>
                <w:rFonts w:ascii="Arial Narrow"/>
                <w:spacing w:val="-1"/>
                <w:sz w:val="21"/>
              </w:rPr>
              <w:t>16,557,888.30</w:t>
            </w:r>
            <w:r>
              <w:rPr>
                <w:rFonts w:ascii="Arial Narrow"/>
                <w:sz w:val="21"/>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15,660,762.21</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2,311,222.08</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80" w:right="0"/>
              <w:jc w:val="left"/>
              <w:rPr>
                <w:rFonts w:ascii="宋体" w:hAnsi="宋体" w:cs="宋体" w:eastAsia="宋体" w:hint="default"/>
                <w:sz w:val="21"/>
                <w:szCs w:val="21"/>
              </w:rPr>
            </w:pPr>
            <w:r>
              <w:rPr>
                <w:rFonts w:ascii="宋体"/>
                <w:w w:val="100"/>
                <w:sz w:val="21"/>
              </w:rPr>
              <w:t>/</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sz w:val="21"/>
              </w:rPr>
              <w:t>13,349,540.13</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spacing w:before="63"/>
        <w:ind w:left="5277" w:right="5278" w:firstLine="0"/>
        <w:jc w:val="center"/>
        <w:rPr>
          <w:rFonts w:ascii="Calibri" w:hAnsi="Calibri" w:cs="Calibri" w:eastAsia="Calibri" w:hint="default"/>
          <w:sz w:val="18"/>
          <w:szCs w:val="18"/>
        </w:rPr>
      </w:pPr>
      <w:r>
        <w:rPr>
          <w:rFonts w:ascii="Calibri"/>
          <w:sz w:val="18"/>
        </w:rPr>
        <w:t>130</w:t>
      </w:r>
    </w:p>
    <w:p>
      <w:pPr>
        <w:spacing w:after="0"/>
        <w:jc w:val="center"/>
        <w:rPr>
          <w:rFonts w:ascii="Calibri" w:hAnsi="Calibri" w:cs="Calibri" w:eastAsia="Calibri" w:hint="default"/>
          <w:sz w:val="18"/>
          <w:szCs w:val="18"/>
        </w:rPr>
        <w:sectPr>
          <w:headerReference w:type="default" r:id="rId45"/>
          <w:footerReference w:type="default" r:id="rId46"/>
          <w:pgSz w:w="16840" w:h="11910" w:orient="landscape"/>
          <w:pgMar w:header="0" w:footer="0" w:top="780" w:bottom="280" w:left="1300" w:right="1380"/>
        </w:sectPr>
      </w:pPr>
    </w:p>
    <w:p>
      <w:pPr>
        <w:spacing w:line="240" w:lineRule="auto" w:before="0"/>
        <w:rPr>
          <w:rFonts w:ascii="Calibri" w:hAnsi="Calibri" w:cs="Calibri" w:eastAsia="Calibri" w:hint="default"/>
          <w:sz w:val="20"/>
          <w:szCs w:val="20"/>
        </w:rPr>
      </w:pPr>
    </w:p>
    <w:p>
      <w:pPr>
        <w:spacing w:line="240" w:lineRule="auto" w:before="4"/>
        <w:rPr>
          <w:rFonts w:ascii="Calibri" w:hAnsi="Calibri" w:cs="Calibri" w:eastAsia="Calibri" w:hint="default"/>
          <w:sz w:val="17"/>
          <w:szCs w:val="17"/>
        </w:rPr>
      </w:pPr>
    </w:p>
    <w:p>
      <w:pPr>
        <w:spacing w:after="0" w:line="240" w:lineRule="auto"/>
        <w:rPr>
          <w:rFonts w:ascii="Calibri" w:hAnsi="Calibri" w:cs="Calibri" w:eastAsia="Calibri" w:hint="default"/>
          <w:sz w:val="17"/>
          <w:szCs w:val="17"/>
        </w:rPr>
        <w:sectPr>
          <w:footerReference w:type="default" r:id="rId47"/>
          <w:pgSz w:w="11910" w:h="16840"/>
          <w:pgMar w:footer="1195" w:header="0" w:top="1320" w:bottom="1380" w:left="1580" w:right="1040"/>
          <w:pgNumType w:start="131"/>
        </w:sectPr>
      </w:pPr>
    </w:p>
    <w:p>
      <w:pPr>
        <w:pStyle w:val="BodyText"/>
        <w:spacing w:line="240" w:lineRule="auto" w:before="36"/>
        <w:ind w:right="0"/>
        <w:jc w:val="left"/>
      </w:pPr>
      <w:r>
        <w:rPr>
          <w:spacing w:val="-2"/>
        </w:rPr>
        <w:t>期末单项金额重大并单项计提坏账准备的应收账款：</w:t>
      </w:r>
    </w:p>
    <w:p>
      <w:pPr>
        <w:pStyle w:val="BodyText"/>
        <w:spacing w:line="290" w:lineRule="auto" w:before="56"/>
        <w:ind w:right="0"/>
        <w:jc w:val="left"/>
      </w:pPr>
      <w:r>
        <w:rPr/>
        <w:t>□适用</w:t>
      </w:r>
      <w:r>
        <w:rPr>
          <w:spacing w:val="-2"/>
        </w:rPr>
        <w:t> </w:t>
      </w:r>
      <w:r>
        <w:rPr/>
        <w:t>√不适用</w:t>
      </w:r>
      <w:r>
        <w:rPr>
          <w:w w:val="100"/>
        </w:rPr>
        <w:t> </w:t>
      </w:r>
      <w:r>
        <w:rPr>
          <w:spacing w:val="-2"/>
        </w:rPr>
        <w:t>组合中，按账龄分析法计提坏账准备的应收账款：</w:t>
      </w:r>
    </w:p>
    <w:p>
      <w:pPr>
        <w:pStyle w:val="BodyText"/>
        <w:spacing w:line="240" w:lineRule="auto" w:before="12"/>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000" w:bottom="280" w:left="1580" w:right="1040"/>
          <w:cols w:num="2" w:equalWidth="0">
            <w:col w:w="5053" w:space="1469"/>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674"/>
        <w:gridCol w:w="2165"/>
        <w:gridCol w:w="2114"/>
        <w:gridCol w:w="2096"/>
      </w:tblGrid>
      <w:tr>
        <w:trPr>
          <w:trHeight w:val="310" w:hRule="exact"/>
        </w:trPr>
        <w:tc>
          <w:tcPr>
            <w:tcW w:w="2674" w:type="dxa"/>
            <w:vMerge w:val="restart"/>
            <w:tcBorders>
              <w:top w:val="single" w:sz="4" w:space="0" w:color="000000"/>
              <w:left w:val="single" w:sz="4" w:space="0" w:color="000000"/>
              <w:right w:val="single" w:sz="4" w:space="0" w:color="000000"/>
            </w:tcBorders>
          </w:tcPr>
          <w:p>
            <w:pPr>
              <w:pStyle w:val="TableParagraph"/>
              <w:spacing w:line="240" w:lineRule="auto" w:before="122"/>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3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2674" w:type="dxa"/>
            <w:vMerge/>
            <w:tcBorders>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7"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0"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11,379,581.16</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568,979.06</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5.00</w:t>
            </w: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11,379,581.16</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568,979.06</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5.00</w:t>
            </w:r>
          </w:p>
        </w:tc>
      </w:tr>
      <w:tr>
        <w:trPr>
          <w:trHeight w:val="281"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2,293,850.00</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229,385.00</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w:t>
            </w:r>
          </w:p>
        </w:tc>
      </w:tr>
      <w:tr>
        <w:trPr>
          <w:trHeight w:val="284"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1,252,560.00</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375,768.00</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30.00</w:t>
            </w:r>
          </w:p>
        </w:tc>
      </w:tr>
      <w:tr>
        <w:trPr>
          <w:trHeight w:val="281"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1,574,107.78</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1,574,107.78</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16,500,098.94</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2,748,239.84</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16.66</w:t>
            </w:r>
          </w:p>
        </w:tc>
      </w:tr>
    </w:tbl>
    <w:p>
      <w:pPr>
        <w:pStyle w:val="BodyText"/>
        <w:spacing w:line="240" w:lineRule="auto" w:before="26"/>
        <w:ind w:right="2757"/>
        <w:jc w:val="left"/>
      </w:pPr>
      <w:r>
        <w:rPr/>
        <w:t>组合中，采用余额百分比法计提坏账准备的应收账款：</w:t>
      </w:r>
    </w:p>
    <w:p>
      <w:pPr>
        <w:pStyle w:val="BodyText"/>
        <w:spacing w:line="240" w:lineRule="auto" w:before="58"/>
        <w:ind w:right="2757"/>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BodyText"/>
        <w:spacing w:line="240" w:lineRule="auto"/>
        <w:ind w:right="2757"/>
        <w:jc w:val="left"/>
      </w:pPr>
      <w:r>
        <w:rPr/>
        <w:t>组合中，采用其他方法计提坏账准备的应收账款：</w:t>
      </w:r>
    </w:p>
    <w:p>
      <w:pPr>
        <w:pStyle w:val="BodyText"/>
        <w:spacing w:line="240" w:lineRule="auto" w:before="58"/>
        <w:ind w:right="2757"/>
        <w:jc w:val="left"/>
      </w:pPr>
      <w:r>
        <w:rPr/>
        <w:t>√适用</w:t>
      </w:r>
      <w:r>
        <w:rPr>
          <w:spacing w:val="-1"/>
        </w:rPr>
        <w:t> </w:t>
      </w:r>
      <w:r>
        <w:rPr/>
        <w:t>□不适用</w:t>
      </w:r>
    </w:p>
    <w:p>
      <w:pPr>
        <w:pStyle w:val="BodyText"/>
        <w:spacing w:line="240" w:lineRule="auto" w:before="56"/>
        <w:ind w:right="0"/>
        <w:jc w:val="left"/>
      </w:pPr>
      <w:r>
        <w:rPr/>
        <w:t>划分为对象组合</w:t>
      </w:r>
      <w:r>
        <w:rPr>
          <w:rFonts w:ascii="宋体" w:hAnsi="宋体" w:cs="宋体" w:eastAsia="宋体" w:hint="default"/>
        </w:rPr>
        <w:t>-</w:t>
      </w:r>
      <w:r>
        <w:rPr/>
        <w:t>合并报表范围内公司款项，不计提坏账准备的应收账款：</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17"/>
        <w:gridCol w:w="3015"/>
        <w:gridCol w:w="3017"/>
      </w:tblGrid>
      <w:tr>
        <w:trPr>
          <w:trHeight w:val="40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0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21"/>
                <w:szCs w:val="21"/>
              </w:rPr>
            </w:pPr>
            <w:r>
              <w:rPr>
                <w:rFonts w:ascii="宋体" w:hAnsi="宋体" w:cs="宋体" w:eastAsia="宋体" w:hint="default"/>
                <w:sz w:val="21"/>
                <w:szCs w:val="21"/>
              </w:rPr>
              <w:t>一年以内</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641" w:right="0"/>
              <w:jc w:val="left"/>
              <w:rPr>
                <w:rFonts w:ascii="宋体" w:hAnsi="宋体" w:cs="宋体" w:eastAsia="宋体" w:hint="default"/>
                <w:sz w:val="21"/>
                <w:szCs w:val="21"/>
              </w:rPr>
            </w:pPr>
            <w:r>
              <w:rPr>
                <w:rFonts w:ascii="宋体"/>
                <w:sz w:val="21"/>
              </w:rPr>
              <w:t>2,806,029.20</w:t>
            </w:r>
          </w:p>
        </w:tc>
        <w:tc>
          <w:tcPr>
            <w:tcW w:w="301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3"/>
        <w:tabs>
          <w:tab w:pos="1057" w:val="left" w:leader="none"/>
        </w:tabs>
        <w:spacing w:line="240" w:lineRule="auto" w:before="36"/>
        <w:ind w:left="359" w:right="2757"/>
        <w:jc w:val="left"/>
        <w:rPr>
          <w:b w:val="0"/>
          <w:bCs w:val="0"/>
        </w:rPr>
      </w:pPr>
      <w:r>
        <w:rPr>
          <w:rFonts w:ascii="宋体" w:hAnsi="宋体" w:cs="宋体" w:eastAsia="宋体" w:hint="default"/>
          <w:w w:val="95"/>
        </w:rPr>
        <w:t>(2).</w:t>
        <w:tab/>
      </w:r>
      <w:r>
        <w:rPr/>
        <w:t>本期计提、收回或转回的坏账准备情况：</w:t>
      </w:r>
      <w:r>
        <w:rPr>
          <w:b w:val="0"/>
          <w:bCs w:val="0"/>
        </w:rPr>
      </w:r>
    </w:p>
    <w:p>
      <w:pPr>
        <w:pStyle w:val="BodyText"/>
        <w:spacing w:line="240" w:lineRule="auto" w:before="56"/>
        <w:ind w:right="0"/>
        <w:jc w:val="left"/>
      </w:pPr>
      <w:r>
        <w:rPr/>
        <w:t>本期计提坏账准备金额</w:t>
      </w:r>
      <w:r>
        <w:rPr>
          <w:spacing w:val="-53"/>
        </w:rPr>
        <w:t> </w:t>
      </w:r>
      <w:r>
        <w:rPr>
          <w:rFonts w:ascii="宋体" w:hAnsi="宋体" w:cs="宋体" w:eastAsia="宋体" w:hint="default"/>
        </w:rPr>
        <w:t>437,017.76</w:t>
      </w:r>
      <w:r>
        <w:rPr>
          <w:rFonts w:ascii="宋体" w:hAnsi="宋体" w:cs="宋体" w:eastAsia="宋体" w:hint="default"/>
          <w:spacing w:val="-56"/>
        </w:rPr>
        <w:t> </w:t>
      </w:r>
      <w:r>
        <w:rPr/>
        <w:t>元；本期收回或转回坏账准备金额</w:t>
      </w:r>
      <w:r>
        <w:rPr>
          <w:spacing w:val="-54"/>
        </w:rPr>
        <w:t> </w:t>
      </w:r>
      <w:r>
        <w:rPr>
          <w:rFonts w:ascii="宋体" w:hAnsi="宋体" w:cs="宋体" w:eastAsia="宋体" w:hint="default"/>
        </w:rPr>
        <w:t>0</w:t>
      </w:r>
      <w:r>
        <w:rPr>
          <w:rFonts w:ascii="宋体" w:hAnsi="宋体" w:cs="宋体" w:eastAsia="宋体" w:hint="default"/>
          <w:spacing w:val="-56"/>
        </w:rPr>
        <w:t> </w:t>
      </w:r>
      <w:r>
        <w:rPr/>
        <w:t>元。</w:t>
      </w:r>
    </w:p>
    <w:p>
      <w:pPr>
        <w:spacing w:line="240" w:lineRule="auto" w:before="8"/>
        <w:rPr>
          <w:rFonts w:ascii="宋体" w:hAnsi="宋体" w:cs="宋体" w:eastAsia="宋体" w:hint="default"/>
          <w:sz w:val="20"/>
          <w:szCs w:val="20"/>
        </w:rPr>
      </w:pPr>
    </w:p>
    <w:p>
      <w:pPr>
        <w:pStyle w:val="BodyText"/>
        <w:spacing w:line="274" w:lineRule="exact"/>
        <w:ind w:right="2757"/>
        <w:jc w:val="left"/>
      </w:pPr>
      <w:r>
        <w:rPr/>
        <w:t>其中本期坏账准备收回或转回金额重要的：</w:t>
      </w:r>
    </w:p>
    <w:p>
      <w:pPr>
        <w:pStyle w:val="BodyText"/>
        <w:spacing w:line="274" w:lineRule="exact"/>
        <w:ind w:right="2757"/>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3"/>
        <w:tabs>
          <w:tab w:pos="1057" w:val="left" w:leader="none"/>
        </w:tabs>
        <w:spacing w:line="240" w:lineRule="auto"/>
        <w:ind w:left="359" w:right="2757"/>
        <w:jc w:val="left"/>
        <w:rPr>
          <w:b w:val="0"/>
          <w:bCs w:val="0"/>
        </w:rPr>
      </w:pPr>
      <w:r>
        <w:rPr>
          <w:rFonts w:ascii="宋体" w:hAnsi="宋体" w:cs="宋体" w:eastAsia="宋体" w:hint="default"/>
          <w:w w:val="95"/>
        </w:rPr>
        <w:t>(3).</w:t>
        <w:tab/>
      </w:r>
      <w:r>
        <w:rPr/>
        <w:t>本期实际核销的应收账款情况</w:t>
      </w:r>
      <w:r>
        <w:rPr>
          <w:b w:val="0"/>
          <w:bCs w:val="0"/>
        </w:rPr>
      </w:r>
    </w:p>
    <w:p>
      <w:pPr>
        <w:pStyle w:val="BodyText"/>
        <w:spacing w:line="272" w:lineRule="exact" w:before="86"/>
        <w:ind w:right="6323"/>
        <w:jc w:val="left"/>
      </w:pPr>
      <w:r>
        <w:rPr/>
        <w:t>□适用</w:t>
      </w:r>
      <w:r>
        <w:rPr>
          <w:spacing w:val="-2"/>
        </w:rPr>
        <w:t> </w:t>
      </w:r>
      <w:r>
        <w:rPr/>
        <w:t>√不适用</w:t>
      </w:r>
      <w:r>
        <w:rPr>
          <w:w w:val="100"/>
        </w:rPr>
        <w:t> </w:t>
      </w:r>
      <w:r>
        <w:rPr>
          <w:spacing w:val="-2"/>
        </w:rPr>
        <w:t>其中重要的应收账款核销情况</w:t>
      </w:r>
    </w:p>
    <w:p>
      <w:pPr>
        <w:pStyle w:val="BodyText"/>
        <w:spacing w:line="249" w:lineRule="exact"/>
        <w:ind w:right="2757"/>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3"/>
        <w:tabs>
          <w:tab w:pos="1057" w:val="left" w:leader="none"/>
        </w:tabs>
        <w:spacing w:line="240" w:lineRule="auto"/>
        <w:ind w:left="359" w:right="2757"/>
        <w:jc w:val="left"/>
        <w:rPr>
          <w:b w:val="0"/>
          <w:bCs w:val="0"/>
        </w:rPr>
      </w:pPr>
      <w:r>
        <w:rPr>
          <w:rFonts w:ascii="宋体" w:hAnsi="宋体" w:cs="宋体" w:eastAsia="宋体" w:hint="default"/>
          <w:w w:val="95"/>
        </w:rPr>
        <w:t>(4).</w:t>
        <w:tab/>
      </w:r>
      <w:r>
        <w:rPr/>
        <w:t>按欠款方归集的期末余额前五名的应收账款情况：</w:t>
      </w:r>
      <w:r>
        <w:rPr>
          <w:b w:val="0"/>
          <w:bCs w:val="0"/>
        </w:rPr>
      </w:r>
    </w:p>
    <w:p>
      <w:pPr>
        <w:pStyle w:val="BodyText"/>
        <w:tabs>
          <w:tab w:pos="1060" w:val="left" w:leader="none"/>
        </w:tabs>
        <w:spacing w:line="240" w:lineRule="auto" w:before="58"/>
        <w:ind w:right="2757"/>
        <w:jc w:val="left"/>
      </w:pPr>
      <w:r>
        <w:rPr>
          <w:spacing w:val="-1"/>
        </w:rPr>
        <w:t>√适用</w:t>
        <w:tab/>
      </w:r>
      <w:r>
        <w:rPr>
          <w:spacing w:val="-2"/>
        </w:rPr>
        <w:t>□不适用</w:t>
      </w:r>
    </w:p>
    <w:p>
      <w:pPr>
        <w:spacing w:line="240" w:lineRule="auto" w:before="3"/>
        <w:rPr>
          <w:rFonts w:ascii="宋体" w:hAnsi="宋体" w:cs="宋体" w:eastAsia="宋体" w:hint="default"/>
          <w:sz w:val="23"/>
          <w:szCs w:val="23"/>
        </w:rPr>
      </w:pPr>
    </w:p>
    <w:tbl>
      <w:tblPr>
        <w:tblW w:w="0" w:type="auto"/>
        <w:jc w:val="left"/>
        <w:tblInd w:w="105" w:type="dxa"/>
        <w:tblLayout w:type="fixed"/>
        <w:tblCellMar>
          <w:top w:w="0" w:type="dxa"/>
          <w:left w:w="0" w:type="dxa"/>
          <w:bottom w:w="0" w:type="dxa"/>
          <w:right w:w="0" w:type="dxa"/>
        </w:tblCellMar>
        <w:tblLook w:val="01E0"/>
      </w:tblPr>
      <w:tblGrid>
        <w:gridCol w:w="2660"/>
        <w:gridCol w:w="2127"/>
        <w:gridCol w:w="2268"/>
        <w:gridCol w:w="1995"/>
      </w:tblGrid>
      <w:tr>
        <w:trPr>
          <w:trHeight w:val="55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8" w:right="0"/>
              <w:jc w:val="left"/>
              <w:rPr>
                <w:rFonts w:ascii="宋体" w:hAnsi="宋体" w:cs="宋体" w:eastAsia="宋体" w:hint="default"/>
                <w:sz w:val="21"/>
                <w:szCs w:val="21"/>
              </w:rPr>
            </w:pPr>
            <w:r>
              <w:rPr>
                <w:rFonts w:ascii="宋体" w:hAnsi="宋体" w:cs="宋体" w:eastAsia="宋体" w:hint="default"/>
                <w:sz w:val="21"/>
                <w:szCs w:val="21"/>
              </w:rPr>
              <w:t>应收账款期末余额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占应收账款期末余额</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合计数的比例</w:t>
            </w:r>
            <w:r>
              <w:rPr>
                <w:rFonts w:ascii="宋体" w:hAnsi="宋体" w:cs="宋体" w:eastAsia="宋体" w:hint="default"/>
                <w:sz w:val="21"/>
                <w:szCs w:val="21"/>
              </w:rPr>
              <w:t>%</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8"/>
              <w:jc w:val="right"/>
              <w:rPr>
                <w:rFonts w:ascii="宋体" w:hAnsi="宋体" w:cs="宋体" w:eastAsia="宋体" w:hint="default"/>
                <w:sz w:val="21"/>
                <w:szCs w:val="21"/>
              </w:rPr>
            </w:pPr>
            <w:r>
              <w:rPr>
                <w:rFonts w:ascii="宋体" w:hAnsi="宋体" w:cs="宋体" w:eastAsia="宋体" w:hint="default"/>
                <w:spacing w:val="-2"/>
                <w:sz w:val="21"/>
                <w:szCs w:val="21"/>
              </w:rPr>
              <w:t>坏账准备期末余额</w:t>
            </w:r>
          </w:p>
        </w:tc>
      </w:tr>
      <w:tr>
        <w:trPr>
          <w:trHeight w:val="555"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福州顶点数码科技有限公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1,389,102.65</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7.20</w:t>
            </w:r>
          </w:p>
        </w:tc>
        <w:tc>
          <w:tcPr>
            <w:tcW w:w="199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世纪证券有限责任公司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1,253,954.46</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6.50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74,447.72</w:t>
            </w:r>
          </w:p>
        </w:tc>
      </w:tr>
    </w:tbl>
    <w:p>
      <w:pPr>
        <w:spacing w:after="0" w:line="241" w:lineRule="exact"/>
        <w:jc w:val="right"/>
        <w:rPr>
          <w:rFonts w:ascii="宋体" w:hAnsi="宋体" w:cs="宋体" w:eastAsia="宋体" w:hint="default"/>
          <w:sz w:val="21"/>
          <w:szCs w:val="21"/>
        </w:rPr>
        <w:sectPr>
          <w:type w:val="continuous"/>
          <w:pgSz w:w="11910" w:h="16840"/>
          <w:pgMar w:top="1000" w:bottom="280" w:left="1580" w:right="1040"/>
        </w:sectPr>
      </w:pPr>
    </w:p>
    <w:p>
      <w:pPr>
        <w:spacing w:line="240" w:lineRule="auto" w:before="9"/>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2660"/>
        <w:gridCol w:w="2127"/>
        <w:gridCol w:w="2268"/>
        <w:gridCol w:w="1995"/>
      </w:tblGrid>
      <w:tr>
        <w:trPr>
          <w:trHeight w:val="557"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重庆科技要素交易中心有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1,253,000.00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6.49</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62,650.00</w:t>
            </w:r>
          </w:p>
        </w:tc>
      </w:tr>
      <w:tr>
        <w:trPr>
          <w:trHeight w:val="28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中原证券股份有限公司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1,130,000.00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5.85</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56,500.00</w:t>
            </w:r>
          </w:p>
        </w:tc>
      </w:tr>
      <w:tr>
        <w:trPr>
          <w:trHeight w:val="55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北京顶点时代软件技术有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1,020,216.10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5.28</w:t>
            </w:r>
          </w:p>
        </w:tc>
        <w:tc>
          <w:tcPr>
            <w:tcW w:w="199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6,046,273.21</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31.32</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193,597.72</w:t>
            </w:r>
          </w:p>
        </w:tc>
      </w:tr>
    </w:tbl>
    <w:p>
      <w:pPr>
        <w:spacing w:line="240" w:lineRule="auto" w:before="2"/>
        <w:rPr>
          <w:rFonts w:ascii="宋体" w:hAnsi="宋体" w:cs="宋体" w:eastAsia="宋体" w:hint="default"/>
          <w:sz w:val="20"/>
          <w:szCs w:val="20"/>
        </w:rPr>
      </w:pPr>
    </w:p>
    <w:p>
      <w:pPr>
        <w:pStyle w:val="Heading3"/>
        <w:tabs>
          <w:tab w:pos="1057" w:val="left" w:leader="none"/>
        </w:tabs>
        <w:spacing w:line="240" w:lineRule="auto" w:before="36"/>
        <w:ind w:left="359" w:right="2757"/>
        <w:jc w:val="left"/>
        <w:rPr>
          <w:b w:val="0"/>
          <w:bCs w:val="0"/>
        </w:rPr>
      </w:pPr>
      <w:r>
        <w:rPr>
          <w:rFonts w:ascii="宋体" w:hAnsi="宋体" w:cs="宋体" w:eastAsia="宋体" w:hint="default"/>
          <w:w w:val="95"/>
        </w:rPr>
        <w:t>(5).</w:t>
        <w:tab/>
      </w:r>
      <w:r>
        <w:rPr/>
        <w:t>因金融资产转移而终止确认的应收账款：</w:t>
      </w:r>
      <w:r>
        <w:rPr>
          <w:b w:val="0"/>
          <w:bCs w:val="0"/>
        </w:rPr>
      </w:r>
    </w:p>
    <w:p>
      <w:pPr>
        <w:pStyle w:val="BodyText"/>
        <w:tabs>
          <w:tab w:pos="1060" w:val="left" w:leader="none"/>
        </w:tabs>
        <w:spacing w:line="240" w:lineRule="auto" w:before="56"/>
        <w:ind w:right="2757"/>
        <w:jc w:val="left"/>
      </w:pPr>
      <w:r>
        <w:rPr>
          <w:spacing w:val="-1"/>
        </w:rPr>
        <w:t>□适用</w:t>
        <w:tab/>
      </w:r>
      <w:r>
        <w:rPr>
          <w:spacing w:val="-2"/>
        </w:rPr>
        <w:t>√不适用</w:t>
      </w:r>
    </w:p>
    <w:p>
      <w:pPr>
        <w:spacing w:line="240" w:lineRule="auto" w:before="11"/>
        <w:rPr>
          <w:rFonts w:ascii="宋体" w:hAnsi="宋体" w:cs="宋体" w:eastAsia="宋体" w:hint="default"/>
          <w:sz w:val="22"/>
          <w:szCs w:val="22"/>
        </w:rPr>
      </w:pPr>
    </w:p>
    <w:p>
      <w:pPr>
        <w:pStyle w:val="Heading3"/>
        <w:tabs>
          <w:tab w:pos="1057" w:val="left" w:leader="none"/>
        </w:tabs>
        <w:spacing w:line="240" w:lineRule="auto"/>
        <w:ind w:left="359" w:right="2757"/>
        <w:jc w:val="left"/>
        <w:rPr>
          <w:b w:val="0"/>
          <w:bCs w:val="0"/>
        </w:rPr>
      </w:pPr>
      <w:r>
        <w:rPr>
          <w:rFonts w:ascii="宋体" w:hAnsi="宋体" w:cs="宋体" w:eastAsia="宋体" w:hint="default"/>
          <w:w w:val="95"/>
        </w:rPr>
        <w:t>(6).</w:t>
        <w:tab/>
      </w:r>
      <w:r>
        <w:rPr/>
        <w:t>转移应收账款且继续涉入形成的资产、负债金额：</w:t>
      </w:r>
      <w:r>
        <w:rPr>
          <w:b w:val="0"/>
          <w:bCs w:val="0"/>
        </w:rPr>
      </w:r>
    </w:p>
    <w:p>
      <w:pPr>
        <w:pStyle w:val="BodyText"/>
        <w:tabs>
          <w:tab w:pos="1060" w:val="left" w:leader="none"/>
        </w:tabs>
        <w:spacing w:line="240" w:lineRule="auto" w:before="59"/>
        <w:ind w:right="2757"/>
        <w:jc w:val="left"/>
      </w:pPr>
      <w:r>
        <w:rPr>
          <w:spacing w:val="-1"/>
        </w:rPr>
        <w:t>□适用</w:t>
        <w:tab/>
      </w:r>
      <w:r>
        <w:rPr>
          <w:spacing w:val="-2"/>
        </w:rPr>
        <w:t>√不适用</w:t>
      </w:r>
    </w:p>
    <w:p>
      <w:pPr>
        <w:spacing w:line="240" w:lineRule="auto" w:before="3"/>
        <w:rPr>
          <w:rFonts w:ascii="宋体" w:hAnsi="宋体" w:cs="宋体" w:eastAsia="宋体" w:hint="default"/>
          <w:sz w:val="18"/>
          <w:szCs w:val="18"/>
        </w:rPr>
      </w:pPr>
    </w:p>
    <w:p>
      <w:pPr>
        <w:pStyle w:val="BodyText"/>
        <w:spacing w:line="273" w:lineRule="exact"/>
        <w:ind w:right="2757"/>
        <w:jc w:val="left"/>
      </w:pPr>
      <w:r>
        <w:rPr/>
        <w:t>其他说明：</w:t>
      </w:r>
    </w:p>
    <w:p>
      <w:pPr>
        <w:spacing w:line="290" w:lineRule="auto" w:before="0"/>
        <w:ind w:left="218" w:right="747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其他应收款</w:t>
      </w:r>
      <w:r>
        <w:rPr>
          <w:rFonts w:ascii="宋体" w:hAnsi="宋体" w:cs="宋体" w:eastAsia="宋体" w:hint="default"/>
          <w:sz w:val="21"/>
          <w:szCs w:val="21"/>
        </w:rPr>
      </w:r>
    </w:p>
    <w:p>
      <w:pPr>
        <w:pStyle w:val="Heading3"/>
        <w:spacing w:line="240" w:lineRule="auto" w:before="12"/>
        <w:ind w:right="2757"/>
        <w:jc w:val="left"/>
        <w:rPr>
          <w:b w:val="0"/>
          <w:bCs w:val="0"/>
        </w:rPr>
      </w:pPr>
      <w:r>
        <w:rPr>
          <w:rFonts w:ascii="宋体" w:hAnsi="宋体" w:cs="宋体" w:eastAsia="宋体" w:hint="default"/>
        </w:rPr>
        <w:t>(1).</w:t>
      </w:r>
      <w:r>
        <w:rPr>
          <w:rFonts w:ascii="宋体" w:hAnsi="宋体" w:cs="宋体" w:eastAsia="宋体" w:hint="default"/>
          <w:spacing w:val="-1"/>
        </w:rPr>
        <w:t> </w:t>
      </w:r>
      <w:r>
        <w:rPr/>
        <w:t>其他应收款分类披露：</w:t>
      </w:r>
      <w:r>
        <w:rPr>
          <w:b w:val="0"/>
          <w:bCs w:val="0"/>
        </w:rPr>
      </w:r>
    </w:p>
    <w:p>
      <w:pPr>
        <w:pStyle w:val="BodyText"/>
        <w:tabs>
          <w:tab w:pos="1060" w:val="left" w:leader="none"/>
        </w:tabs>
        <w:spacing w:line="240" w:lineRule="auto" w:before="58"/>
        <w:ind w:right="2757"/>
        <w:jc w:val="left"/>
      </w:pPr>
      <w:r>
        <w:rPr>
          <w:spacing w:val="-1"/>
        </w:rPr>
        <w:t>√适用</w:t>
        <w:tab/>
      </w:r>
      <w:r>
        <w:rPr>
          <w:spacing w:val="-2"/>
        </w:rPr>
        <w:t>□不适用</w:t>
      </w:r>
    </w:p>
    <w:p>
      <w:pPr>
        <w:spacing w:after="0" w:line="240" w:lineRule="auto"/>
        <w:jc w:val="left"/>
        <w:sectPr>
          <w:pgSz w:w="11910" w:h="16840"/>
          <w:pgMar w:header="0" w:footer="1195" w:top="1320" w:bottom="1380" w:left="1580" w:right="1040"/>
        </w:sectPr>
      </w:pPr>
    </w:p>
    <w:p>
      <w:pPr>
        <w:spacing w:line="240" w:lineRule="auto" w:before="8"/>
        <w:rPr>
          <w:rFonts w:ascii="宋体" w:hAnsi="宋体" w:cs="宋体" w:eastAsia="宋体" w:hint="default"/>
          <w:sz w:val="15"/>
          <w:szCs w:val="15"/>
        </w:rPr>
      </w:pPr>
    </w:p>
    <w:p>
      <w:pPr>
        <w:spacing w:before="44"/>
        <w:ind w:left="5331" w:right="5278" w:firstLine="0"/>
        <w:jc w:val="center"/>
        <w:rPr>
          <w:rFonts w:ascii="宋体" w:hAnsi="宋体" w:cs="宋体" w:eastAsia="宋体" w:hint="default"/>
          <w:sz w:val="18"/>
          <w:szCs w:val="18"/>
        </w:rPr>
      </w:pPr>
      <w:r>
        <w:rPr/>
        <w:pict>
          <v:shape style="position:absolute;margin-left:72pt;margin-top:-6.728303pt;width:71.25pt;height:19.46pt;mso-position-horizontal-relative:page;mso-position-vertical-relative:paragraph;z-index:1528" type="#_x0000_t75" stroked="false">
            <v:imagedata r:id="rId33" o:title=""/>
          </v:shape>
        </w:pict>
      </w:r>
      <w:r>
        <w:rPr>
          <w:rFonts w:ascii="宋体" w:hAnsi="宋体" w:cs="宋体" w:eastAsia="宋体" w:hint="default"/>
          <w:sz w:val="18"/>
          <w:szCs w:val="18"/>
        </w:rPr>
        <w:t>福建顶点软件股份有限公司</w:t>
      </w:r>
      <w:r>
        <w:rPr>
          <w:rFonts w:ascii="宋体" w:hAnsi="宋体" w:cs="宋体" w:eastAsia="宋体" w:hint="default"/>
          <w:spacing w:val="-48"/>
          <w:sz w:val="18"/>
          <w:szCs w:val="18"/>
        </w:rPr>
        <w:t> </w:t>
      </w: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29"/>
          <w:szCs w:val="29"/>
        </w:rPr>
      </w:pPr>
    </w:p>
    <w:p>
      <w:pPr>
        <w:pStyle w:val="BodyText"/>
        <w:tabs>
          <w:tab w:pos="1051" w:val="left" w:leader="none"/>
        </w:tabs>
        <w:spacing w:line="240" w:lineRule="auto" w:before="36"/>
        <w:ind w:left="0" w:right="139"/>
        <w:jc w:val="right"/>
      </w:pPr>
      <w:r>
        <w:rPr>
          <w:spacing w:val="-1"/>
        </w:rPr>
        <w:t>单位：元</w:t>
        <w:tab/>
        <w:t>币种：人民币</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836"/>
        <w:gridCol w:w="1217"/>
        <w:gridCol w:w="1215"/>
        <w:gridCol w:w="1195"/>
        <w:gridCol w:w="1224"/>
        <w:gridCol w:w="1095"/>
        <w:gridCol w:w="1322"/>
        <w:gridCol w:w="1172"/>
        <w:gridCol w:w="1169"/>
        <w:gridCol w:w="1171"/>
        <w:gridCol w:w="1320"/>
      </w:tblGrid>
      <w:tr>
        <w:trPr>
          <w:trHeight w:val="293" w:hRule="exact"/>
        </w:trPr>
        <w:tc>
          <w:tcPr>
            <w:tcW w:w="183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594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615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1836" w:type="dxa"/>
            <w:vMerge/>
            <w:tcBorders>
              <w:left w:val="single" w:sz="4" w:space="0" w:color="000000"/>
              <w:right w:val="single" w:sz="4" w:space="0" w:color="000000"/>
            </w:tcBorders>
          </w:tcPr>
          <w:p>
            <w:pPr/>
          </w:p>
        </w:tc>
        <w:tc>
          <w:tcPr>
            <w:tcW w:w="24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8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095" w:type="dxa"/>
            <w:vMerge w:val="restart"/>
            <w:tcBorders>
              <w:top w:val="single" w:sz="4" w:space="0" w:color="000000"/>
              <w:left w:val="single" w:sz="4" w:space="0" w:color="000000"/>
              <w:right w:val="single" w:sz="4" w:space="0" w:color="000000"/>
            </w:tcBorders>
          </w:tcPr>
          <w:p>
            <w:pPr>
              <w:pStyle w:val="TableParagraph"/>
              <w:spacing w:line="240" w:lineRule="auto" w:before="107"/>
              <w:ind w:left="331" w:right="329"/>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c>
          <w:tcPr>
            <w:tcW w:w="24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2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3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4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320" w:type="dxa"/>
            <w:vMerge w:val="restart"/>
            <w:tcBorders>
              <w:top w:val="single" w:sz="4" w:space="0" w:color="000000"/>
              <w:left w:val="single" w:sz="4" w:space="0" w:color="000000"/>
              <w:right w:val="single" w:sz="4" w:space="0" w:color="000000"/>
            </w:tcBorders>
          </w:tcPr>
          <w:p>
            <w:pPr>
              <w:pStyle w:val="TableParagraph"/>
              <w:spacing w:line="240" w:lineRule="auto" w:before="107"/>
              <w:ind w:left="443" w:right="442"/>
              <w:jc w:val="center"/>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p>
        </w:tc>
      </w:tr>
      <w:tr>
        <w:trPr>
          <w:trHeight w:val="554" w:hRule="exact"/>
        </w:trPr>
        <w:tc>
          <w:tcPr>
            <w:tcW w:w="1836" w:type="dxa"/>
            <w:vMerge/>
            <w:tcBorders>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93"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5"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6"/>
              <w:jc w:val="right"/>
              <w:rPr>
                <w:rFonts w:ascii="宋体" w:hAnsi="宋体" w:cs="宋体" w:eastAsia="宋体" w:hint="default"/>
                <w:sz w:val="21"/>
                <w:szCs w:val="21"/>
              </w:rPr>
            </w:pPr>
            <w:r>
              <w:rPr>
                <w:rFonts w:ascii="宋体" w:hAnsi="宋体" w:cs="宋体" w:eastAsia="宋体" w:hint="default"/>
                <w:spacing w:val="-1"/>
                <w:sz w:val="21"/>
                <w:szCs w:val="21"/>
              </w:rPr>
              <w:t>计提比例</w:t>
            </w:r>
            <w:r>
              <w:rPr>
                <w:rFonts w:ascii="宋体" w:hAnsi="宋体" w:cs="宋体" w:eastAsia="宋体" w:hint="default"/>
                <w:spacing w:val="-1"/>
                <w:sz w:val="21"/>
                <w:szCs w:val="21"/>
              </w:rPr>
              <w:t>(%)</w:t>
            </w:r>
          </w:p>
        </w:tc>
        <w:tc>
          <w:tcPr>
            <w:tcW w:w="1095" w:type="dxa"/>
            <w:vMerge/>
            <w:tcBorders>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3"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74" w:lineRule="exact"/>
              <w:ind w:right="0"/>
              <w:jc w:val="center"/>
              <w:rPr>
                <w:rFonts w:ascii="宋体" w:hAnsi="宋体" w:cs="宋体" w:eastAsia="宋体" w:hint="default"/>
                <w:sz w:val="21"/>
                <w:szCs w:val="21"/>
              </w:rPr>
            </w:pPr>
            <w:r>
              <w:rPr>
                <w:rFonts w:ascii="宋体"/>
                <w:sz w:val="21"/>
              </w:rPr>
              <w:t>(%)</w:t>
            </w:r>
          </w:p>
        </w:tc>
        <w:tc>
          <w:tcPr>
            <w:tcW w:w="1320" w:type="dxa"/>
            <w:vMerge/>
            <w:tcBorders>
              <w:left w:val="single" w:sz="4" w:space="0" w:color="000000"/>
              <w:bottom w:val="single" w:sz="4" w:space="0" w:color="000000"/>
              <w:right w:val="single" w:sz="4" w:space="0" w:color="000000"/>
            </w:tcBorders>
          </w:tcPr>
          <w:p>
            <w:pPr/>
          </w:p>
        </w:tc>
      </w:tr>
      <w:tr>
        <w:trPr>
          <w:trHeight w:val="829" w:hRule="exact"/>
        </w:trPr>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单项金额重大并单</w:t>
            </w:r>
          </w:p>
          <w:p>
            <w:pPr>
              <w:pStyle w:val="TableParagraph"/>
              <w:spacing w:line="272" w:lineRule="exact" w:before="27"/>
              <w:ind w:left="26" w:right="115"/>
              <w:jc w:val="left"/>
              <w:rPr>
                <w:rFonts w:ascii="宋体" w:hAnsi="宋体" w:cs="宋体" w:eastAsia="宋体" w:hint="default"/>
                <w:sz w:val="21"/>
                <w:szCs w:val="21"/>
              </w:rPr>
            </w:pPr>
            <w:r>
              <w:rPr>
                <w:rFonts w:ascii="宋体" w:hAnsi="宋体" w:cs="宋体" w:eastAsia="宋体" w:hint="default"/>
                <w:sz w:val="21"/>
                <w:szCs w:val="21"/>
              </w:rPr>
              <w:t>独计提坏账准备的</w:t>
            </w:r>
            <w:r>
              <w:rPr>
                <w:rFonts w:ascii="宋体" w:hAnsi="宋体" w:cs="宋体" w:eastAsia="宋体" w:hint="default"/>
                <w:w w:val="100"/>
                <w:sz w:val="21"/>
                <w:szCs w:val="21"/>
              </w:rPr>
              <w:t> </w:t>
            </w:r>
            <w:r>
              <w:rPr>
                <w:rFonts w:ascii="宋体" w:hAnsi="宋体" w:cs="宋体" w:eastAsia="宋体" w:hint="default"/>
                <w:sz w:val="21"/>
                <w:szCs w:val="21"/>
              </w:rPr>
              <w:t>其他应收款</w:t>
            </w:r>
          </w:p>
        </w:tc>
        <w:tc>
          <w:tcPr>
            <w:tcW w:w="1217"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按信用风险特征组</w:t>
            </w:r>
          </w:p>
          <w:p>
            <w:pPr>
              <w:pStyle w:val="TableParagraph"/>
              <w:spacing w:line="240" w:lineRule="auto"/>
              <w:ind w:left="26" w:right="115"/>
              <w:jc w:val="left"/>
              <w:rPr>
                <w:rFonts w:ascii="宋体" w:hAnsi="宋体" w:cs="宋体" w:eastAsia="宋体" w:hint="default"/>
                <w:sz w:val="21"/>
                <w:szCs w:val="21"/>
              </w:rPr>
            </w:pPr>
            <w:r>
              <w:rPr>
                <w:rFonts w:ascii="宋体" w:hAnsi="宋体" w:cs="宋体" w:eastAsia="宋体" w:hint="default"/>
                <w:sz w:val="21"/>
                <w:szCs w:val="21"/>
              </w:rPr>
              <w:t>合计提坏账准备的</w:t>
            </w:r>
            <w:r>
              <w:rPr>
                <w:rFonts w:ascii="宋体" w:hAnsi="宋体" w:cs="宋体" w:eastAsia="宋体" w:hint="default"/>
                <w:w w:val="100"/>
                <w:sz w:val="21"/>
                <w:szCs w:val="21"/>
              </w:rPr>
              <w:t> </w:t>
            </w:r>
            <w:r>
              <w:rPr>
                <w:rFonts w:ascii="宋体" w:hAnsi="宋体" w:cs="宋体" w:eastAsia="宋体" w:hint="default"/>
                <w:sz w:val="21"/>
                <w:szCs w:val="21"/>
              </w:rPr>
              <w:t>其他应收款</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22"/>
              <w:jc w:val="right"/>
              <w:rPr>
                <w:rFonts w:ascii="Arial Narrow" w:hAnsi="Arial Narrow" w:cs="Arial Narrow" w:eastAsia="Arial Narrow" w:hint="default"/>
                <w:sz w:val="21"/>
                <w:szCs w:val="21"/>
              </w:rPr>
            </w:pPr>
            <w:r>
              <w:rPr>
                <w:rFonts w:ascii="Arial Narrow"/>
                <w:spacing w:val="-1"/>
                <w:sz w:val="21"/>
              </w:rPr>
              <w:t>1,639,060.67</w:t>
            </w:r>
            <w:r>
              <w:rPr>
                <w:rFonts w:ascii="Arial Narrow"/>
                <w:sz w:val="21"/>
              </w:rPr>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7" w:right="0"/>
              <w:jc w:val="left"/>
              <w:rPr>
                <w:rFonts w:ascii="宋体" w:hAnsi="宋体" w:cs="宋体" w:eastAsia="宋体" w:hint="default"/>
                <w:sz w:val="21"/>
                <w:szCs w:val="21"/>
              </w:rPr>
            </w:pPr>
            <w:r>
              <w:rPr>
                <w:rFonts w:ascii="宋体"/>
                <w:sz w:val="21"/>
              </w:rPr>
              <w:t>100.00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0"/>
              <w:jc w:val="center"/>
              <w:rPr>
                <w:rFonts w:ascii="宋体" w:hAnsi="宋体" w:cs="宋体" w:eastAsia="宋体" w:hint="default"/>
                <w:sz w:val="21"/>
                <w:szCs w:val="21"/>
              </w:rPr>
            </w:pPr>
            <w:r>
              <w:rPr>
                <w:rFonts w:ascii="宋体"/>
                <w:sz w:val="21"/>
              </w:rPr>
              <w:t>525,581.16</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32.07</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22"/>
              <w:jc w:val="right"/>
              <w:rPr>
                <w:rFonts w:ascii="Arial Narrow" w:hAnsi="Arial Narrow" w:cs="Arial Narrow" w:eastAsia="Arial Narrow" w:hint="default"/>
                <w:sz w:val="21"/>
                <w:szCs w:val="21"/>
              </w:rPr>
            </w:pPr>
            <w:r>
              <w:rPr>
                <w:rFonts w:ascii="Arial Narrow"/>
                <w:spacing w:val="-1"/>
                <w:sz w:val="21"/>
              </w:rPr>
              <w:t>1,113,479.51</w:t>
            </w:r>
            <w:r>
              <w:rPr>
                <w:rFonts w:ascii="Arial Narrow"/>
                <w:sz w:val="21"/>
              </w:rPr>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5,705,134.51</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4" w:right="0"/>
              <w:jc w:val="left"/>
              <w:rPr>
                <w:rFonts w:ascii="宋体" w:hAnsi="宋体" w:cs="宋体" w:eastAsia="宋体" w:hint="default"/>
                <w:sz w:val="21"/>
                <w:szCs w:val="21"/>
              </w:rPr>
            </w:pPr>
            <w:r>
              <w:rPr>
                <w:rFonts w:ascii="宋体"/>
                <w:sz w:val="21"/>
              </w:rPr>
              <w:t>100.00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 w:right="0"/>
              <w:jc w:val="center"/>
              <w:rPr>
                <w:rFonts w:ascii="宋体" w:hAnsi="宋体" w:cs="宋体" w:eastAsia="宋体" w:hint="default"/>
                <w:sz w:val="21"/>
                <w:szCs w:val="21"/>
              </w:rPr>
            </w:pPr>
            <w:r>
              <w:rPr>
                <w:rFonts w:ascii="宋体"/>
                <w:sz w:val="21"/>
              </w:rPr>
              <w:t>609,166.63</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9" w:right="0"/>
              <w:jc w:val="left"/>
              <w:rPr>
                <w:rFonts w:ascii="宋体" w:hAnsi="宋体" w:cs="宋体" w:eastAsia="宋体" w:hint="default"/>
                <w:sz w:val="21"/>
                <w:szCs w:val="21"/>
              </w:rPr>
            </w:pPr>
            <w:r>
              <w:rPr>
                <w:rFonts w:ascii="宋体"/>
                <w:sz w:val="21"/>
              </w:rPr>
              <w:t>10.68</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5,095,967.88</w:t>
            </w:r>
          </w:p>
        </w:tc>
      </w:tr>
      <w:tr>
        <w:trPr>
          <w:trHeight w:val="828" w:hRule="exact"/>
        </w:trPr>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单项金额不重大但</w:t>
            </w:r>
          </w:p>
          <w:p>
            <w:pPr>
              <w:pStyle w:val="TableParagraph"/>
              <w:spacing w:line="272" w:lineRule="exact" w:before="27"/>
              <w:ind w:left="26" w:right="115"/>
              <w:jc w:val="left"/>
              <w:rPr>
                <w:rFonts w:ascii="宋体" w:hAnsi="宋体" w:cs="宋体" w:eastAsia="宋体" w:hint="default"/>
                <w:sz w:val="21"/>
                <w:szCs w:val="21"/>
              </w:rPr>
            </w:pPr>
            <w:r>
              <w:rPr>
                <w:rFonts w:ascii="宋体" w:hAnsi="宋体" w:cs="宋体" w:eastAsia="宋体" w:hint="default"/>
                <w:sz w:val="21"/>
                <w:szCs w:val="21"/>
              </w:rPr>
              <w:t>单独计提坏账准备</w:t>
            </w:r>
            <w:r>
              <w:rPr>
                <w:rFonts w:ascii="宋体" w:hAnsi="宋体" w:cs="宋体" w:eastAsia="宋体" w:hint="default"/>
                <w:w w:val="100"/>
                <w:sz w:val="21"/>
                <w:szCs w:val="21"/>
              </w:rPr>
              <w:t> </w:t>
            </w:r>
            <w:r>
              <w:rPr>
                <w:rFonts w:ascii="宋体" w:hAnsi="宋体" w:cs="宋体" w:eastAsia="宋体" w:hint="default"/>
                <w:sz w:val="21"/>
                <w:szCs w:val="21"/>
              </w:rPr>
              <w:t>的其他应收款</w:t>
            </w:r>
          </w:p>
        </w:tc>
        <w:tc>
          <w:tcPr>
            <w:tcW w:w="1217"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22"/>
              <w:jc w:val="right"/>
              <w:rPr>
                <w:rFonts w:ascii="Arial Narrow" w:hAnsi="Arial Narrow" w:cs="Arial Narrow" w:eastAsia="Arial Narrow" w:hint="default"/>
                <w:sz w:val="21"/>
                <w:szCs w:val="21"/>
              </w:rPr>
            </w:pPr>
            <w:r>
              <w:rPr>
                <w:rFonts w:ascii="Arial Narrow"/>
                <w:spacing w:val="-1"/>
                <w:sz w:val="21"/>
              </w:rPr>
              <w:t>1,639,060.67</w:t>
            </w:r>
            <w:r>
              <w:rPr>
                <w:rFonts w:ascii="Arial Narrow"/>
                <w:sz w:val="21"/>
              </w:rPr>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0"/>
              <w:jc w:val="center"/>
              <w:rPr>
                <w:rFonts w:ascii="宋体" w:hAnsi="宋体" w:cs="宋体" w:eastAsia="宋体" w:hint="default"/>
                <w:sz w:val="21"/>
                <w:szCs w:val="21"/>
              </w:rPr>
            </w:pPr>
            <w:r>
              <w:rPr>
                <w:rFonts w:ascii="宋体"/>
                <w:sz w:val="21"/>
              </w:rPr>
              <w:t>525,581.16</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22"/>
              <w:jc w:val="right"/>
              <w:rPr>
                <w:rFonts w:ascii="Arial Narrow" w:hAnsi="Arial Narrow" w:cs="Arial Narrow" w:eastAsia="Arial Narrow" w:hint="default"/>
                <w:sz w:val="21"/>
                <w:szCs w:val="21"/>
              </w:rPr>
            </w:pPr>
            <w:r>
              <w:rPr>
                <w:rFonts w:ascii="Arial Narrow"/>
                <w:spacing w:val="-1"/>
                <w:sz w:val="21"/>
              </w:rPr>
              <w:t>1,113,479.51</w:t>
            </w:r>
            <w:r>
              <w:rPr>
                <w:rFonts w:ascii="Arial Narrow"/>
                <w:sz w:val="21"/>
              </w:rPr>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5,705,134.51</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 w:right="0"/>
              <w:jc w:val="center"/>
              <w:rPr>
                <w:rFonts w:ascii="宋体" w:hAnsi="宋体" w:cs="宋体" w:eastAsia="宋体" w:hint="default"/>
                <w:sz w:val="21"/>
                <w:szCs w:val="21"/>
              </w:rPr>
            </w:pPr>
            <w:r>
              <w:rPr>
                <w:rFonts w:ascii="宋体"/>
                <w:sz w:val="21"/>
              </w:rPr>
              <w:t>609,166.63</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5,095,967.88</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spacing w:before="63"/>
        <w:ind w:left="5277" w:right="5278" w:firstLine="0"/>
        <w:jc w:val="center"/>
        <w:rPr>
          <w:rFonts w:ascii="Calibri" w:hAnsi="Calibri" w:cs="Calibri" w:eastAsia="Calibri" w:hint="default"/>
          <w:sz w:val="18"/>
          <w:szCs w:val="18"/>
        </w:rPr>
      </w:pPr>
      <w:r>
        <w:rPr>
          <w:rFonts w:ascii="Calibri"/>
          <w:sz w:val="18"/>
        </w:rPr>
        <w:t>133</w:t>
      </w:r>
    </w:p>
    <w:p>
      <w:pPr>
        <w:spacing w:after="0"/>
        <w:jc w:val="center"/>
        <w:rPr>
          <w:rFonts w:ascii="Calibri" w:hAnsi="Calibri" w:cs="Calibri" w:eastAsia="Calibri" w:hint="default"/>
          <w:sz w:val="18"/>
          <w:szCs w:val="18"/>
        </w:rPr>
        <w:sectPr>
          <w:headerReference w:type="default" r:id="rId48"/>
          <w:footerReference w:type="default" r:id="rId49"/>
          <w:pgSz w:w="16840" w:h="11910" w:orient="landscape"/>
          <w:pgMar w:header="0" w:footer="0" w:top="780" w:bottom="280" w:left="1300" w:right="1380"/>
        </w:sectPr>
      </w:pPr>
    </w:p>
    <w:p>
      <w:pPr>
        <w:spacing w:line="240" w:lineRule="auto" w:before="0"/>
        <w:rPr>
          <w:rFonts w:ascii="Calibri" w:hAnsi="Calibri" w:cs="Calibri" w:eastAsia="Calibri" w:hint="default"/>
          <w:sz w:val="20"/>
          <w:szCs w:val="20"/>
        </w:rPr>
      </w:pPr>
    </w:p>
    <w:p>
      <w:pPr>
        <w:spacing w:line="240" w:lineRule="auto" w:before="4"/>
        <w:rPr>
          <w:rFonts w:ascii="Calibri" w:hAnsi="Calibri" w:cs="Calibri" w:eastAsia="Calibri" w:hint="default"/>
          <w:sz w:val="17"/>
          <w:szCs w:val="17"/>
        </w:rPr>
      </w:pPr>
    </w:p>
    <w:p>
      <w:pPr>
        <w:spacing w:after="0" w:line="240" w:lineRule="auto"/>
        <w:rPr>
          <w:rFonts w:ascii="Calibri" w:hAnsi="Calibri" w:cs="Calibri" w:eastAsia="Calibri" w:hint="default"/>
          <w:sz w:val="17"/>
          <w:szCs w:val="17"/>
        </w:rPr>
        <w:sectPr>
          <w:footerReference w:type="default" r:id="rId50"/>
          <w:pgSz w:w="11910" w:h="16840"/>
          <w:pgMar w:footer="1195" w:header="0" w:top="1320" w:bottom="1380" w:left="1580" w:right="1040"/>
          <w:pgNumType w:start="134"/>
        </w:sectPr>
      </w:pPr>
    </w:p>
    <w:p>
      <w:pPr>
        <w:pStyle w:val="BodyText"/>
        <w:spacing w:line="240" w:lineRule="auto" w:before="36"/>
        <w:ind w:right="0"/>
        <w:jc w:val="left"/>
      </w:pPr>
      <w:r>
        <w:rPr>
          <w:spacing w:val="-2"/>
        </w:rPr>
        <w:t>期末单项金额重大并单项计提坏账准备的其他应收款：</w:t>
      </w:r>
    </w:p>
    <w:p>
      <w:pPr>
        <w:pStyle w:val="BodyText"/>
        <w:spacing w:line="290" w:lineRule="auto" w:before="56"/>
        <w:ind w:right="0"/>
        <w:jc w:val="left"/>
      </w:pPr>
      <w:r>
        <w:rPr/>
        <w:t>□适用</w:t>
      </w:r>
      <w:r>
        <w:rPr>
          <w:spacing w:val="-2"/>
        </w:rPr>
        <w:t> </w:t>
      </w:r>
      <w:r>
        <w:rPr/>
        <w:t>√不适用</w:t>
      </w:r>
      <w:r>
        <w:rPr>
          <w:w w:val="100"/>
        </w:rPr>
        <w:t> </w:t>
      </w:r>
      <w:r>
        <w:rPr>
          <w:spacing w:val="-2"/>
        </w:rPr>
        <w:t>组合中，按账龄分析法计提坏账准备的其他应收款：</w:t>
      </w:r>
    </w:p>
    <w:p>
      <w:pPr>
        <w:pStyle w:val="BodyText"/>
        <w:spacing w:line="240" w:lineRule="auto" w:before="12"/>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000" w:bottom="280" w:left="1580" w:right="1040"/>
          <w:cols w:num="2" w:equalWidth="0">
            <w:col w:w="5264" w:space="1257"/>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574"/>
        <w:gridCol w:w="1822"/>
        <w:gridCol w:w="1822"/>
        <w:gridCol w:w="1831"/>
      </w:tblGrid>
      <w:tr>
        <w:trPr>
          <w:trHeight w:val="283" w:hRule="exact"/>
        </w:trPr>
        <w:tc>
          <w:tcPr>
            <w:tcW w:w="3574" w:type="dxa"/>
            <w:vMerge w:val="restart"/>
            <w:tcBorders>
              <w:top w:val="single" w:sz="4" w:space="0" w:color="000000"/>
              <w:left w:val="single" w:sz="4" w:space="0" w:color="000000"/>
              <w:right w:val="single" w:sz="4" w:space="0" w:color="000000"/>
            </w:tcBorders>
          </w:tcPr>
          <w:p>
            <w:pPr>
              <w:pStyle w:val="TableParagraph"/>
              <w:spacing w:line="240" w:lineRule="auto" w:before="107"/>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54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3574" w:type="dxa"/>
            <w:vMerge/>
            <w:tcBorders>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9"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7"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1"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713,889.80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35,694.49</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Narrow" w:hAnsi="Arial Narrow" w:cs="Arial Narrow" w:eastAsia="Arial Narrow" w:hint="default"/>
                <w:sz w:val="21"/>
                <w:szCs w:val="21"/>
              </w:rPr>
            </w:pPr>
            <w:r>
              <w:rPr>
                <w:rFonts w:ascii="Arial Narrow"/>
                <w:spacing w:val="-1"/>
                <w:sz w:val="21"/>
              </w:rPr>
              <w:t>5.00</w:t>
            </w:r>
            <w:r>
              <w:rPr>
                <w:rFonts w:ascii="Arial Narrow"/>
                <w:sz w:val="21"/>
              </w:rPr>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713,889.80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35,694.49</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Narrow" w:hAnsi="Arial Narrow" w:cs="Arial Narrow" w:eastAsia="Arial Narrow" w:hint="default"/>
                <w:sz w:val="21"/>
                <w:szCs w:val="21"/>
              </w:rPr>
            </w:pPr>
            <w:r>
              <w:rPr>
                <w:rFonts w:ascii="Arial Narrow"/>
                <w:spacing w:val="-1"/>
                <w:sz w:val="21"/>
              </w:rPr>
              <w:t>5.00</w:t>
            </w:r>
            <w:r>
              <w:rPr>
                <w:rFonts w:ascii="Arial Narrow"/>
                <w:sz w:val="21"/>
              </w:rPr>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300,750.00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30,075.00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Narrow" w:hAnsi="Arial Narrow" w:cs="Arial Narrow" w:eastAsia="Arial Narrow" w:hint="default"/>
                <w:sz w:val="21"/>
                <w:szCs w:val="21"/>
              </w:rPr>
            </w:pPr>
            <w:r>
              <w:rPr>
                <w:rFonts w:ascii="Arial Narrow"/>
                <w:spacing w:val="-1"/>
                <w:sz w:val="21"/>
              </w:rPr>
              <w:t>10.00</w:t>
            </w:r>
            <w:r>
              <w:rPr>
                <w:rFonts w:ascii="Arial Narrow"/>
                <w:sz w:val="21"/>
              </w:rPr>
            </w:r>
          </w:p>
        </w:tc>
      </w:tr>
      <w:tr>
        <w:trPr>
          <w:trHeight w:val="281"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235,156.00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70,546.80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Arial Narrow" w:hAnsi="Arial Narrow" w:cs="Arial Narrow" w:eastAsia="Arial Narrow" w:hint="default"/>
                <w:sz w:val="21"/>
                <w:szCs w:val="21"/>
              </w:rPr>
            </w:pPr>
            <w:r>
              <w:rPr>
                <w:rFonts w:ascii="Arial Narrow"/>
                <w:spacing w:val="-1"/>
                <w:sz w:val="21"/>
              </w:rPr>
              <w:t>30.00</w:t>
            </w:r>
            <w:r>
              <w:rPr>
                <w:rFonts w:ascii="Arial Narrow"/>
                <w:sz w:val="21"/>
              </w:rPr>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389,264.87</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389,264.87</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Arial Narrow" w:hAnsi="Arial Narrow" w:cs="Arial Narrow" w:eastAsia="Arial Narrow" w:hint="default"/>
                <w:sz w:val="21"/>
                <w:szCs w:val="21"/>
              </w:rPr>
            </w:pPr>
            <w:r>
              <w:rPr>
                <w:rFonts w:ascii="Arial Narrow"/>
                <w:spacing w:val="-1"/>
                <w:sz w:val="21"/>
              </w:rPr>
              <w:t>100.00</w:t>
            </w:r>
            <w:r>
              <w:rPr>
                <w:rFonts w:ascii="Arial Narrow"/>
                <w:sz w:val="21"/>
              </w:rPr>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1,639,060.67</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525,581.16</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Narrow" w:hAnsi="Arial Narrow" w:cs="Arial Narrow" w:eastAsia="Arial Narrow" w:hint="default"/>
                <w:sz w:val="21"/>
                <w:szCs w:val="21"/>
              </w:rPr>
            </w:pPr>
            <w:r>
              <w:rPr>
                <w:rFonts w:ascii="Arial Narrow"/>
                <w:spacing w:val="-1"/>
                <w:sz w:val="21"/>
              </w:rPr>
              <w:t>32.07</w:t>
            </w:r>
            <w:r>
              <w:rPr>
                <w:rFonts w:ascii="Arial Narrow"/>
                <w:sz w:val="21"/>
              </w:rPr>
            </w:r>
          </w:p>
        </w:tc>
      </w:tr>
    </w:tbl>
    <w:p>
      <w:pPr>
        <w:spacing w:line="240" w:lineRule="auto" w:before="12"/>
        <w:rPr>
          <w:rFonts w:ascii="宋体" w:hAnsi="宋体" w:cs="宋体" w:eastAsia="宋体" w:hint="default"/>
          <w:sz w:val="19"/>
          <w:szCs w:val="19"/>
        </w:rPr>
      </w:pPr>
    </w:p>
    <w:p>
      <w:pPr>
        <w:pStyle w:val="BodyText"/>
        <w:spacing w:line="240" w:lineRule="auto" w:before="36"/>
        <w:ind w:right="2757"/>
        <w:jc w:val="left"/>
      </w:pPr>
      <w:r>
        <w:rPr/>
        <w:t>组合中，采用余额百分比法计提坏账准备的其他应收款：</w:t>
      </w:r>
    </w:p>
    <w:p>
      <w:pPr>
        <w:pStyle w:val="BodyText"/>
        <w:spacing w:line="240" w:lineRule="auto" w:before="58"/>
        <w:ind w:right="2757"/>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BodyText"/>
        <w:spacing w:line="240" w:lineRule="auto"/>
        <w:ind w:right="2757"/>
        <w:jc w:val="left"/>
      </w:pPr>
      <w:r>
        <w:rPr/>
        <w:t>组合中，采用其他方法计提坏账准备的其他应收款：</w:t>
      </w:r>
    </w:p>
    <w:p>
      <w:pPr>
        <w:pStyle w:val="BodyText"/>
        <w:tabs>
          <w:tab w:pos="1060" w:val="left" w:leader="none"/>
        </w:tabs>
        <w:spacing w:line="274" w:lineRule="exact" w:before="56"/>
        <w:ind w:right="2757"/>
        <w:jc w:val="left"/>
      </w:pPr>
      <w:r>
        <w:rPr>
          <w:spacing w:val="-1"/>
        </w:rPr>
        <w:t>√适用</w:t>
        <w:tab/>
      </w:r>
      <w:r>
        <w:rPr>
          <w:spacing w:val="-2"/>
        </w:rPr>
        <w:t>□不适用</w:t>
      </w:r>
    </w:p>
    <w:p>
      <w:pPr>
        <w:pStyle w:val="BodyText"/>
        <w:spacing w:line="274" w:lineRule="exact"/>
        <w:ind w:right="0"/>
        <w:jc w:val="left"/>
      </w:pPr>
      <w:r>
        <w:rPr/>
        <w:t>划分为对象组合</w:t>
      </w:r>
      <w:r>
        <w:rPr>
          <w:rFonts w:ascii="宋体" w:hAnsi="宋体" w:cs="宋体" w:eastAsia="宋体" w:hint="default"/>
        </w:rPr>
        <w:t>-</w:t>
      </w:r>
      <w:r>
        <w:rPr/>
        <w:t>合并报表范围内公司款项，不计提坏账准备的其他应收款：</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17"/>
        <w:gridCol w:w="3015"/>
        <w:gridCol w:w="3017"/>
      </w:tblGrid>
      <w:tr>
        <w:trPr>
          <w:trHeight w:val="40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0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21"/>
                <w:szCs w:val="21"/>
              </w:rPr>
            </w:pPr>
            <w:r>
              <w:rPr>
                <w:rFonts w:ascii="宋体" w:hAnsi="宋体" w:cs="宋体" w:eastAsia="宋体" w:hint="default"/>
                <w:sz w:val="21"/>
                <w:szCs w:val="21"/>
              </w:rPr>
              <w:t>一年以内</w:t>
            </w:r>
          </w:p>
        </w:tc>
        <w:tc>
          <w:tcPr>
            <w:tcW w:w="3015"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853" w:right="0"/>
              <w:jc w:val="left"/>
              <w:rPr>
                <w:rFonts w:ascii="宋体" w:hAnsi="宋体" w:cs="宋体" w:eastAsia="宋体" w:hint="default"/>
                <w:sz w:val="21"/>
                <w:szCs w:val="21"/>
              </w:rPr>
            </w:pPr>
            <w:r>
              <w:rPr>
                <w:rFonts w:ascii="宋体"/>
                <w:sz w:val="21"/>
              </w:rPr>
              <w:t>729,305.52</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3"/>
        <w:spacing w:line="240" w:lineRule="auto" w:before="36"/>
        <w:ind w:right="2757"/>
        <w:jc w:val="left"/>
        <w:rPr>
          <w:b w:val="0"/>
          <w:bCs w:val="0"/>
        </w:rPr>
      </w:pPr>
      <w:r>
        <w:rPr>
          <w:rFonts w:ascii="宋体" w:hAnsi="宋体" w:cs="宋体" w:eastAsia="宋体" w:hint="default"/>
        </w:rPr>
        <w:t>(2).</w:t>
      </w:r>
      <w:r>
        <w:rPr>
          <w:rFonts w:ascii="宋体" w:hAnsi="宋体" w:cs="宋体" w:eastAsia="宋体" w:hint="default"/>
          <w:spacing w:val="-2"/>
        </w:rPr>
        <w:t> </w:t>
      </w:r>
      <w:r>
        <w:rPr/>
        <w:t>本期计提、收回或转回的坏账准备情况：</w:t>
      </w:r>
      <w:r>
        <w:rPr>
          <w:b w:val="0"/>
          <w:bCs w:val="0"/>
        </w:rPr>
      </w:r>
    </w:p>
    <w:p>
      <w:pPr>
        <w:pStyle w:val="BodyText"/>
        <w:spacing w:line="240" w:lineRule="auto" w:before="56"/>
        <w:ind w:right="2757"/>
        <w:jc w:val="left"/>
      </w:pPr>
      <w:r>
        <w:rPr/>
        <w:t>本期计提坏账准备金额</w:t>
      </w:r>
      <w:r>
        <w:rPr>
          <w:spacing w:val="-52"/>
        </w:rPr>
        <w:t> </w:t>
      </w:r>
      <w:r>
        <w:rPr>
          <w:rFonts w:ascii="宋体" w:hAnsi="宋体" w:cs="宋体" w:eastAsia="宋体" w:hint="default"/>
        </w:rPr>
        <w:t>0</w:t>
      </w:r>
      <w:r>
        <w:rPr>
          <w:rFonts w:ascii="宋体" w:hAnsi="宋体" w:cs="宋体" w:eastAsia="宋体" w:hint="default"/>
          <w:spacing w:val="-55"/>
        </w:rPr>
        <w:t> </w:t>
      </w:r>
      <w:r>
        <w:rPr/>
        <w:t>元；本期转回坏账准备金额</w:t>
      </w:r>
      <w:r>
        <w:rPr>
          <w:spacing w:val="-53"/>
        </w:rPr>
        <w:t> </w:t>
      </w:r>
      <w:r>
        <w:rPr>
          <w:rFonts w:ascii="宋体" w:hAnsi="宋体" w:cs="宋体" w:eastAsia="宋体" w:hint="default"/>
        </w:rPr>
        <w:t>83,585.47</w:t>
      </w:r>
      <w:r>
        <w:rPr>
          <w:rFonts w:ascii="宋体" w:hAnsi="宋体" w:cs="宋体" w:eastAsia="宋体" w:hint="default"/>
          <w:spacing w:val="-53"/>
        </w:rPr>
        <w:t> </w:t>
      </w:r>
      <w:r>
        <w:rPr>
          <w:spacing w:val="-3"/>
        </w:rPr>
        <w:t>元。</w:t>
      </w:r>
      <w:r>
        <w:rPr>
          <w:spacing w:val="-3"/>
          <w:w w:val="100"/>
        </w:rPr>
        <w:t> </w:t>
      </w:r>
      <w:r>
        <w:rPr/>
        <w:t>其中本期坏账准备转回或收回金额重要的：</w:t>
      </w:r>
    </w:p>
    <w:p>
      <w:pPr>
        <w:pStyle w:val="BodyText"/>
        <w:spacing w:line="271" w:lineRule="exact"/>
        <w:ind w:right="2757"/>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3"/>
        <w:spacing w:line="240" w:lineRule="auto"/>
        <w:ind w:right="2757"/>
        <w:jc w:val="left"/>
        <w:rPr>
          <w:b w:val="0"/>
          <w:bCs w:val="0"/>
        </w:rPr>
      </w:pPr>
      <w:r>
        <w:rPr>
          <w:rFonts w:ascii="宋体" w:hAnsi="宋体" w:cs="宋体" w:eastAsia="宋体" w:hint="default"/>
        </w:rPr>
        <w:t>(3).</w:t>
      </w:r>
      <w:r>
        <w:rPr>
          <w:rFonts w:ascii="宋体" w:hAnsi="宋体" w:cs="宋体" w:eastAsia="宋体" w:hint="default"/>
          <w:spacing w:val="-3"/>
        </w:rPr>
        <w:t> </w:t>
      </w:r>
      <w:r>
        <w:rPr/>
        <w:t>本期实际核销的其他应收款情况</w:t>
      </w:r>
      <w:r>
        <w:rPr>
          <w:b w:val="0"/>
          <w:bCs w:val="0"/>
        </w:rPr>
      </w:r>
    </w:p>
    <w:p>
      <w:pPr>
        <w:pStyle w:val="BodyText"/>
        <w:spacing w:line="240" w:lineRule="auto" w:before="59"/>
        <w:ind w:right="2757"/>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000" w:bottom="280" w:left="1580" w:right="1040"/>
        </w:sectPr>
      </w:pPr>
    </w:p>
    <w:p>
      <w:pPr>
        <w:pStyle w:val="Heading3"/>
        <w:spacing w:line="240" w:lineRule="auto" w:before="36"/>
        <w:ind w:right="-18"/>
        <w:jc w:val="left"/>
        <w:rPr>
          <w:b w:val="0"/>
          <w:bCs w:val="0"/>
        </w:rPr>
      </w:pPr>
      <w:r>
        <w:rPr>
          <w:rFonts w:ascii="宋体" w:hAnsi="宋体" w:cs="宋体" w:eastAsia="宋体" w:hint="default"/>
        </w:rPr>
        <w:t>(4).</w:t>
      </w:r>
      <w:r>
        <w:rPr>
          <w:rFonts w:ascii="宋体" w:hAnsi="宋体" w:cs="宋体" w:eastAsia="宋体" w:hint="default"/>
          <w:spacing w:val="-3"/>
        </w:rPr>
        <w:t> </w:t>
      </w:r>
      <w:r>
        <w:rPr/>
        <w:t>其他应收款按款项性质分类情况</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000" w:bottom="280" w:left="1580" w:right="1040"/>
          <w:cols w:num="2" w:equalWidth="0">
            <w:col w:w="3699" w:space="2823"/>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77"/>
        <w:gridCol w:w="2981"/>
        <w:gridCol w:w="2991"/>
      </w:tblGrid>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备用金及其他</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101,889.80</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193,365.71</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押金及保证金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1,537,170.87</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1,595,670.87</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上市服务费</w:t>
            </w:r>
          </w:p>
        </w:tc>
        <w:tc>
          <w:tcPr>
            <w:tcW w:w="2981" w:type="dxa"/>
            <w:tcBorders>
              <w:top w:val="single" w:sz="4" w:space="0" w:color="000000"/>
              <w:left w:val="single" w:sz="4" w:space="0" w:color="000000"/>
              <w:bottom w:val="single" w:sz="4" w:space="0" w:color="000000"/>
              <w:right w:val="single" w:sz="4" w:space="0" w:color="000000"/>
            </w:tcBorders>
          </w:tcPr>
          <w:p>
            <w:pP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3,186,792.41</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合并报表范围内关联方往来</w:t>
            </w:r>
          </w:p>
        </w:tc>
        <w:tc>
          <w:tcPr>
            <w:tcW w:w="2981" w:type="dxa"/>
            <w:tcBorders>
              <w:top w:val="single" w:sz="4" w:space="0" w:color="000000"/>
              <w:left w:val="single" w:sz="4" w:space="0" w:color="000000"/>
              <w:bottom w:val="single" w:sz="4" w:space="0" w:color="000000"/>
              <w:right w:val="single" w:sz="4" w:space="0" w:color="000000"/>
            </w:tcBorders>
          </w:tcPr>
          <w:p>
            <w:pP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729,305.52</w:t>
            </w:r>
          </w:p>
        </w:tc>
      </w:tr>
      <w:tr>
        <w:trPr>
          <w:trHeight w:val="284"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1,639,060.67</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5,705,134.51</w:t>
            </w:r>
          </w:p>
        </w:tc>
      </w:tr>
    </w:tbl>
    <w:p>
      <w:pPr>
        <w:spacing w:after="0" w:line="241" w:lineRule="exact"/>
        <w:jc w:val="right"/>
        <w:rPr>
          <w:rFonts w:ascii="宋体" w:hAnsi="宋体" w:cs="宋体" w:eastAsia="宋体" w:hint="default"/>
          <w:sz w:val="21"/>
          <w:szCs w:val="21"/>
        </w:rPr>
        <w:sectPr>
          <w:type w:val="continuous"/>
          <w:pgSz w:w="11910" w:h="16840"/>
          <w:pgMar w:top="1000" w:bottom="280" w:left="1580" w:right="1040"/>
        </w:sectPr>
      </w:pPr>
    </w:p>
    <w:p>
      <w:pPr>
        <w:spacing w:line="240" w:lineRule="auto" w:before="9"/>
        <w:rPr>
          <w:rFonts w:ascii="宋体" w:hAnsi="宋体" w:cs="宋体" w:eastAsia="宋体" w:hint="default"/>
          <w:sz w:val="9"/>
          <w:szCs w:val="9"/>
        </w:rPr>
      </w:pPr>
    </w:p>
    <w:p>
      <w:pPr>
        <w:spacing w:after="0" w:line="240" w:lineRule="auto"/>
        <w:rPr>
          <w:rFonts w:ascii="宋体" w:hAnsi="宋体" w:cs="宋体" w:eastAsia="宋体" w:hint="default"/>
          <w:sz w:val="9"/>
          <w:szCs w:val="9"/>
        </w:rPr>
        <w:sectPr>
          <w:pgSz w:w="11910" w:h="16840"/>
          <w:pgMar w:header="0" w:footer="1195" w:top="1320" w:bottom="1380" w:left="1580" w:right="1040"/>
        </w:sectPr>
      </w:pPr>
    </w:p>
    <w:p>
      <w:pPr>
        <w:pStyle w:val="Heading3"/>
        <w:spacing w:line="240" w:lineRule="auto" w:before="36"/>
        <w:ind w:right="-16"/>
        <w:jc w:val="left"/>
        <w:rPr>
          <w:b w:val="0"/>
          <w:bCs w:val="0"/>
        </w:rPr>
      </w:pPr>
      <w:r>
        <w:rPr>
          <w:rFonts w:ascii="宋体" w:hAnsi="宋体" w:cs="宋体" w:eastAsia="宋体" w:hint="default"/>
        </w:rPr>
        <w:t>(5).</w:t>
      </w:r>
      <w:r>
        <w:rPr>
          <w:rFonts w:ascii="宋体" w:hAnsi="宋体" w:cs="宋体" w:eastAsia="宋体" w:hint="default"/>
          <w:spacing w:val="-6"/>
        </w:rPr>
        <w:t> </w:t>
      </w:r>
      <w:r>
        <w:rPr/>
        <w:t>按欠款方归集的期末余额前五名的其他应收款情况：</w:t>
      </w:r>
      <w:r>
        <w:rPr>
          <w:b w:val="0"/>
          <w:bCs w:val="0"/>
        </w:rPr>
      </w:r>
    </w:p>
    <w:p>
      <w:pPr>
        <w:pStyle w:val="BodyText"/>
        <w:spacing w:line="240" w:lineRule="auto" w:before="58"/>
        <w:ind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000" w:bottom="280" w:left="1580" w:right="1040"/>
          <w:cols w:num="2" w:equalWidth="0">
            <w:col w:w="5595" w:space="927"/>
            <w:col w:w="2768"/>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505"/>
        <w:gridCol w:w="1323"/>
        <w:gridCol w:w="1394"/>
        <w:gridCol w:w="1296"/>
        <w:gridCol w:w="1733"/>
        <w:gridCol w:w="1644"/>
      </w:tblGrid>
      <w:tr>
        <w:trPr>
          <w:trHeight w:val="826"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77"/>
              <w:jc w:val="right"/>
              <w:rPr>
                <w:rFonts w:ascii="宋体" w:hAnsi="宋体" w:cs="宋体" w:eastAsia="宋体" w:hint="default"/>
                <w:sz w:val="21"/>
                <w:szCs w:val="21"/>
              </w:rPr>
            </w:pPr>
            <w:r>
              <w:rPr>
                <w:rFonts w:ascii="宋体" w:hAnsi="宋体" w:cs="宋体" w:eastAsia="宋体" w:hint="default"/>
                <w:spacing w:val="-1"/>
                <w:sz w:val="21"/>
                <w:szCs w:val="21"/>
              </w:rPr>
              <w:t>单位名称</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91" w:right="0"/>
              <w:jc w:val="left"/>
              <w:rPr>
                <w:rFonts w:ascii="宋体" w:hAnsi="宋体" w:cs="宋体" w:eastAsia="宋体" w:hint="default"/>
                <w:sz w:val="21"/>
                <w:szCs w:val="21"/>
              </w:rPr>
            </w:pPr>
            <w:r>
              <w:rPr>
                <w:rFonts w:ascii="宋体" w:hAnsi="宋体" w:cs="宋体" w:eastAsia="宋体" w:hint="default"/>
                <w:sz w:val="21"/>
                <w:szCs w:val="21"/>
              </w:rPr>
              <w:t>款项的性质</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32"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96"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4" w:right="0"/>
              <w:jc w:val="left"/>
              <w:rPr>
                <w:rFonts w:ascii="宋体" w:hAnsi="宋体" w:cs="宋体" w:eastAsia="宋体" w:hint="default"/>
                <w:sz w:val="21"/>
                <w:szCs w:val="21"/>
              </w:rPr>
            </w:pPr>
            <w:r>
              <w:rPr>
                <w:rFonts w:ascii="宋体" w:hAnsi="宋体" w:cs="宋体" w:eastAsia="宋体" w:hint="default"/>
                <w:sz w:val="21"/>
                <w:szCs w:val="21"/>
              </w:rPr>
              <w:t>占其他应收款期</w:t>
            </w:r>
          </w:p>
          <w:p>
            <w:pPr>
              <w:pStyle w:val="TableParagraph"/>
              <w:spacing w:line="240" w:lineRule="auto"/>
              <w:ind w:left="492" w:right="123" w:hanging="368"/>
              <w:jc w:val="left"/>
              <w:rPr>
                <w:rFonts w:ascii="宋体" w:hAnsi="宋体" w:cs="宋体" w:eastAsia="宋体" w:hint="default"/>
                <w:sz w:val="21"/>
                <w:szCs w:val="21"/>
              </w:rPr>
            </w:pPr>
            <w:r>
              <w:rPr>
                <w:rFonts w:ascii="宋体" w:hAnsi="宋体" w:cs="宋体" w:eastAsia="宋体" w:hint="default"/>
                <w:sz w:val="21"/>
                <w:szCs w:val="21"/>
              </w:rPr>
              <w:t>末余额合计数的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比例</w:t>
            </w:r>
            <w:r>
              <w:rPr>
                <w:rFonts w:ascii="宋体" w:hAnsi="宋体" w:cs="宋体" w:eastAsia="宋体" w:hint="default"/>
                <w:sz w:val="21"/>
                <w:szCs w:val="21"/>
              </w:rPr>
              <w:t>(%)</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396" w:right="393"/>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p>
        </w:tc>
      </w:tr>
      <w:tr>
        <w:trPr>
          <w:trHeight w:val="828"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重庆文化产权</w:t>
            </w:r>
          </w:p>
          <w:p>
            <w:pPr>
              <w:pStyle w:val="TableParagraph"/>
              <w:spacing w:line="240" w:lineRule="auto"/>
              <w:ind w:left="26" w:right="204"/>
              <w:jc w:val="left"/>
              <w:rPr>
                <w:rFonts w:ascii="宋体" w:hAnsi="宋体" w:cs="宋体" w:eastAsia="宋体" w:hint="default"/>
                <w:sz w:val="21"/>
                <w:szCs w:val="21"/>
              </w:rPr>
            </w:pPr>
            <w:r>
              <w:rPr>
                <w:rFonts w:ascii="宋体" w:hAnsi="宋体" w:cs="宋体" w:eastAsia="宋体" w:hint="default"/>
                <w:sz w:val="21"/>
                <w:szCs w:val="21"/>
              </w:rPr>
              <w:t>交易中心有限</w:t>
            </w:r>
            <w:r>
              <w:rPr>
                <w:rFonts w:ascii="宋体" w:hAnsi="宋体" w:cs="宋体" w:eastAsia="宋体" w:hint="default"/>
                <w:w w:val="100"/>
                <w:sz w:val="21"/>
                <w:szCs w:val="21"/>
              </w:rPr>
              <w:t> </w:t>
            </w:r>
            <w:r>
              <w:rPr>
                <w:rFonts w:ascii="宋体" w:hAnsi="宋体" w:cs="宋体" w:eastAsia="宋体" w:hint="default"/>
                <w:sz w:val="21"/>
                <w:szCs w:val="21"/>
              </w:rPr>
              <w:t>责任公司</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押金及保证</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199,900.00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6"/>
              <w:jc w:val="right"/>
              <w:rPr>
                <w:rFonts w:ascii="宋体" w:hAnsi="宋体" w:cs="宋体" w:eastAsia="宋体" w:hint="default"/>
                <w:sz w:val="21"/>
                <w:szCs w:val="21"/>
              </w:rPr>
            </w:pPr>
            <w:r>
              <w:rPr>
                <w:rFonts w:ascii="宋体"/>
                <w:sz w:val="21"/>
              </w:rPr>
              <w:t>12.20</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199,900.00</w:t>
            </w:r>
          </w:p>
        </w:tc>
      </w:tr>
      <w:tr>
        <w:trPr>
          <w:trHeight w:val="554"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福建省高速公</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路监控中心</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押金及保证</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196,056.00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49"/>
                <w:sz w:val="21"/>
                <w:szCs w:val="21"/>
              </w:rPr>
              <w:t> </w:t>
            </w:r>
            <w:r>
              <w:rPr>
                <w:rFonts w:ascii="宋体" w:hAnsi="宋体" w:cs="宋体" w:eastAsia="宋体" w:hint="default"/>
                <w:sz w:val="21"/>
                <w:szCs w:val="21"/>
              </w:rPr>
              <w:t>年</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11.96</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58,816.80</w:t>
            </w:r>
          </w:p>
        </w:tc>
      </w:tr>
      <w:tr>
        <w:trPr>
          <w:trHeight w:val="829"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深圳美百年大</w:t>
            </w:r>
          </w:p>
          <w:p>
            <w:pPr>
              <w:pStyle w:val="TableParagraph"/>
              <w:spacing w:line="272" w:lineRule="exact" w:before="27"/>
              <w:ind w:left="26" w:right="204"/>
              <w:jc w:val="left"/>
              <w:rPr>
                <w:rFonts w:ascii="宋体" w:hAnsi="宋体" w:cs="宋体" w:eastAsia="宋体" w:hint="default"/>
                <w:sz w:val="21"/>
                <w:szCs w:val="21"/>
              </w:rPr>
            </w:pPr>
            <w:r>
              <w:rPr>
                <w:rFonts w:ascii="宋体" w:hAnsi="宋体" w:cs="宋体" w:eastAsia="宋体" w:hint="default"/>
                <w:sz w:val="21"/>
                <w:szCs w:val="21"/>
              </w:rPr>
              <w:t>美商业管理有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押金及保证</w:t>
            </w:r>
          </w:p>
          <w:p>
            <w:pPr>
              <w:pStyle w:val="TableParagraph"/>
              <w:spacing w:line="275"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139,050.00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8.48</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6,952.50</w:t>
            </w:r>
          </w:p>
        </w:tc>
      </w:tr>
      <w:tr>
        <w:trPr>
          <w:trHeight w:val="554"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13"/>
              <w:jc w:val="right"/>
              <w:rPr>
                <w:rFonts w:ascii="宋体" w:hAnsi="宋体" w:cs="宋体" w:eastAsia="宋体" w:hint="default"/>
                <w:sz w:val="21"/>
                <w:szCs w:val="21"/>
              </w:rPr>
            </w:pPr>
            <w:r>
              <w:rPr>
                <w:rFonts w:ascii="宋体" w:hAnsi="宋体" w:cs="宋体" w:eastAsia="宋体" w:hint="default"/>
                <w:spacing w:val="-1"/>
                <w:sz w:val="21"/>
                <w:szCs w:val="21"/>
              </w:rPr>
              <w:t>天津农学院</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押金及保证</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96,000.00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5.86</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4,800.00</w:t>
            </w:r>
          </w:p>
        </w:tc>
      </w:tr>
      <w:tr>
        <w:trPr>
          <w:trHeight w:val="554"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九江职业技术</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学院</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押金及保证</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72,000.00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4.39</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3,600.00</w:t>
            </w:r>
          </w:p>
        </w:tc>
      </w:tr>
      <w:tr>
        <w:trPr>
          <w:trHeight w:val="283"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7" w:right="0"/>
              <w:jc w:val="center"/>
              <w:rPr>
                <w:rFonts w:ascii="宋体" w:hAnsi="宋体" w:cs="宋体" w:eastAsia="宋体" w:hint="default"/>
                <w:sz w:val="21"/>
                <w:szCs w:val="21"/>
              </w:rPr>
            </w:pPr>
            <w:r>
              <w:rPr>
                <w:rFonts w:ascii="宋体"/>
                <w:w w:val="100"/>
                <w:sz w:val="21"/>
              </w:rPr>
              <w:t>/</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703,006.00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9" w:right="0"/>
              <w:jc w:val="center"/>
              <w:rPr>
                <w:rFonts w:ascii="宋体" w:hAnsi="宋体" w:cs="宋体" w:eastAsia="宋体" w:hint="default"/>
                <w:sz w:val="21"/>
                <w:szCs w:val="21"/>
              </w:rPr>
            </w:pPr>
            <w:r>
              <w:rPr>
                <w:rFonts w:ascii="宋体"/>
                <w:w w:val="100"/>
                <w:sz w:val="21"/>
              </w:rPr>
              <w:t>/</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42.89</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274,069.30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Heading3"/>
        <w:spacing w:line="240" w:lineRule="auto" w:before="36"/>
        <w:ind w:right="2757"/>
        <w:jc w:val="left"/>
        <w:rPr>
          <w:b w:val="0"/>
          <w:bCs w:val="0"/>
        </w:rPr>
      </w:pPr>
      <w:r>
        <w:rPr>
          <w:rFonts w:ascii="宋体" w:hAnsi="宋体" w:cs="宋体" w:eastAsia="宋体" w:hint="default"/>
        </w:rPr>
        <w:t>(6).</w:t>
      </w:r>
      <w:r>
        <w:rPr>
          <w:rFonts w:ascii="宋体" w:hAnsi="宋体" w:cs="宋体" w:eastAsia="宋体" w:hint="default"/>
          <w:spacing w:val="-1"/>
        </w:rPr>
        <w:t> </w:t>
      </w:r>
      <w:r>
        <w:rPr/>
        <w:t>涉及政府补助的应收款项</w:t>
      </w:r>
      <w:r>
        <w:rPr>
          <w:b w:val="0"/>
          <w:bCs w:val="0"/>
        </w:rPr>
      </w:r>
    </w:p>
    <w:p>
      <w:pPr>
        <w:pStyle w:val="BodyText"/>
        <w:spacing w:line="240" w:lineRule="auto" w:before="59"/>
        <w:ind w:right="2757"/>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3"/>
        <w:spacing w:line="240" w:lineRule="auto"/>
        <w:ind w:right="2757"/>
        <w:jc w:val="left"/>
        <w:rPr>
          <w:b w:val="0"/>
          <w:bCs w:val="0"/>
        </w:rPr>
      </w:pPr>
      <w:r>
        <w:rPr>
          <w:rFonts w:ascii="宋体" w:hAnsi="宋体" w:cs="宋体" w:eastAsia="宋体" w:hint="default"/>
        </w:rPr>
        <w:t>(7).</w:t>
      </w:r>
      <w:r>
        <w:rPr>
          <w:rFonts w:ascii="宋体" w:hAnsi="宋体" w:cs="宋体" w:eastAsia="宋体" w:hint="default"/>
          <w:spacing w:val="-1"/>
        </w:rPr>
        <w:t> </w:t>
      </w:r>
      <w:r>
        <w:rPr/>
        <w:t>因金融资产转移而终止确认的其他应收款：</w:t>
      </w:r>
      <w:r>
        <w:rPr>
          <w:b w:val="0"/>
          <w:bCs w:val="0"/>
        </w:rPr>
      </w:r>
    </w:p>
    <w:p>
      <w:pPr>
        <w:pStyle w:val="BodyText"/>
        <w:tabs>
          <w:tab w:pos="1060" w:val="left" w:leader="none"/>
        </w:tabs>
        <w:spacing w:line="240" w:lineRule="auto" w:before="56"/>
        <w:ind w:right="2757"/>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3"/>
        <w:spacing w:line="240" w:lineRule="auto"/>
        <w:ind w:right="2757"/>
        <w:jc w:val="left"/>
        <w:rPr>
          <w:b w:val="0"/>
          <w:bCs w:val="0"/>
        </w:rPr>
      </w:pPr>
      <w:r>
        <w:rPr>
          <w:rFonts w:ascii="宋体" w:hAnsi="宋体" w:cs="宋体" w:eastAsia="宋体" w:hint="default"/>
        </w:rPr>
        <w:t>(8).</w:t>
      </w:r>
      <w:r>
        <w:rPr>
          <w:rFonts w:ascii="宋体" w:hAnsi="宋体" w:cs="宋体" w:eastAsia="宋体" w:hint="default"/>
          <w:spacing w:val="-6"/>
        </w:rPr>
        <w:t> </w:t>
      </w:r>
      <w:r>
        <w:rPr/>
        <w:t>转移其他应收款且继续涉入形成的资产、负债金额：</w:t>
      </w:r>
      <w:r>
        <w:rPr>
          <w:b w:val="0"/>
          <w:bCs w:val="0"/>
        </w:rPr>
      </w:r>
    </w:p>
    <w:p>
      <w:pPr>
        <w:pStyle w:val="BodyText"/>
        <w:tabs>
          <w:tab w:pos="1060" w:val="left" w:leader="none"/>
        </w:tabs>
        <w:spacing w:line="240" w:lineRule="auto" w:before="58"/>
        <w:ind w:right="2757"/>
        <w:jc w:val="left"/>
      </w:pPr>
      <w:r>
        <w:rPr>
          <w:spacing w:val="-1"/>
        </w:rPr>
        <w:t>□适用</w:t>
        <w:tab/>
      </w:r>
      <w:r>
        <w:rPr>
          <w:spacing w:val="-2"/>
        </w:rPr>
        <w:t>√不适用</w:t>
      </w:r>
    </w:p>
    <w:p>
      <w:pPr>
        <w:spacing w:line="240" w:lineRule="auto" w:before="8"/>
        <w:rPr>
          <w:rFonts w:ascii="宋体" w:hAnsi="宋体" w:cs="宋体" w:eastAsia="宋体" w:hint="default"/>
          <w:sz w:val="20"/>
          <w:szCs w:val="20"/>
        </w:rPr>
      </w:pPr>
    </w:p>
    <w:p>
      <w:pPr>
        <w:pStyle w:val="BodyText"/>
        <w:spacing w:line="273" w:lineRule="exact"/>
        <w:ind w:right="2757"/>
        <w:jc w:val="left"/>
      </w:pPr>
      <w:r>
        <w:rPr/>
        <w:t>其他说明：</w:t>
      </w:r>
    </w:p>
    <w:p>
      <w:pPr>
        <w:pStyle w:val="BodyText"/>
        <w:tabs>
          <w:tab w:pos="1060" w:val="left" w:leader="none"/>
        </w:tabs>
        <w:spacing w:line="273" w:lineRule="exact"/>
        <w:ind w:right="2757"/>
        <w:jc w:val="left"/>
      </w:pPr>
      <w:r>
        <w:rPr>
          <w:spacing w:val="-1"/>
        </w:rPr>
        <w:t>□适用</w:t>
        <w:tab/>
      </w:r>
      <w:r>
        <w:rPr>
          <w:spacing w:val="-2"/>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000" w:bottom="280" w:left="1580" w:right="1040"/>
        </w:sectPr>
      </w:pPr>
    </w:p>
    <w:p>
      <w:pPr>
        <w:pStyle w:val="Heading3"/>
        <w:spacing w:line="240" w:lineRule="auto" w:before="36"/>
        <w:ind w:right="-20"/>
        <w:jc w:val="left"/>
        <w:rPr>
          <w:b w:val="0"/>
          <w:bCs w:val="0"/>
        </w:rPr>
      </w:pPr>
      <w:r>
        <w:rPr>
          <w:rFonts w:ascii="宋体" w:hAnsi="宋体" w:cs="宋体" w:eastAsia="宋体" w:hint="default"/>
        </w:rPr>
        <w:t>3</w:t>
      </w:r>
      <w:r>
        <w:rPr/>
        <w:t>、</w:t>
      </w:r>
      <w:r>
        <w:rPr>
          <w:spacing w:val="4"/>
        </w:rPr>
        <w:t> </w:t>
      </w:r>
      <w:r>
        <w:rPr/>
        <w:t>长期股权投资</w:t>
      </w:r>
      <w:r>
        <w:rPr>
          <w:b w:val="0"/>
          <w:bCs w:val="0"/>
        </w:rPr>
      </w:r>
    </w:p>
    <w:p>
      <w:pPr>
        <w:pStyle w:val="BodyText"/>
        <w:spacing w:line="240" w:lineRule="auto" w:before="56"/>
        <w:ind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000" w:bottom="280" w:left="1580" w:right="1040"/>
          <w:cols w:num="2" w:equalWidth="0">
            <w:col w:w="1911" w:space="4611"/>
            <w:col w:w="2768"/>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776"/>
        <w:gridCol w:w="1532"/>
        <w:gridCol w:w="595"/>
        <w:gridCol w:w="1532"/>
        <w:gridCol w:w="1428"/>
        <w:gridCol w:w="608"/>
        <w:gridCol w:w="1426"/>
      </w:tblGrid>
      <w:tr>
        <w:trPr>
          <w:trHeight w:val="283" w:hRule="exact"/>
        </w:trPr>
        <w:tc>
          <w:tcPr>
            <w:tcW w:w="177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65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46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4" w:hRule="exact"/>
        </w:trPr>
        <w:tc>
          <w:tcPr>
            <w:tcW w:w="1776" w:type="dxa"/>
            <w:vMerge/>
            <w:tcBorders>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1"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4" w:lineRule="exact"/>
              <w:ind w:left="81"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8"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4" w:lineRule="exact"/>
              <w:ind w:left="88"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3"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对子公司投资</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101,802,800.00</w:t>
            </w:r>
          </w:p>
        </w:tc>
        <w:tc>
          <w:tcPr>
            <w:tcW w:w="595"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101,802,800.00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38,455,000.00</w:t>
            </w:r>
          </w:p>
        </w:tc>
        <w:tc>
          <w:tcPr>
            <w:tcW w:w="608"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38,455,000.00</w:t>
            </w:r>
          </w:p>
        </w:tc>
      </w:tr>
      <w:tr>
        <w:trPr>
          <w:trHeight w:val="283"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101,802,800.00</w:t>
            </w:r>
          </w:p>
        </w:tc>
        <w:tc>
          <w:tcPr>
            <w:tcW w:w="595"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101,802,800.00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38,455,000.00</w:t>
            </w:r>
          </w:p>
        </w:tc>
        <w:tc>
          <w:tcPr>
            <w:tcW w:w="608"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38,455,000.00</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000" w:bottom="280" w:left="1580" w:right="1040"/>
        </w:sectPr>
      </w:pPr>
    </w:p>
    <w:p>
      <w:pPr>
        <w:pStyle w:val="Heading3"/>
        <w:spacing w:line="240" w:lineRule="auto" w:before="36"/>
        <w:ind w:right="-20"/>
        <w:jc w:val="left"/>
        <w:rPr>
          <w:b w:val="0"/>
          <w:bCs w:val="0"/>
        </w:rPr>
      </w:pPr>
      <w:r>
        <w:rPr>
          <w:rFonts w:ascii="宋体" w:hAnsi="宋体" w:cs="宋体" w:eastAsia="宋体" w:hint="default"/>
        </w:rPr>
        <w:t>(1)</w:t>
      </w:r>
      <w:r>
        <w:rPr>
          <w:rFonts w:ascii="宋体" w:hAnsi="宋体" w:cs="宋体" w:eastAsia="宋体" w:hint="default"/>
          <w:spacing w:val="3"/>
        </w:rPr>
        <w:t> </w:t>
      </w:r>
      <w:r>
        <w:rPr/>
        <w:t>对子公司投资</w:t>
      </w:r>
      <w:r>
        <w:rPr>
          <w:b w:val="0"/>
          <w:bCs w:val="0"/>
        </w:rPr>
      </w:r>
    </w:p>
    <w:p>
      <w:pPr>
        <w:pStyle w:val="BodyText"/>
        <w:spacing w:line="240" w:lineRule="auto" w:before="58"/>
        <w:ind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000" w:bottom="280" w:left="1580" w:right="1040"/>
          <w:cols w:num="2" w:equalWidth="0">
            <w:col w:w="1911" w:space="4611"/>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505"/>
        <w:gridCol w:w="1580"/>
        <w:gridCol w:w="1582"/>
        <w:gridCol w:w="900"/>
        <w:gridCol w:w="1685"/>
        <w:gridCol w:w="900"/>
        <w:gridCol w:w="898"/>
      </w:tblGrid>
      <w:tr>
        <w:trPr>
          <w:trHeight w:val="281"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0"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9" w:right="0"/>
              <w:jc w:val="left"/>
              <w:rPr>
                <w:rFonts w:ascii="宋体" w:hAnsi="宋体" w:cs="宋体" w:eastAsia="宋体" w:hint="default"/>
                <w:sz w:val="21"/>
                <w:szCs w:val="21"/>
              </w:rPr>
            </w:pPr>
            <w:r>
              <w:rPr>
                <w:rFonts w:ascii="宋体" w:hAnsi="宋体" w:cs="宋体" w:eastAsia="宋体" w:hint="default"/>
                <w:sz w:val="21"/>
                <w:szCs w:val="21"/>
              </w:rPr>
              <w:t>本期减</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9" w:right="0"/>
              <w:jc w:val="left"/>
              <w:rPr>
                <w:rFonts w:ascii="宋体" w:hAnsi="宋体" w:cs="宋体" w:eastAsia="宋体" w:hint="default"/>
                <w:sz w:val="21"/>
                <w:szCs w:val="21"/>
              </w:rPr>
            </w:pPr>
            <w:r>
              <w:rPr>
                <w:rFonts w:ascii="宋体" w:hAnsi="宋体" w:cs="宋体" w:eastAsia="宋体" w:hint="default"/>
                <w:sz w:val="21"/>
                <w:szCs w:val="21"/>
              </w:rPr>
              <w:t>本期计</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9" w:right="0"/>
              <w:jc w:val="left"/>
              <w:rPr>
                <w:rFonts w:ascii="宋体" w:hAnsi="宋体" w:cs="宋体" w:eastAsia="宋体" w:hint="default"/>
                <w:sz w:val="21"/>
                <w:szCs w:val="21"/>
              </w:rPr>
            </w:pPr>
            <w:r>
              <w:rPr>
                <w:rFonts w:ascii="宋体" w:hAnsi="宋体" w:cs="宋体" w:eastAsia="宋体" w:hint="default"/>
                <w:sz w:val="21"/>
                <w:szCs w:val="21"/>
              </w:rPr>
              <w:t>减值准</w:t>
            </w:r>
          </w:p>
        </w:tc>
      </w:tr>
    </w:tbl>
    <w:p>
      <w:pPr>
        <w:spacing w:after="0" w:line="241" w:lineRule="exact"/>
        <w:jc w:val="left"/>
        <w:rPr>
          <w:rFonts w:ascii="宋体" w:hAnsi="宋体" w:cs="宋体" w:eastAsia="宋体" w:hint="default"/>
          <w:sz w:val="21"/>
          <w:szCs w:val="21"/>
        </w:rPr>
        <w:sectPr>
          <w:type w:val="continuous"/>
          <w:pgSz w:w="11910" w:h="16840"/>
          <w:pgMar w:top="1000" w:bottom="280" w:left="1580" w:right="1040"/>
        </w:sectPr>
      </w:pPr>
    </w:p>
    <w:p>
      <w:pPr>
        <w:spacing w:line="240" w:lineRule="auto" w:before="1"/>
        <w:rPr>
          <w:rFonts w:ascii="宋体" w:hAnsi="宋体" w:cs="宋体" w:eastAsia="宋体"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1505"/>
        <w:gridCol w:w="1580"/>
        <w:gridCol w:w="1582"/>
        <w:gridCol w:w="900"/>
        <w:gridCol w:w="1685"/>
        <w:gridCol w:w="900"/>
        <w:gridCol w:w="898"/>
      </w:tblGrid>
      <w:tr>
        <w:trPr>
          <w:trHeight w:val="557" w:hRule="exact"/>
        </w:trPr>
        <w:tc>
          <w:tcPr>
            <w:tcW w:w="1505"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少</w:t>
            </w:r>
          </w:p>
        </w:tc>
        <w:tc>
          <w:tcPr>
            <w:tcW w:w="1685"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sz w:val="21"/>
                <w:szCs w:val="21"/>
              </w:rPr>
              <w:t>提减值</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准备</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4" w:right="0"/>
              <w:jc w:val="center"/>
              <w:rPr>
                <w:rFonts w:ascii="宋体" w:hAnsi="宋体" w:cs="宋体" w:eastAsia="宋体" w:hint="default"/>
                <w:sz w:val="21"/>
                <w:szCs w:val="21"/>
              </w:rPr>
            </w:pPr>
            <w:r>
              <w:rPr>
                <w:rFonts w:ascii="宋体" w:hAnsi="宋体" w:cs="宋体" w:eastAsia="宋体" w:hint="default"/>
                <w:sz w:val="21"/>
                <w:szCs w:val="21"/>
              </w:rPr>
              <w:t>备期末</w:t>
            </w:r>
          </w:p>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sz w:val="21"/>
                <w:szCs w:val="21"/>
              </w:rPr>
              <w:t>余额</w:t>
            </w:r>
          </w:p>
        </w:tc>
      </w:tr>
      <w:tr>
        <w:trPr>
          <w:trHeight w:val="281"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顶点数码公司</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5,075,000.00</w:t>
            </w:r>
          </w:p>
        </w:tc>
        <w:tc>
          <w:tcPr>
            <w:tcW w:w="1582"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5,075,000.00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北京顶点公司</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1,900,000.00</w:t>
            </w:r>
          </w:p>
        </w:tc>
        <w:tc>
          <w:tcPr>
            <w:tcW w:w="1582"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1,900,000.00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上海顶点公司</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900,000.00</w:t>
            </w:r>
          </w:p>
        </w:tc>
        <w:tc>
          <w:tcPr>
            <w:tcW w:w="1582"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900,000.00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顶点信息公司</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1,500,000.00</w:t>
            </w:r>
          </w:p>
        </w:tc>
        <w:tc>
          <w:tcPr>
            <w:tcW w:w="1582"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1,500,000.00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武汉顶点公司</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25,000,000.00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63,347,800.00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88,347,800.00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亿维航公司</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4,080,000.00</w:t>
            </w:r>
          </w:p>
        </w:tc>
        <w:tc>
          <w:tcPr>
            <w:tcW w:w="1582"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4,080,000.00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38,455,000.00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63,347,800.00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101,802,800.00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3"/>
        <w:spacing w:line="240" w:lineRule="auto" w:before="36"/>
        <w:ind w:right="2757"/>
        <w:jc w:val="left"/>
        <w:rPr>
          <w:b w:val="0"/>
          <w:bCs w:val="0"/>
        </w:rPr>
      </w:pPr>
      <w:r>
        <w:rPr>
          <w:rFonts w:ascii="宋体" w:hAnsi="宋体" w:cs="宋体" w:eastAsia="宋体" w:hint="default"/>
        </w:rPr>
        <w:t>(2)</w:t>
      </w:r>
      <w:r>
        <w:rPr>
          <w:rFonts w:ascii="宋体" w:hAnsi="宋体" w:cs="宋体" w:eastAsia="宋体" w:hint="default"/>
          <w:spacing w:val="2"/>
        </w:rPr>
        <w:t> </w:t>
      </w:r>
      <w:r>
        <w:rPr/>
        <w:t>对联营、合营企业投资</w:t>
      </w:r>
      <w:r>
        <w:rPr>
          <w:b w:val="0"/>
          <w:bCs w:val="0"/>
        </w:rPr>
      </w:r>
    </w:p>
    <w:p>
      <w:pPr>
        <w:pStyle w:val="BodyText"/>
        <w:spacing w:line="272" w:lineRule="exact" w:before="87"/>
        <w:ind w:right="7474"/>
        <w:jc w:val="left"/>
      </w:pPr>
      <w:r>
        <w:rPr/>
        <w:t>□适用</w:t>
      </w:r>
      <w:r>
        <w:rPr>
          <w:spacing w:val="-1"/>
        </w:rPr>
        <w:t> </w:t>
      </w:r>
      <w:r>
        <w:rPr/>
        <w:t>√不适用</w:t>
      </w:r>
      <w:r>
        <w:rPr>
          <w:w w:val="100"/>
        </w:rPr>
        <w:t> </w:t>
      </w:r>
      <w:r>
        <w:rPr/>
        <w:t>其他说明：</w:t>
      </w:r>
    </w:p>
    <w:p>
      <w:pPr>
        <w:pStyle w:val="BodyText"/>
        <w:spacing w:line="249" w:lineRule="exact"/>
        <w:ind w:right="2757"/>
        <w:jc w:val="left"/>
      </w:pPr>
      <w:r>
        <w:rPr>
          <w:w w:val="100"/>
        </w:rPr>
        <w:t>无</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1195" w:top="1320" w:bottom="1380" w:left="1580" w:right="1040"/>
        </w:sectPr>
      </w:pPr>
    </w:p>
    <w:p>
      <w:pPr>
        <w:pStyle w:val="Heading3"/>
        <w:spacing w:line="240" w:lineRule="auto" w:before="36"/>
        <w:ind w:right="-20"/>
        <w:jc w:val="left"/>
        <w:rPr>
          <w:b w:val="0"/>
          <w:bCs w:val="0"/>
        </w:rPr>
      </w:pPr>
      <w:r>
        <w:rPr>
          <w:rFonts w:ascii="宋体" w:hAnsi="宋体" w:cs="宋体" w:eastAsia="宋体" w:hint="default"/>
        </w:rPr>
        <w:t>4</w:t>
      </w:r>
      <w:r>
        <w:rPr/>
        <w:t>、</w:t>
      </w:r>
      <w:r>
        <w:rPr>
          <w:spacing w:val="5"/>
        </w:rPr>
        <w:t> </w:t>
      </w:r>
      <w:r>
        <w:rPr/>
        <w:t>营业收入和营业成本</w:t>
      </w:r>
      <w:r>
        <w:rPr>
          <w:b w:val="0"/>
          <w:bCs w:val="0"/>
        </w:rPr>
      </w:r>
    </w:p>
    <w:p>
      <w:pPr>
        <w:pStyle w:val="BodyText"/>
        <w:tabs>
          <w:tab w:pos="1060" w:val="left" w:leader="none"/>
        </w:tabs>
        <w:spacing w:line="240" w:lineRule="auto" w:before="56"/>
        <w:ind w:right="-16"/>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000" w:bottom="280" w:left="1580" w:right="1040"/>
          <w:cols w:num="2" w:equalWidth="0">
            <w:col w:w="2544" w:space="3978"/>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516"/>
        <w:gridCol w:w="1685"/>
        <w:gridCol w:w="1582"/>
        <w:gridCol w:w="1688"/>
        <w:gridCol w:w="1579"/>
      </w:tblGrid>
      <w:tr>
        <w:trPr>
          <w:trHeight w:val="283" w:hRule="exact"/>
        </w:trPr>
        <w:tc>
          <w:tcPr>
            <w:tcW w:w="2516"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2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2516" w:type="dxa"/>
            <w:vMerge/>
            <w:tcBorders>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3"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176,062,724.27</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45,084,758.63</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155,103,579.47</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36,945,112.04</w:t>
            </w:r>
          </w:p>
        </w:tc>
      </w:tr>
      <w:tr>
        <w:trPr>
          <w:trHeight w:val="284"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176,062,724.27</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45,084,758.63</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155,103,579.47</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36,945,112.04</w:t>
            </w:r>
          </w:p>
        </w:tc>
      </w:tr>
    </w:tbl>
    <w:p>
      <w:pPr>
        <w:pStyle w:val="BodyText"/>
        <w:spacing w:line="290" w:lineRule="auto" w:before="26"/>
        <w:ind w:right="7998"/>
        <w:jc w:val="left"/>
      </w:pPr>
      <w:r>
        <w:rPr/>
        <w:t>其他说明：</w:t>
      </w:r>
      <w:r>
        <w:rPr>
          <w:spacing w:val="-102"/>
        </w:rPr>
        <w:t> </w:t>
      </w:r>
      <w:r>
        <w:rPr>
          <w:spacing w:val="-102"/>
        </w:rPr>
      </w:r>
      <w:r>
        <w:rPr/>
        <w:t>无</w:t>
      </w:r>
    </w:p>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000" w:bottom="280" w:left="1580" w:right="1040"/>
        </w:sectPr>
      </w:pPr>
    </w:p>
    <w:p>
      <w:pPr>
        <w:pStyle w:val="Heading3"/>
        <w:spacing w:line="240" w:lineRule="auto" w:before="36"/>
        <w:ind w:right="-18"/>
        <w:jc w:val="left"/>
        <w:rPr>
          <w:b w:val="0"/>
          <w:bCs w:val="0"/>
        </w:rPr>
      </w:pPr>
      <w:r>
        <w:rPr>
          <w:rFonts w:ascii="宋体" w:hAnsi="宋体" w:cs="宋体" w:eastAsia="宋体" w:hint="default"/>
        </w:rPr>
        <w:t>5</w:t>
      </w:r>
      <w:r>
        <w:rPr/>
        <w:t>、</w:t>
      </w:r>
      <w:r>
        <w:rPr>
          <w:spacing w:val="3"/>
        </w:rPr>
        <w:t> </w:t>
      </w:r>
      <w:r>
        <w:rPr/>
        <w:t>投资收益</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000" w:bottom="280" w:left="1580" w:right="1040"/>
          <w:cols w:num="2" w:equalWidth="0">
            <w:col w:w="1795" w:space="4726"/>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52"/>
        <w:gridCol w:w="2496"/>
        <w:gridCol w:w="2501"/>
      </w:tblGrid>
      <w:tr>
        <w:trPr>
          <w:trHeight w:val="281"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79,000,000.00</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金融资产在持有期间的投资收益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处置以公允价值计量且其变动计入当期损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益的金融资产取得的投资收益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丧失控制权后，剩余股权按公允价值重新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计量产生的利得</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保本型理财产品收益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12,499,137.22</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91,499,137.22</w:t>
            </w:r>
          </w:p>
        </w:tc>
        <w:tc>
          <w:tcPr>
            <w:tcW w:w="250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3"/>
        <w:rPr>
          <w:rFonts w:ascii="宋体" w:hAnsi="宋体" w:cs="宋体" w:eastAsia="宋体" w:hint="default"/>
          <w:sz w:val="19"/>
          <w:szCs w:val="19"/>
        </w:rPr>
      </w:pPr>
    </w:p>
    <w:p>
      <w:pPr>
        <w:pStyle w:val="Heading3"/>
        <w:spacing w:line="240" w:lineRule="auto" w:before="36"/>
        <w:ind w:right="2757"/>
        <w:jc w:val="left"/>
        <w:rPr>
          <w:b w:val="0"/>
          <w:bCs w:val="0"/>
        </w:rPr>
      </w:pPr>
      <w:r>
        <w:rPr>
          <w:rFonts w:ascii="宋体" w:hAnsi="宋体" w:cs="宋体" w:eastAsia="宋体" w:hint="default"/>
        </w:rPr>
        <w:t>6</w:t>
      </w:r>
      <w:r>
        <w:rPr/>
        <w:t>、</w:t>
      </w:r>
      <w:r>
        <w:rPr>
          <w:spacing w:val="2"/>
        </w:rPr>
        <w:t> </w:t>
      </w:r>
      <w:r>
        <w:rPr/>
        <w:t>其他</w:t>
      </w:r>
      <w:r>
        <w:rPr>
          <w:b w:val="0"/>
          <w:bCs w:val="0"/>
        </w:rPr>
      </w:r>
    </w:p>
    <w:p>
      <w:pPr>
        <w:pStyle w:val="BodyText"/>
        <w:tabs>
          <w:tab w:pos="1060" w:val="left" w:leader="none"/>
        </w:tabs>
        <w:spacing w:line="240" w:lineRule="auto" w:before="58"/>
        <w:ind w:right="2757"/>
        <w:jc w:val="left"/>
      </w:pPr>
      <w:r>
        <w:rPr>
          <w:spacing w:val="-1"/>
        </w:rPr>
        <w:t>□适用</w:t>
        <w:tab/>
      </w:r>
      <w:r>
        <w:rPr>
          <w:spacing w:val="-2"/>
        </w:rPr>
        <w:t>√不适用</w:t>
      </w:r>
    </w:p>
    <w:p>
      <w:pPr>
        <w:spacing w:after="0" w:line="240" w:lineRule="auto"/>
        <w:jc w:val="left"/>
        <w:sectPr>
          <w:type w:val="continuous"/>
          <w:pgSz w:w="11910" w:h="16840"/>
          <w:pgMar w:top="1000" w:bottom="280" w:left="1580" w:right="10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0" w:footer="1195" w:top="1320" w:bottom="1380" w:left="1580" w:right="1040"/>
        </w:sectPr>
      </w:pPr>
    </w:p>
    <w:p>
      <w:pPr>
        <w:pStyle w:val="Heading3"/>
        <w:tabs>
          <w:tab w:pos="1057" w:val="left" w:leader="none"/>
        </w:tabs>
        <w:spacing w:line="240" w:lineRule="auto" w:before="36"/>
        <w:ind w:right="-19"/>
        <w:jc w:val="left"/>
        <w:rPr>
          <w:b w:val="0"/>
          <w:bCs w:val="0"/>
        </w:rPr>
      </w:pPr>
      <w:r>
        <w:rPr/>
        <w:t>十八、</w:t>
        <w:tab/>
        <w:t>补充资料</w:t>
      </w:r>
      <w:r>
        <w:rPr>
          <w:b w:val="0"/>
          <w:bCs w:val="0"/>
        </w:rPr>
      </w:r>
    </w:p>
    <w:p>
      <w:pPr>
        <w:pStyle w:val="Heading3"/>
        <w:spacing w:line="240" w:lineRule="auto" w:before="56"/>
        <w:ind w:right="-19"/>
        <w:jc w:val="left"/>
        <w:rPr>
          <w:b w:val="0"/>
          <w:bCs w:val="0"/>
        </w:rPr>
      </w:pPr>
      <w:r>
        <w:rPr>
          <w:rFonts w:ascii="宋体" w:hAnsi="宋体" w:cs="宋体" w:eastAsia="宋体" w:hint="default"/>
        </w:rPr>
        <w:t>1</w:t>
      </w:r>
      <w:r>
        <w:rPr/>
        <w:t>、 当期非经常性损益明细表</w:t>
      </w:r>
      <w:r>
        <w:rPr>
          <w:b w:val="0"/>
          <w:bCs w:val="0"/>
        </w:rPr>
      </w:r>
    </w:p>
    <w:p>
      <w:pPr>
        <w:pStyle w:val="BodyText"/>
        <w:tabs>
          <w:tab w:pos="1060" w:val="left" w:leader="none"/>
        </w:tabs>
        <w:spacing w:line="240" w:lineRule="auto" w:before="58"/>
        <w:ind w:right="-19"/>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000" w:bottom="280" w:left="1580" w:right="1040"/>
          <w:cols w:num="2" w:equalWidth="0">
            <w:col w:w="2962" w:space="3560"/>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59"/>
        <w:gridCol w:w="2489"/>
        <w:gridCol w:w="2501"/>
      </w:tblGrid>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越权审批或无正式批准文件的税收返还、</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减免</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829"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计入当期损益的政府补助（与企业业务密</w:t>
            </w:r>
          </w:p>
          <w:p>
            <w:pPr>
              <w:pStyle w:val="TableParagraph"/>
              <w:spacing w:line="272" w:lineRule="exact" w:before="27"/>
              <w:ind w:left="103" w:right="158"/>
              <w:jc w:val="left"/>
              <w:rPr>
                <w:rFonts w:ascii="宋体" w:hAnsi="宋体" w:cs="宋体" w:eastAsia="宋体" w:hint="default"/>
                <w:sz w:val="21"/>
                <w:szCs w:val="21"/>
              </w:rPr>
            </w:pPr>
            <w:r>
              <w:rPr>
                <w:rFonts w:ascii="宋体" w:hAnsi="宋体" w:cs="宋体" w:eastAsia="宋体" w:hint="default"/>
                <w:spacing w:val="-2"/>
                <w:sz w:val="21"/>
                <w:szCs w:val="21"/>
              </w:rPr>
              <w:t>切相关，按照国家统一标准定额或定量享</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受的政府补助除外）</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3,418,575.00</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主要是研发费用奖励资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金</w:t>
            </w: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占用费</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企业取得子公司、联营企业及合营企业的</w:t>
            </w:r>
          </w:p>
          <w:p>
            <w:pPr>
              <w:pStyle w:val="TableParagraph"/>
              <w:spacing w:line="272" w:lineRule="exact" w:before="27"/>
              <w:ind w:left="103" w:right="158"/>
              <w:jc w:val="left"/>
              <w:rPr>
                <w:rFonts w:ascii="宋体" w:hAnsi="宋体" w:cs="宋体" w:eastAsia="宋体" w:hint="default"/>
                <w:sz w:val="21"/>
                <w:szCs w:val="21"/>
              </w:rPr>
            </w:pPr>
            <w:r>
              <w:rPr>
                <w:rFonts w:ascii="宋体" w:hAnsi="宋体" w:cs="宋体" w:eastAsia="宋体" w:hint="default"/>
                <w:spacing w:val="-2"/>
                <w:sz w:val="21"/>
                <w:szCs w:val="21"/>
              </w:rPr>
              <w:t>投资成本小于取得投资时应享有被投资单</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位可辨认净资产公允价值产生的收益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因不可抗力因素，如遭受自然灾害而计提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的各项资产减值准备</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企业重组费用，如安置职工的支出、整合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费用等</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交易价格显失公允的交易产生的超过公允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价值部分的损益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同一控制下企业合并产生的子公司期初至</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合并日的当期净损益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与公司正常经营业务无关的或有事项产生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137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除同公司正常经营业务相关的有效套期保</w:t>
            </w:r>
          </w:p>
          <w:p>
            <w:pPr>
              <w:pStyle w:val="TableParagraph"/>
              <w:spacing w:line="237" w:lineRule="auto" w:before="2"/>
              <w:ind w:left="103" w:right="158"/>
              <w:jc w:val="both"/>
              <w:rPr>
                <w:rFonts w:ascii="宋体" w:hAnsi="宋体" w:cs="宋体" w:eastAsia="宋体" w:hint="default"/>
                <w:sz w:val="21"/>
                <w:szCs w:val="21"/>
              </w:rPr>
            </w:pPr>
            <w:r>
              <w:rPr>
                <w:rFonts w:ascii="宋体" w:hAnsi="宋体" w:cs="宋体" w:eastAsia="宋体" w:hint="default"/>
                <w:spacing w:val="-2"/>
                <w:sz w:val="21"/>
                <w:szCs w:val="21"/>
              </w:rPr>
              <w:t>值业务外，持有交易性金融资产、交易性</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金融负债产生的公允价值变动损益，以及</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处置交易性金融资产、交易性金融负债和</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可供出售金融资产取得的投资收益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回</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采用公允价值模式进行后续计量的投资性</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房地产公允价值变动产生的损益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根据税收、会计等法律、法规的要求对当</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期损益进行一次性调整对当期损益的影响</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-539,679.41</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13,066,725.74</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主要是保本型理财收益</w:t>
            </w: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059" w:type="dxa"/>
            <w:tcBorders>
              <w:top w:val="single" w:sz="4" w:space="0" w:color="000000"/>
              <w:left w:val="single" w:sz="4" w:space="0" w:color="000000"/>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-1,663,652.55</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-20,499.91</w:t>
            </w:r>
          </w:p>
        </w:tc>
        <w:tc>
          <w:tcPr>
            <w:tcW w:w="250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00" w:bottom="280" w:left="1580" w:right="1040"/>
        </w:sectPr>
      </w:pPr>
    </w:p>
    <w:p>
      <w:pPr>
        <w:spacing w:line="240" w:lineRule="auto" w:before="1"/>
        <w:rPr>
          <w:rFonts w:ascii="宋体" w:hAnsi="宋体" w:cs="宋体" w:eastAsia="宋体"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4059"/>
        <w:gridCol w:w="2489"/>
        <w:gridCol w:w="2501"/>
      </w:tblGrid>
      <w:tr>
        <w:trPr>
          <w:trHeight w:val="28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10" w:right="0"/>
              <w:jc w:val="left"/>
              <w:rPr>
                <w:rFonts w:ascii="宋体" w:hAnsi="宋体" w:cs="宋体" w:eastAsia="宋体" w:hint="default"/>
                <w:sz w:val="21"/>
                <w:szCs w:val="21"/>
              </w:rPr>
            </w:pPr>
            <w:r>
              <w:rPr>
                <w:rFonts w:ascii="宋体"/>
                <w:sz w:val="21"/>
              </w:rPr>
              <w:t>14,261,468.87</w:t>
            </w:r>
          </w:p>
        </w:tc>
        <w:tc>
          <w:tcPr>
            <w:tcW w:w="250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5"/>
          <w:szCs w:val="15"/>
        </w:rPr>
      </w:pPr>
    </w:p>
    <w:p>
      <w:pPr>
        <w:pStyle w:val="BodyText"/>
        <w:spacing w:line="273" w:lineRule="exact" w:before="36"/>
        <w:ind w:right="0"/>
        <w:jc w:val="left"/>
      </w:pPr>
      <w:r>
        <w:rPr/>
        <w:t>对公司根据《公开发行证券的公司信息披露解释性公告第</w:t>
      </w:r>
      <w:r>
        <w:rPr>
          <w:spacing w:val="-55"/>
        </w:rPr>
        <w:t> </w:t>
      </w:r>
      <w:r>
        <w:rPr>
          <w:rFonts w:ascii="宋体" w:hAnsi="宋体" w:cs="宋体" w:eastAsia="宋体" w:hint="default"/>
        </w:rPr>
        <w:t>1</w:t>
      </w:r>
      <w:r>
        <w:rPr>
          <w:rFonts w:ascii="宋体" w:hAnsi="宋体" w:cs="宋体" w:eastAsia="宋体" w:hint="default"/>
          <w:spacing w:val="-55"/>
        </w:rPr>
        <w:t> </w:t>
      </w:r>
      <w:r>
        <w:rPr/>
        <w:t>号——非经常性损益》定义界定的非</w:t>
      </w:r>
    </w:p>
    <w:p>
      <w:pPr>
        <w:pStyle w:val="BodyText"/>
        <w:spacing w:line="240" w:lineRule="auto"/>
        <w:ind w:right="233"/>
        <w:jc w:val="left"/>
      </w:pPr>
      <w:r>
        <w:rPr/>
        <w:t>经常性损益项目，以及把《公开发行证券的公司信息披露解释性公告第</w:t>
      </w:r>
      <w:r>
        <w:rPr>
          <w:spacing w:val="-55"/>
        </w:rPr>
        <w:t> </w:t>
      </w:r>
      <w:r>
        <w:rPr>
          <w:rFonts w:ascii="宋体" w:hAnsi="宋体" w:cs="宋体" w:eastAsia="宋体" w:hint="default"/>
        </w:rPr>
        <w:t>1</w:t>
      </w:r>
      <w:r>
        <w:rPr>
          <w:rFonts w:ascii="宋体" w:hAnsi="宋体" w:cs="宋体" w:eastAsia="宋体" w:hint="default"/>
          <w:spacing w:val="-55"/>
        </w:rPr>
        <w:t> </w:t>
      </w:r>
      <w:r>
        <w:rPr/>
        <w:t>号——非经常性损益》</w:t>
      </w:r>
      <w:r>
        <w:rPr>
          <w:w w:val="100"/>
        </w:rPr>
        <w:t> </w:t>
      </w:r>
      <w:r>
        <w:rPr/>
        <w:t>中列举的非经常性损益项目界定为经常性损益的项目，应说明原因。</w:t>
      </w:r>
    </w:p>
    <w:p>
      <w:pPr>
        <w:pStyle w:val="BodyText"/>
        <w:spacing w:line="271" w:lineRule="exact"/>
        <w:ind w:right="2757"/>
        <w:jc w:val="left"/>
      </w:pPr>
      <w:r>
        <w:rPr/>
        <w:t>□适用</w:t>
      </w:r>
      <w:r>
        <w:rPr>
          <w:spacing w:val="-1"/>
        </w:rPr>
        <w:t> </w:t>
      </w:r>
      <w:r>
        <w:rPr/>
        <w:t>√不适用</w:t>
      </w:r>
    </w:p>
    <w:p>
      <w:pPr>
        <w:pStyle w:val="Heading3"/>
        <w:spacing w:line="240" w:lineRule="auto" w:before="58"/>
        <w:ind w:right="2757"/>
        <w:jc w:val="left"/>
        <w:rPr>
          <w:b w:val="0"/>
          <w:bCs w:val="0"/>
        </w:rPr>
      </w:pPr>
      <w:r>
        <w:rPr>
          <w:rFonts w:ascii="宋体" w:hAnsi="宋体" w:cs="宋体" w:eastAsia="宋体" w:hint="default"/>
        </w:rPr>
        <w:t>2</w:t>
      </w:r>
      <w:r>
        <w:rPr/>
        <w:t>、 净资产收益率及每股收益</w:t>
      </w:r>
      <w:r>
        <w:rPr>
          <w:b w:val="0"/>
          <w:bCs w:val="0"/>
        </w:rPr>
      </w:r>
    </w:p>
    <w:p>
      <w:pPr>
        <w:pStyle w:val="BodyText"/>
        <w:spacing w:line="240" w:lineRule="auto" w:before="56"/>
        <w:ind w:right="2757"/>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14"/>
        <w:gridCol w:w="1841"/>
        <w:gridCol w:w="2146"/>
        <w:gridCol w:w="2149"/>
      </w:tblGrid>
      <w:tr>
        <w:trPr>
          <w:trHeight w:val="281" w:hRule="exact"/>
        </w:trPr>
        <w:tc>
          <w:tcPr>
            <w:tcW w:w="2914" w:type="dxa"/>
            <w:vMerge w:val="restart"/>
            <w:tcBorders>
              <w:top w:val="single" w:sz="4" w:space="0" w:color="000000"/>
              <w:left w:val="single" w:sz="4" w:space="0" w:color="000000"/>
              <w:right w:val="single" w:sz="4" w:space="0" w:color="000000"/>
            </w:tcBorders>
          </w:tcPr>
          <w:p>
            <w:pPr>
              <w:pStyle w:val="TableParagraph"/>
              <w:spacing w:line="240" w:lineRule="auto" w:before="150"/>
              <w:ind w:left="926" w:right="0"/>
              <w:jc w:val="left"/>
              <w:rPr>
                <w:rFonts w:ascii="宋体" w:hAnsi="宋体" w:cs="宋体" w:eastAsia="宋体" w:hint="default"/>
                <w:sz w:val="21"/>
                <w:szCs w:val="21"/>
              </w:rPr>
            </w:pPr>
            <w:r>
              <w:rPr>
                <w:rFonts w:ascii="宋体" w:hAnsi="宋体" w:cs="宋体" w:eastAsia="宋体" w:hint="default"/>
                <w:sz w:val="21"/>
                <w:szCs w:val="21"/>
              </w:rPr>
              <w:t>报告期利润</w:t>
            </w:r>
          </w:p>
        </w:tc>
        <w:tc>
          <w:tcPr>
            <w:tcW w:w="1841" w:type="dxa"/>
            <w:vMerge w:val="restart"/>
            <w:tcBorders>
              <w:top w:val="single" w:sz="4" w:space="0" w:color="000000"/>
              <w:left w:val="single" w:sz="4" w:space="0" w:color="000000"/>
              <w:right w:val="single" w:sz="4" w:space="0" w:color="000000"/>
            </w:tcBorders>
          </w:tcPr>
          <w:p>
            <w:pPr>
              <w:pStyle w:val="TableParagraph"/>
              <w:spacing w:line="240" w:lineRule="auto" w:before="14"/>
              <w:ind w:left="338" w:right="175" w:hanging="159"/>
              <w:jc w:val="left"/>
              <w:rPr>
                <w:rFonts w:ascii="宋体" w:hAnsi="宋体" w:cs="宋体" w:eastAsia="宋体" w:hint="default"/>
                <w:sz w:val="21"/>
                <w:szCs w:val="21"/>
              </w:rPr>
            </w:pPr>
            <w:r>
              <w:rPr>
                <w:rFonts w:ascii="宋体" w:hAnsi="宋体" w:cs="宋体" w:eastAsia="宋体" w:hint="default"/>
                <w:sz w:val="21"/>
                <w:szCs w:val="21"/>
              </w:rPr>
              <w:t>加权平均净资产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收益率（</w:t>
            </w:r>
            <w:r>
              <w:rPr>
                <w:rFonts w:ascii="宋体" w:hAnsi="宋体" w:cs="宋体" w:eastAsia="宋体" w:hint="default"/>
                <w:sz w:val="21"/>
                <w:szCs w:val="21"/>
              </w:rPr>
              <w:t>%</w:t>
            </w:r>
            <w:r>
              <w:rPr>
                <w:rFonts w:ascii="宋体" w:hAnsi="宋体" w:cs="宋体" w:eastAsia="宋体" w:hint="default"/>
                <w:sz w:val="21"/>
                <w:szCs w:val="21"/>
              </w:rPr>
              <w:t>）</w:t>
            </w:r>
          </w:p>
        </w:tc>
        <w:tc>
          <w:tcPr>
            <w:tcW w:w="42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370" w:hRule="exact"/>
        </w:trPr>
        <w:tc>
          <w:tcPr>
            <w:tcW w:w="2914" w:type="dxa"/>
            <w:vMerge/>
            <w:tcBorders>
              <w:left w:val="single" w:sz="4" w:space="0" w:color="000000"/>
              <w:bottom w:val="single" w:sz="4" w:space="0" w:color="000000"/>
              <w:right w:val="single" w:sz="4" w:space="0" w:color="000000"/>
            </w:tcBorders>
          </w:tcPr>
          <w:p>
            <w:pPr/>
          </w:p>
        </w:tc>
        <w:tc>
          <w:tcPr>
            <w:tcW w:w="1841" w:type="dxa"/>
            <w:vMerge/>
            <w:tcBorders>
              <w:left w:val="single" w:sz="4" w:space="0" w:color="000000"/>
              <w:bottom w:val="single" w:sz="4" w:space="0" w:color="000000"/>
              <w:right w:val="single" w:sz="4" w:space="0" w:color="000000"/>
            </w:tcBorders>
          </w:tcPr>
          <w:p>
            <w:pP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36"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39" w:right="0"/>
              <w:jc w:val="left"/>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555"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13.86</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1.35</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1.34</w:t>
            </w:r>
          </w:p>
        </w:tc>
      </w:tr>
      <w:tr>
        <w:trPr>
          <w:trHeight w:val="557"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公司普通股股东的净利润</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11.92</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1.16</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1.15</w:t>
            </w:r>
          </w:p>
        </w:tc>
      </w:tr>
    </w:tbl>
    <w:p>
      <w:pPr>
        <w:spacing w:line="240" w:lineRule="auto" w:before="12"/>
        <w:rPr>
          <w:rFonts w:ascii="宋体" w:hAnsi="宋体" w:cs="宋体" w:eastAsia="宋体" w:hint="default"/>
          <w:sz w:val="19"/>
          <w:szCs w:val="19"/>
        </w:rPr>
      </w:pPr>
    </w:p>
    <w:p>
      <w:pPr>
        <w:pStyle w:val="Heading3"/>
        <w:spacing w:line="240" w:lineRule="auto" w:before="36"/>
        <w:ind w:right="2757"/>
        <w:jc w:val="left"/>
        <w:rPr>
          <w:b w:val="0"/>
          <w:bCs w:val="0"/>
        </w:rPr>
      </w:pPr>
      <w:r>
        <w:rPr>
          <w:rFonts w:ascii="宋体" w:hAnsi="宋体" w:cs="宋体" w:eastAsia="宋体" w:hint="default"/>
        </w:rPr>
        <w:t>3</w:t>
      </w:r>
      <w:r>
        <w:rPr/>
        <w:t>、</w:t>
      </w:r>
      <w:r>
        <w:rPr>
          <w:spacing w:val="-2"/>
        </w:rPr>
        <w:t> </w:t>
      </w:r>
      <w:r>
        <w:rPr/>
        <w:t>境内外会计准则下会计数据差异</w:t>
      </w:r>
      <w:r>
        <w:rPr>
          <w:b w:val="0"/>
          <w:bCs w:val="0"/>
        </w:rPr>
      </w:r>
    </w:p>
    <w:p>
      <w:pPr>
        <w:pStyle w:val="BodyText"/>
        <w:spacing w:line="240" w:lineRule="auto" w:before="58"/>
        <w:ind w:right="2757"/>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3"/>
        <w:spacing w:line="240" w:lineRule="auto"/>
        <w:ind w:right="2757"/>
        <w:jc w:val="left"/>
        <w:rPr>
          <w:b w:val="0"/>
          <w:bCs w:val="0"/>
        </w:rPr>
      </w:pPr>
      <w:r>
        <w:rPr>
          <w:rFonts w:ascii="宋体" w:hAnsi="宋体" w:cs="宋体" w:eastAsia="宋体" w:hint="default"/>
        </w:rPr>
        <w:t>4</w:t>
      </w:r>
      <w:r>
        <w:rPr/>
        <w:t>、</w:t>
      </w:r>
      <w:r>
        <w:rPr>
          <w:spacing w:val="-1"/>
        </w:rPr>
        <w:t> </w:t>
      </w:r>
      <w:r>
        <w:rPr/>
        <w:t>其他</w:t>
      </w:r>
      <w:r>
        <w:rPr>
          <w:b w:val="0"/>
          <w:bCs w:val="0"/>
        </w:rPr>
      </w:r>
    </w:p>
    <w:p>
      <w:pPr>
        <w:pStyle w:val="BodyText"/>
        <w:tabs>
          <w:tab w:pos="1060" w:val="left" w:leader="none"/>
        </w:tabs>
        <w:spacing w:line="240" w:lineRule="auto" w:before="58"/>
        <w:ind w:right="2757"/>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pStyle w:val="Heading1"/>
        <w:spacing w:line="240" w:lineRule="auto"/>
        <w:ind w:left="2880" w:right="2757"/>
        <w:jc w:val="left"/>
        <w:rPr>
          <w:b w:val="0"/>
          <w:bCs w:val="0"/>
        </w:rPr>
      </w:pPr>
      <w:bookmarkStart w:name="_TOC_250001" w:id="11"/>
      <w:r>
        <w:rPr/>
        <w:t>第十一节</w:t>
      </w:r>
      <w:r>
        <w:rPr>
          <w:spacing w:val="-7"/>
        </w:rPr>
        <w:t> </w:t>
      </w:r>
      <w:r>
        <w:rPr/>
        <w:t>公司债券相关情况</w:t>
      </w:r>
      <w:bookmarkEnd w:id="11"/>
      <w:r>
        <w:rPr>
          <w:b w:val="0"/>
          <w:bCs w:val="0"/>
        </w:rPr>
      </w:r>
    </w:p>
    <w:p>
      <w:pPr>
        <w:spacing w:line="240" w:lineRule="auto" w:before="4"/>
        <w:rPr>
          <w:rFonts w:ascii="黑体" w:hAnsi="黑体" w:cs="黑体" w:eastAsia="黑体" w:hint="default"/>
          <w:b/>
          <w:bCs/>
          <w:sz w:val="19"/>
          <w:szCs w:val="19"/>
        </w:rPr>
      </w:pPr>
    </w:p>
    <w:p>
      <w:pPr>
        <w:pStyle w:val="BodyText"/>
        <w:spacing w:line="240" w:lineRule="auto"/>
        <w:ind w:right="2757"/>
        <w:jc w:val="left"/>
      </w:pPr>
      <w:r>
        <w:rPr/>
        <w:t>□适用</w:t>
      </w:r>
      <w:r>
        <w:rPr>
          <w:spacing w:val="-1"/>
        </w:rPr>
        <w:t> </w:t>
      </w:r>
      <w:r>
        <w:rPr/>
        <w:t>√不适用</w:t>
      </w:r>
    </w:p>
    <w:p>
      <w:pPr>
        <w:spacing w:after="0" w:line="240" w:lineRule="auto"/>
        <w:jc w:val="left"/>
        <w:sectPr>
          <w:pgSz w:w="11910" w:h="16840"/>
          <w:pgMar w:header="0" w:footer="1195" w:top="13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Heading1"/>
        <w:spacing w:line="240" w:lineRule="auto" w:before="14"/>
        <w:ind w:left="1640" w:right="1654"/>
        <w:jc w:val="center"/>
        <w:rPr>
          <w:rFonts w:ascii="宋体" w:hAnsi="宋体" w:cs="宋体" w:eastAsia="宋体" w:hint="default"/>
          <w:b w:val="0"/>
          <w:bCs w:val="0"/>
        </w:rPr>
      </w:pPr>
      <w:bookmarkStart w:name="_TOC_250000" w:id="12"/>
      <w:r>
        <w:rPr>
          <w:rFonts w:ascii="宋体" w:hAnsi="宋体" w:cs="宋体" w:eastAsia="宋体" w:hint="default"/>
        </w:rPr>
        <w:t>第十二节</w:t>
      </w:r>
      <w:r>
        <w:rPr>
          <w:rFonts w:ascii="宋体" w:hAnsi="宋体" w:cs="宋体" w:eastAsia="宋体" w:hint="default"/>
          <w:spacing w:val="-6"/>
        </w:rPr>
        <w:t> </w:t>
      </w:r>
      <w:r>
        <w:rPr>
          <w:rFonts w:ascii="宋体" w:hAnsi="宋体" w:cs="宋体" w:eastAsia="宋体" w:hint="default"/>
        </w:rPr>
        <w:t>备查文件目录</w:t>
      </w:r>
      <w:bookmarkEnd w:id="12"/>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9"/>
          <w:szCs w:val="29"/>
        </w:rPr>
      </w:pPr>
    </w:p>
    <w:tbl>
      <w:tblPr>
        <w:tblW w:w="0" w:type="auto"/>
        <w:jc w:val="left"/>
        <w:tblInd w:w="102" w:type="dxa"/>
        <w:tblLayout w:type="fixed"/>
        <w:tblCellMar>
          <w:top w:w="0" w:type="dxa"/>
          <w:left w:w="0" w:type="dxa"/>
          <w:bottom w:w="0" w:type="dxa"/>
          <w:right w:w="0" w:type="dxa"/>
        </w:tblCellMar>
        <w:tblLook w:val="01E0"/>
      </w:tblPr>
      <w:tblGrid>
        <w:gridCol w:w="2295"/>
        <w:gridCol w:w="6601"/>
      </w:tblGrid>
      <w:tr>
        <w:trPr>
          <w:trHeight w:val="283"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载有公司负责人亲笔签署的年度报告正本。</w:t>
            </w:r>
          </w:p>
        </w:tc>
      </w:tr>
      <w:tr>
        <w:trPr>
          <w:trHeight w:val="554"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载有公司负责人、主管会计工作负责人、会计机构负责人签名并盖章的</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会计报表。</w:t>
            </w:r>
          </w:p>
        </w:tc>
      </w:tr>
      <w:tr>
        <w:trPr>
          <w:trHeight w:val="283"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载有会计师事务所盖章、注册会计师签名并盖章的审计报告。</w:t>
            </w:r>
          </w:p>
        </w:tc>
      </w:tr>
      <w:tr>
        <w:trPr>
          <w:trHeight w:val="555"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报告期内在中国证监会指定报纸上公开披露过的所有公司文件的正本及</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公告的原稿</w:t>
            </w:r>
          </w:p>
        </w:tc>
      </w:tr>
    </w:tbl>
    <w:p>
      <w:pPr>
        <w:spacing w:line="240" w:lineRule="auto" w:before="5"/>
        <w:rPr>
          <w:rFonts w:ascii="宋体" w:hAnsi="宋体" w:cs="宋体" w:eastAsia="宋体" w:hint="default"/>
          <w:b/>
          <w:bCs/>
          <w:sz w:val="21"/>
          <w:szCs w:val="21"/>
        </w:rPr>
      </w:pPr>
    </w:p>
    <w:p>
      <w:pPr>
        <w:pStyle w:val="BodyText"/>
        <w:spacing w:line="314" w:lineRule="auto" w:before="36"/>
        <w:ind w:left="5344" w:right="146" w:firstLine="2151"/>
        <w:jc w:val="left"/>
      </w:pPr>
      <w:r>
        <w:rPr>
          <w:spacing w:val="-1"/>
        </w:rPr>
        <w:t>董事长：严孟宇</w:t>
      </w:r>
      <w:r>
        <w:rPr>
          <w:w w:val="100"/>
        </w:rPr>
        <w:t> </w:t>
      </w:r>
      <w:r>
        <w:rPr/>
        <w:t>董事会批准报送日期：</w:t>
      </w:r>
      <w:r>
        <w:rPr>
          <w:rFonts w:ascii="宋体" w:hAnsi="宋体" w:cs="宋体" w:eastAsia="宋体" w:hint="default"/>
        </w:rPr>
        <w:t>2018</w:t>
      </w:r>
      <w:r>
        <w:rPr>
          <w:rFonts w:ascii="宋体" w:hAnsi="宋体" w:cs="宋体" w:eastAsia="宋体" w:hint="default"/>
          <w:spacing w:val="-53"/>
        </w:rPr>
        <w:t> </w:t>
      </w:r>
      <w:r>
        <w:rPr/>
        <w:t>年</w:t>
      </w:r>
      <w:r>
        <w:rPr>
          <w:spacing w:val="-53"/>
        </w:rPr>
        <w:t> </w:t>
      </w:r>
      <w:r>
        <w:rPr>
          <w:rFonts w:ascii="宋体" w:hAnsi="宋体" w:cs="宋体" w:eastAsia="宋体" w:hint="default"/>
        </w:rPr>
        <w:t>4</w:t>
      </w:r>
      <w:r>
        <w:rPr>
          <w:rFonts w:ascii="宋体" w:hAnsi="宋体" w:cs="宋体" w:eastAsia="宋体" w:hint="default"/>
          <w:spacing w:val="-55"/>
        </w:rPr>
        <w:t> </w:t>
      </w:r>
      <w:r>
        <w:rPr/>
        <w:t>月</w:t>
      </w:r>
      <w:r>
        <w:rPr>
          <w:spacing w:val="-53"/>
        </w:rPr>
        <w:t> </w:t>
      </w:r>
      <w:r>
        <w:rPr>
          <w:rFonts w:ascii="宋体" w:hAnsi="宋体" w:cs="宋体" w:eastAsia="宋体" w:hint="default"/>
        </w:rPr>
        <w:t>2</w:t>
      </w:r>
      <w:r>
        <w:rPr>
          <w:rFonts w:ascii="宋体" w:hAnsi="宋体" w:cs="宋体" w:eastAsia="宋体" w:hint="default"/>
          <w:spacing w:val="-55"/>
        </w:rPr>
        <w:t> </w:t>
      </w:r>
      <w:r>
        <w:rPr/>
        <w:t>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81"/>
        <w:ind w:left="138" w:right="146" w:firstLine="0"/>
        <w:jc w:val="left"/>
        <w:rPr>
          <w:rFonts w:ascii="宋体" w:hAnsi="宋体" w:cs="宋体" w:eastAsia="宋体" w:hint="default"/>
          <w:sz w:val="24"/>
          <w:szCs w:val="24"/>
        </w:rPr>
      </w:pPr>
      <w:r>
        <w:rPr>
          <w:rFonts w:ascii="宋体" w:hAnsi="宋体" w:cs="宋体" w:eastAsia="宋体" w:hint="default"/>
          <w:b/>
          <w:bCs/>
          <w:sz w:val="24"/>
          <w:szCs w:val="24"/>
        </w:rPr>
        <w:t>修订信息</w:t>
      </w:r>
      <w:r>
        <w:rPr>
          <w:rFonts w:ascii="宋体" w:hAnsi="宋体" w:cs="宋体" w:eastAsia="宋体" w:hint="default"/>
          <w:sz w:val="24"/>
          <w:szCs w:val="24"/>
        </w:rPr>
      </w:r>
    </w:p>
    <w:p>
      <w:pPr>
        <w:pStyle w:val="BodyText"/>
        <w:spacing w:line="240" w:lineRule="auto" w:before="4"/>
        <w:ind w:left="138" w:right="146"/>
        <w:jc w:val="left"/>
      </w:pPr>
      <w:r>
        <w:rPr/>
        <w:t>□适用</w:t>
      </w:r>
      <w:r>
        <w:rPr>
          <w:spacing w:val="-1"/>
        </w:rPr>
        <w:t> </w:t>
      </w:r>
      <w:r>
        <w:rPr/>
        <w:t>√不适用</w:t>
      </w:r>
    </w:p>
    <w:sectPr>
      <w:pgSz w:w="11910" w:h="16840"/>
      <w:pgMar w:header="0" w:footer="1195" w:top="1320" w:bottom="1380" w:left="1660" w:right="1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mbria">
    <w:altName w:val="Cambria"/>
    <w:charset w:val="0"/>
    <w:family w:val="roman"/>
    <w:pitch w:val="variable"/>
  </w:font>
  <w:font w:name="黑体">
    <w:altName w:val="黑体"/>
    <w:charset w:val="86"/>
    <w:family w:val="modern"/>
    <w:pitch w:val="fixed"/>
  </w:font>
  <w:font w:name="Calibri">
    <w:altName w:val="Calibri"/>
    <w:charset w:val="0"/>
    <w:family w:val="swiss"/>
    <w:pitch w:val="variable"/>
  </w:font>
  <w:font w:name="宋体">
    <w:altName w:val="宋体"/>
    <w:charset w:val="86"/>
    <w:family w:val="auto"/>
    <w:pitch w:val="variable"/>
  </w:font>
  <w:font w:name="Arial Narrow">
    <w:altName w:val="Arial Narrow"/>
    <w:charset w:val="0"/>
    <w:family w:val="swiss"/>
    <w:pitch w:val="variable"/>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6.450012pt;margin-top:771.169983pt;width:8.6pt;height:11pt;mso-position-horizontal-relative:page;mso-position-vertical-relative:page;z-index:-6643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2</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4.170013pt;margin-top:771.169983pt;width:13.15pt;height:11pt;mso-position-horizontal-relative:page;mso-position-vertical-relative:page;z-index:-6640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41</w:t>
                </w:r>
                <w:r>
                  <w:rPr/>
                  <w:fldChar w:fldCharType="end"/>
                </w:r>
                <w:r>
                  <w:rPr>
                    <w:rFonts w:ascii="Calibri"/>
                    <w:spacing w:val="-1"/>
                    <w:sz w:val="18"/>
                  </w:rPr>
                </w:r>
                <w:r>
                  <w:rPr>
                    <w:rFonts w:ascii="Calibri"/>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6.51001pt;margin-top:524.546021pt;width:13.15pt;height:11pt;mso-position-horizontal-relative:page;mso-position-vertical-relative:page;z-index:-6640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50</w:t>
                </w:r>
                <w:r>
                  <w:rPr/>
                  <w:fldChar w:fldCharType="end"/>
                </w:r>
                <w:r>
                  <w:rPr>
                    <w:rFonts w:ascii="Calibri"/>
                    <w:spacing w:val="-1"/>
                    <w:sz w:val="18"/>
                  </w:rPr>
                </w:r>
                <w:r>
                  <w:rPr>
                    <w:rFonts w:ascii="Calibri"/>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4.170013pt;margin-top:771.169983pt;width:13.15pt;height:11pt;mso-position-horizontal-relative:page;mso-position-vertical-relative:page;z-index:-6639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54</w:t>
                </w:r>
                <w:r>
                  <w:rPr/>
                  <w:fldChar w:fldCharType="end"/>
                </w:r>
                <w:r>
                  <w:rPr>
                    <w:rFonts w:ascii="Calibri"/>
                    <w:spacing w:val="-1"/>
                    <w:sz w:val="18"/>
                  </w:rPr>
                </w:r>
                <w:r>
                  <w:rPr>
                    <w:rFonts w:ascii="Calibri"/>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5.170013pt;margin-top:771.169983pt;width:11.15pt;height:11pt;mso-position-horizontal-relative:page;mso-position-vertical-relative:page;z-index:-66390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60</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4.170013pt;margin-top:771.169983pt;width:13.15pt;height:11pt;mso-position-horizontal-relative:page;mso-position-vertical-relative:page;z-index:-6638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61</w:t>
                </w:r>
                <w:r>
                  <w:rPr/>
                  <w:fldChar w:fldCharType="end"/>
                </w:r>
                <w:r>
                  <w:rPr>
                    <w:rFonts w:ascii="Calibri"/>
                    <w:spacing w:val="-1"/>
                    <w:sz w:val="18"/>
                  </w:rPr>
                </w:r>
                <w:r>
                  <w:rPr>
                    <w:rFonts w:ascii="Calibri"/>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5.170013pt;margin-top:771.169983pt;width:11.15pt;height:11pt;mso-position-horizontal-relative:page;mso-position-vertical-relative:page;z-index:-66385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70</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4.170013pt;margin-top:771.169983pt;width:13.15pt;height:11pt;mso-position-horizontal-relative:page;mso-position-vertical-relative:page;z-index:-6638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71</w:t>
                </w:r>
                <w:r>
                  <w:rPr/>
                  <w:fldChar w:fldCharType="end"/>
                </w:r>
                <w:r>
                  <w:rPr>
                    <w:rFonts w:ascii="Calibri"/>
                    <w:spacing w:val="-1"/>
                    <w:sz w:val="18"/>
                  </w:rPr>
                </w:r>
                <w:r>
                  <w:rPr>
                    <w:rFonts w:ascii="Calibri"/>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5.170013pt;margin-top:771.169983pt;width:11.15pt;height:11pt;mso-position-horizontal-relative:page;mso-position-vertical-relative:page;z-index:-66380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80</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4.170013pt;margin-top:771.169983pt;width:13.15pt;height:11pt;mso-position-horizontal-relative:page;mso-position-vertical-relative:page;z-index:-6637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81</w:t>
                </w:r>
                <w:r>
                  <w:rPr/>
                  <w:fldChar w:fldCharType="end"/>
                </w:r>
                <w:r>
                  <w:rPr>
                    <w:rFonts w:ascii="Calibri"/>
                    <w:spacing w:val="-1"/>
                    <w:sz w:val="18"/>
                  </w:rPr>
                </w:r>
                <w:r>
                  <w:rPr>
                    <w:rFonts w:ascii="Calibri"/>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5.170013pt;margin-top:771.169983pt;width:11.15pt;height:11pt;mso-position-horizontal-relative:page;mso-position-vertical-relative:page;z-index:-66431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10</w:t>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4.170013pt;margin-top:771.169983pt;width:13.15pt;height:11pt;mso-position-horizontal-relative:page;mso-position-vertical-relative:page;z-index:-6637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91</w:t>
                </w:r>
                <w:r>
                  <w:rPr/>
                  <w:fldChar w:fldCharType="end"/>
                </w:r>
                <w:r>
                  <w:rPr>
                    <w:rFonts w:ascii="Calibri"/>
                    <w:spacing w:val="-1"/>
                    <w:sz w:val="18"/>
                  </w:rPr>
                </w:r>
                <w:r>
                  <w:rPr>
                    <w:rFonts w:ascii="Calibri"/>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4.170013pt;margin-top:771.169983pt;width:13.15pt;height:11pt;mso-position-horizontal-relative:page;mso-position-vertical-relative:page;z-index:-6637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95</w:t>
                </w:r>
                <w:r>
                  <w:rPr/>
                  <w:fldChar w:fldCharType="end"/>
                </w:r>
                <w:r>
                  <w:rPr>
                    <w:rFonts w:ascii="Calibri"/>
                    <w:spacing w:val="-1"/>
                    <w:sz w:val="18"/>
                  </w:rPr>
                </w:r>
                <w:r>
                  <w:rPr>
                    <w:rFonts w:ascii="Calibri"/>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2.890015pt;margin-top:771.169983pt;width:15.7pt;height:11pt;mso-position-horizontal-relative:page;mso-position-vertical-relative:page;z-index:-66371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100</w:t>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1.890015pt;margin-top:771.169983pt;width:17.7pt;height:11pt;mso-position-horizontal-relative:page;mso-position-vertical-relative:page;z-index:-6636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101</w:t>
                </w:r>
                <w:r>
                  <w:rPr/>
                  <w:fldChar w:fldCharType="end"/>
                </w:r>
                <w:r>
                  <w:rPr>
                    <w:rFonts w:ascii="Calibri"/>
                    <w:spacing w:val="-1"/>
                    <w:sz w:val="18"/>
                  </w:rPr>
                </w:r>
                <w:r>
                  <w:rPr>
                    <w:rFonts w:ascii="Calibri"/>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2.890015pt;margin-top:771.169983pt;width:15.7pt;height:11pt;mso-position-horizontal-relative:page;mso-position-vertical-relative:page;z-index:-66366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110</w:t>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1.890015pt;margin-top:771.169983pt;width:17.7pt;height:11pt;mso-position-horizontal-relative:page;mso-position-vertical-relative:page;z-index:-6636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111</w:t>
                </w:r>
                <w:r>
                  <w:rPr/>
                  <w:fldChar w:fldCharType="end"/>
                </w:r>
                <w:r>
                  <w:rPr>
                    <w:rFonts w:ascii="Calibri"/>
                    <w:spacing w:val="-1"/>
                    <w:sz w:val="18"/>
                  </w:rPr>
                </w:r>
                <w:r>
                  <w:rPr>
                    <w:rFonts w:ascii="Calibri"/>
                    <w:sz w:val="18"/>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1.890015pt;margin-top:771.169983pt;width:17.7pt;height:11pt;mso-position-horizontal-relative:page;mso-position-vertical-relative:page;z-index:-6636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120</w:t>
                </w:r>
                <w:r>
                  <w:rPr/>
                  <w:fldChar w:fldCharType="end"/>
                </w:r>
                <w:r>
                  <w:rPr>
                    <w:rFonts w:ascii="Calibri"/>
                    <w:spacing w:val="-1"/>
                    <w:sz w:val="18"/>
                  </w:rPr>
                </w:r>
                <w:r>
                  <w:rPr>
                    <w:rFonts w:ascii="Calibri"/>
                    <w:sz w:val="18"/>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4.170013pt;margin-top:771.169983pt;width:13.15pt;height:11pt;mso-position-horizontal-relative:page;mso-position-vertical-relative:page;z-index:-6642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11</w:t>
                </w:r>
                <w:r>
                  <w:rPr/>
                  <w:fldChar w:fldCharType="end"/>
                </w:r>
                <w:r>
                  <w:rPr>
                    <w:rFonts w:ascii="Calibri"/>
                    <w:spacing w:val="-1"/>
                    <w:sz w:val="18"/>
                  </w:rPr>
                </w:r>
                <w:r>
                  <w:rPr>
                    <w:rFonts w:ascii="Calibri"/>
                    <w:sz w:val="18"/>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1.890015pt;margin-top:771.169983pt;width:17.7pt;height:11pt;mso-position-horizontal-relative:page;mso-position-vertical-relative:page;z-index:-6635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131</w:t>
                </w:r>
                <w:r>
                  <w:rPr/>
                  <w:fldChar w:fldCharType="end"/>
                </w:r>
                <w:r>
                  <w:rPr>
                    <w:rFonts w:ascii="Calibri"/>
                    <w:spacing w:val="-1"/>
                    <w:sz w:val="18"/>
                  </w:rPr>
                </w:r>
                <w:r>
                  <w:rPr>
                    <w:rFonts w:ascii="Calibri"/>
                    <w:sz w:val="18"/>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1.890015pt;margin-top:771.169983pt;width:17.7pt;height:11pt;mso-position-horizontal-relative:page;mso-position-vertical-relative:page;z-index:-6635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134</w:t>
                </w:r>
                <w:r>
                  <w:rPr/>
                  <w:fldChar w:fldCharType="end"/>
                </w:r>
                <w:r>
                  <w:rPr>
                    <w:rFonts w:ascii="Calibri"/>
                    <w:spacing w:val="-1"/>
                    <w:sz w:val="18"/>
                  </w:rPr>
                </w:r>
                <w:r>
                  <w:rPr>
                    <w:rFonts w:ascii="Calibri"/>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5.170013pt;margin-top:771.169983pt;width:11.15pt;height:11pt;mso-position-horizontal-relative:page;mso-position-vertical-relative:page;z-index:-66426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20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4.170013pt;margin-top:771.169983pt;width:13.15pt;height:11pt;mso-position-horizontal-relative:page;mso-position-vertical-relative:page;z-index:-6642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21</w:t>
                </w:r>
                <w:r>
                  <w:rPr/>
                  <w:fldChar w:fldCharType="end"/>
                </w:r>
                <w:r>
                  <w:rPr>
                    <w:rFonts w:ascii="Calibri"/>
                    <w:spacing w:val="-1"/>
                    <w:sz w:val="18"/>
                  </w:rPr>
                </w:r>
                <w:r>
                  <w:rPr>
                    <w:rFonts w:ascii="Calibri"/>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8.903999pt;margin-top:746.284973pt;width:80.850pt;height:12.6pt;mso-position-horizontal-relative:page;mso-position-vertical-relative:page;z-index:-664216" type="#_x0000_t202" filled="false" stroked="false">
          <v:textbox inset="0,0,0,0">
            <w:txbxContent>
              <w:p>
                <w:pPr>
                  <w:pStyle w:val="BodyText"/>
                  <w:spacing w:line="231" w:lineRule="exact"/>
                  <w:ind w:left="20" w:right="0"/>
                  <w:jc w:val="left"/>
                </w:pPr>
                <w:r>
                  <w:rPr/>
                  <w:t>□适用</w:t>
                </w:r>
                <w:r>
                  <w:rPr>
                    <w:spacing w:val="-1"/>
                  </w:rPr>
                  <w:t> </w:t>
                </w:r>
                <w:r>
                  <w:rPr/>
                  <w:t>√不适用</w:t>
                </w:r>
              </w:p>
            </w:txbxContent>
          </v:textbox>
          <w10:wrap type="none"/>
        </v:shape>
      </w:pict>
    </w:r>
    <w:r>
      <w:rPr/>
      <w:pict>
        <v:shape style="position:absolute;margin-left:305.170013pt;margin-top:771.169983pt;width:11.15pt;height:11pt;mso-position-horizontal-relative:page;mso-position-vertical-relative:page;z-index:-66419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30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4.170013pt;margin-top:771.169983pt;width:13.15pt;height:11pt;mso-position-horizontal-relative:page;mso-position-vertical-relative:page;z-index:-6641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31</w:t>
                </w:r>
                <w:r>
                  <w:rPr/>
                  <w:fldChar w:fldCharType="end"/>
                </w:r>
                <w:r>
                  <w:rPr>
                    <w:rFonts w:ascii="Calibri"/>
                    <w:spacing w:val="-1"/>
                    <w:sz w:val="18"/>
                  </w:rPr>
                </w:r>
                <w:r>
                  <w:rPr>
                    <w:rFonts w:ascii="Calibri"/>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4.170013pt;margin-top:771.169983pt;width:13.15pt;height:11pt;mso-position-horizontal-relative:page;mso-position-vertical-relative:page;z-index:-6641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33</w:t>
                </w:r>
                <w:r>
                  <w:rPr/>
                  <w:fldChar w:fldCharType="end"/>
                </w:r>
                <w:r>
                  <w:rPr>
                    <w:rFonts w:ascii="Calibri"/>
                    <w:spacing w:val="-1"/>
                    <w:sz w:val="18"/>
                  </w:rPr>
                </w:r>
                <w:r>
                  <w:rPr>
                    <w:rFonts w:ascii="Calibri"/>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5.170013pt;margin-top:771.169983pt;width:11.15pt;height:11pt;mso-position-horizontal-relative:page;mso-position-vertical-relative:page;z-index:-66412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40</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849998pt;margin-top:42.749985pt;width:71.25pt;height:19.5pt;mso-position-horizontal-relative:page;mso-position-vertical-relative:page;z-index:-664408" type="#_x0000_t75" stroked="false">
          <v:imagedata r:id="rId1" o:title=""/>
        </v:shape>
      </w:pict>
    </w:r>
    <w:r>
      <w:rPr/>
      <w:pict>
        <v:group style="position:absolute;margin-left:88.463997pt;margin-top:66.239983pt;width:443.6pt;height:.1pt;mso-position-horizontal-relative:page;mso-position-vertical-relative:page;z-index:-664384" coordorigin="1769,1325" coordsize="8872,2">
          <v:shape style="position:absolute;left:1769;top:1325;width:8872;height:2" coordorigin="1769,1325" coordsize="8872,0" path="m1769,1325l10641,1325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349.350006pt;margin-top:53.545609pt;width:177.75pt;height:12pt;mso-position-horizontal-relative:page;mso-position-vertical-relative:page;z-index:-66436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福建顶点软件股份有限公司</w:t>
                </w:r>
                <w:r>
                  <w:rPr>
                    <w:rFonts w:ascii="宋体" w:hAnsi="宋体" w:cs="宋体" w:eastAsia="宋体" w:hint="default"/>
                    <w:spacing w:val="-47"/>
                    <w:sz w:val="18"/>
                    <w:szCs w:val="18"/>
                  </w:rPr>
                  <w:t> </w:t>
                </w: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6.25pt;margin-top:42.750008pt;width:71.25pt;height:19.5pt;mso-position-horizontal-relative:page;mso-position-vertical-relative:page;z-index:-664072" type="#_x0000_t75" stroked="false">
          <v:imagedata r:id="rId1" o:title=""/>
        </v:shape>
      </w:pict>
    </w:r>
    <w:r>
      <w:rPr/>
      <w:pict>
        <v:shape style="position:absolute;margin-left:335.649994pt;margin-top:53.425632pt;width:177.7pt;height:12pt;mso-position-horizontal-relative:page;mso-position-vertical-relative:page;z-index:-66404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福建顶点软件股份有限公司</w:t>
                </w:r>
                <w:r>
                  <w:rPr>
                    <w:rFonts w:ascii="宋体" w:hAnsi="宋体" w:cs="宋体" w:eastAsia="宋体" w:hint="default"/>
                    <w:spacing w:val="-48"/>
                    <w:sz w:val="18"/>
                    <w:szCs w:val="18"/>
                  </w:rPr>
                  <w:t> </w:t>
                </w: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849998pt;margin-top:42.839981pt;width:71.25pt;height:19.46pt;mso-position-horizontal-relative:page;mso-position-vertical-relative:page;z-index:-664000" type="#_x0000_t75" stroked="false">
          <v:imagedata r:id="rId1" o:title=""/>
        </v:shape>
      </w:pict>
    </w:r>
    <w:r>
      <w:rPr/>
      <w:pict>
        <v:group style="position:absolute;margin-left:88.463997pt;margin-top:66.239983pt;width:443.6pt;height:.1pt;mso-position-horizontal-relative:page;mso-position-vertical-relative:page;z-index:-663976" coordorigin="1769,1325" coordsize="8872,2">
          <v:shape style="position:absolute;left:1769;top:1325;width:8872;height:2" coordorigin="1769,1325" coordsize="8872,0" path="m1769,1325l10641,1325e" filled="false" stroked="true" strokeweight=".72pt" strokecolor="#000000">
            <v:path arrowok="t"/>
          </v:shape>
          <w10:wrap type="none"/>
        </v:group>
      </w:pict>
    </w:r>
    <w:r>
      <w:rPr/>
      <w:pict>
        <v:shape style="position:absolute;margin-left:349.350006pt;margin-top:53.305607pt;width:177.75pt;height:12pt;mso-position-horizontal-relative:page;mso-position-vertical-relative:page;z-index:-66395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福建顶点软件股份有限公司</w:t>
                </w:r>
                <w:r>
                  <w:rPr>
                    <w:rFonts w:ascii="宋体" w:hAnsi="宋体" w:cs="宋体" w:eastAsia="宋体" w:hint="default"/>
                    <w:spacing w:val="-47"/>
                    <w:sz w:val="18"/>
                    <w:szCs w:val="18"/>
                  </w:rPr>
                  <w:t> </w:t>
                </w: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33"/>
      <w:ind w:left="138"/>
    </w:pPr>
    <w:rPr>
      <w:rFonts w:ascii="宋体" w:hAnsi="宋体" w:eastAsia="宋体"/>
      <w:b/>
      <w:bCs/>
      <w:sz w:val="21"/>
      <w:szCs w:val="21"/>
    </w:rPr>
  </w:style>
  <w:style w:styleId="BodyText" w:type="paragraph">
    <w:name w:val="Body Text"/>
    <w:basedOn w:val="Normal"/>
    <w:uiPriority w:val="1"/>
    <w:qFormat/>
    <w:pPr>
      <w:ind w:left="218"/>
    </w:pPr>
    <w:rPr>
      <w:rFonts w:ascii="宋体" w:hAnsi="宋体" w:eastAsia="宋体"/>
      <w:sz w:val="21"/>
      <w:szCs w:val="21"/>
    </w:rPr>
  </w:style>
  <w:style w:styleId="Heading1" w:type="paragraph">
    <w:name w:val="Heading 1"/>
    <w:basedOn w:val="Normal"/>
    <w:uiPriority w:val="1"/>
    <w:qFormat/>
    <w:pPr>
      <w:outlineLvl w:val="1"/>
    </w:pPr>
    <w:rPr>
      <w:rFonts w:ascii="黑体" w:hAnsi="黑体" w:eastAsia="黑体"/>
      <w:b/>
      <w:bCs/>
      <w:sz w:val="28"/>
      <w:szCs w:val="28"/>
    </w:rPr>
  </w:style>
  <w:style w:styleId="Heading2" w:type="paragraph">
    <w:name w:val="Heading 2"/>
    <w:basedOn w:val="Normal"/>
    <w:uiPriority w:val="1"/>
    <w:qFormat/>
    <w:pPr>
      <w:spacing w:before="31"/>
      <w:ind w:left="138"/>
      <w:outlineLvl w:val="2"/>
    </w:pPr>
    <w:rPr>
      <w:rFonts w:ascii="宋体" w:hAnsi="宋体" w:eastAsia="宋体"/>
      <w:sz w:val="22"/>
      <w:szCs w:val="22"/>
    </w:rPr>
  </w:style>
  <w:style w:styleId="Heading3" w:type="paragraph">
    <w:name w:val="Heading 3"/>
    <w:basedOn w:val="Normal"/>
    <w:uiPriority w:val="1"/>
    <w:qFormat/>
    <w:pPr>
      <w:ind w:left="218"/>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mailto:apex@apexsoft.com.cn" TargetMode="External"/><Relationship Id="rId9" Type="http://schemas.openxmlformats.org/officeDocument/2006/relationships/hyperlink" Target="http://www.apexsoft.com.cn/index.jsp" TargetMode="External"/><Relationship Id="rId10" Type="http://schemas.openxmlformats.org/officeDocument/2006/relationships/hyperlink" Target="http://www.sse.com.cn/" TargetMode="Externa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footer" Target="footer7.xml"/><Relationship Id="rId17" Type="http://schemas.openxmlformats.org/officeDocument/2006/relationships/footer" Target="footer8.xml"/><Relationship Id="rId18" Type="http://schemas.openxmlformats.org/officeDocument/2006/relationships/footer" Target="footer9.xml"/><Relationship Id="rId19" Type="http://schemas.openxmlformats.org/officeDocument/2006/relationships/footer" Target="footer10.xml"/><Relationship Id="rId20" Type="http://schemas.openxmlformats.org/officeDocument/2006/relationships/image" Target="media/image3.png"/><Relationship Id="rId21" Type="http://schemas.openxmlformats.org/officeDocument/2006/relationships/header" Target="header2.xml"/><Relationship Id="rId22" Type="http://schemas.openxmlformats.org/officeDocument/2006/relationships/footer" Target="footer11.xml"/><Relationship Id="rId23" Type="http://schemas.openxmlformats.org/officeDocument/2006/relationships/header" Target="header3.xml"/><Relationship Id="rId24" Type="http://schemas.openxmlformats.org/officeDocument/2006/relationships/footer" Target="footer12.xml"/><Relationship Id="rId25" Type="http://schemas.openxmlformats.org/officeDocument/2006/relationships/footer" Target="footer13.xml"/><Relationship Id="rId26" Type="http://schemas.openxmlformats.org/officeDocument/2006/relationships/footer" Target="footer14.xml"/><Relationship Id="rId27" Type="http://schemas.openxmlformats.org/officeDocument/2006/relationships/footer" Target="footer15.xml"/><Relationship Id="rId28" Type="http://schemas.openxmlformats.org/officeDocument/2006/relationships/footer" Target="footer16.xml"/><Relationship Id="rId29" Type="http://schemas.openxmlformats.org/officeDocument/2006/relationships/footer" Target="footer17.xml"/><Relationship Id="rId30" Type="http://schemas.openxmlformats.org/officeDocument/2006/relationships/footer" Target="footer18.xml"/><Relationship Id="rId31" Type="http://schemas.openxmlformats.org/officeDocument/2006/relationships/header" Target="header4.xml"/><Relationship Id="rId32" Type="http://schemas.openxmlformats.org/officeDocument/2006/relationships/footer" Target="footer19.xml"/><Relationship Id="rId33" Type="http://schemas.openxmlformats.org/officeDocument/2006/relationships/image" Target="media/image2.png"/><Relationship Id="rId34" Type="http://schemas.openxmlformats.org/officeDocument/2006/relationships/footer" Target="footer20.xml"/><Relationship Id="rId35" Type="http://schemas.openxmlformats.org/officeDocument/2006/relationships/header" Target="header5.xml"/><Relationship Id="rId36" Type="http://schemas.openxmlformats.org/officeDocument/2006/relationships/footer" Target="footer21.xml"/><Relationship Id="rId37" Type="http://schemas.openxmlformats.org/officeDocument/2006/relationships/footer" Target="footer22.xml"/><Relationship Id="rId38" Type="http://schemas.openxmlformats.org/officeDocument/2006/relationships/footer" Target="footer23.xml"/><Relationship Id="rId39" Type="http://schemas.openxmlformats.org/officeDocument/2006/relationships/footer" Target="footer24.xml"/><Relationship Id="rId40" Type="http://schemas.openxmlformats.org/officeDocument/2006/relationships/footer" Target="footer25.xml"/><Relationship Id="rId41" Type="http://schemas.openxmlformats.org/officeDocument/2006/relationships/footer" Target="footer26.xml"/><Relationship Id="rId42" Type="http://schemas.openxmlformats.org/officeDocument/2006/relationships/header" Target="header6.xml"/><Relationship Id="rId43" Type="http://schemas.openxmlformats.org/officeDocument/2006/relationships/footer" Target="footer27.xml"/><Relationship Id="rId44" Type="http://schemas.openxmlformats.org/officeDocument/2006/relationships/footer" Target="footer28.xml"/><Relationship Id="rId45" Type="http://schemas.openxmlformats.org/officeDocument/2006/relationships/header" Target="header7.xml"/><Relationship Id="rId46" Type="http://schemas.openxmlformats.org/officeDocument/2006/relationships/footer" Target="footer29.xml"/><Relationship Id="rId47" Type="http://schemas.openxmlformats.org/officeDocument/2006/relationships/footer" Target="footer30.xml"/><Relationship Id="rId48" Type="http://schemas.openxmlformats.org/officeDocument/2006/relationships/header" Target="header8.xml"/><Relationship Id="rId49" Type="http://schemas.openxmlformats.org/officeDocument/2006/relationships/footer" Target="footer31.xml"/><Relationship Id="rId50" Type="http://schemas.openxmlformats.org/officeDocument/2006/relationships/footer" Target="footer3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czq</dc:creator>
  <dc:title>股份有限公司</dc:title>
  <dcterms:created xsi:type="dcterms:W3CDTF">2020-05-03T06:14:27Z</dcterms:created>
  <dcterms:modified xsi:type="dcterms:W3CDTF">2020-05-03T06:14:27Z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2018-04-02T00:00:00Z</vt:filetime>
  </property>
  <property fmtid="{D5CDD505-2E9C-101B-9397-08002B2CF9AE}" pid="3" name="Creator">
    <vt:lpwstr>Microsoft® Office Word 2007</vt:lpwstr>
  </property>
  <property fmtid="{D5CDD505-2E9C-101B-9397-08002B2CF9AE}" pid="4" name="LastSaved">
    <vt:filetime>2020-05-02T00:00:00Z</vt:filetime>
  </property>
</Properties>
</file>